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sz w:val="32"/>
          <w:szCs w:val="32"/>
        </w:rPr>
        <w:t xml:space="preserve">Effects of Environmental Noise on Real-Time Speech-Captioning Accuracy and Latency:</w:t>
      </w:r>
    </w:p>
    <w:p>
      <w:pPr>
        <w:spacing w:after="400"/>
        <w:jc w:val="center"/>
      </w:pPr>
      <w:r>
        <w:rPr>
          <w:rFonts w:ascii="Times New Roman" w:cs="Times New Roman" w:eastAsia="Times New Roman" w:hAnsi="Times New Roman"/>
          <w:b/>
          <w:bCs/>
          <w:sz w:val="32"/>
          <w:szCs w:val="32"/>
        </w:rPr>
        <w:t xml:space="preserve">A Bilingual English–Korean Study Protocol for the HEAR Captioning System</w:t>
      </w:r>
    </w:p>
    <w:p>
      <w:pPr>
        <w:spacing w:after="120"/>
        <w:jc w:val="center"/>
      </w:pPr>
      <w:r>
        <w:rPr>
          <w:rFonts w:ascii="Times New Roman" w:cs="Times New Roman" w:eastAsia="Times New Roman" w:hAnsi="Times New Roman"/>
          <w:sz w:val="24"/>
          <w:szCs w:val="24"/>
        </w:rPr>
        <w:t xml:space="preserve">[Author Name]</w:t>
      </w:r>
    </w:p>
    <w:p>
      <w:pPr>
        <w:spacing w:after="120"/>
        <w:jc w:val="center"/>
      </w:pPr>
      <w:r>
        <w:rPr>
          <w:rFonts w:ascii="Times New Roman" w:cs="Times New Roman" w:eastAsia="Times New Roman" w:hAnsi="Times New Roman"/>
          <w:i/>
          <w:iCs/>
          <w:sz w:val="22"/>
          <w:szCs w:val="22"/>
        </w:rPr>
        <w:t xml:space="preserve">[Affiliation / School]</w:t>
      </w:r>
    </w:p>
    <w:p>
      <w:pPr>
        <w:spacing w:after="600"/>
        <w:jc w:val="center"/>
      </w:pPr>
      <w:r>
        <w:rPr>
          <w:rFonts w:ascii="Times New Roman" w:cs="Times New Roman" w:eastAsia="Times New Roman" w:hAnsi="Times New Roman"/>
          <w:i/>
          <w:iCs/>
          <w:sz w:val="22"/>
          <w:szCs w:val="22"/>
        </w:rPr>
        <w:t xml:space="preserve">[Contact Email]</w:t>
      </w:r>
    </w:p>
    <w:p>
      <w:pPr>
        <w:shd w:fill="FFF3CD" w:val="clear"/>
        <w:spacing w:after="200"/>
      </w:pPr>
      <w:r>
        <w:rPr>
          <w:rFonts w:ascii="Times New Roman" w:cs="Times New Roman" w:eastAsia="Times New Roman" w:hAnsi="Times New Roman"/>
          <w:i/>
          <w:iCs/>
          <w:color w:val="7A5B00"/>
          <w:sz w:val="20"/>
          <w:szCs w:val="20"/>
        </w:rPr>
        <w:t xml:space="preserve">MANUSCRIPT STATUS: This is a study protocol / registered-report-style draft. The methodology, materials, and instruments below are finalized and ready to run. The Results section (Section 6) is a reporting template only — it must be populated with real, human-subject data collected under this protocol before submission or publication. Do not submit this document with the placeholder text still in Section 6.</w:t>
      </w:r>
    </w:p>
    <w:p>
      <w:r>
        <w:br w:type="page"/>
      </w:r>
    </w:p>
    <w:p>
      <w:pPr>
        <w:pStyle w:val="Heading1"/>
        <w:spacing w:after="160" w:before="320"/>
      </w:pPr>
      <w:r>
        <w:rPr>
          <w:rFonts w:ascii="Times New Roman" w:cs="Times New Roman" w:eastAsia="Times New Roman" w:hAnsi="Times New Roman"/>
          <w:b/>
          <w:bCs/>
          <w:sz w:val="26"/>
          <w:szCs w:val="26"/>
        </w:rPr>
        <w:t xml:space="preserve">Abstract</w:t>
      </w:r>
    </w:p>
    <w:p>
      <w:pPr>
        <w:spacing w:after="160"/>
        <w:jc w:val="both"/>
      </w:pPr>
      <w:r>
        <w:rPr>
          <w:rFonts w:ascii="Times New Roman" w:cs="Times New Roman" w:eastAsia="Times New Roman" w:hAnsi="Times New Roman"/>
          <w:sz w:val="22"/>
          <w:szCs w:val="22"/>
        </w:rPr>
        <w:t xml:space="preserve">Real-time automatic speech recognition (ASR) captioning is widely used as an accessibility accommodation for Deaf and Hard-of-Hearing (DHH) individuals, yet ASR accuracy is known to degrade under acoustic noise, and most public benchmarking has focused on English. This protocol describes a controlled, within-subjects study design for evaluating the HEAR real-time captioning system across four noise levels (clean, low, moderate, high) and two languages (English and Korean), using a fixed set of seven parallel sentence pairs drawn directly from HEAR's own screening and experience-simulation modules. The study measures Word Error Rate (WER), captioning latency, and a taxonomy of error types (substitution, deletion, insertion, and language-specific subtypes) for each trial. We report the finalized experimental materials, procedure, and metrics, and we specify in advance the statistical comparisons that will be run once data collection is complete (noise-level trend within each language, and cross-language comparison at matched noise levels). No human-subject data have yet been collected under this protocol; Section 6 provides the exact reporting template to be completed once real trials are run.</w:t>
      </w:r>
    </w:p>
    <w:p>
      <w:pPr>
        <w:pStyle w:val="Heading1"/>
        <w:spacing w:after="160" w:before="320"/>
      </w:pPr>
      <w:r>
        <w:rPr>
          <w:rFonts w:ascii="Times New Roman" w:cs="Times New Roman" w:eastAsia="Times New Roman" w:hAnsi="Times New Roman"/>
          <w:b/>
          <w:bCs/>
          <w:sz w:val="26"/>
          <w:szCs w:val="26"/>
        </w:rPr>
        <w:t xml:space="preserve">1. Introduction</w:t>
      </w:r>
    </w:p>
    <w:p>
      <w:pPr>
        <w:spacing w:after="160"/>
        <w:jc w:val="both"/>
      </w:pPr>
      <w:r>
        <w:rPr>
          <w:rFonts w:ascii="Times New Roman" w:cs="Times New Roman" w:eastAsia="Times New Roman" w:hAnsi="Times New Roman"/>
          <w:sz w:val="22"/>
          <w:szCs w:val="22"/>
        </w:rPr>
        <w:t xml:space="preserve">Captioning is one of the most widely used accessibility accommodations for DHH individuals in classrooms, meetings, and daily conversation, and real-time ASR-based captioning has become common because it is far less expensive and more scalable than live human captioners or interpreters. However, ASR systems remain sensitive to acoustic noise, and degraded transcription can directly reduce the usability of a caption for the person relying on it. Most systematic evaluation of ASR noise robustness has been carried out on English-language benchmark corpora; comparatively little controlled evaluation exists for Korean, and fewer studies still compare the same system, the same noise conditions, and matched sentence content across both languages in a single design.</w:t>
      </w:r>
    </w:p>
    <w:p>
      <w:pPr>
        <w:spacing w:after="160"/>
        <w:jc w:val="both"/>
      </w:pPr>
      <w:r>
        <w:rPr>
          <w:rFonts w:ascii="Times New Roman" w:cs="Times New Roman" w:eastAsia="Times New Roman" w:hAnsi="Times New Roman"/>
          <w:sz w:val="22"/>
          <w:szCs w:val="22"/>
        </w:rPr>
        <w:t xml:space="preserve">HEAR is a browser-based real-time captioning tool that includes a short screening flow ("Check My Experience") and an experience-simulation module presenting realistic conversational scenarios (classroom, restaurant, group conversation). This protocol reuses HEAR's own built-in sentences as ground truth, rather than introducing new artificial stimuli, so that the evaluation reflects the same linguistic content end users of the live product actually encounter.</w:t>
      </w:r>
    </w:p>
    <w:p>
      <w:pPr>
        <w:spacing w:after="160"/>
        <w:jc w:val="both"/>
      </w:pPr>
      <w:r>
        <w:rPr>
          <w:rFonts w:ascii="Times New Roman" w:cs="Times New Roman" w:eastAsia="Times New Roman" w:hAnsi="Times New Roman"/>
          <w:sz w:val="22"/>
          <w:szCs w:val="22"/>
        </w:rPr>
        <w:t xml:space="preserve">The guiding research question is: How does environmental noise affect the accuracy and latency of browser-based real-time captioning across English and Korean, and what types of recognition errors emerge as noise increases?</w:t>
      </w:r>
    </w:p>
    <w:p>
      <w:pPr>
        <w:pStyle w:val="Heading1"/>
        <w:spacing w:after="160" w:before="320"/>
      </w:pPr>
      <w:r>
        <w:rPr>
          <w:rFonts w:ascii="Times New Roman" w:cs="Times New Roman" w:eastAsia="Times New Roman" w:hAnsi="Times New Roman"/>
          <w:b/>
          <w:bCs/>
          <w:sz w:val="26"/>
          <w:szCs w:val="26"/>
        </w:rPr>
        <w:t xml:space="preserve">2. Related Work</w:t>
      </w:r>
    </w:p>
    <w:p>
      <w:pPr>
        <w:spacing w:after="160"/>
        <w:jc w:val="both"/>
      </w:pPr>
      <w:r>
        <w:rPr>
          <w:rFonts w:ascii="Times New Roman" w:cs="Times New Roman" w:eastAsia="Times New Roman" w:hAnsi="Times New Roman"/>
          <w:sz w:val="22"/>
          <w:szCs w:val="22"/>
        </w:rPr>
        <w:t xml:space="preserve">Noise robustness in ASR has been studied extensively at the modeling level. Li, Deng, Gong, and Haeb-Umbach [1] provide a broad survey of techniques for improving ASR performance in noisy acoustic conditions, and subsequent work has continued to show that word error rate rises substantially as signal-to-noise ratio decreases, even for modern neural architectures evaluated on multilingual benchmark speech [7].</w:t>
      </w:r>
    </w:p>
    <w:p>
      <w:pPr>
        <w:spacing w:after="160"/>
        <w:jc w:val="both"/>
      </w:pPr>
      <w:r>
        <w:rPr>
          <w:rFonts w:ascii="Times New Roman" w:cs="Times New Roman" w:eastAsia="Times New Roman" w:hAnsi="Times New Roman"/>
          <w:sz w:val="22"/>
          <w:szCs w:val="22"/>
        </w:rPr>
        <w:t xml:space="preserve">Within accessibility research specifically, Kafle and Huenerfauth [3] argue that WER alone correlates only weakly with how usable DHH users actually find a caption, and propose caption-focused evaluation metrics validated with DHH participants; Berke, Caulfield, and Huenerfauth [4] similarly report that DHH users' subjective tolerance for ASR errors depends heavily on error type and context, not just raw error count. Yamamoto, Suzuki, Shitara, and Ochiai [2] describe an alternative real-time captioning display designed specifically for DHH communication, motivated by the same underlying observation that ASR errors are unavoidable and interface/error-handling design matters as much as raw accuracy. A 2026 mixed-methods pilot of real-time captioning in clinical settings similarly found that while most DHH participants trusted and could follow captions, complex or safety-critical vocabulary remained a weak point regardless of overall WER [6]. Government health guidance also notes that even well-performing real-time captioning services average well under perfect accuracy in practice [5].</w:t>
      </w:r>
    </w:p>
    <w:p>
      <w:pPr>
        <w:spacing w:after="160"/>
        <w:jc w:val="both"/>
      </w:pPr>
      <w:r>
        <w:rPr>
          <w:rFonts w:ascii="Times New Roman" w:cs="Times New Roman" w:eastAsia="Times New Roman" w:hAnsi="Times New Roman"/>
          <w:sz w:val="22"/>
          <w:szCs w:val="22"/>
        </w:rPr>
        <w:t xml:space="preserve">This protocol builds on that literature by (a) evaluating a single system, HEAR, across a controlled noise gradient rather than a single acoustic condition, (b) applying an identical design to English and Korean, and (c) recording not only WER but a structured error taxonomy, so that later analysis can go beyond an aggregate error rate and ask which categories of error (numbers, proper nouns, particles/endings in Korean, etc.) are disproportionately affected by noise.</w:t>
      </w:r>
    </w:p>
    <w:p>
      <w:pPr>
        <w:pStyle w:val="Heading1"/>
        <w:spacing w:after="160" w:before="320"/>
      </w:pPr>
      <w:r>
        <w:rPr>
          <w:rFonts w:ascii="Times New Roman" w:cs="Times New Roman" w:eastAsia="Times New Roman" w:hAnsi="Times New Roman"/>
          <w:b/>
          <w:bCs/>
          <w:sz w:val="26"/>
          <w:szCs w:val="26"/>
        </w:rPr>
        <w:t xml:space="preserve">3. Research Questions and Hypotheses</w:t>
      </w:r>
    </w:p>
    <w:p>
      <w:pPr>
        <w:spacing w:after="160"/>
        <w:jc w:val="both"/>
      </w:pPr>
      <w:r>
        <w:rPr>
          <w:rFonts w:ascii="Times New Roman" w:cs="Times New Roman" w:eastAsia="Times New Roman" w:hAnsi="Times New Roman"/>
          <w:sz w:val="22"/>
          <w:szCs w:val="22"/>
        </w:rPr>
        <w:t xml:space="preserve">RQ1: Does HEAR's caption Word Error Rate increase monotonically as background noise increases from clean to high, in each language?</w:t>
      </w:r>
    </w:p>
    <w:p>
      <w:pPr>
        <w:spacing w:after="160"/>
        <w:jc w:val="both"/>
      </w:pPr>
      <w:r>
        <w:rPr>
          <w:rFonts w:ascii="Times New Roman" w:cs="Times New Roman" w:eastAsia="Times New Roman" w:hAnsi="Times New Roman"/>
          <w:sz w:val="22"/>
          <w:szCs w:val="22"/>
        </w:rPr>
        <w:t xml:space="preserve">RQ2: Does caption latency increase as background noise increases?</w:t>
      </w:r>
    </w:p>
    <w:p>
      <w:pPr>
        <w:spacing w:after="160"/>
        <w:jc w:val="both"/>
      </w:pPr>
      <w:r>
        <w:rPr>
          <w:rFonts w:ascii="Times New Roman" w:cs="Times New Roman" w:eastAsia="Times New Roman" w:hAnsi="Times New Roman"/>
          <w:sz w:val="22"/>
          <w:szCs w:val="22"/>
        </w:rPr>
        <w:t xml:space="preserve">RQ3: Do English and Korean show different sensitivity to noise (i.e., a language × noise-level interaction) once measured with a matched design and comparable tokenization rule?</w:t>
      </w:r>
    </w:p>
    <w:p>
      <w:pPr>
        <w:spacing w:after="160"/>
        <w:jc w:val="both"/>
      </w:pPr>
      <w:r>
        <w:rPr>
          <w:rFonts w:ascii="Times New Roman" w:cs="Times New Roman" w:eastAsia="Times New Roman" w:hAnsi="Times New Roman"/>
          <w:sz w:val="22"/>
          <w:szCs w:val="22"/>
        </w:rPr>
        <w:t xml:space="preserve">RQ4: Which error types (substitution, deletion, insertion, and language-specific subtypes) account for the largest share of errors, and does that distribution shift as noise increases?</w:t>
      </w:r>
    </w:p>
    <w:p>
      <w:pPr>
        <w:spacing w:after="160"/>
        <w:jc w:val="both"/>
      </w:pPr>
      <w:r>
        <w:rPr>
          <w:rFonts w:ascii="Times New Roman" w:cs="Times New Roman" w:eastAsia="Times New Roman" w:hAnsi="Times New Roman"/>
          <w:sz w:val="22"/>
          <w:szCs w:val="22"/>
        </w:rPr>
        <w:t xml:space="preserve">Directional hypotheses, to be confirmed or disconfirmed by the real data: H1 — WER and latency will both increase monotonically from clean to high noise in both languages. H2 — the increase in WER under noise will not be identical across languages, since Korean's morphology (particles, verb endings) creates additional opportunities for substitution/deletion errors that have no direct English analogue. H3 — insertions (filler-word artifacts such as "um"/"uh" or Korean disfluency particles) will become proportionally more common as noise increases, reflecting the recognizer inserting spurious tokens rather than only dropping or swapping real ones.</w:t>
      </w:r>
    </w:p>
    <w:p>
      <w:pPr>
        <w:pStyle w:val="Heading1"/>
        <w:spacing w:after="160" w:before="320"/>
      </w:pPr>
      <w:r>
        <w:rPr>
          <w:rFonts w:ascii="Times New Roman" w:cs="Times New Roman" w:eastAsia="Times New Roman" w:hAnsi="Times New Roman"/>
          <w:b/>
          <w:bCs/>
          <w:sz w:val="26"/>
          <w:szCs w:val="26"/>
        </w:rPr>
        <w:t xml:space="preserve">4. Methodology</w:t>
      </w:r>
    </w:p>
    <w:p>
      <w:pPr>
        <w:pStyle w:val="Heading2"/>
        <w:spacing w:after="120" w:before="240"/>
      </w:pPr>
      <w:r>
        <w:rPr>
          <w:rFonts w:ascii="Times New Roman" w:cs="Times New Roman" w:eastAsia="Times New Roman" w:hAnsi="Times New Roman"/>
          <w:b/>
          <w:bCs/>
          <w:sz w:val="24"/>
          <w:szCs w:val="24"/>
        </w:rPr>
        <w:t xml:space="preserve">4.1 Design</w:t>
      </w:r>
    </w:p>
    <w:p>
      <w:pPr>
        <w:spacing w:after="160"/>
        <w:jc w:val="both"/>
      </w:pPr>
      <w:r>
        <w:rPr>
          <w:rFonts w:ascii="Times New Roman" w:cs="Times New Roman" w:eastAsia="Times New Roman" w:hAnsi="Times New Roman"/>
          <w:sz w:val="22"/>
          <w:szCs w:val="22"/>
        </w:rPr>
        <w:t xml:space="preserve">This is a within-subjects, repeated-measures design. Each participant completes every combination of sentence × noise condition in their assigned language, so that noise-level comparisons are made within the same speaker and device setup rather than across different people. English speakers complete the English materials; Korean speakers complete the Korean materials. Running the two languages as separate participant pools (rather than asking non-native speakers to complete both) avoids confounding "caption is wrong" with "participant does not speak this language well," a control point flagged explicitly in the design discussion that produced this protocol.</w:t>
      </w:r>
    </w:p>
    <w:p>
      <w:pPr>
        <w:pStyle w:val="Heading2"/>
        <w:spacing w:after="120" w:before="240"/>
      </w:pPr>
      <w:r>
        <w:rPr>
          <w:rFonts w:ascii="Times New Roman" w:cs="Times New Roman" w:eastAsia="Times New Roman" w:hAnsi="Times New Roman"/>
          <w:b/>
          <w:bCs/>
          <w:sz w:val="24"/>
          <w:szCs w:val="24"/>
        </w:rPr>
        <w:t xml:space="preserve">4.2 Participants</w:t>
      </w:r>
    </w:p>
    <w:p>
      <w:pPr>
        <w:spacing w:after="160"/>
        <w:jc w:val="both"/>
      </w:pPr>
      <w:r>
        <w:rPr>
          <w:rFonts w:ascii="Times New Roman" w:cs="Times New Roman" w:eastAsia="Times New Roman" w:hAnsi="Times New Roman"/>
          <w:sz w:val="22"/>
          <w:szCs w:val="22"/>
        </w:rPr>
        <w:t xml:space="preserve">Participants are recruited voluntarily and are not compensated for identifying information beyond the minimal fields below. No names, contact information, or medical records are collected. Hearing status is self-reported in broad categories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shd w:fill="1F3864" w:val="clear"/>
          </w:tcPr>
          <w:p>
            <w:r>
              <w:rPr>
                <w:rFonts w:ascii="Times New Roman" w:cs="Times New Roman" w:eastAsia="Times New Roman" w:hAnsi="Times New Roman"/>
                <w:b/>
                <w:bCs/>
                <w:color w:val="FFFFFF"/>
                <w:sz w:val="18"/>
                <w:szCs w:val="18"/>
              </w:rPr>
              <w:t xml:space="preserve">Field</w:t>
            </w:r>
          </w:p>
        </w:tc>
        <w:tc>
          <w:tcPr>
            <w:tcW w:type="dxa" w:w="6300"/>
            <w:shd w:fill="1F3864" w:val="clear"/>
          </w:tcPr>
          <w:p>
            <w:r>
              <w:rPr>
                <w:rFonts w:ascii="Times New Roman" w:cs="Times New Roman" w:eastAsia="Times New Roman" w:hAnsi="Times New Roman"/>
                <w:b/>
                <w:bCs/>
                <w:color w:val="FFFFFF"/>
                <w:sz w:val="18"/>
                <w:szCs w:val="18"/>
              </w:rPr>
              <w:t xml:space="preserve">Description</w:t>
            </w:r>
          </w:p>
        </w:tc>
      </w:tr>
      <w:tr>
        <w:tc>
          <w:tcPr>
            <w:tcW w:type="dxa" w:w="3060"/>
          </w:tcPr>
          <w:p>
            <w:r>
              <w:rPr>
                <w:rFonts w:ascii="Times New Roman" w:cs="Times New Roman" w:eastAsia="Times New Roman" w:hAnsi="Times New Roman"/>
                <w:b w:val="false"/>
                <w:bCs w:val="false"/>
                <w:color w:val="000000"/>
                <w:sz w:val="18"/>
                <w:szCs w:val="18"/>
              </w:rPr>
              <w:t xml:space="preserve">Participant ID</w:t>
            </w:r>
          </w:p>
        </w:tc>
        <w:tc>
          <w:tcPr>
            <w:tcW w:type="dxa" w:w="6300"/>
          </w:tcPr>
          <w:p>
            <w:r>
              <w:rPr>
                <w:rFonts w:ascii="Times New Roman" w:cs="Times New Roman" w:eastAsia="Times New Roman" w:hAnsi="Times New Roman"/>
                <w:b w:val="false"/>
                <w:bCs w:val="false"/>
                <w:color w:val="000000"/>
                <w:sz w:val="18"/>
                <w:szCs w:val="18"/>
              </w:rPr>
              <w:t xml:space="preserve">Anonymous code, e.g., E01 (English cohort) or K01 (Korean cohort)</w:t>
            </w:r>
          </w:p>
        </w:tc>
      </w:tr>
      <w:tr>
        <w:tc>
          <w:tcPr>
            <w:tcW w:type="dxa" w:w="3060"/>
          </w:tcPr>
          <w:p>
            <w:r>
              <w:rPr>
                <w:rFonts w:ascii="Times New Roman" w:cs="Times New Roman" w:eastAsia="Times New Roman" w:hAnsi="Times New Roman"/>
                <w:b w:val="false"/>
                <w:bCs w:val="false"/>
                <w:color w:val="000000"/>
                <w:sz w:val="18"/>
                <w:szCs w:val="18"/>
              </w:rPr>
              <w:t xml:space="preserve">Language Tested</w:t>
            </w:r>
          </w:p>
        </w:tc>
        <w:tc>
          <w:tcPr>
            <w:tcW w:type="dxa" w:w="6300"/>
          </w:tcPr>
          <w:p>
            <w:r>
              <w:rPr>
                <w:rFonts w:ascii="Times New Roman" w:cs="Times New Roman" w:eastAsia="Times New Roman" w:hAnsi="Times New Roman"/>
                <w:b w:val="false"/>
                <w:bCs w:val="false"/>
                <w:color w:val="000000"/>
                <w:sz w:val="18"/>
                <w:szCs w:val="18"/>
              </w:rPr>
              <w:t xml:space="preserve">English or Korean</w:t>
            </w:r>
          </w:p>
        </w:tc>
      </w:tr>
      <w:tr>
        <w:tc>
          <w:tcPr>
            <w:tcW w:type="dxa" w:w="3060"/>
          </w:tcPr>
          <w:p>
            <w:r>
              <w:rPr>
                <w:rFonts w:ascii="Times New Roman" w:cs="Times New Roman" w:eastAsia="Times New Roman" w:hAnsi="Times New Roman"/>
                <w:b w:val="false"/>
                <w:bCs w:val="false"/>
                <w:color w:val="000000"/>
                <w:sz w:val="18"/>
                <w:szCs w:val="18"/>
              </w:rPr>
              <w:t xml:space="preserve">Age Group</w:t>
            </w:r>
          </w:p>
        </w:tc>
        <w:tc>
          <w:tcPr>
            <w:tcW w:type="dxa" w:w="6300"/>
          </w:tcPr>
          <w:p>
            <w:r>
              <w:rPr>
                <w:rFonts w:ascii="Times New Roman" w:cs="Times New Roman" w:eastAsia="Times New Roman" w:hAnsi="Times New Roman"/>
                <w:b w:val="false"/>
                <w:bCs w:val="false"/>
                <w:color w:val="000000"/>
                <w:sz w:val="18"/>
                <w:szCs w:val="18"/>
              </w:rPr>
              <w:t xml:space="preserve">Banded (e.g., 15–17, 18–24, 25–34, 35–44)</w:t>
            </w:r>
          </w:p>
        </w:tc>
      </w:tr>
      <w:tr>
        <w:tc>
          <w:tcPr>
            <w:tcW w:type="dxa" w:w="3060"/>
          </w:tcPr>
          <w:p>
            <w:r>
              <w:rPr>
                <w:rFonts w:ascii="Times New Roman" w:cs="Times New Roman" w:eastAsia="Times New Roman" w:hAnsi="Times New Roman"/>
                <w:b w:val="false"/>
                <w:bCs w:val="false"/>
                <w:color w:val="000000"/>
                <w:sz w:val="18"/>
                <w:szCs w:val="18"/>
              </w:rPr>
              <w:t xml:space="preserve">Primary Language</w:t>
            </w:r>
          </w:p>
        </w:tc>
        <w:tc>
          <w:tcPr>
            <w:tcW w:type="dxa" w:w="6300"/>
          </w:tcPr>
          <w:p>
            <w:r>
              <w:rPr>
                <w:rFonts w:ascii="Times New Roman" w:cs="Times New Roman" w:eastAsia="Times New Roman" w:hAnsi="Times New Roman"/>
                <w:b w:val="false"/>
                <w:bCs w:val="false"/>
                <w:color w:val="000000"/>
                <w:sz w:val="18"/>
                <w:szCs w:val="18"/>
              </w:rPr>
              <w:t xml:space="preserve">Self-reported</w:t>
            </w:r>
          </w:p>
        </w:tc>
      </w:tr>
      <w:tr>
        <w:tc>
          <w:tcPr>
            <w:tcW w:type="dxa" w:w="3060"/>
          </w:tcPr>
          <w:p>
            <w:r>
              <w:rPr>
                <w:rFonts w:ascii="Times New Roman" w:cs="Times New Roman" w:eastAsia="Times New Roman" w:hAnsi="Times New Roman"/>
                <w:b w:val="false"/>
                <w:bCs w:val="false"/>
                <w:color w:val="000000"/>
                <w:sz w:val="18"/>
                <w:szCs w:val="18"/>
              </w:rPr>
              <w:t xml:space="preserve">Language Proficiency</w:t>
            </w:r>
          </w:p>
        </w:tc>
        <w:tc>
          <w:tcPr>
            <w:tcW w:type="dxa" w:w="6300"/>
          </w:tcPr>
          <w:p>
            <w:r>
              <w:rPr>
                <w:rFonts w:ascii="Times New Roman" w:cs="Times New Roman" w:eastAsia="Times New Roman" w:hAnsi="Times New Roman"/>
                <w:b w:val="false"/>
                <w:bCs w:val="false"/>
                <w:color w:val="000000"/>
                <w:sz w:val="18"/>
                <w:szCs w:val="18"/>
              </w:rPr>
              <w:t xml:space="preserve">Native / Advanced / Intermediate, self-reported</w:t>
            </w:r>
          </w:p>
        </w:tc>
      </w:tr>
      <w:tr>
        <w:tc>
          <w:tcPr>
            <w:tcW w:type="dxa" w:w="3060"/>
          </w:tcPr>
          <w:p>
            <w:r>
              <w:rPr>
                <w:rFonts w:ascii="Times New Roman" w:cs="Times New Roman" w:eastAsia="Times New Roman" w:hAnsi="Times New Roman"/>
                <w:b w:val="false"/>
                <w:bCs w:val="false"/>
                <w:color w:val="000000"/>
                <w:sz w:val="18"/>
                <w:szCs w:val="18"/>
              </w:rPr>
              <w:t xml:space="preserve">Hearing Status (self-reported)</w:t>
            </w:r>
          </w:p>
        </w:tc>
        <w:tc>
          <w:tcPr>
            <w:tcW w:type="dxa" w:w="6300"/>
          </w:tcPr>
          <w:p>
            <w:r>
              <w:rPr>
                <w:rFonts w:ascii="Times New Roman" w:cs="Times New Roman" w:eastAsia="Times New Roman" w:hAnsi="Times New Roman"/>
                <w:b w:val="false"/>
                <w:bCs w:val="false"/>
                <w:color w:val="000000"/>
                <w:sz w:val="18"/>
                <w:szCs w:val="18"/>
              </w:rPr>
              <w:t xml:space="preserve">Broad category only (e.g., "typical hearing," "hard of hearing") — never a diagnosis or audiogram</w:t>
            </w:r>
          </w:p>
        </w:tc>
      </w:tr>
      <w:tr>
        <w:tc>
          <w:tcPr>
            <w:tcW w:type="dxa" w:w="3060"/>
          </w:tcPr>
          <w:p>
            <w:r>
              <w:rPr>
                <w:rFonts w:ascii="Times New Roman" w:cs="Times New Roman" w:eastAsia="Times New Roman" w:hAnsi="Times New Roman"/>
                <w:b w:val="false"/>
                <w:bCs w:val="false"/>
                <w:color w:val="000000"/>
                <w:sz w:val="18"/>
                <w:szCs w:val="18"/>
              </w:rPr>
              <w:t xml:space="preserve">Consent Confirmed</w:t>
            </w:r>
          </w:p>
        </w:tc>
        <w:tc>
          <w:tcPr>
            <w:tcW w:type="dxa" w:w="6300"/>
          </w:tcPr>
          <w:p>
            <w:r>
              <w:rPr>
                <w:rFonts w:ascii="Times New Roman" w:cs="Times New Roman" w:eastAsia="Times New Roman" w:hAnsi="Times New Roman"/>
                <w:b w:val="false"/>
                <w:bCs w:val="false"/>
                <w:color w:val="000000"/>
                <w:sz w:val="18"/>
                <w:szCs w:val="18"/>
              </w:rPr>
              <w:t xml:space="preserve">Yes/No — recorded before any trial begins</w:t>
            </w:r>
          </w:p>
        </w:tc>
      </w:tr>
    </w:tbl>
    <w:p>
      <w:pPr>
        <w:spacing w:after="160"/>
        <w:jc w:val="both"/>
      </w:pPr>
      <w:r>
        <w:rPr>
          <w:rFonts w:ascii="Times New Roman" w:cs="Times New Roman" w:eastAsia="Times New Roman" w:hAnsi="Times New Roman"/>
          <w:i w:val="false"/>
          <w:iCs w:val="false"/>
          <w:sz w:val="22"/>
          <w:szCs w:val="22"/>
        </w:rPr>
        <w:t xml:space="preserve">Recommended sample size: begin with a small pilot cohort per language (e.g., 4–8 participants per language) to confirm the protocol runs smoothly, then expand as feasible. The example workbook accompanying this protocol currently contains placeholder/simulated entries for two participants per language purely to illustrate the intended data shape; those rows must be replaced with real, consented participants before any conclusions are drawn.</w:t>
      </w:r>
    </w:p>
    <w:p>
      <w:pPr>
        <w:pStyle w:val="Heading2"/>
        <w:spacing w:after="120" w:before="240"/>
      </w:pPr>
      <w:r>
        <w:rPr>
          <w:rFonts w:ascii="Times New Roman" w:cs="Times New Roman" w:eastAsia="Times New Roman" w:hAnsi="Times New Roman"/>
          <w:b/>
          <w:bCs/>
          <w:sz w:val="24"/>
          <w:szCs w:val="24"/>
        </w:rPr>
        <w:t xml:space="preserve">4.3 Materials</w:t>
      </w:r>
    </w:p>
    <w:p>
      <w:pPr>
        <w:spacing w:after="160"/>
        <w:jc w:val="both"/>
      </w:pPr>
      <w:r>
        <w:rPr>
          <w:rFonts w:ascii="Times New Roman" w:cs="Times New Roman" w:eastAsia="Times New Roman" w:hAnsi="Times New Roman"/>
          <w:sz w:val="22"/>
          <w:szCs w:val="22"/>
        </w:rPr>
        <w:t xml:space="preserve">All seven sentence pairs below are HEAR's own built-in screening and experience-simulation lines, not researcher-authored filler text, so the evaluation reflects content the live product already uses. Each pair has been developed independently in each language (not machine-translated from one to the other) so that language-specific error types, such as number and proper-noun handling or Korean particle/ending substitution, can be observed on natural phrasing rather than translation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00"/>
        <w:gridCol w:w="5500"/>
      </w:tblGrid>
      <w:tr>
        <w:trPr>
          <w:tblHeader/>
        </w:trPr>
        <w:tc>
          <w:tcPr>
            <w:tcW w:type="dxa" w:w="1560"/>
            <w:shd w:fill="1F3864" w:val="clear"/>
          </w:tcPr>
          <w:p>
            <w:r>
              <w:rPr>
                <w:rFonts w:ascii="Times New Roman" w:cs="Times New Roman" w:eastAsia="Times New Roman" w:hAnsi="Times New Roman"/>
                <w:b/>
                <w:bCs/>
                <w:color w:val="FFFFFF"/>
                <w:sz w:val="18"/>
                <w:szCs w:val="18"/>
              </w:rPr>
              <w:t xml:space="preserve">Sentence ID</w:t>
            </w:r>
          </w:p>
        </w:tc>
        <w:tc>
          <w:tcPr>
            <w:tcW w:type="dxa" w:w="2300"/>
            <w:shd w:fill="1F3864" w:val="clear"/>
          </w:tcPr>
          <w:p>
            <w:r>
              <w:rPr>
                <w:rFonts w:ascii="Times New Roman" w:cs="Times New Roman" w:eastAsia="Times New Roman" w:hAnsi="Times New Roman"/>
                <w:b/>
                <w:bCs/>
                <w:color w:val="FFFFFF"/>
                <w:sz w:val="18"/>
                <w:szCs w:val="18"/>
              </w:rPr>
              <w:t xml:space="preserve">Category</w:t>
            </w:r>
          </w:p>
        </w:tc>
        <w:tc>
          <w:tcPr>
            <w:tcW w:type="dxa" w:w="5500"/>
            <w:shd w:fill="1F3864" w:val="clear"/>
          </w:tcPr>
          <w:p>
            <w:r>
              <w:rPr>
                <w:rFonts w:ascii="Times New Roman" w:cs="Times New Roman" w:eastAsia="Times New Roman" w:hAnsi="Times New Roman"/>
                <w:b/>
                <w:bCs/>
                <w:color w:val="FFFFFF"/>
                <w:sz w:val="18"/>
                <w:szCs w:val="18"/>
              </w:rPr>
              <w:t xml:space="preserve">Ground Truth (English / Korean)</w:t>
            </w:r>
          </w:p>
        </w:tc>
      </w:tr>
      <w:tr>
        <w:tc>
          <w:tcPr>
            <w:tcW w:type="dxa" w:w="1560"/>
          </w:tcPr>
          <w:p>
            <w:r>
              <w:rPr>
                <w:rFonts w:ascii="Times New Roman" w:cs="Times New Roman" w:eastAsia="Times New Roman" w:hAnsi="Times New Roman"/>
                <w:b w:val="false"/>
                <w:bCs w:val="false"/>
                <w:color w:val="000000"/>
                <w:sz w:val="18"/>
                <w:szCs w:val="18"/>
              </w:rPr>
              <w:t xml:space="preserve">E-S01 / K-S01</w:t>
            </w:r>
          </w:p>
        </w:tc>
        <w:tc>
          <w:tcPr>
            <w:tcW w:type="dxa" w:w="2300"/>
          </w:tcPr>
          <w:p>
            <w:r>
              <w:rPr>
                <w:rFonts w:ascii="Times New Roman" w:cs="Times New Roman" w:eastAsia="Times New Roman" w:hAnsi="Times New Roman"/>
                <w:b w:val="false"/>
                <w:bCs w:val="false"/>
                <w:color w:val="000000"/>
                <w:sz w:val="18"/>
                <w:szCs w:val="18"/>
              </w:rPr>
              <w:t xml:space="preserve">Screening – Quiet</w:t>
            </w:r>
          </w:p>
        </w:tc>
        <w:tc>
          <w:tcPr>
            <w:tcW w:type="dxa" w:w="5500"/>
          </w:tcPr>
          <w:p>
            <w:r>
              <w:rPr>
                <w:rFonts w:ascii="Times New Roman" w:cs="Times New Roman" w:eastAsia="Times New Roman" w:hAnsi="Times New Roman"/>
                <w:b w:val="false"/>
                <w:bCs w:val="false"/>
                <w:color w:val="000000"/>
                <w:sz w:val="18"/>
                <w:szCs w:val="18"/>
              </w:rPr>
              <w:t xml:space="preserve">The meeting begins at three. / 회의는 세 시에 시작합니다.</w:t>
            </w:r>
          </w:p>
        </w:tc>
      </w:tr>
      <w:tr>
        <w:tc>
          <w:tcPr>
            <w:tcW w:type="dxa" w:w="1560"/>
          </w:tcPr>
          <w:p>
            <w:r>
              <w:rPr>
                <w:rFonts w:ascii="Times New Roman" w:cs="Times New Roman" w:eastAsia="Times New Roman" w:hAnsi="Times New Roman"/>
                <w:b w:val="false"/>
                <w:bCs w:val="false"/>
                <w:color w:val="000000"/>
                <w:sz w:val="18"/>
                <w:szCs w:val="18"/>
              </w:rPr>
              <w:t xml:space="preserve">E-S02 / K-S02</w:t>
            </w:r>
          </w:p>
        </w:tc>
        <w:tc>
          <w:tcPr>
            <w:tcW w:type="dxa" w:w="2300"/>
          </w:tcPr>
          <w:p>
            <w:r>
              <w:rPr>
                <w:rFonts w:ascii="Times New Roman" w:cs="Times New Roman" w:eastAsia="Times New Roman" w:hAnsi="Times New Roman"/>
                <w:b w:val="false"/>
                <w:bCs w:val="false"/>
                <w:color w:val="000000"/>
                <w:sz w:val="18"/>
                <w:szCs w:val="18"/>
              </w:rPr>
              <w:t xml:space="preserve">Screening – Quiet</w:t>
            </w:r>
          </w:p>
        </w:tc>
        <w:tc>
          <w:tcPr>
            <w:tcW w:type="dxa" w:w="5500"/>
          </w:tcPr>
          <w:p>
            <w:r>
              <w:rPr>
                <w:rFonts w:ascii="Times New Roman" w:cs="Times New Roman" w:eastAsia="Times New Roman" w:hAnsi="Times New Roman"/>
                <w:b w:val="false"/>
                <w:bCs w:val="false"/>
                <w:color w:val="000000"/>
                <w:sz w:val="18"/>
                <w:szCs w:val="18"/>
              </w:rPr>
              <w:t xml:space="preserve">Please close the door behind you. / 나가실 때 문을 닫아 주세요.</w:t>
            </w:r>
          </w:p>
        </w:tc>
      </w:tr>
      <w:tr>
        <w:tc>
          <w:tcPr>
            <w:tcW w:type="dxa" w:w="1560"/>
          </w:tcPr>
          <w:p>
            <w:r>
              <w:rPr>
                <w:rFonts w:ascii="Times New Roman" w:cs="Times New Roman" w:eastAsia="Times New Roman" w:hAnsi="Times New Roman"/>
                <w:b w:val="false"/>
                <w:bCs w:val="false"/>
                <w:color w:val="000000"/>
                <w:sz w:val="18"/>
                <w:szCs w:val="18"/>
              </w:rPr>
              <w:t xml:space="preserve">E-S03 / K-S03</w:t>
            </w:r>
          </w:p>
        </w:tc>
        <w:tc>
          <w:tcPr>
            <w:tcW w:type="dxa" w:w="2300"/>
          </w:tcPr>
          <w:p>
            <w:r>
              <w:rPr>
                <w:rFonts w:ascii="Times New Roman" w:cs="Times New Roman" w:eastAsia="Times New Roman" w:hAnsi="Times New Roman"/>
                <w:b w:val="false"/>
                <w:bCs w:val="false"/>
                <w:color w:val="000000"/>
                <w:sz w:val="18"/>
                <w:szCs w:val="18"/>
              </w:rPr>
              <w:t xml:space="preserve">Screening – Background Noise</w:t>
            </w:r>
          </w:p>
        </w:tc>
        <w:tc>
          <w:tcPr>
            <w:tcW w:type="dxa" w:w="5500"/>
          </w:tcPr>
          <w:p>
            <w:r>
              <w:rPr>
                <w:rFonts w:ascii="Times New Roman" w:cs="Times New Roman" w:eastAsia="Times New Roman" w:hAnsi="Times New Roman"/>
                <w:b w:val="false"/>
                <w:bCs w:val="false"/>
                <w:color w:val="000000"/>
                <w:sz w:val="18"/>
                <w:szCs w:val="18"/>
              </w:rPr>
              <w:t xml:space="preserve">Turn left at the next light. / 다음 신호등에서 좌회전하세요.</w:t>
            </w:r>
          </w:p>
        </w:tc>
      </w:tr>
      <w:tr>
        <w:tc>
          <w:tcPr>
            <w:tcW w:type="dxa" w:w="1560"/>
          </w:tcPr>
          <w:p>
            <w:r>
              <w:rPr>
                <w:rFonts w:ascii="Times New Roman" w:cs="Times New Roman" w:eastAsia="Times New Roman" w:hAnsi="Times New Roman"/>
                <w:b w:val="false"/>
                <w:bCs w:val="false"/>
                <w:color w:val="000000"/>
                <w:sz w:val="18"/>
                <w:szCs w:val="18"/>
              </w:rPr>
              <w:t xml:space="preserve">E-S04 / K-S04</w:t>
            </w:r>
          </w:p>
        </w:tc>
        <w:tc>
          <w:tcPr>
            <w:tcW w:type="dxa" w:w="2300"/>
          </w:tcPr>
          <w:p>
            <w:r>
              <w:rPr>
                <w:rFonts w:ascii="Times New Roman" w:cs="Times New Roman" w:eastAsia="Times New Roman" w:hAnsi="Times New Roman"/>
                <w:b w:val="false"/>
                <w:bCs w:val="false"/>
                <w:color w:val="000000"/>
                <w:sz w:val="18"/>
                <w:szCs w:val="18"/>
              </w:rPr>
              <w:t xml:space="preserve">Screening – Background Noise</w:t>
            </w:r>
          </w:p>
        </w:tc>
        <w:tc>
          <w:tcPr>
            <w:tcW w:type="dxa" w:w="5500"/>
          </w:tcPr>
          <w:p>
            <w:r>
              <w:rPr>
                <w:rFonts w:ascii="Times New Roman" w:cs="Times New Roman" w:eastAsia="Times New Roman" w:hAnsi="Times New Roman"/>
                <w:b w:val="false"/>
                <w:bCs w:val="false"/>
                <w:color w:val="000000"/>
                <w:sz w:val="18"/>
                <w:szCs w:val="18"/>
              </w:rPr>
              <w:t xml:space="preserve">The package arrived this morning. / 소포가 오늘 아침에 도착했습니다.</w:t>
            </w:r>
          </w:p>
        </w:tc>
      </w:tr>
      <w:tr>
        <w:tc>
          <w:tcPr>
            <w:tcW w:type="dxa" w:w="1560"/>
          </w:tcPr>
          <w:p>
            <w:r>
              <w:rPr>
                <w:rFonts w:ascii="Times New Roman" w:cs="Times New Roman" w:eastAsia="Times New Roman" w:hAnsi="Times New Roman"/>
                <w:b w:val="false"/>
                <w:bCs w:val="false"/>
                <w:color w:val="000000"/>
                <w:sz w:val="18"/>
                <w:szCs w:val="18"/>
              </w:rPr>
              <w:t xml:space="preserve">E-S05 / K-S05</w:t>
            </w:r>
          </w:p>
        </w:tc>
        <w:tc>
          <w:tcPr>
            <w:tcW w:type="dxa" w:w="2300"/>
          </w:tcPr>
          <w:p>
            <w:r>
              <w:rPr>
                <w:rFonts w:ascii="Times New Roman" w:cs="Times New Roman" w:eastAsia="Times New Roman" w:hAnsi="Times New Roman"/>
                <w:b w:val="false"/>
                <w:bCs w:val="false"/>
                <w:color w:val="000000"/>
                <w:sz w:val="18"/>
                <w:szCs w:val="18"/>
              </w:rPr>
              <w:t xml:space="preserve">Experience – Classroom</w:t>
            </w:r>
          </w:p>
        </w:tc>
        <w:tc>
          <w:tcPr>
            <w:tcW w:type="dxa" w:w="5500"/>
          </w:tcPr>
          <w:p>
            <w:r>
              <w:rPr>
                <w:rFonts w:ascii="Times New Roman" w:cs="Times New Roman" w:eastAsia="Times New Roman" w:hAnsi="Times New Roman"/>
                <w:b w:val="false"/>
                <w:bCs w:val="false"/>
                <w:color w:val="000000"/>
                <w:sz w:val="18"/>
                <w:szCs w:val="18"/>
              </w:rPr>
              <w:t xml:space="preserve">Today we are going to discuss the nervous system and how signals travel through the body. / 오늘은 신경계와 신호가 몸속을 이동하는 방식에 대해 이야기해 볼게요.</w:t>
            </w:r>
          </w:p>
        </w:tc>
      </w:tr>
      <w:tr>
        <w:tc>
          <w:tcPr>
            <w:tcW w:type="dxa" w:w="1560"/>
          </w:tcPr>
          <w:p>
            <w:r>
              <w:rPr>
                <w:rFonts w:ascii="Times New Roman" w:cs="Times New Roman" w:eastAsia="Times New Roman" w:hAnsi="Times New Roman"/>
                <w:b w:val="false"/>
                <w:bCs w:val="false"/>
                <w:color w:val="000000"/>
                <w:sz w:val="18"/>
                <w:szCs w:val="18"/>
              </w:rPr>
              <w:t xml:space="preserve">E-S06 / K-S06</w:t>
            </w:r>
          </w:p>
        </w:tc>
        <w:tc>
          <w:tcPr>
            <w:tcW w:type="dxa" w:w="2300"/>
          </w:tcPr>
          <w:p>
            <w:r>
              <w:rPr>
                <w:rFonts w:ascii="Times New Roman" w:cs="Times New Roman" w:eastAsia="Times New Roman" w:hAnsi="Times New Roman"/>
                <w:b w:val="false"/>
                <w:bCs w:val="false"/>
                <w:color w:val="000000"/>
                <w:sz w:val="18"/>
                <w:szCs w:val="18"/>
              </w:rPr>
              <w:t xml:space="preserve">Experience – Restaurant</w:t>
            </w:r>
          </w:p>
        </w:tc>
        <w:tc>
          <w:tcPr>
            <w:tcW w:type="dxa" w:w="5500"/>
          </w:tcPr>
          <w:p>
            <w:r>
              <w:rPr>
                <w:rFonts w:ascii="Times New Roman" w:cs="Times New Roman" w:eastAsia="Times New Roman" w:hAnsi="Times New Roman"/>
                <w:b w:val="false"/>
                <w:bCs w:val="false"/>
                <w:color w:val="000000"/>
                <w:sz w:val="18"/>
                <w:szCs w:val="18"/>
              </w:rPr>
              <w:t xml:space="preserve">Could you pass the menu, I think I want the soup and a salad tonight. / 메뉴판 좀 건네줄래요? 오늘은 수프랑 샐러드를 먹고 싶어요.</w:t>
            </w:r>
          </w:p>
        </w:tc>
      </w:tr>
      <w:tr>
        <w:tc>
          <w:tcPr>
            <w:tcW w:type="dxa" w:w="1560"/>
          </w:tcPr>
          <w:p>
            <w:r>
              <w:rPr>
                <w:rFonts w:ascii="Times New Roman" w:cs="Times New Roman" w:eastAsia="Times New Roman" w:hAnsi="Times New Roman"/>
                <w:b w:val="false"/>
                <w:bCs w:val="false"/>
                <w:color w:val="000000"/>
                <w:sz w:val="18"/>
                <w:szCs w:val="18"/>
              </w:rPr>
              <w:t xml:space="preserve">E-S07 / K-S07</w:t>
            </w:r>
          </w:p>
        </w:tc>
        <w:tc>
          <w:tcPr>
            <w:tcW w:type="dxa" w:w="2300"/>
          </w:tcPr>
          <w:p>
            <w:r>
              <w:rPr>
                <w:rFonts w:ascii="Times New Roman" w:cs="Times New Roman" w:eastAsia="Times New Roman" w:hAnsi="Times New Roman"/>
                <w:b w:val="false"/>
                <w:bCs w:val="false"/>
                <w:color w:val="000000"/>
                <w:sz w:val="18"/>
                <w:szCs w:val="18"/>
              </w:rPr>
              <w:t xml:space="preserve">Experience – Group conversation</w:t>
            </w:r>
          </w:p>
        </w:tc>
        <w:tc>
          <w:tcPr>
            <w:tcW w:type="dxa" w:w="5500"/>
          </w:tcPr>
          <w:p>
            <w:r>
              <w:rPr>
                <w:rFonts w:ascii="Times New Roman" w:cs="Times New Roman" w:eastAsia="Times New Roman" w:hAnsi="Times New Roman"/>
                <w:b w:val="false"/>
                <w:bCs w:val="false"/>
                <w:color w:val="000000"/>
                <w:sz w:val="18"/>
                <w:szCs w:val="18"/>
              </w:rPr>
              <w:t xml:space="preserve">Wait, so are we meeting Friday or Saturday, and who is bringing the food? / 잠깐, 그럼 금요일에 만나는 거예요 토요일에 만나는 거예요? 그리고 음식은 누가 가져와요?</w:t>
            </w:r>
          </w:p>
        </w:tc>
      </w:tr>
    </w:tbl>
    <w:p>
      <w:pPr>
        <w:spacing w:after="160"/>
        <w:jc w:val="both"/>
      </w:pPr>
      <w:r>
        <w:rPr>
          <w:rFonts w:ascii="Times New Roman" w:cs="Times New Roman" w:eastAsia="Times New Roman" w:hAnsi="Times New Roman"/>
          <w:sz w:val="22"/>
          <w:szCs w:val="22"/>
        </w:rPr>
        <w:t xml:space="preserve"/>
      </w:r>
    </w:p>
    <w:p>
      <w:pPr>
        <w:spacing w:after="160"/>
        <w:jc w:val="both"/>
      </w:pPr>
      <w:r>
        <w:rPr>
          <w:rFonts w:ascii="Times New Roman" w:cs="Times New Roman" w:eastAsia="Times New Roman" w:hAnsi="Times New Roman"/>
          <w:sz w:val="22"/>
          <w:szCs w:val="22"/>
        </w:rPr>
        <w:t xml:space="preserve">Four noise conditions are applied identically to every sentence and every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900"/>
        <w:gridCol w:w="6100"/>
      </w:tblGrid>
      <w:tr>
        <w:trPr>
          <w:tblHeader/>
        </w:trPr>
        <w:tc>
          <w:tcPr>
            <w:tcW w:type="dxa" w:w="1360"/>
            <w:shd w:fill="1F3864" w:val="clear"/>
          </w:tcPr>
          <w:p>
            <w:r>
              <w:rPr>
                <w:rFonts w:ascii="Times New Roman" w:cs="Times New Roman" w:eastAsia="Times New Roman" w:hAnsi="Times New Roman"/>
                <w:b/>
                <w:bCs/>
                <w:color w:val="FFFFFF"/>
                <w:sz w:val="18"/>
                <w:szCs w:val="18"/>
              </w:rPr>
              <w:t xml:space="preserve">Code</w:t>
            </w:r>
          </w:p>
        </w:tc>
        <w:tc>
          <w:tcPr>
            <w:tcW w:type="dxa" w:w="1900"/>
            <w:shd w:fill="1F3864" w:val="clear"/>
          </w:tcPr>
          <w:p>
            <w:r>
              <w:rPr>
                <w:rFonts w:ascii="Times New Roman" w:cs="Times New Roman" w:eastAsia="Times New Roman" w:hAnsi="Times New Roman"/>
                <w:b/>
                <w:bCs/>
                <w:color w:val="FFFFFF"/>
                <w:sz w:val="18"/>
                <w:szCs w:val="18"/>
              </w:rPr>
              <w:t xml:space="preserve">Condition</w:t>
            </w:r>
          </w:p>
        </w:tc>
        <w:tc>
          <w:tcPr>
            <w:tcW w:type="dxa" w:w="6100"/>
            <w:shd w:fill="1F3864" w:val="clear"/>
          </w:tcPr>
          <w:p>
            <w:r>
              <w:rPr>
                <w:rFonts w:ascii="Times New Roman" w:cs="Times New Roman" w:eastAsia="Times New Roman" w:hAnsi="Times New Roman"/>
                <w:b/>
                <w:bCs/>
                <w:color w:val="FFFFFF"/>
                <w:sz w:val="18"/>
                <w:szCs w:val="18"/>
              </w:rPr>
              <w:t xml:space="preserve">Description</w:t>
            </w:r>
          </w:p>
        </w:tc>
      </w:tr>
      <w:tr>
        <w:tc>
          <w:tcPr>
            <w:tcW w:type="dxa" w:w="1360"/>
          </w:tcPr>
          <w:p>
            <w:r>
              <w:rPr>
                <w:rFonts w:ascii="Times New Roman" w:cs="Times New Roman" w:eastAsia="Times New Roman" w:hAnsi="Times New Roman"/>
                <w:b w:val="false"/>
                <w:bCs w:val="false"/>
                <w:color w:val="000000"/>
                <w:sz w:val="18"/>
                <w:szCs w:val="18"/>
              </w:rPr>
              <w:t xml:space="preserve">C0</w:t>
            </w:r>
          </w:p>
        </w:tc>
        <w:tc>
          <w:tcPr>
            <w:tcW w:type="dxa" w:w="1900"/>
          </w:tcPr>
          <w:p>
            <w:r>
              <w:rPr>
                <w:rFonts w:ascii="Times New Roman" w:cs="Times New Roman" w:eastAsia="Times New Roman" w:hAnsi="Times New Roman"/>
                <w:b w:val="false"/>
                <w:bCs w:val="false"/>
                <w:color w:val="000000"/>
                <w:sz w:val="18"/>
                <w:szCs w:val="18"/>
              </w:rPr>
              <w:t xml:space="preserve">Clean</w:t>
            </w:r>
          </w:p>
        </w:tc>
        <w:tc>
          <w:tcPr>
            <w:tcW w:type="dxa" w:w="6100"/>
          </w:tcPr>
          <w:p>
            <w:r>
              <w:rPr>
                <w:rFonts w:ascii="Times New Roman" w:cs="Times New Roman" w:eastAsia="Times New Roman" w:hAnsi="Times New Roman"/>
                <w:b w:val="false"/>
                <w:bCs w:val="false"/>
                <w:color w:val="000000"/>
                <w:sz w:val="18"/>
                <w:szCs w:val="18"/>
              </w:rPr>
              <w:t xml:space="preserve">No added background noise</w:t>
            </w:r>
          </w:p>
        </w:tc>
      </w:tr>
      <w:tr>
        <w:tc>
          <w:tcPr>
            <w:tcW w:type="dxa" w:w="1360"/>
          </w:tcPr>
          <w:p>
            <w:r>
              <w:rPr>
                <w:rFonts w:ascii="Times New Roman" w:cs="Times New Roman" w:eastAsia="Times New Roman" w:hAnsi="Times New Roman"/>
                <w:b w:val="false"/>
                <w:bCs w:val="false"/>
                <w:color w:val="000000"/>
                <w:sz w:val="18"/>
                <w:szCs w:val="18"/>
              </w:rPr>
              <w:t xml:space="preserve">C1</w:t>
            </w:r>
          </w:p>
        </w:tc>
        <w:tc>
          <w:tcPr>
            <w:tcW w:type="dxa" w:w="1900"/>
          </w:tcPr>
          <w:p>
            <w:r>
              <w:rPr>
                <w:rFonts w:ascii="Times New Roman" w:cs="Times New Roman" w:eastAsia="Times New Roman" w:hAnsi="Times New Roman"/>
                <w:b w:val="false"/>
                <w:bCs w:val="false"/>
                <w:color w:val="000000"/>
                <w:sz w:val="18"/>
                <w:szCs w:val="18"/>
              </w:rPr>
              <w:t xml:space="preserve">Low</w:t>
            </w:r>
          </w:p>
        </w:tc>
        <w:tc>
          <w:tcPr>
            <w:tcW w:type="dxa" w:w="6100"/>
          </w:tcPr>
          <w:p>
            <w:r>
              <w:rPr>
                <w:rFonts w:ascii="Times New Roman" w:cs="Times New Roman" w:eastAsia="Times New Roman" w:hAnsi="Times New Roman"/>
                <w:b w:val="false"/>
                <w:bCs w:val="false"/>
                <w:color w:val="000000"/>
                <w:sz w:val="18"/>
                <w:szCs w:val="18"/>
              </w:rPr>
              <w:t xml:space="preserve">Low background noise</w:t>
            </w:r>
          </w:p>
        </w:tc>
      </w:tr>
      <w:tr>
        <w:tc>
          <w:tcPr>
            <w:tcW w:type="dxa" w:w="1360"/>
          </w:tcPr>
          <w:p>
            <w:r>
              <w:rPr>
                <w:rFonts w:ascii="Times New Roman" w:cs="Times New Roman" w:eastAsia="Times New Roman" w:hAnsi="Times New Roman"/>
                <w:b w:val="false"/>
                <w:bCs w:val="false"/>
                <w:color w:val="000000"/>
                <w:sz w:val="18"/>
                <w:szCs w:val="18"/>
              </w:rPr>
              <w:t xml:space="preserve">C2</w:t>
            </w:r>
          </w:p>
        </w:tc>
        <w:tc>
          <w:tcPr>
            <w:tcW w:type="dxa" w:w="1900"/>
          </w:tcPr>
          <w:p>
            <w:r>
              <w:rPr>
                <w:rFonts w:ascii="Times New Roman" w:cs="Times New Roman" w:eastAsia="Times New Roman" w:hAnsi="Times New Roman"/>
                <w:b w:val="false"/>
                <w:bCs w:val="false"/>
                <w:color w:val="000000"/>
                <w:sz w:val="18"/>
                <w:szCs w:val="18"/>
              </w:rPr>
              <w:t xml:space="preserve">Moderate</w:t>
            </w:r>
          </w:p>
        </w:tc>
        <w:tc>
          <w:tcPr>
            <w:tcW w:type="dxa" w:w="6100"/>
          </w:tcPr>
          <w:p>
            <w:r>
              <w:rPr>
                <w:rFonts w:ascii="Times New Roman" w:cs="Times New Roman" w:eastAsia="Times New Roman" w:hAnsi="Times New Roman"/>
                <w:b w:val="false"/>
                <w:bCs w:val="false"/>
                <w:color w:val="000000"/>
                <w:sz w:val="18"/>
                <w:szCs w:val="18"/>
              </w:rPr>
              <w:t xml:space="preserve">Moderate background noise</w:t>
            </w:r>
          </w:p>
        </w:tc>
      </w:tr>
      <w:tr>
        <w:tc>
          <w:tcPr>
            <w:tcW w:type="dxa" w:w="1360"/>
          </w:tcPr>
          <w:p>
            <w:r>
              <w:rPr>
                <w:rFonts w:ascii="Times New Roman" w:cs="Times New Roman" w:eastAsia="Times New Roman" w:hAnsi="Times New Roman"/>
                <w:b w:val="false"/>
                <w:bCs w:val="false"/>
                <w:color w:val="000000"/>
                <w:sz w:val="18"/>
                <w:szCs w:val="18"/>
              </w:rPr>
              <w:t xml:space="preserve">C3</w:t>
            </w:r>
          </w:p>
        </w:tc>
        <w:tc>
          <w:tcPr>
            <w:tcW w:type="dxa" w:w="1900"/>
          </w:tcPr>
          <w:p>
            <w:r>
              <w:rPr>
                <w:rFonts w:ascii="Times New Roman" w:cs="Times New Roman" w:eastAsia="Times New Roman" w:hAnsi="Times New Roman"/>
                <w:b w:val="false"/>
                <w:bCs w:val="false"/>
                <w:color w:val="000000"/>
                <w:sz w:val="18"/>
                <w:szCs w:val="18"/>
              </w:rPr>
              <w:t xml:space="preserve">High</w:t>
            </w:r>
          </w:p>
        </w:tc>
        <w:tc>
          <w:tcPr>
            <w:tcW w:type="dxa" w:w="6100"/>
          </w:tcPr>
          <w:p>
            <w:r>
              <w:rPr>
                <w:rFonts w:ascii="Times New Roman" w:cs="Times New Roman" w:eastAsia="Times New Roman" w:hAnsi="Times New Roman"/>
                <w:b w:val="false"/>
                <w:bCs w:val="false"/>
                <w:color w:val="000000"/>
                <w:sz w:val="18"/>
                <w:szCs w:val="18"/>
              </w:rPr>
              <w:t xml:space="preserve">High background noise</w:t>
            </w:r>
          </w:p>
        </w:tc>
      </w:tr>
    </w:tbl>
    <w:p>
      <w:pPr>
        <w:spacing w:after="160"/>
        <w:jc w:val="both"/>
      </w:pPr>
      <w:r>
        <w:rPr>
          <w:rFonts w:ascii="Times New Roman" w:cs="Times New Roman" w:eastAsia="Times New Roman" w:hAnsi="Times New Roman"/>
          <w:sz w:val="22"/>
          <w:szCs w:val="22"/>
        </w:rPr>
        <w:t xml:space="preserve">The exact noise source, playback level (dB), device, microphone, and speaker distance must be fixed in advance and held constant across all participants within a language cohort; these values should be recorded once in the methods section of the final paper rather than per trial, since they are intended to be constants of the protocol, not variables.</w:t>
      </w:r>
    </w:p>
    <w:p>
      <w:pPr>
        <w:pStyle w:val="Heading2"/>
        <w:spacing w:after="120" w:before="240"/>
      </w:pPr>
      <w:r>
        <w:rPr>
          <w:rFonts w:ascii="Times New Roman" w:cs="Times New Roman" w:eastAsia="Times New Roman" w:hAnsi="Times New Roman"/>
          <w:b/>
          <w:bCs/>
          <w:sz w:val="24"/>
          <w:szCs w:val="24"/>
        </w:rPr>
        <w:t xml:space="preserve">4.4 Procedure</w:t>
      </w:r>
    </w:p>
    <w:p>
      <w:pPr>
        <w:spacing w:after="160"/>
        <w:jc w:val="both"/>
      </w:pPr>
      <w:r>
        <w:rPr>
          <w:rFonts w:ascii="Times New Roman" w:cs="Times New Roman" w:eastAsia="Times New Roman" w:hAnsi="Times New Roman"/>
          <w:sz w:val="22"/>
          <w:szCs w:val="22"/>
        </w:rPr>
        <w:t xml:space="preserve">1) Obtain consent and record the participant's minimal demographic fields. 2) Seat the participant at the fixed device/microphone setup. 3) Present each of the seven sentences under each of the four noise conditions, in a randomized or counterbalanced order to reduce order effects, reading each sentence exactly as displayed. 4) Record the exact HEAR caption output and the elapsed latency for every trial. 5) After all trials, allow the participant to take a short break and confirm no technical issues occurred. 6) Immediately log the ground truth, caption output, and timing into the Raw Results sheet before moving to the next participant, so that transcription is not reconstructed from memory later.</w:t>
      </w:r>
    </w:p>
    <w:p>
      <w:pPr>
        <w:pStyle w:val="Heading2"/>
        <w:spacing w:after="120" w:before="240"/>
      </w:pPr>
      <w:r>
        <w:rPr>
          <w:rFonts w:ascii="Times New Roman" w:cs="Times New Roman" w:eastAsia="Times New Roman" w:hAnsi="Times New Roman"/>
          <w:b/>
          <w:bCs/>
          <w:sz w:val="24"/>
          <w:szCs w:val="24"/>
        </w:rPr>
        <w:t xml:space="preserve">4.5 Metrics</w:t>
      </w:r>
    </w:p>
    <w:p>
      <w:pPr>
        <w:spacing w:after="160"/>
        <w:jc w:val="both"/>
      </w:pPr>
      <w:r>
        <w:rPr>
          <w:rFonts w:ascii="Times New Roman" w:cs="Times New Roman" w:eastAsia="Times New Roman" w:hAnsi="Times New Roman"/>
          <w:sz w:val="22"/>
          <w:szCs w:val="22"/>
        </w:rPr>
        <w:t xml:space="preserve">Word Error Rate is computed per trial as:</w:t>
      </w:r>
    </w:p>
    <w:p>
      <w:pPr>
        <w:spacing w:after="160"/>
        <w:jc w:val="center"/>
      </w:pPr>
      <w:r>
        <w:rPr>
          <w:rFonts w:ascii="Times New Roman" w:cs="Times New Roman" w:eastAsia="Times New Roman" w:hAnsi="Times New Roman"/>
          <w:b/>
          <w:bCs/>
          <w:sz w:val="22"/>
          <w:szCs w:val="22"/>
        </w:rPr>
        <w:t xml:space="preserve">WER = (S + D + I) / N</w:t>
      </w:r>
    </w:p>
    <w:p>
      <w:pPr>
        <w:spacing w:after="160"/>
        <w:jc w:val="both"/>
      </w:pPr>
      <w:r>
        <w:rPr>
          <w:rFonts w:ascii="Times New Roman" w:cs="Times New Roman" w:eastAsia="Times New Roman" w:hAnsi="Times New Roman"/>
          <w:sz w:val="22"/>
          <w:szCs w:val="22"/>
        </w:rPr>
        <w:t xml:space="preserve">where S = substitutions, D = deletions, I = insertions (relative to the ground-truth sentence), and N = the number of tokens in the ground-truth sentence. For English, tokens are whitespace-separated words. Korean does not segment into words by whitespace the way English does, so a tokenization rule must be fixed before any WER is computed and applied identically across every Korean trial; this protocol recommends deciding between (a) whitespace-separated eojeol (spacing units) or (b) morpheme-level tokenization using a Korean tokenizer, and documenting whichever is chosen in the final paper's methods section, since the two will not produce numerically comparable WER values.</w:t>
      </w:r>
    </w:p>
    <w:p>
      <w:pPr>
        <w:spacing w:after="160"/>
        <w:jc w:val="both"/>
      </w:pPr>
      <w:r>
        <w:rPr>
          <w:rFonts w:ascii="Times New Roman" w:cs="Times New Roman" w:eastAsia="Times New Roman" w:hAnsi="Times New Roman"/>
          <w:sz w:val="22"/>
          <w:szCs w:val="22"/>
        </w:rPr>
        <w:t xml:space="preserve">Latency is defined as the time from the end of the spoken sentence to the final (non-interim) displayed caption, measured in milliseconds, using the same operational definition and measurement method for every trial and every participant.</w:t>
      </w:r>
    </w:p>
    <w:p>
      <w:pPr>
        <w:spacing w:after="160"/>
        <w:jc w:val="both"/>
      </w:pPr>
      <w:r>
        <w:rPr>
          <w:rFonts w:ascii="Times New Roman" w:cs="Times New Roman" w:eastAsia="Times New Roman" w:hAnsi="Times New Roman"/>
          <w:sz w:val="22"/>
          <w:szCs w:val="22"/>
        </w:rPr>
        <w:t xml:space="preserve">Each discrepancy between ground truth and caption output is additionally classified into an error type: substitution, deletion, insertion, and, where relevant, language-specific subtypes such as number errors, proper-noun errors, and — for Korean — particle, verb-ending, or spacing errors. Each classified error is logged as its own row (trial ID, error type, ground-truth segment, caption segment), so that error-type distributions can be computed independently of the aggregate WER.</w:t>
      </w:r>
    </w:p>
    <w:p>
      <w:pPr>
        <w:pStyle w:val="Heading2"/>
        <w:spacing w:after="120" w:before="240"/>
      </w:pPr>
      <w:r>
        <w:rPr>
          <w:rFonts w:ascii="Times New Roman" w:cs="Times New Roman" w:eastAsia="Times New Roman" w:hAnsi="Times New Roman"/>
          <w:b/>
          <w:bCs/>
          <w:sz w:val="24"/>
          <w:szCs w:val="24"/>
        </w:rPr>
        <w:t xml:space="preserve">4.6 Ethical Considerations</w:t>
      </w:r>
    </w:p>
    <w:p>
      <w:pPr>
        <w:spacing w:after="160"/>
        <w:jc w:val="both"/>
      </w:pPr>
      <w:r>
        <w:rPr>
          <w:rFonts w:ascii="Times New Roman" w:cs="Times New Roman" w:eastAsia="Times New Roman" w:hAnsi="Times New Roman"/>
          <w:sz w:val="22"/>
          <w:szCs w:val="22"/>
        </w:rPr>
        <w:t xml:space="preserve">Only the minimal information needed for the analysis is collected; no names, contact details, or medical records are gathered, and hearing status is self-reported in broad terms only. Appropriate institutional consent procedures (e.g., school or supervising-teacher approval, and/or IRB review where applicable) should be obtained before recruiting or recording any participant, particularly because audio and self-reported hearing status are being collected. Participants should be informed of the study's purpose, that participation is voluntary, and that they may withdraw at any time without penalty.</w:t>
      </w:r>
    </w:p>
    <w:p>
      <w:pPr>
        <w:pStyle w:val="Heading1"/>
        <w:spacing w:after="160" w:before="320"/>
      </w:pPr>
      <w:r>
        <w:rPr>
          <w:rFonts w:ascii="Times New Roman" w:cs="Times New Roman" w:eastAsia="Times New Roman" w:hAnsi="Times New Roman"/>
          <w:b/>
          <w:bCs/>
          <w:sz w:val="26"/>
          <w:szCs w:val="26"/>
        </w:rPr>
        <w:t xml:space="preserve">5. Planned Analysis</w:t>
      </w:r>
    </w:p>
    <w:p>
      <w:pPr>
        <w:spacing w:after="160"/>
        <w:jc w:val="both"/>
      </w:pPr>
      <w:r>
        <w:rPr>
          <w:rFonts w:ascii="Times New Roman" w:cs="Times New Roman" w:eastAsia="Times New Roman" w:hAnsi="Times New Roman"/>
          <w:sz w:val="22"/>
          <w:szCs w:val="22"/>
        </w:rPr>
        <w:t xml:space="preserve">Once real data have been collected, the following analyses are planned, in this order: (1) descriptive statistics (mean and median WER, mean latency) for each language × noise-condition cell; (2) a trend test (e.g., a repeated-measures ANOVA or a non-parametric equivalent such as the Friedman test, depending on how the real WER distribution behaves) for the effect of noise condition on WER and on latency within each language; (3) a language × noise-condition interaction test to evaluate RQ3; (4) a breakdown of error-type proportions (substitution vs. deletion vs. insertion, plus language-specific subtypes) by noise condition, to evaluate RQ4. Effect sizes and confidence intervals should be reported alongside p-values rather than p-values alone. All analysis code and the exact statistical test used should be reported in the final paper so the analysis is reproducible from the raw trial-level data.</w:t>
      </w:r>
    </w:p>
    <w:p>
      <w:pPr>
        <w:pStyle w:val="Heading1"/>
        <w:spacing w:after="160" w:before="320"/>
      </w:pPr>
      <w:r>
        <w:rPr>
          <w:rFonts w:ascii="Times New Roman" w:cs="Times New Roman" w:eastAsia="Times New Roman" w:hAnsi="Times New Roman"/>
          <w:b/>
          <w:bCs/>
          <w:sz w:val="26"/>
          <w:szCs w:val="26"/>
        </w:rPr>
        <w:t xml:space="preserve">6. Results (Template — Pending Real Data Collection)</w:t>
      </w:r>
    </w:p>
    <w:p>
      <w:pPr>
        <w:shd w:fill="FFF3CD" w:val="clear"/>
        <w:spacing w:after="200"/>
      </w:pPr>
      <w:r>
        <w:rPr>
          <w:rFonts w:ascii="Times New Roman" w:cs="Times New Roman" w:eastAsia="Times New Roman" w:hAnsi="Times New Roman"/>
          <w:i/>
          <w:iCs/>
          <w:color w:val="7A5B00"/>
          <w:sz w:val="20"/>
          <w:szCs w:val="20"/>
        </w:rPr>
        <w:t xml:space="preserve">Everything in this section is a reporting template only. No values have been entered. Do not fill this table with simulated, estimated, or AI-generated numbers for submission — every cell must come from an actual recorded trial with a real, consented participant. Delete this note once the table is populated with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000"/>
        <w:gridCol w:w="1050"/>
        <w:gridCol w:w="1050"/>
        <w:gridCol w:w="1350"/>
        <w:gridCol w:w="2210"/>
      </w:tblGrid>
      <w:tr>
        <w:trPr>
          <w:tblHeader/>
        </w:trPr>
        <w:tc>
          <w:tcPr>
            <w:tcW w:type="dxa" w:w="1300"/>
            <w:shd w:fill="1F3864" w:val="clear"/>
          </w:tcPr>
          <w:p>
            <w:r>
              <w:rPr>
                <w:rFonts w:ascii="Times New Roman" w:cs="Times New Roman" w:eastAsia="Times New Roman" w:hAnsi="Times New Roman"/>
                <w:b/>
                <w:bCs/>
                <w:color w:val="FFFFFF"/>
                <w:sz w:val="18"/>
                <w:szCs w:val="18"/>
              </w:rPr>
              <w:t xml:space="preserve">Language</w:t>
            </w:r>
          </w:p>
        </w:tc>
        <w:tc>
          <w:tcPr>
            <w:tcW w:type="dxa" w:w="1400"/>
            <w:shd w:fill="1F3864" w:val="clear"/>
          </w:tcPr>
          <w:p>
            <w:r>
              <w:rPr>
                <w:rFonts w:ascii="Times New Roman" w:cs="Times New Roman" w:eastAsia="Times New Roman" w:hAnsi="Times New Roman"/>
                <w:b/>
                <w:bCs/>
                <w:color w:val="FFFFFF"/>
                <w:sz w:val="18"/>
                <w:szCs w:val="18"/>
              </w:rPr>
              <w:t xml:space="preserve">Noise Condition</w:t>
            </w:r>
          </w:p>
        </w:tc>
        <w:tc>
          <w:tcPr>
            <w:tcW w:type="dxa" w:w="1000"/>
            <w:shd w:fill="1F3864" w:val="clear"/>
          </w:tcPr>
          <w:p>
            <w:r>
              <w:rPr>
                <w:rFonts w:ascii="Times New Roman" w:cs="Times New Roman" w:eastAsia="Times New Roman" w:hAnsi="Times New Roman"/>
                <w:b/>
                <w:bCs/>
                <w:color w:val="FFFFFF"/>
                <w:sz w:val="18"/>
                <w:szCs w:val="18"/>
              </w:rPr>
              <w:t xml:space="preserve">N Trials</w:t>
            </w:r>
          </w:p>
        </w:tc>
        <w:tc>
          <w:tcPr>
            <w:tcW w:type="dxa" w:w="1050"/>
            <w:shd w:fill="1F3864" w:val="clear"/>
          </w:tcPr>
          <w:p>
            <w:r>
              <w:rPr>
                <w:rFonts w:ascii="Times New Roman" w:cs="Times New Roman" w:eastAsia="Times New Roman" w:hAnsi="Times New Roman"/>
                <w:b/>
                <w:bCs/>
                <w:color w:val="FFFFFF"/>
                <w:sz w:val="18"/>
                <w:szCs w:val="18"/>
              </w:rPr>
              <w:t xml:space="preserve">Mean WER</w:t>
            </w:r>
          </w:p>
        </w:tc>
        <w:tc>
          <w:tcPr>
            <w:tcW w:type="dxa" w:w="1050"/>
            <w:shd w:fill="1F3864" w:val="clear"/>
          </w:tcPr>
          <w:p>
            <w:r>
              <w:rPr>
                <w:rFonts w:ascii="Times New Roman" w:cs="Times New Roman" w:eastAsia="Times New Roman" w:hAnsi="Times New Roman"/>
                <w:b/>
                <w:bCs/>
                <w:color w:val="FFFFFF"/>
                <w:sz w:val="18"/>
                <w:szCs w:val="18"/>
              </w:rPr>
              <w:t xml:space="preserve">Median WER</w:t>
            </w:r>
          </w:p>
        </w:tc>
        <w:tc>
          <w:tcPr>
            <w:tcW w:type="dxa" w:w="1350"/>
            <w:shd w:fill="1F3864" w:val="clear"/>
          </w:tcPr>
          <w:p>
            <w:r>
              <w:rPr>
                <w:rFonts w:ascii="Times New Roman" w:cs="Times New Roman" w:eastAsia="Times New Roman" w:hAnsi="Times New Roman"/>
                <w:b/>
                <w:bCs/>
                <w:color w:val="FFFFFF"/>
                <w:sz w:val="18"/>
                <w:szCs w:val="18"/>
              </w:rPr>
              <w:t xml:space="preserve">Mean Latency (ms)</w:t>
            </w:r>
          </w:p>
        </w:tc>
        <w:tc>
          <w:tcPr>
            <w:tcW w:type="dxa" w:w="2210"/>
            <w:shd w:fill="1F3864" w:val="clear"/>
          </w:tcPr>
          <w:p>
            <w:r>
              <w:rPr>
                <w:rFonts w:ascii="Times New Roman" w:cs="Times New Roman" w:eastAsia="Times New Roman" w:hAnsi="Times New Roman"/>
                <w:b/>
                <w:bCs/>
                <w:color w:val="FFFFFF"/>
                <w:sz w:val="18"/>
                <w:szCs w:val="18"/>
              </w:rPr>
              <w:t xml:space="preserve">Most Common Error Type</w:t>
            </w:r>
          </w:p>
        </w:tc>
      </w:tr>
      <w:tr>
        <w:tc>
          <w:tcPr>
            <w:tcW w:type="dxa" w:w="1300"/>
          </w:tcPr>
          <w:p>
            <w:r>
              <w:rPr>
                <w:rFonts w:ascii="Times New Roman" w:cs="Times New Roman" w:eastAsia="Times New Roman" w:hAnsi="Times New Roman"/>
                <w:b w:val="false"/>
                <w:bCs w:val="false"/>
                <w:color w:val="000000"/>
                <w:sz w:val="18"/>
                <w:szCs w:val="18"/>
              </w:rPr>
              <w:t xml:space="preserve">English</w:t>
            </w:r>
          </w:p>
        </w:tc>
        <w:tc>
          <w:tcPr>
            <w:tcW w:type="dxa" w:w="1400"/>
          </w:tcPr>
          <w:p>
            <w:r>
              <w:rPr>
                <w:rFonts w:ascii="Times New Roman" w:cs="Times New Roman" w:eastAsia="Times New Roman" w:hAnsi="Times New Roman"/>
                <w:b w:val="false"/>
                <w:bCs w:val="false"/>
                <w:color w:val="000000"/>
                <w:sz w:val="18"/>
                <w:szCs w:val="18"/>
              </w:rPr>
              <w:t xml:space="preserve">Clean</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r>
        <w:tc>
          <w:tcPr>
            <w:tcW w:type="dxa" w:w="1300"/>
          </w:tcPr>
          <w:p>
            <w:r>
              <w:rPr>
                <w:rFonts w:ascii="Times New Roman" w:cs="Times New Roman" w:eastAsia="Times New Roman" w:hAnsi="Times New Roman"/>
                <w:b w:val="false"/>
                <w:bCs w:val="false"/>
                <w:color w:val="000000"/>
                <w:sz w:val="18"/>
                <w:szCs w:val="18"/>
              </w:rPr>
              <w:t xml:space="preserve">English</w:t>
            </w:r>
          </w:p>
        </w:tc>
        <w:tc>
          <w:tcPr>
            <w:tcW w:type="dxa" w:w="1400"/>
          </w:tcPr>
          <w:p>
            <w:r>
              <w:rPr>
                <w:rFonts w:ascii="Times New Roman" w:cs="Times New Roman" w:eastAsia="Times New Roman" w:hAnsi="Times New Roman"/>
                <w:b w:val="false"/>
                <w:bCs w:val="false"/>
                <w:color w:val="000000"/>
                <w:sz w:val="18"/>
                <w:szCs w:val="18"/>
              </w:rPr>
              <w:t xml:space="preserve">Low</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r>
        <w:tc>
          <w:tcPr>
            <w:tcW w:type="dxa" w:w="1300"/>
          </w:tcPr>
          <w:p>
            <w:r>
              <w:rPr>
                <w:rFonts w:ascii="Times New Roman" w:cs="Times New Roman" w:eastAsia="Times New Roman" w:hAnsi="Times New Roman"/>
                <w:b w:val="false"/>
                <w:bCs w:val="false"/>
                <w:color w:val="000000"/>
                <w:sz w:val="18"/>
                <w:szCs w:val="18"/>
              </w:rPr>
              <w:t xml:space="preserve">English</w:t>
            </w:r>
          </w:p>
        </w:tc>
        <w:tc>
          <w:tcPr>
            <w:tcW w:type="dxa" w:w="1400"/>
          </w:tcPr>
          <w:p>
            <w:r>
              <w:rPr>
                <w:rFonts w:ascii="Times New Roman" w:cs="Times New Roman" w:eastAsia="Times New Roman" w:hAnsi="Times New Roman"/>
                <w:b w:val="false"/>
                <w:bCs w:val="false"/>
                <w:color w:val="000000"/>
                <w:sz w:val="18"/>
                <w:szCs w:val="18"/>
              </w:rPr>
              <w:t xml:space="preserve">Moderate</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r>
        <w:tc>
          <w:tcPr>
            <w:tcW w:type="dxa" w:w="1300"/>
          </w:tcPr>
          <w:p>
            <w:r>
              <w:rPr>
                <w:rFonts w:ascii="Times New Roman" w:cs="Times New Roman" w:eastAsia="Times New Roman" w:hAnsi="Times New Roman"/>
                <w:b w:val="false"/>
                <w:bCs w:val="false"/>
                <w:color w:val="000000"/>
                <w:sz w:val="18"/>
                <w:szCs w:val="18"/>
              </w:rPr>
              <w:t xml:space="preserve">English</w:t>
            </w:r>
          </w:p>
        </w:tc>
        <w:tc>
          <w:tcPr>
            <w:tcW w:type="dxa" w:w="1400"/>
          </w:tcPr>
          <w:p>
            <w:r>
              <w:rPr>
                <w:rFonts w:ascii="Times New Roman" w:cs="Times New Roman" w:eastAsia="Times New Roman" w:hAnsi="Times New Roman"/>
                <w:b w:val="false"/>
                <w:bCs w:val="false"/>
                <w:color w:val="000000"/>
                <w:sz w:val="18"/>
                <w:szCs w:val="18"/>
              </w:rPr>
              <w:t xml:space="preserve">High</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r>
        <w:tc>
          <w:tcPr>
            <w:tcW w:type="dxa" w:w="1300"/>
          </w:tcPr>
          <w:p>
            <w:r>
              <w:rPr>
                <w:rFonts w:ascii="Times New Roman" w:cs="Times New Roman" w:eastAsia="Times New Roman" w:hAnsi="Times New Roman"/>
                <w:b w:val="false"/>
                <w:bCs w:val="false"/>
                <w:color w:val="000000"/>
                <w:sz w:val="18"/>
                <w:szCs w:val="18"/>
              </w:rPr>
              <w:t xml:space="preserve">Korean</w:t>
            </w:r>
          </w:p>
        </w:tc>
        <w:tc>
          <w:tcPr>
            <w:tcW w:type="dxa" w:w="1400"/>
          </w:tcPr>
          <w:p>
            <w:r>
              <w:rPr>
                <w:rFonts w:ascii="Times New Roman" w:cs="Times New Roman" w:eastAsia="Times New Roman" w:hAnsi="Times New Roman"/>
                <w:b w:val="false"/>
                <w:bCs w:val="false"/>
                <w:color w:val="000000"/>
                <w:sz w:val="18"/>
                <w:szCs w:val="18"/>
              </w:rPr>
              <w:t xml:space="preserve">Clean</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r>
        <w:tc>
          <w:tcPr>
            <w:tcW w:type="dxa" w:w="1300"/>
          </w:tcPr>
          <w:p>
            <w:r>
              <w:rPr>
                <w:rFonts w:ascii="Times New Roman" w:cs="Times New Roman" w:eastAsia="Times New Roman" w:hAnsi="Times New Roman"/>
                <w:b w:val="false"/>
                <w:bCs w:val="false"/>
                <w:color w:val="000000"/>
                <w:sz w:val="18"/>
                <w:szCs w:val="18"/>
              </w:rPr>
              <w:t xml:space="preserve">Korean</w:t>
            </w:r>
          </w:p>
        </w:tc>
        <w:tc>
          <w:tcPr>
            <w:tcW w:type="dxa" w:w="1400"/>
          </w:tcPr>
          <w:p>
            <w:r>
              <w:rPr>
                <w:rFonts w:ascii="Times New Roman" w:cs="Times New Roman" w:eastAsia="Times New Roman" w:hAnsi="Times New Roman"/>
                <w:b w:val="false"/>
                <w:bCs w:val="false"/>
                <w:color w:val="000000"/>
                <w:sz w:val="18"/>
                <w:szCs w:val="18"/>
              </w:rPr>
              <w:t xml:space="preserve">Low</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r>
        <w:tc>
          <w:tcPr>
            <w:tcW w:type="dxa" w:w="1300"/>
          </w:tcPr>
          <w:p>
            <w:r>
              <w:rPr>
                <w:rFonts w:ascii="Times New Roman" w:cs="Times New Roman" w:eastAsia="Times New Roman" w:hAnsi="Times New Roman"/>
                <w:b w:val="false"/>
                <w:bCs w:val="false"/>
                <w:color w:val="000000"/>
                <w:sz w:val="18"/>
                <w:szCs w:val="18"/>
              </w:rPr>
              <w:t xml:space="preserve">Korean</w:t>
            </w:r>
          </w:p>
        </w:tc>
        <w:tc>
          <w:tcPr>
            <w:tcW w:type="dxa" w:w="1400"/>
          </w:tcPr>
          <w:p>
            <w:r>
              <w:rPr>
                <w:rFonts w:ascii="Times New Roman" w:cs="Times New Roman" w:eastAsia="Times New Roman" w:hAnsi="Times New Roman"/>
                <w:b w:val="false"/>
                <w:bCs w:val="false"/>
                <w:color w:val="000000"/>
                <w:sz w:val="18"/>
                <w:szCs w:val="18"/>
              </w:rPr>
              <w:t xml:space="preserve">Moderate</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r>
        <w:tc>
          <w:tcPr>
            <w:tcW w:type="dxa" w:w="1300"/>
          </w:tcPr>
          <w:p>
            <w:r>
              <w:rPr>
                <w:rFonts w:ascii="Times New Roman" w:cs="Times New Roman" w:eastAsia="Times New Roman" w:hAnsi="Times New Roman"/>
                <w:b w:val="false"/>
                <w:bCs w:val="false"/>
                <w:color w:val="000000"/>
                <w:sz w:val="18"/>
                <w:szCs w:val="18"/>
              </w:rPr>
              <w:t xml:space="preserve">Korean</w:t>
            </w:r>
          </w:p>
        </w:tc>
        <w:tc>
          <w:tcPr>
            <w:tcW w:type="dxa" w:w="1400"/>
          </w:tcPr>
          <w:p>
            <w:r>
              <w:rPr>
                <w:rFonts w:ascii="Times New Roman" w:cs="Times New Roman" w:eastAsia="Times New Roman" w:hAnsi="Times New Roman"/>
                <w:b w:val="false"/>
                <w:bCs w:val="false"/>
                <w:color w:val="000000"/>
                <w:sz w:val="18"/>
                <w:szCs w:val="18"/>
              </w:rPr>
              <w:t xml:space="preserve">High</w:t>
            </w:r>
          </w:p>
        </w:tc>
        <w:tc>
          <w:tcPr>
            <w:tcW w:type="dxa" w:w="100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050"/>
          </w:tcPr>
          <w:p>
            <w:r>
              <w:rPr>
                <w:rFonts w:ascii="Times New Roman" w:cs="Times New Roman" w:eastAsia="Times New Roman" w:hAnsi="Times New Roman"/>
                <w:b w:val="false"/>
                <w:bCs w:val="false"/>
                <w:color w:val="000000"/>
                <w:sz w:val="18"/>
                <w:szCs w:val="18"/>
              </w:rPr>
              <w:t xml:space="preserve"/>
            </w:r>
          </w:p>
        </w:tc>
        <w:tc>
          <w:tcPr>
            <w:tcW w:type="dxa" w:w="1350"/>
          </w:tcPr>
          <w:p>
            <w:r>
              <w:rPr>
                <w:rFonts w:ascii="Times New Roman" w:cs="Times New Roman" w:eastAsia="Times New Roman" w:hAnsi="Times New Roman"/>
                <w:b w:val="false"/>
                <w:bCs w:val="false"/>
                <w:color w:val="000000"/>
                <w:sz w:val="18"/>
                <w:szCs w:val="18"/>
              </w:rPr>
              <w:t xml:space="preserve"/>
            </w:r>
          </w:p>
        </w:tc>
        <w:tc>
          <w:tcPr>
            <w:tcW w:type="dxa" w:w="2210"/>
          </w:tcPr>
          <w:p>
            <w:r>
              <w:rPr>
                <w:rFonts w:ascii="Times New Roman" w:cs="Times New Roman" w:eastAsia="Times New Roman" w:hAnsi="Times New Roman"/>
                <w:b w:val="false"/>
                <w:bCs w:val="false"/>
                <w:color w:val="000000"/>
                <w:sz w:val="18"/>
                <w:szCs w:val="18"/>
              </w:rPr>
              <w:t xml:space="preserve"/>
            </w:r>
          </w:p>
        </w:tc>
      </w:tr>
    </w:tbl>
    <w:p>
      <w:pPr>
        <w:spacing w:after="160"/>
        <w:jc w:val="both"/>
      </w:pPr>
      <w:r>
        <w:rPr>
          <w:rFonts w:ascii="Times New Roman" w:cs="Times New Roman" w:eastAsia="Times New Roman" w:hAnsi="Times New Roman"/>
          <w:sz w:val="22"/>
          <w:szCs w:val="22"/>
        </w:rPr>
        <w:t xml:space="preserve"/>
      </w:r>
    </w:p>
    <w:p>
      <w:pPr>
        <w:spacing w:after="160"/>
        <w:jc w:val="both"/>
      </w:pPr>
      <w:r>
        <w:rPr>
          <w:rFonts w:ascii="Times New Roman" w:cs="Times New Roman" w:eastAsia="Times New Roman" w:hAnsi="Times New Roman"/>
          <w:sz w:val="22"/>
          <w:szCs w:val="22"/>
        </w:rPr>
        <w:t xml:space="preserve">A parallel figure (line chart, WER on the y-axis, noise condition on the x-axis, one line per language) should be generated from the completed table above once real data exist.</w:t>
      </w:r>
    </w:p>
    <w:p>
      <w:pPr>
        <w:pStyle w:val="Heading1"/>
        <w:spacing w:after="160" w:before="320"/>
      </w:pPr>
      <w:r>
        <w:rPr>
          <w:rFonts w:ascii="Times New Roman" w:cs="Times New Roman" w:eastAsia="Times New Roman" w:hAnsi="Times New Roman"/>
          <w:b/>
          <w:bCs/>
          <w:sz w:val="26"/>
          <w:szCs w:val="26"/>
        </w:rPr>
        <w:t xml:space="preserve">7. Discussion (To Be Completed)</w:t>
      </w:r>
    </w:p>
    <w:p>
      <w:pPr>
        <w:spacing w:after="160"/>
        <w:jc w:val="both"/>
      </w:pPr>
      <w:r>
        <w:rPr>
          <w:rFonts w:ascii="Times New Roman" w:cs="Times New Roman" w:eastAsia="Times New Roman" w:hAnsi="Times New Roman"/>
          <w:sz w:val="22"/>
          <w:szCs w:val="22"/>
        </w:rPr>
        <w:t xml:space="preserve">This section should interpret the actual pattern found in Section 6 relative to the hypotheses in Section 3 — for example, whether WER truly rose monotonically with noise in both languages, whether the language × noise interaction was significant, and which error types actually dominated. It should also relate the findings back to the accessibility literature in Section 2: in particular, whether the errors observed under high noise are the kind that Kafle and Huenerfauth [3] and Berke et al. [4] identify as most disruptive to DHH readers (e.g., substitutions that change meaning), versus more benign insertions of filler words.</w:t>
      </w:r>
    </w:p>
    <w:p>
      <w:pPr>
        <w:pStyle w:val="Heading1"/>
        <w:spacing w:after="160" w:before="320"/>
      </w:pPr>
      <w:r>
        <w:rPr>
          <w:rFonts w:ascii="Times New Roman" w:cs="Times New Roman" w:eastAsia="Times New Roman" w:hAnsi="Times New Roman"/>
          <w:b/>
          <w:bCs/>
          <w:sz w:val="26"/>
          <w:szCs w:val="26"/>
        </w:rPr>
        <w:t xml:space="preserve">8. Limitations</w:t>
      </w:r>
    </w:p>
    <w:p>
      <w:pPr>
        <w:spacing w:after="160"/>
        <w:jc w:val="both"/>
      </w:pPr>
      <w:r>
        <w:rPr>
          <w:rFonts w:ascii="Times New Roman" w:cs="Times New Roman" w:eastAsia="Times New Roman" w:hAnsi="Times New Roman"/>
          <w:sz w:val="22"/>
          <w:szCs w:val="22"/>
        </w:rPr>
        <w:t xml:space="preserve">This protocol is limited to a fixed set of seven sentence pairs and four noise levels, which constrains generalization to other sentence content or continuous (non-discretized) noise levels. WER treats all word errors as equally important, even though prior accessibility research indicates that error severity for DHH readers depends on error type and context, not just error count [3][4]. Findings from a small pilot cohort should be treated as preliminary until replicated with a larger and more diverse participant pool. Finally, any conclusions drawn before real data are collected under this protocol would be invalid; this document intentionally leaves Sections 6 and 7 unfilled for that reason.</w:t>
      </w:r>
    </w:p>
    <w:p>
      <w:pPr>
        <w:pStyle w:val="Heading1"/>
        <w:spacing w:after="160" w:before="320"/>
      </w:pPr>
      <w:r>
        <w:rPr>
          <w:rFonts w:ascii="Times New Roman" w:cs="Times New Roman" w:eastAsia="Times New Roman" w:hAnsi="Times New Roman"/>
          <w:b/>
          <w:bCs/>
          <w:sz w:val="26"/>
          <w:szCs w:val="26"/>
        </w:rPr>
        <w:t xml:space="preserve">9. Conclusion</w:t>
      </w:r>
    </w:p>
    <w:p>
      <w:pPr>
        <w:spacing w:after="160"/>
        <w:jc w:val="both"/>
      </w:pPr>
      <w:r>
        <w:rPr>
          <w:rFonts w:ascii="Times New Roman" w:cs="Times New Roman" w:eastAsia="Times New Roman" w:hAnsi="Times New Roman"/>
          <w:sz w:val="22"/>
          <w:szCs w:val="22"/>
        </w:rPr>
        <w:t xml:space="preserve">This protocol specifies a complete, ready-to-run bilingual design for evaluating how environmental noise affects HEAR's real-time captioning accuracy and latency, using the system's own built-in sentence content and a structured error taxonomy. Running this protocol with real, consented participants will allow the stated research questions to be answered with genuine evidence, which is a prerequisite for any publishable claim about HEAR's noise robustness.</w:t>
      </w:r>
    </w:p>
    <w:p>
      <w:pPr>
        <w:pStyle w:val="Heading1"/>
        <w:spacing w:after="160" w:before="320"/>
      </w:pPr>
      <w:r>
        <w:rPr>
          <w:rFonts w:ascii="Times New Roman" w:cs="Times New Roman" w:eastAsia="Times New Roman" w:hAnsi="Times New Roman"/>
          <w:b/>
          <w:bCs/>
          <w:sz w:val="26"/>
          <w:szCs w:val="26"/>
        </w:rPr>
        <w:t xml:space="preserve">References</w:t>
      </w:r>
    </w:p>
    <w:p>
      <w:pPr>
        <w:spacing w:after="140"/>
        <w:ind w:left="360" w:hanging="360"/>
      </w:pPr>
      <w:r>
        <w:rPr>
          <w:rFonts w:ascii="Times New Roman" w:cs="Times New Roman" w:eastAsia="Times New Roman" w:hAnsi="Times New Roman"/>
          <w:sz w:val="20"/>
          <w:szCs w:val="20"/>
        </w:rPr>
        <w:t xml:space="preserve">[1] Li, J., Deng, L., Gong, Y., &amp; Haeb-Umbach, R. (2014). An overview of noise-robust automatic speech recognition. IEEE/ACM Transactions on Audio, Speech, and Language Processing, 22(4), 745–777.</w:t>
      </w:r>
    </w:p>
    <w:p>
      <w:pPr>
        <w:spacing w:after="140"/>
        <w:ind w:left="360" w:hanging="360"/>
      </w:pPr>
      <w:r>
        <w:rPr>
          <w:rFonts w:ascii="Times New Roman" w:cs="Times New Roman" w:eastAsia="Times New Roman" w:hAnsi="Times New Roman"/>
          <w:sz w:val="20"/>
          <w:szCs w:val="20"/>
        </w:rPr>
        <w:t xml:space="preserve">[2] Yamamoto, K., Suzuki, I., Shitara, A., &amp; Ochiai, Y. (2021). See-through captions: Real-time captioning on transparent display for deaf and hard-of-hearing people. In Proceedings of the 23rd International ACM SIGACCESS Conference on Computers and Accessibility (ASSETS '21).</w:t>
      </w:r>
    </w:p>
    <w:p>
      <w:pPr>
        <w:spacing w:after="140"/>
        <w:ind w:left="360" w:hanging="360"/>
      </w:pPr>
      <w:r>
        <w:rPr>
          <w:rFonts w:ascii="Times New Roman" w:cs="Times New Roman" w:eastAsia="Times New Roman" w:hAnsi="Times New Roman"/>
          <w:sz w:val="20"/>
          <w:szCs w:val="20"/>
        </w:rPr>
        <w:t xml:space="preserve">[3] Kafle, S., &amp; Huenerfauth, M. (2017). Evaluating the usability of automatically generated captions for people who are deaf or hard of hearing. In Proceedings of the 19th International ACM SIGACCESS Conference on Computers and Accessibility (ASSETS '17), 165–174.</w:t>
      </w:r>
    </w:p>
    <w:p>
      <w:pPr>
        <w:spacing w:after="140"/>
        <w:ind w:left="360" w:hanging="360"/>
      </w:pPr>
      <w:r>
        <w:rPr>
          <w:rFonts w:ascii="Times New Roman" w:cs="Times New Roman" w:eastAsia="Times New Roman" w:hAnsi="Times New Roman"/>
          <w:sz w:val="20"/>
          <w:szCs w:val="20"/>
        </w:rPr>
        <w:t xml:space="preserve">[4] Berke, L., Caulfield, C., &amp; Huenerfauth, M. (2017). Deaf and hard-of-hearing perspectives on imperfect automatic speech recognition for captioning one-on-one meetings. In Proceedings of the 19th International ACM SIGACCESS Conference on Computers and Accessibility (ASSETS '17), 155–164.</w:t>
      </w:r>
    </w:p>
    <w:p>
      <w:pPr>
        <w:spacing w:after="140"/>
        <w:ind w:left="360" w:hanging="360"/>
      </w:pPr>
      <w:r>
        <w:rPr>
          <w:rFonts w:ascii="Times New Roman" w:cs="Times New Roman" w:eastAsia="Times New Roman" w:hAnsi="Times New Roman"/>
          <w:sz w:val="20"/>
          <w:szCs w:val="20"/>
        </w:rPr>
        <w:t xml:space="preserve">[5] National Institute on Deafness and Other Communication Disorders (NIDCD). Captions for deaf and hard-of-hearing viewers. National Institutes of Health.</w:t>
      </w:r>
    </w:p>
    <w:p>
      <w:pPr>
        <w:spacing w:after="140"/>
        <w:ind w:left="360" w:hanging="360"/>
      </w:pPr>
      <w:r>
        <w:rPr>
          <w:rFonts w:ascii="Times New Roman" w:cs="Times New Roman" w:eastAsia="Times New Roman" w:hAnsi="Times New Roman"/>
          <w:sz w:val="20"/>
          <w:szCs w:val="20"/>
        </w:rPr>
        <w:t xml:space="preserve">[6] Assessing the role of medical caption technology to support physician–patient communication for patients with hearing loss: Mixed methods pilot study. (2026). JMIR Rehabilitation and Assistive Technologies, 13, e79073.</w:t>
      </w:r>
    </w:p>
    <w:p>
      <w:pPr>
        <w:spacing w:after="140"/>
        <w:ind w:left="360" w:hanging="360"/>
      </w:pPr>
      <w:r>
        <w:rPr>
          <w:rFonts w:ascii="Times New Roman" w:cs="Times New Roman" w:eastAsia="Times New Roman" w:hAnsi="Times New Roman"/>
          <w:sz w:val="20"/>
          <w:szCs w:val="20"/>
        </w:rPr>
        <w:t xml:space="preserve">[7] Speech recognition in adverse conditions: Synthetic transformations and real environmental noise. (2026). Journal on Audio, Speech, and Music Processing (Springer).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HEAR Captioning Noise Study — Protocol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2026-09-13T18:20:45.230Z</dcterms:created>
  <dcterms:modified xsi:type="dcterms:W3CDTF">2026-09-13T18:20:45.230Z</dcterms:modified>
</cp:coreProperties>
</file>

<file path=docProps/custom.xml><?xml version="1.0" encoding="utf-8"?>
<Properties xmlns="http://schemas.openxmlformats.org/officeDocument/2006/custom-properties" xmlns:vt="http://schemas.openxmlformats.org/officeDocument/2006/docPropsVTypes"/>
</file>