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Effects of Environmental Noise on Real-Time Speech-Captioning Accuracy and Latency:</w:t>
      </w:r>
    </w:p>
    <w:p>
      <w:pPr>
        <w:spacing w:after="200"/>
        <w:jc w:val="center"/>
      </w:pPr>
      <w:r>
        <w:rPr>
          <w:rFonts w:ascii="Calibri" w:cs="Calibri" w:eastAsia="Calibri" w:hAnsi="Calibri"/>
          <w:b/>
          <w:bCs/>
          <w:sz w:val="28"/>
          <w:szCs w:val="28"/>
        </w:rPr>
        <w:t xml:space="preserve">A Bilingual English–Korean Study of the HEAR Captioning System</w:t>
      </w:r>
    </w:p>
    <w:p>
      <w:pPr>
        <w:spacing w:after="20"/>
        <w:jc w:val="center"/>
      </w:pPr>
      <w:r>
        <w:rPr>
          <w:rFonts w:ascii="Calibri" w:cs="Calibri" w:eastAsia="Calibri" w:hAnsi="Calibri"/>
          <w:sz w:val="22"/>
          <w:szCs w:val="22"/>
        </w:rPr>
        <w:t xml:space="preserve">Sinyoung Kim</w:t>
      </w:r>
    </w:p>
    <w:p>
      <w:pPr>
        <w:spacing w:after="20"/>
        <w:jc w:val="center"/>
      </w:pPr>
      <w:r>
        <w:rPr>
          <w:rFonts w:ascii="Calibri" w:cs="Calibri" w:eastAsia="Calibri" w:hAnsi="Calibri"/>
          <w:sz w:val="22"/>
          <w:szCs w:val="22"/>
        </w:rPr>
        <w:t xml:space="preserve">Daegu International School</w:t>
      </w:r>
    </w:p>
    <w:p>
      <w:pPr>
        <w:spacing w:after="300"/>
        <w:jc w:val="center"/>
      </w:pPr>
      <w:r>
        <w:rPr>
          <w:rFonts w:ascii="Calibri" w:cs="Calibri" w:eastAsia="Calibri" w:hAnsi="Calibri"/>
          <w:sz w:val="22"/>
          <w:szCs w:val="22"/>
        </w:rPr>
        <w:t xml:space="preserve">kimlucy0901@gmail.com</w:t>
      </w:r>
    </w:p>
    <w:p>
      <w:pPr>
        <w:spacing w:after="160" w:line="276"/>
      </w:pPr>
      <w:r>
        <w:rPr>
          <w:rFonts w:ascii="Calibri" w:cs="Calibri" w:eastAsia="Calibri" w:hAnsi="Calibri"/>
          <w:i/>
          <w:iCs/>
        </w:rPr>
        <w:t xml:space="preserve">MANUSCRIPT STATUS: This report presents completed data collected under the accompanying study protocol. Sample size is n = 6 participants per language (English: E01–E06; Korean: K01–K06; 336 trials total), following an initial n = 2 pilot phase that was expanded once the pilot run confirmed the protocol worked smoothly.</w:t>
      </w:r>
    </w:p>
    <w:p>
      <w:pPr>
        <w:pStyle w:val="Heading1"/>
        <w:spacing w:after="160" w:before="320"/>
      </w:pPr>
      <w:r>
        <w:rPr>
          <w:rFonts w:ascii="Calibri" w:cs="Calibri" w:eastAsia="Calibri" w:hAnsi="Calibri"/>
          <w:b/>
          <w:bCs/>
        </w:rPr>
        <w:t xml:space="preserve">Abstract</w:t>
      </w:r>
    </w:p>
    <w:p>
      <w:pPr>
        <w:spacing w:after="160" w:line="276"/>
      </w:pPr>
      <w:r>
        <w:rPr>
          <w:rFonts w:ascii="Calibri" w:cs="Calibri" w:eastAsia="Calibri" w:hAnsi="Calibri"/>
        </w:rPr>
        <w:t xml:space="preserve">Real-time automatic speech recognition (ASR) captioning is widely used as an accessibility accommodation for Deaf and Hard-of-Hearing (DHH) individuals, yet ASR accuracy is known to degrade under acoustic noise, and most public benchmarking has focused on English. This report presents a controlled, within-subjects study evaluating the HEAR real-time captioning system across four noise levels (clean, low, moderate, high) and two languages (English and Korean), using a fixed set of seven parallel sentence pairs drawn directly from HEAR's own screening and experience-simulation modules. With six participants per language (336 trials total), Word Error Rate (WER) increased monotonically with noise in both languages: English rose from 0.022 (clean) to 0.555 (high), and Korean rose from 0.097 (clean) to 0.867 (high). Korean WER was higher than English at every noise level, with the gap largest at high noise. Latency also increased monotonically with noise in both languages, from roughly 665–675 ms under clean conditions to about 1,390–1,425 ms under high noise. Substitution was the most common error type across all eight language-by-noise cells, including Korean under high noise, where it remained more frequent than deletion despite deletion's rising share. Because noise conditions were presented in a fixed rather than randomized order, these patterns cannot be cleanly separated from time-on-task effects, and we discuss this limitation directly.</w:t>
      </w:r>
    </w:p>
    <w:p>
      <w:pPr>
        <w:pStyle w:val="Heading1"/>
        <w:spacing w:after="160" w:before="320"/>
      </w:pPr>
      <w:r>
        <w:rPr>
          <w:rFonts w:ascii="Calibri" w:cs="Calibri" w:eastAsia="Calibri" w:hAnsi="Calibri"/>
          <w:b/>
          <w:bCs/>
        </w:rPr>
        <w:t xml:space="preserve">1. Introduction</w:t>
      </w:r>
    </w:p>
    <w:p>
      <w:pPr>
        <w:spacing w:after="160" w:line="276"/>
      </w:pPr>
      <w:r>
        <w:rPr>
          <w:rFonts w:ascii="Calibri" w:cs="Calibri" w:eastAsia="Calibri" w:hAnsi="Calibri"/>
        </w:rPr>
        <w:t xml:space="preserve">Captioning is one of the most widely used accessibility accommodations for DHH individuals in classrooms, meetings, and daily conversation, and real-time ASR-based captioning has become common because it is far less expensive and more scalable than live human captioners or interpreters. However, ASR systems remain sensitive to acoustic noise, and degraded transcription can directly reduce the usability of a caption for the person relying on it. Most systematic evaluation of ASR noise robustness has been carried out on English-language benchmark corpora; comparatively little controlled evaluation exists for Korean, and fewer studies still compare the same system, the same noise conditions, and matched sentence content across both languages in a single design.</w:t>
      </w:r>
    </w:p>
    <w:p>
      <w:pPr>
        <w:spacing w:after="160" w:line="276"/>
      </w:pPr>
      <w:r>
        <w:rPr>
          <w:rFonts w:ascii="Calibri" w:cs="Calibri" w:eastAsia="Calibri" w:hAnsi="Calibri"/>
        </w:rPr>
        <w:t xml:space="preserve">HEAR is a browser-based real-time captioning tool that includes a short screening flow (“Check My Experience”) and an experience-simulation module presenting realistic conversational scenarios (classroom, restaurant, group conversation). This study reused HEAR's own built-in sentences as ground truth, rather than introducing new artificial stimuli, so that the evaluation reflects the same linguistic content end users of the live product actually encounter.</w:t>
      </w:r>
    </w:p>
    <w:p>
      <w:pPr>
        <w:spacing w:after="160" w:line="276"/>
      </w:pPr>
      <w:r>
        <w:rPr>
          <w:rFonts w:ascii="Calibri" w:cs="Calibri" w:eastAsia="Calibri" w:hAnsi="Calibri"/>
        </w:rPr>
        <w:t xml:space="preserve">The guiding research question is: How does environmental noise affect the accuracy and latency of browser-based real-time captioning across English and Korean, and what types of recognition errors emerge as noise increases?</w:t>
      </w:r>
    </w:p>
    <w:p>
      <w:pPr>
        <w:pStyle w:val="Heading1"/>
        <w:spacing w:after="160" w:before="320"/>
      </w:pPr>
      <w:r>
        <w:rPr>
          <w:rFonts w:ascii="Calibri" w:cs="Calibri" w:eastAsia="Calibri" w:hAnsi="Calibri"/>
          <w:b/>
          <w:bCs/>
        </w:rPr>
        <w:t xml:space="preserve">2. Related Work</w:t>
      </w:r>
    </w:p>
    <w:p>
      <w:pPr>
        <w:spacing w:after="160" w:line="276"/>
      </w:pPr>
      <w:r>
        <w:rPr>
          <w:rFonts w:ascii="Calibri" w:cs="Calibri" w:eastAsia="Calibri" w:hAnsi="Calibri"/>
        </w:rPr>
        <w:t xml:space="preserve">Noise robustness in ASR has been studied extensively at the modeling level. Li, Deng, Gong, and Haeb-Umbach [1] provide a broad survey of techniques for improving ASR performance in noisy acoustic conditions, and subsequent work has continued to show that word error rate rises substantially as signal-to-noise ratio decreases, even for modern neural architectures evaluated on multilingual benchmark speech [7].</w:t>
      </w:r>
    </w:p>
    <w:p>
      <w:pPr>
        <w:spacing w:after="160" w:line="276"/>
      </w:pPr>
      <w:r>
        <w:rPr>
          <w:rFonts w:ascii="Calibri" w:cs="Calibri" w:eastAsia="Calibri" w:hAnsi="Calibri"/>
        </w:rPr>
        <w:t xml:space="preserve">Within accessibility research specifically, Kafle and Huenerfauth [3] argue that WER alone correlates only weakly with how usable DHH users actually find a caption, and propose caption-focused evaluation metrics validated with DHH participants; Berke, Caulfield, and Huenerfauth [4] similarly report that DHH users' subjective tolerance for ASR errors depends heavily on error type and context, not just raw error count. Yamamoto, Suzuki, Shitara, and Ochiai [2] describe an alternative real-time captioning display designed specifically for DHH communication, motivated by the same underlying observation that ASR errors are unavoidable and interface/error-handling design matters as much as raw accuracy. A 2026 mixed-methods pilot of real-time captioning in clinical settings similarly found that while most DHH participants trusted and could follow captions, complex or safety-critical vocabulary remained a weak point regardless of overall WER [6]. Government health guidance also notes that even well-performing real-time captioning services average well under perfect accuracy in practice [5].</w:t>
      </w:r>
    </w:p>
    <w:p>
      <w:pPr>
        <w:spacing w:after="160" w:line="276"/>
      </w:pPr>
      <w:r>
        <w:rPr>
          <w:rFonts w:ascii="Calibri" w:cs="Calibri" w:eastAsia="Calibri" w:hAnsi="Calibri"/>
        </w:rPr>
        <w:t xml:space="preserve">This study builds on that literature by (a) evaluating a single system, HEAR, across a controlled noise gradient rather than a single acoustic condition, (b) applying an identical design to English and Korean, and (c) recording not only WER but a structured error taxonomy, so that analysis can go beyond an aggregate error rate and ask which categories of error (numbers, proper nouns, particles/endings in Korean, etc.) are disproportionately affected by noise.</w:t>
      </w:r>
    </w:p>
    <w:p>
      <w:pPr>
        <w:pStyle w:val="Heading1"/>
        <w:spacing w:after="160" w:before="320"/>
      </w:pPr>
      <w:r>
        <w:rPr>
          <w:rFonts w:ascii="Calibri" w:cs="Calibri" w:eastAsia="Calibri" w:hAnsi="Calibri"/>
          <w:b/>
          <w:bCs/>
        </w:rPr>
        <w:t xml:space="preserve">3. Research Questions and Hypotheses</w:t>
      </w:r>
    </w:p>
    <w:p>
      <w:pPr>
        <w:spacing w:after="160" w:line="276"/>
      </w:pPr>
      <w:r>
        <w:rPr>
          <w:rFonts w:ascii="Calibri" w:cs="Calibri" w:eastAsia="Calibri" w:hAnsi="Calibri"/>
        </w:rPr>
        <w:t xml:space="preserve">RQ1: Does HEAR's caption Word Error Rate increase monotonically as background noise increases from clean to high, in each language?</w:t>
      </w:r>
    </w:p>
    <w:p>
      <w:pPr>
        <w:spacing w:after="160" w:line="276"/>
      </w:pPr>
      <w:r>
        <w:rPr>
          <w:rFonts w:ascii="Calibri" w:cs="Calibri" w:eastAsia="Calibri" w:hAnsi="Calibri"/>
        </w:rPr>
        <w:t xml:space="preserve">RQ2: Does caption latency increase as background noise increases?</w:t>
      </w:r>
    </w:p>
    <w:p>
      <w:pPr>
        <w:spacing w:after="160" w:line="276"/>
      </w:pPr>
      <w:r>
        <w:rPr>
          <w:rFonts w:ascii="Calibri" w:cs="Calibri" w:eastAsia="Calibri" w:hAnsi="Calibri"/>
        </w:rPr>
        <w:t xml:space="preserve">RQ3: Do English and Korean show different sensitivity to noise (i.e., a language × noise-level interaction) once measured with a matched design and comparable tokenization rule?</w:t>
      </w:r>
    </w:p>
    <w:p>
      <w:pPr>
        <w:spacing w:after="160" w:line="276"/>
      </w:pPr>
      <w:r>
        <w:rPr>
          <w:rFonts w:ascii="Calibri" w:cs="Calibri" w:eastAsia="Calibri" w:hAnsi="Calibri"/>
        </w:rPr>
        <w:t xml:space="preserve">RQ4: Which error types (substitution, deletion, insertion, and language-specific subtypes) account for the largest share of errors, and does that distribution shift as noise increases?</w:t>
      </w:r>
    </w:p>
    <w:p>
      <w:pPr>
        <w:spacing w:after="160" w:line="276"/>
      </w:pPr>
      <w:r>
        <w:rPr>
          <w:rFonts w:ascii="Calibri" w:cs="Calibri" w:eastAsia="Calibri" w:hAnsi="Calibri"/>
        </w:rPr>
        <w:t xml:space="preserve">Directional hypotheses: H1 — WER and latency will both increase monotonically from clean to high noise in both languages. H2 — the increase in WER under noise will not be identical across languages, since Korean's morphology (particles, verb endings) creates additional opportunities for substitution/deletion errors that have no direct English analogue. H3 — insertions (filler-word artifacts such as “um”/“uh” or Korean disfluency particles) will become proportionally more common as noise increases, reflecting the recognizer inserting spurious tokens rather than only dropping or swapping real ones.</w:t>
      </w:r>
    </w:p>
    <w:p>
      <w:pPr>
        <w:pStyle w:val="Heading1"/>
        <w:spacing w:after="160" w:before="320"/>
      </w:pPr>
      <w:r>
        <w:rPr>
          <w:rFonts w:ascii="Calibri" w:cs="Calibri" w:eastAsia="Calibri" w:hAnsi="Calibri"/>
          <w:b/>
          <w:bCs/>
        </w:rPr>
        <w:t xml:space="preserve">4. Methodology</w:t>
      </w:r>
    </w:p>
    <w:p>
      <w:pPr>
        <w:pStyle w:val="Heading2"/>
        <w:spacing w:after="120" w:before="240"/>
      </w:pPr>
      <w:r>
        <w:rPr>
          <w:rFonts w:ascii="Calibri" w:cs="Calibri" w:eastAsia="Calibri" w:hAnsi="Calibri"/>
          <w:b/>
          <w:bCs/>
        </w:rPr>
        <w:t xml:space="preserve">4.1 Design</w:t>
      </w:r>
    </w:p>
    <w:p>
      <w:pPr>
        <w:spacing w:after="160" w:line="276"/>
      </w:pPr>
      <w:r>
        <w:rPr>
          <w:rFonts w:ascii="Calibri" w:cs="Calibri" w:eastAsia="Calibri" w:hAnsi="Calibri"/>
        </w:rPr>
        <w:t xml:space="preserve">This was a within-subjects, repeated-measures design. Each participant completed every combination of sentence × noise condition in their assigned language (7 sentences × 4 noise conditions = 28 trials per participant), so that noise-level comparisons were made within the same speaker and device setup rather than across different people. English speakers completed the English materials; Korean speakers completed the Korean materials, avoiding the confound of “caption is wrong” versus “participant does not speak this language well.”</w:t>
      </w:r>
    </w:p>
    <w:p>
      <w:pPr>
        <w:pStyle w:val="Heading2"/>
        <w:spacing w:after="120" w:before="240"/>
      </w:pPr>
      <w:r>
        <w:rPr>
          <w:rFonts w:ascii="Calibri" w:cs="Calibri" w:eastAsia="Calibri" w:hAnsi="Calibri"/>
          <w:b/>
          <w:bCs/>
        </w:rPr>
        <w:t xml:space="preserve">4.2 Participants</w:t>
      </w:r>
    </w:p>
    <w:p>
      <w:pPr>
        <w:spacing w:after="160" w:line="276"/>
      </w:pPr>
      <w:r>
        <w:rPr>
          <w:rFonts w:ascii="Calibri" w:cs="Calibri" w:eastAsia="Calibri" w:hAnsi="Calibri"/>
        </w:rPr>
        <w:t xml:space="preserve">Participants were recruited voluntarily and were not compensated for identifying information beyond the minimal fields collected. No names, contact information, or medical records were collected. Hearing status was self-reported in broad categories only. Data collection began with a small pilot of n = 2 participants per language to confirm the protocol ran smoothly, then expanded to the full completed sample of n = 6 participants per language (E01–E06; K01–K06), yielding 168 trials per language and 336 trials in total.</w:t>
      </w:r>
    </w:p>
    <w:p>
      <w:pPr>
        <w:pStyle w:val="Heading2"/>
        <w:spacing w:after="120" w:before="240"/>
      </w:pPr>
      <w:r>
        <w:rPr>
          <w:rFonts w:ascii="Calibri" w:cs="Calibri" w:eastAsia="Calibri" w:hAnsi="Calibri"/>
          <w:b/>
          <w:bCs/>
        </w:rPr>
        <w:t xml:space="preserve">4.3 Materials</w:t>
      </w:r>
    </w:p>
    <w:p>
      <w:pPr>
        <w:spacing w:after="160" w:line="276"/>
      </w:pPr>
      <w:r>
        <w:rPr>
          <w:rFonts w:ascii="Calibri" w:cs="Calibri" w:eastAsia="Calibri" w:hAnsi="Calibri"/>
        </w:rPr>
        <w:t xml:space="preserve">All seven sentence pairs are HEAR's own built-in screening and experience-simulation lines, not researcher-authored filler text. Each pair was developed independently in each language (not machine-translated from one to the other) so that language-specific error types could be observed on natural phrasing rather than translation artifacts.</w:t>
      </w:r>
    </w:p>
    <w:p>
      <w:pPr>
        <w:spacing w:after="160" w:line="276"/>
      </w:pPr>
      <w:r>
        <w:rPr>
          <w:rFonts w:ascii="Calibri" w:cs="Calibri" w:eastAsia="Calibri" w:hAnsi="Calibri"/>
        </w:rPr>
        <w:t xml:space="preserve">Noise source and playback level were fixed per language cohort. For the Korean cohort, noise source was matched to noise level: Clean = none, Low = classroom background noise and indistinct voices, Moderate = restaurant noise (dishes clinking, nearby table conversation), High = overlapping group conversation. Playback level was approximately 0 dB added (Clean), 45 dB (Low), 60 dB (Moderate), and 70 dB (High); recording device was a laptop's internal microphone, held constant across all trials, at approximately 50 cm from the speaker.</w:t>
      </w:r>
    </w:p>
    <w:p>
      <w:pPr>
        <w:pStyle w:val="Heading2"/>
        <w:spacing w:after="120" w:before="240"/>
      </w:pPr>
      <w:r>
        <w:rPr>
          <w:rFonts w:ascii="Calibri" w:cs="Calibri" w:eastAsia="Calibri" w:hAnsi="Calibri"/>
          <w:b/>
          <w:bCs/>
        </w:rPr>
        <w:t xml:space="preserve">4.4 Procedure</w:t>
      </w:r>
    </w:p>
    <w:p>
      <w:pPr>
        <w:spacing w:after="160" w:line="276"/>
      </w:pPr>
      <w:r>
        <w:rPr>
          <w:rFonts w:ascii="Calibri" w:cs="Calibri" w:eastAsia="Calibri" w:hAnsi="Calibri"/>
        </w:rPr>
        <w:t xml:space="preserve">1) Obtain consent and record the participant's minimal demographic fields. 2) Seat the participant at the fixed device/microphone setup. 3) Present each of the seven sentences under each of the four noise conditions, reading each sentence exactly as displayed. Noise conditions were presented in a fixed increasing order (Clean, then Low, then Moderate, then High) for each sentence, rather than randomized or counterbalanced across participants. 4) Record the exact HEAR caption output and the elapsed latency for every trial. 5) After all trials, allow the participant to take a short break and confirm no technical issues occurred. 6) Immediately log the ground truth, caption output, and timing into the raw results sheet before moving to the next participant.</w:t>
      </w:r>
    </w:p>
    <w:p>
      <w:pPr>
        <w:pStyle w:val="Heading2"/>
        <w:spacing w:after="120" w:before="240"/>
      </w:pPr>
      <w:r>
        <w:rPr>
          <w:rFonts w:ascii="Calibri" w:cs="Calibri" w:eastAsia="Calibri" w:hAnsi="Calibri"/>
          <w:b/>
          <w:bCs/>
        </w:rPr>
        <w:t xml:space="preserve">4.5 Metrics</w:t>
      </w:r>
    </w:p>
    <w:p>
      <w:pPr>
        <w:spacing w:after="160" w:line="276"/>
      </w:pPr>
      <w:r>
        <w:rPr>
          <w:rFonts w:ascii="Calibri" w:cs="Calibri" w:eastAsia="Calibri" w:hAnsi="Calibri"/>
        </w:rPr>
        <w:t xml:space="preserve">Word Error Rate is computed per trial as WER = (S + D + I) / N, where S = substitutions, D = deletions, I = insertions relative to the ground-truth sentence, and N = the number of tokens in the ground-truth sentence. For English, tokens are whitespace-separated words. For Korean, tokens were counted using the eojeol (whitespace-separated spacing unit) rule, chosen for simplicity over morpheme-level tokenization; this choice should be kept in mind when comparing raw WER magnitudes across languages, since a morpheme-level count would very likely yield different absolute values.</w:t>
      </w:r>
    </w:p>
    <w:p>
      <w:pPr>
        <w:spacing w:after="160" w:line="276"/>
      </w:pPr>
      <w:r>
        <w:rPr>
          <w:rFonts w:ascii="Calibri" w:cs="Calibri" w:eastAsia="Calibri" w:hAnsi="Calibri"/>
        </w:rPr>
        <w:t xml:space="preserve">Latency is defined as the time from the end of the spoken sentence to the final (non-interim) displayed caption, measured in milliseconds, using the same operational definition and measurement method for every trial and every participant.</w:t>
      </w:r>
    </w:p>
    <w:p>
      <w:pPr>
        <w:spacing w:after="160" w:line="276"/>
      </w:pPr>
      <w:r>
        <w:rPr>
          <w:rFonts w:ascii="Calibri" w:cs="Calibri" w:eastAsia="Calibri" w:hAnsi="Calibri"/>
        </w:rPr>
        <w:t xml:space="preserve">Each discrepancy between ground truth and caption output was additionally classified into an error type (substitution, deletion, insertion) and logged as its own row (language, noise condition, error type, ground-truth segment, caption segment), so that error-type distributions could be computed independently of the aggregate WER.</w:t>
      </w:r>
    </w:p>
    <w:p>
      <w:pPr>
        <w:pStyle w:val="Heading2"/>
        <w:spacing w:after="120" w:before="240"/>
      </w:pPr>
      <w:r>
        <w:rPr>
          <w:rFonts w:ascii="Calibri" w:cs="Calibri" w:eastAsia="Calibri" w:hAnsi="Calibri"/>
          <w:b/>
          <w:bCs/>
        </w:rPr>
        <w:t xml:space="preserve">4.6 Ethical Considerations</w:t>
      </w:r>
    </w:p>
    <w:p>
      <w:pPr>
        <w:spacing w:after="160" w:line="276"/>
      </w:pPr>
      <w:r>
        <w:rPr>
          <w:rFonts w:ascii="Calibri" w:cs="Calibri" w:eastAsia="Calibri" w:hAnsi="Calibri"/>
        </w:rPr>
        <w:t xml:space="preserve">Only the minimal information needed for the analysis was collected; no names, contact details, or medical records were gathered, and hearing status was self-reported in broad terms only. Participants were informed of the study's purpose, that participation was voluntary, and that they could withdraw at any time without penalty.</w:t>
      </w:r>
    </w:p>
    <w:p>
      <w:pPr>
        <w:pStyle w:val="Heading1"/>
        <w:spacing w:after="160" w:before="320"/>
      </w:pPr>
      <w:r>
        <w:rPr>
          <w:rFonts w:ascii="Calibri" w:cs="Calibri" w:eastAsia="Calibri" w:hAnsi="Calibri"/>
          <w:b/>
          <w:bCs/>
        </w:rPr>
        <w:t xml:space="preserve">5. Planned Analysis</w:t>
      </w:r>
    </w:p>
    <w:p>
      <w:pPr>
        <w:spacing w:after="160" w:line="276"/>
      </w:pPr>
      <w:r>
        <w:rPr>
          <w:rFonts w:ascii="Calibri" w:cs="Calibri" w:eastAsia="Calibri" w:hAnsi="Calibri"/>
        </w:rPr>
        <w:t xml:space="preserve">As specified in advance: (1) descriptive statistics (mean and median WER, mean latency) for each language × noise-condition cell; (2) a trend test for the effect of noise condition on WER and on latency within each language; (3) a language × noise-condition interaction comparison to evaluate RQ3; (4) a breakdown of error-type proportions by noise condition, to evaluate RQ4. With n = 6 participants per language (42 trials per cell, though the seven trials contributed by a given participant are not independent observations of one another), the analysis below remains descriptive; effect sizes and formal significance tests were not computed. Expanding from an initial n = 2 to a completed n = 6 participants per language makes the reported patterns less likely to be driven by a single atypical participant, but the underlying unit of replication throughout this report is the participant, not the trial, and readers should weigh the cell sizes accordingly.</w:t>
      </w:r>
    </w:p>
    <w:p>
      <w:pPr>
        <w:pStyle w:val="Heading1"/>
        <w:spacing w:after="160" w:before="320"/>
      </w:pPr>
      <w:r>
        <w:rPr>
          <w:rFonts w:ascii="Calibri" w:cs="Calibri" w:eastAsia="Calibri" w:hAnsi="Calibri"/>
          <w:b/>
          <w:bCs/>
        </w:rPr>
        <w:t xml:space="preserve">6. Results</w:t>
      </w:r>
    </w:p>
    <w:p>
      <w:pPr>
        <w:spacing w:after="160" w:line="276"/>
      </w:pPr>
      <w:r>
        <w:rPr>
          <w:rFonts w:ascii="Calibri" w:cs="Calibri" w:eastAsia="Calibri" w:hAnsi="Calibri"/>
        </w:rPr>
        <w:t xml:space="preserve">Table 1 summarizes Word Error Rate, latency, and error-type counts for each language × noise-condition cell, computed from 42 trials per cell (6 participants × 7 sentences).</w:t>
      </w:r>
    </w:p>
    <w:p>
      <w:pPr>
        <w:spacing w:after="120"/>
      </w:pPr>
      <w:r>
        <w:rPr>
          <w:rFonts w:ascii="Calibri" w:cs="Calibri" w:eastAsia="Calibri" w:hAnsi="Calibri"/>
          <w:b/>
          <w:bCs/>
          <w:i/>
          <w:iCs/>
        </w:rPr>
        <w:t xml:space="preserve">Table 1. Descriptive results by language and noise condition.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500"/>
        <w:gridCol w:w="900"/>
        <w:gridCol w:w="950"/>
        <w:gridCol w:w="1350"/>
        <w:gridCol w:w="600"/>
        <w:gridCol w:w="600"/>
        <w:gridCol w:w="600"/>
        <w:gridCol w:w="1900"/>
      </w:tblGrid>
      <w:tr>
        <w:tc>
          <w:tcPr>
            <w:tcW w:type="dxa" w:w="1100"/>
            <w:shd w:fill="D9E2F3" w:val="clear"/>
          </w:tcPr>
          <w:p>
            <w:pPr>
              <w:jc w:val="center"/>
            </w:pPr>
            <w:r>
              <w:rPr>
                <w:rFonts w:ascii="Calibri" w:cs="Calibri" w:eastAsia="Calibri" w:hAnsi="Calibri"/>
                <w:b/>
                <w:bCs/>
                <w:sz w:val="18"/>
                <w:szCs w:val="18"/>
              </w:rPr>
              <w:t xml:space="preserve">Language</w:t>
            </w:r>
          </w:p>
        </w:tc>
        <w:tc>
          <w:tcPr>
            <w:tcW w:type="dxa" w:w="1000"/>
            <w:shd w:fill="D9E2F3" w:val="clear"/>
          </w:tcPr>
          <w:p>
            <w:pPr>
              <w:jc w:val="center"/>
            </w:pPr>
            <w:r>
              <w:rPr>
                <w:rFonts w:ascii="Calibri" w:cs="Calibri" w:eastAsia="Calibri" w:hAnsi="Calibri"/>
                <w:b/>
                <w:bCs/>
                <w:sz w:val="18"/>
                <w:szCs w:val="18"/>
              </w:rPr>
              <w:t xml:space="preserve">Noise</w:t>
            </w:r>
          </w:p>
        </w:tc>
        <w:tc>
          <w:tcPr>
            <w:tcW w:type="dxa" w:w="500"/>
            <w:shd w:fill="D9E2F3" w:val="clear"/>
          </w:tcPr>
          <w:p>
            <w:pPr>
              <w:jc w:val="center"/>
            </w:pPr>
            <w:r>
              <w:rPr>
                <w:rFonts w:ascii="Calibri" w:cs="Calibri" w:eastAsia="Calibri" w:hAnsi="Calibri"/>
                <w:b/>
                <w:bCs/>
                <w:sz w:val="18"/>
                <w:szCs w:val="18"/>
              </w:rPr>
              <w:t xml:space="preserve">N</w:t>
            </w:r>
          </w:p>
        </w:tc>
        <w:tc>
          <w:tcPr>
            <w:tcW w:type="dxa" w:w="900"/>
            <w:shd w:fill="D9E2F3" w:val="clear"/>
          </w:tcPr>
          <w:p>
            <w:pPr>
              <w:jc w:val="center"/>
            </w:pPr>
            <w:r>
              <w:rPr>
                <w:rFonts w:ascii="Calibri" w:cs="Calibri" w:eastAsia="Calibri" w:hAnsi="Calibri"/>
                <w:b/>
                <w:bCs/>
                <w:sz w:val="18"/>
                <w:szCs w:val="18"/>
              </w:rPr>
              <w:t xml:space="preserve">Mean WER</w:t>
            </w:r>
          </w:p>
        </w:tc>
        <w:tc>
          <w:tcPr>
            <w:tcW w:type="dxa" w:w="950"/>
            <w:shd w:fill="D9E2F3" w:val="clear"/>
          </w:tcPr>
          <w:p>
            <w:pPr>
              <w:jc w:val="center"/>
            </w:pPr>
            <w:r>
              <w:rPr>
                <w:rFonts w:ascii="Calibri" w:cs="Calibri" w:eastAsia="Calibri" w:hAnsi="Calibri"/>
                <w:b/>
                <w:bCs/>
                <w:sz w:val="18"/>
                <w:szCs w:val="18"/>
              </w:rPr>
              <w:t xml:space="preserve">Median WER</w:t>
            </w:r>
          </w:p>
        </w:tc>
        <w:tc>
          <w:tcPr>
            <w:tcW w:type="dxa" w:w="1350"/>
            <w:shd w:fill="D9E2F3" w:val="clear"/>
          </w:tcPr>
          <w:p>
            <w:pPr>
              <w:jc w:val="center"/>
            </w:pPr>
            <w:r>
              <w:rPr>
                <w:rFonts w:ascii="Calibri" w:cs="Calibri" w:eastAsia="Calibri" w:hAnsi="Calibri"/>
                <w:b/>
                <w:bCs/>
                <w:sz w:val="18"/>
                <w:szCs w:val="18"/>
              </w:rPr>
              <w:t xml:space="preserve">Mean Latency (ms)</w:t>
            </w:r>
          </w:p>
        </w:tc>
        <w:tc>
          <w:tcPr>
            <w:tcW w:type="dxa" w:w="600"/>
            <w:shd w:fill="D9E2F3" w:val="clear"/>
          </w:tcPr>
          <w:p>
            <w:pPr>
              <w:jc w:val="center"/>
            </w:pPr>
            <w:r>
              <w:rPr>
                <w:rFonts w:ascii="Calibri" w:cs="Calibri" w:eastAsia="Calibri" w:hAnsi="Calibri"/>
                <w:b/>
                <w:bCs/>
                <w:sz w:val="18"/>
                <w:szCs w:val="18"/>
              </w:rPr>
              <w:t xml:space="preserve">Sub</w:t>
            </w:r>
          </w:p>
        </w:tc>
        <w:tc>
          <w:tcPr>
            <w:tcW w:type="dxa" w:w="600"/>
            <w:shd w:fill="D9E2F3" w:val="clear"/>
          </w:tcPr>
          <w:p>
            <w:pPr>
              <w:jc w:val="center"/>
            </w:pPr>
            <w:r>
              <w:rPr>
                <w:rFonts w:ascii="Calibri" w:cs="Calibri" w:eastAsia="Calibri" w:hAnsi="Calibri"/>
                <w:b/>
                <w:bCs/>
                <w:sz w:val="18"/>
                <w:szCs w:val="18"/>
              </w:rPr>
              <w:t xml:space="preserve">Del</w:t>
            </w:r>
          </w:p>
        </w:tc>
        <w:tc>
          <w:tcPr>
            <w:tcW w:type="dxa" w:w="600"/>
            <w:shd w:fill="D9E2F3" w:val="clear"/>
          </w:tcPr>
          <w:p>
            <w:pPr>
              <w:jc w:val="center"/>
            </w:pPr>
            <w:r>
              <w:rPr>
                <w:rFonts w:ascii="Calibri" w:cs="Calibri" w:eastAsia="Calibri" w:hAnsi="Calibri"/>
                <w:b/>
                <w:bCs/>
                <w:sz w:val="18"/>
                <w:szCs w:val="18"/>
              </w:rPr>
              <w:t xml:space="preserve">Ins</w:t>
            </w:r>
          </w:p>
        </w:tc>
        <w:tc>
          <w:tcPr>
            <w:tcW w:type="dxa" w:w="1900"/>
            <w:shd w:fill="D9E2F3" w:val="clear"/>
          </w:tcPr>
          <w:p>
            <w:pPr>
              <w:jc w:val="center"/>
            </w:pPr>
            <w:r>
              <w:rPr>
                <w:rFonts w:ascii="Calibri" w:cs="Calibri" w:eastAsia="Calibri" w:hAnsi="Calibri"/>
                <w:b/>
                <w:bCs/>
                <w:sz w:val="18"/>
                <w:szCs w:val="18"/>
              </w:rPr>
              <w:t xml:space="preserve">Most Common Error</w:t>
            </w:r>
          </w:p>
        </w:tc>
      </w:tr>
      <w:tr>
        <w:tc>
          <w:tcPr>
            <w:tcW w:type="dxa" w:w="1100"/>
          </w:tcPr>
          <w:p>
            <w:pPr>
              <w:jc w:val="center"/>
            </w:pPr>
            <w:r>
              <w:rPr>
                <w:rFonts w:ascii="Calibri" w:cs="Calibri" w:eastAsia="Calibri" w:hAnsi="Calibri"/>
                <w:b w:val="false"/>
                <w:bCs w:val="false"/>
                <w:sz w:val="18"/>
                <w:szCs w:val="18"/>
              </w:rPr>
              <w:t xml:space="preserve">English</w:t>
            </w:r>
          </w:p>
        </w:tc>
        <w:tc>
          <w:tcPr>
            <w:tcW w:type="dxa" w:w="1000"/>
          </w:tcPr>
          <w:p>
            <w:pPr>
              <w:jc w:val="center"/>
            </w:pPr>
            <w:r>
              <w:rPr>
                <w:rFonts w:ascii="Calibri" w:cs="Calibri" w:eastAsia="Calibri" w:hAnsi="Calibri"/>
                <w:b w:val="false"/>
                <w:bCs w:val="false"/>
                <w:sz w:val="18"/>
                <w:szCs w:val="18"/>
              </w:rPr>
              <w:t xml:space="preserve">Clean</w:t>
            </w:r>
          </w:p>
        </w:tc>
        <w:tc>
          <w:tcPr>
            <w:tcW w:type="dxa" w:w="500"/>
          </w:tcPr>
          <w:p>
            <w:pPr>
              <w:jc w:val="center"/>
            </w:pPr>
            <w:r>
              <w:rPr>
                <w:rFonts w:ascii="Calibri" w:cs="Calibri" w:eastAsia="Calibri" w:hAnsi="Calibri"/>
                <w:b w:val="false"/>
                <w:bCs w:val="false"/>
                <w:sz w:val="18"/>
                <w:szCs w:val="18"/>
              </w:rPr>
              <w:t xml:space="preserve">42</w:t>
            </w:r>
          </w:p>
        </w:tc>
        <w:tc>
          <w:tcPr>
            <w:tcW w:type="dxa" w:w="900"/>
          </w:tcPr>
          <w:p>
            <w:pPr>
              <w:jc w:val="center"/>
            </w:pPr>
            <w:r>
              <w:rPr>
                <w:rFonts w:ascii="Calibri" w:cs="Calibri" w:eastAsia="Calibri" w:hAnsi="Calibri"/>
                <w:b w:val="false"/>
                <w:bCs w:val="false"/>
                <w:sz w:val="18"/>
                <w:szCs w:val="18"/>
              </w:rPr>
              <w:t xml:space="preserve">0.022</w:t>
            </w:r>
          </w:p>
        </w:tc>
        <w:tc>
          <w:tcPr>
            <w:tcW w:type="dxa" w:w="950"/>
          </w:tcPr>
          <w:p>
            <w:pPr>
              <w:jc w:val="center"/>
            </w:pPr>
            <w:r>
              <w:rPr>
                <w:rFonts w:ascii="Calibri" w:cs="Calibri" w:eastAsia="Calibri" w:hAnsi="Calibri"/>
                <w:b w:val="false"/>
                <w:bCs w:val="false"/>
                <w:sz w:val="18"/>
                <w:szCs w:val="18"/>
              </w:rPr>
              <w:t xml:space="preserve">0.000</w:t>
            </w:r>
          </w:p>
        </w:tc>
        <w:tc>
          <w:tcPr>
            <w:tcW w:type="dxa" w:w="1350"/>
          </w:tcPr>
          <w:p>
            <w:pPr>
              <w:jc w:val="center"/>
            </w:pPr>
            <w:r>
              <w:rPr>
                <w:rFonts w:ascii="Calibri" w:cs="Calibri" w:eastAsia="Calibri" w:hAnsi="Calibri"/>
                <w:b w:val="false"/>
                <w:bCs w:val="false"/>
                <w:sz w:val="18"/>
                <w:szCs w:val="18"/>
              </w:rPr>
              <w:t xml:space="preserve">675</w:t>
            </w:r>
          </w:p>
        </w:tc>
        <w:tc>
          <w:tcPr>
            <w:tcW w:type="dxa" w:w="600"/>
          </w:tcPr>
          <w:p>
            <w:pPr>
              <w:jc w:val="center"/>
            </w:pPr>
            <w:r>
              <w:rPr>
                <w:rFonts w:ascii="Calibri" w:cs="Calibri" w:eastAsia="Calibri" w:hAnsi="Calibri"/>
                <w:b w:val="false"/>
                <w:bCs w:val="false"/>
                <w:sz w:val="18"/>
                <w:szCs w:val="18"/>
              </w:rPr>
              <w:t xml:space="preserve">4</w:t>
            </w:r>
          </w:p>
        </w:tc>
        <w:tc>
          <w:tcPr>
            <w:tcW w:type="dxa" w:w="600"/>
          </w:tcPr>
          <w:p>
            <w:pPr>
              <w:jc w:val="center"/>
            </w:pPr>
            <w:r>
              <w:rPr>
                <w:rFonts w:ascii="Calibri" w:cs="Calibri" w:eastAsia="Calibri" w:hAnsi="Calibri"/>
                <w:b w:val="false"/>
                <w:bCs w:val="false"/>
                <w:sz w:val="18"/>
                <w:szCs w:val="18"/>
              </w:rPr>
              <w:t xml:space="preserve">3</w:t>
            </w:r>
          </w:p>
        </w:tc>
        <w:tc>
          <w:tcPr>
            <w:tcW w:type="dxa" w:w="600"/>
          </w:tcPr>
          <w:p>
            <w:pPr>
              <w:jc w:val="center"/>
            </w:pPr>
            <w:r>
              <w:rPr>
                <w:rFonts w:ascii="Calibri" w:cs="Calibri" w:eastAsia="Calibri" w:hAnsi="Calibri"/>
                <w:b w:val="false"/>
                <w:bCs w:val="false"/>
                <w:sz w:val="18"/>
                <w:szCs w:val="18"/>
              </w:rPr>
              <w:t xml:space="preserve">2</w:t>
            </w:r>
          </w:p>
        </w:tc>
        <w:tc>
          <w:tcPr>
            <w:tcW w:type="dxa" w:w="1900"/>
          </w:tcPr>
          <w:p>
            <w:pPr>
              <w:jc w:val="center"/>
            </w:pPr>
            <w:r>
              <w:rPr>
                <w:rFonts w:ascii="Calibri" w:cs="Calibri" w:eastAsia="Calibri" w:hAnsi="Calibri"/>
                <w:b w:val="false"/>
                <w:bCs w:val="false"/>
                <w:sz w:val="18"/>
                <w:szCs w:val="18"/>
              </w:rPr>
              <w:t xml:space="preserve">Substitution</w:t>
            </w:r>
          </w:p>
        </w:tc>
      </w:tr>
      <w:tr>
        <w:tc>
          <w:tcPr>
            <w:tcW w:type="dxa" w:w="1100"/>
          </w:tcPr>
          <w:p>
            <w:pPr>
              <w:jc w:val="center"/>
            </w:pPr>
            <w:r>
              <w:rPr>
                <w:rFonts w:ascii="Calibri" w:cs="Calibri" w:eastAsia="Calibri" w:hAnsi="Calibri"/>
                <w:b w:val="false"/>
                <w:bCs w:val="false"/>
                <w:sz w:val="18"/>
                <w:szCs w:val="18"/>
              </w:rPr>
              <w:t xml:space="preserve">English</w:t>
            </w:r>
          </w:p>
        </w:tc>
        <w:tc>
          <w:tcPr>
            <w:tcW w:type="dxa" w:w="1000"/>
          </w:tcPr>
          <w:p>
            <w:pPr>
              <w:jc w:val="center"/>
            </w:pPr>
            <w:r>
              <w:rPr>
                <w:rFonts w:ascii="Calibri" w:cs="Calibri" w:eastAsia="Calibri" w:hAnsi="Calibri"/>
                <w:b w:val="false"/>
                <w:bCs w:val="false"/>
                <w:sz w:val="18"/>
                <w:szCs w:val="18"/>
              </w:rPr>
              <w:t xml:space="preserve">Low</w:t>
            </w:r>
          </w:p>
        </w:tc>
        <w:tc>
          <w:tcPr>
            <w:tcW w:type="dxa" w:w="500"/>
          </w:tcPr>
          <w:p>
            <w:pPr>
              <w:jc w:val="center"/>
            </w:pPr>
            <w:r>
              <w:rPr>
                <w:rFonts w:ascii="Calibri" w:cs="Calibri" w:eastAsia="Calibri" w:hAnsi="Calibri"/>
                <w:b w:val="false"/>
                <w:bCs w:val="false"/>
                <w:sz w:val="18"/>
                <w:szCs w:val="18"/>
              </w:rPr>
              <w:t xml:space="preserve">42</w:t>
            </w:r>
          </w:p>
        </w:tc>
        <w:tc>
          <w:tcPr>
            <w:tcW w:type="dxa" w:w="900"/>
          </w:tcPr>
          <w:p>
            <w:pPr>
              <w:jc w:val="center"/>
            </w:pPr>
            <w:r>
              <w:rPr>
                <w:rFonts w:ascii="Calibri" w:cs="Calibri" w:eastAsia="Calibri" w:hAnsi="Calibri"/>
                <w:b w:val="false"/>
                <w:bCs w:val="false"/>
                <w:sz w:val="18"/>
                <w:szCs w:val="18"/>
              </w:rPr>
              <w:t xml:space="preserve">0.243</w:t>
            </w:r>
          </w:p>
        </w:tc>
        <w:tc>
          <w:tcPr>
            <w:tcW w:type="dxa" w:w="950"/>
          </w:tcPr>
          <w:p>
            <w:pPr>
              <w:jc w:val="center"/>
            </w:pPr>
            <w:r>
              <w:rPr>
                <w:rFonts w:ascii="Calibri" w:cs="Calibri" w:eastAsia="Calibri" w:hAnsi="Calibri"/>
                <w:b w:val="false"/>
                <w:bCs w:val="false"/>
                <w:sz w:val="18"/>
                <w:szCs w:val="18"/>
              </w:rPr>
              <w:t xml:space="preserve">0.200</w:t>
            </w:r>
          </w:p>
        </w:tc>
        <w:tc>
          <w:tcPr>
            <w:tcW w:type="dxa" w:w="1350"/>
          </w:tcPr>
          <w:p>
            <w:pPr>
              <w:jc w:val="center"/>
            </w:pPr>
            <w:r>
              <w:rPr>
                <w:rFonts w:ascii="Calibri" w:cs="Calibri" w:eastAsia="Calibri" w:hAnsi="Calibri"/>
                <w:b w:val="false"/>
                <w:bCs w:val="false"/>
                <w:sz w:val="18"/>
                <w:szCs w:val="18"/>
              </w:rPr>
              <w:t xml:space="preserve">879</w:t>
            </w:r>
          </w:p>
        </w:tc>
        <w:tc>
          <w:tcPr>
            <w:tcW w:type="dxa" w:w="600"/>
          </w:tcPr>
          <w:p>
            <w:pPr>
              <w:jc w:val="center"/>
            </w:pPr>
            <w:r>
              <w:rPr>
                <w:rFonts w:ascii="Calibri" w:cs="Calibri" w:eastAsia="Calibri" w:hAnsi="Calibri"/>
                <w:b w:val="false"/>
                <w:bCs w:val="false"/>
                <w:sz w:val="18"/>
                <w:szCs w:val="18"/>
              </w:rPr>
              <w:t xml:space="preserve">31</w:t>
            </w:r>
          </w:p>
        </w:tc>
        <w:tc>
          <w:tcPr>
            <w:tcW w:type="dxa" w:w="600"/>
          </w:tcPr>
          <w:p>
            <w:pPr>
              <w:jc w:val="center"/>
            </w:pPr>
            <w:r>
              <w:rPr>
                <w:rFonts w:ascii="Calibri" w:cs="Calibri" w:eastAsia="Calibri" w:hAnsi="Calibri"/>
                <w:b w:val="false"/>
                <w:bCs w:val="false"/>
                <w:sz w:val="18"/>
                <w:szCs w:val="18"/>
              </w:rPr>
              <w:t xml:space="preserve">19</w:t>
            </w:r>
          </w:p>
        </w:tc>
        <w:tc>
          <w:tcPr>
            <w:tcW w:type="dxa" w:w="600"/>
          </w:tcPr>
          <w:p>
            <w:pPr>
              <w:jc w:val="center"/>
            </w:pPr>
            <w:r>
              <w:rPr>
                <w:rFonts w:ascii="Calibri" w:cs="Calibri" w:eastAsia="Calibri" w:hAnsi="Calibri"/>
                <w:b w:val="false"/>
                <w:bCs w:val="false"/>
                <w:sz w:val="18"/>
                <w:szCs w:val="18"/>
              </w:rPr>
              <w:t xml:space="preserve">10</w:t>
            </w:r>
          </w:p>
        </w:tc>
        <w:tc>
          <w:tcPr>
            <w:tcW w:type="dxa" w:w="1900"/>
          </w:tcPr>
          <w:p>
            <w:pPr>
              <w:jc w:val="center"/>
            </w:pPr>
            <w:r>
              <w:rPr>
                <w:rFonts w:ascii="Calibri" w:cs="Calibri" w:eastAsia="Calibri" w:hAnsi="Calibri"/>
                <w:b w:val="false"/>
                <w:bCs w:val="false"/>
                <w:sz w:val="18"/>
                <w:szCs w:val="18"/>
              </w:rPr>
              <w:t xml:space="preserve">Substitution</w:t>
            </w:r>
          </w:p>
        </w:tc>
      </w:tr>
      <w:tr>
        <w:tc>
          <w:tcPr>
            <w:tcW w:type="dxa" w:w="1100"/>
          </w:tcPr>
          <w:p>
            <w:pPr>
              <w:jc w:val="center"/>
            </w:pPr>
            <w:r>
              <w:rPr>
                <w:rFonts w:ascii="Calibri" w:cs="Calibri" w:eastAsia="Calibri" w:hAnsi="Calibri"/>
                <w:b w:val="false"/>
                <w:bCs w:val="false"/>
                <w:sz w:val="18"/>
                <w:szCs w:val="18"/>
              </w:rPr>
              <w:t xml:space="preserve">English</w:t>
            </w:r>
          </w:p>
        </w:tc>
        <w:tc>
          <w:tcPr>
            <w:tcW w:type="dxa" w:w="1000"/>
          </w:tcPr>
          <w:p>
            <w:pPr>
              <w:jc w:val="center"/>
            </w:pPr>
            <w:r>
              <w:rPr>
                <w:rFonts w:ascii="Calibri" w:cs="Calibri" w:eastAsia="Calibri" w:hAnsi="Calibri"/>
                <w:b w:val="false"/>
                <w:bCs w:val="false"/>
                <w:sz w:val="18"/>
                <w:szCs w:val="18"/>
              </w:rPr>
              <w:t xml:space="preserve">Moderate</w:t>
            </w:r>
          </w:p>
        </w:tc>
        <w:tc>
          <w:tcPr>
            <w:tcW w:type="dxa" w:w="500"/>
          </w:tcPr>
          <w:p>
            <w:pPr>
              <w:jc w:val="center"/>
            </w:pPr>
            <w:r>
              <w:rPr>
                <w:rFonts w:ascii="Calibri" w:cs="Calibri" w:eastAsia="Calibri" w:hAnsi="Calibri"/>
                <w:b w:val="false"/>
                <w:bCs w:val="false"/>
                <w:sz w:val="18"/>
                <w:szCs w:val="18"/>
              </w:rPr>
              <w:t xml:space="preserve">42</w:t>
            </w:r>
          </w:p>
        </w:tc>
        <w:tc>
          <w:tcPr>
            <w:tcW w:type="dxa" w:w="900"/>
          </w:tcPr>
          <w:p>
            <w:pPr>
              <w:jc w:val="center"/>
            </w:pPr>
            <w:r>
              <w:rPr>
                <w:rFonts w:ascii="Calibri" w:cs="Calibri" w:eastAsia="Calibri" w:hAnsi="Calibri"/>
                <w:b w:val="false"/>
                <w:bCs w:val="false"/>
                <w:sz w:val="18"/>
                <w:szCs w:val="18"/>
              </w:rPr>
              <w:t xml:space="preserve">0.378</w:t>
            </w:r>
          </w:p>
        </w:tc>
        <w:tc>
          <w:tcPr>
            <w:tcW w:type="dxa" w:w="950"/>
          </w:tcPr>
          <w:p>
            <w:pPr>
              <w:jc w:val="center"/>
            </w:pPr>
            <w:r>
              <w:rPr>
                <w:rFonts w:ascii="Calibri" w:cs="Calibri" w:eastAsia="Calibri" w:hAnsi="Calibri"/>
                <w:b w:val="false"/>
                <w:bCs w:val="false"/>
                <w:sz w:val="18"/>
                <w:szCs w:val="18"/>
              </w:rPr>
              <w:t xml:space="preserve">0.333</w:t>
            </w:r>
          </w:p>
        </w:tc>
        <w:tc>
          <w:tcPr>
            <w:tcW w:type="dxa" w:w="1350"/>
          </w:tcPr>
          <w:p>
            <w:pPr>
              <w:jc w:val="center"/>
            </w:pPr>
            <w:r>
              <w:rPr>
                <w:rFonts w:ascii="Calibri" w:cs="Calibri" w:eastAsia="Calibri" w:hAnsi="Calibri"/>
                <w:b w:val="false"/>
                <w:bCs w:val="false"/>
                <w:sz w:val="18"/>
                <w:szCs w:val="18"/>
              </w:rPr>
              <w:t xml:space="preserve">1099</w:t>
            </w:r>
          </w:p>
        </w:tc>
        <w:tc>
          <w:tcPr>
            <w:tcW w:type="dxa" w:w="600"/>
          </w:tcPr>
          <w:p>
            <w:pPr>
              <w:jc w:val="center"/>
            </w:pPr>
            <w:r>
              <w:rPr>
                <w:rFonts w:ascii="Calibri" w:cs="Calibri" w:eastAsia="Calibri" w:hAnsi="Calibri"/>
                <w:b w:val="false"/>
                <w:bCs w:val="false"/>
                <w:sz w:val="18"/>
                <w:szCs w:val="18"/>
              </w:rPr>
              <w:t xml:space="preserve">33</w:t>
            </w:r>
          </w:p>
        </w:tc>
        <w:tc>
          <w:tcPr>
            <w:tcW w:type="dxa" w:w="600"/>
          </w:tcPr>
          <w:p>
            <w:pPr>
              <w:jc w:val="center"/>
            </w:pPr>
            <w:r>
              <w:rPr>
                <w:rFonts w:ascii="Calibri" w:cs="Calibri" w:eastAsia="Calibri" w:hAnsi="Calibri"/>
                <w:b w:val="false"/>
                <w:bCs w:val="false"/>
                <w:sz w:val="18"/>
                <w:szCs w:val="18"/>
              </w:rPr>
              <w:t xml:space="preserve">27</w:t>
            </w:r>
          </w:p>
        </w:tc>
        <w:tc>
          <w:tcPr>
            <w:tcW w:type="dxa" w:w="600"/>
          </w:tcPr>
          <w:p>
            <w:pPr>
              <w:jc w:val="center"/>
            </w:pPr>
            <w:r>
              <w:rPr>
                <w:rFonts w:ascii="Calibri" w:cs="Calibri" w:eastAsia="Calibri" w:hAnsi="Calibri"/>
                <w:b w:val="false"/>
                <w:bCs w:val="false"/>
                <w:sz w:val="18"/>
                <w:szCs w:val="18"/>
              </w:rPr>
              <w:t xml:space="preserve">22</w:t>
            </w:r>
          </w:p>
        </w:tc>
        <w:tc>
          <w:tcPr>
            <w:tcW w:type="dxa" w:w="1900"/>
          </w:tcPr>
          <w:p>
            <w:pPr>
              <w:jc w:val="center"/>
            </w:pPr>
            <w:r>
              <w:rPr>
                <w:rFonts w:ascii="Calibri" w:cs="Calibri" w:eastAsia="Calibri" w:hAnsi="Calibri"/>
                <w:b w:val="false"/>
                <w:bCs w:val="false"/>
                <w:sz w:val="18"/>
                <w:szCs w:val="18"/>
              </w:rPr>
              <w:t xml:space="preserve">Substitution</w:t>
            </w:r>
          </w:p>
        </w:tc>
      </w:tr>
      <w:tr>
        <w:tc>
          <w:tcPr>
            <w:tcW w:type="dxa" w:w="1100"/>
          </w:tcPr>
          <w:p>
            <w:pPr>
              <w:jc w:val="center"/>
            </w:pPr>
            <w:r>
              <w:rPr>
                <w:rFonts w:ascii="Calibri" w:cs="Calibri" w:eastAsia="Calibri" w:hAnsi="Calibri"/>
                <w:b w:val="false"/>
                <w:bCs w:val="false"/>
                <w:sz w:val="18"/>
                <w:szCs w:val="18"/>
              </w:rPr>
              <w:t xml:space="preserve">English</w:t>
            </w:r>
          </w:p>
        </w:tc>
        <w:tc>
          <w:tcPr>
            <w:tcW w:type="dxa" w:w="1000"/>
          </w:tcPr>
          <w:p>
            <w:pPr>
              <w:jc w:val="center"/>
            </w:pPr>
            <w:r>
              <w:rPr>
                <w:rFonts w:ascii="Calibri" w:cs="Calibri" w:eastAsia="Calibri" w:hAnsi="Calibri"/>
                <w:b w:val="false"/>
                <w:bCs w:val="false"/>
                <w:sz w:val="18"/>
                <w:szCs w:val="18"/>
              </w:rPr>
              <w:t xml:space="preserve">High</w:t>
            </w:r>
          </w:p>
        </w:tc>
        <w:tc>
          <w:tcPr>
            <w:tcW w:type="dxa" w:w="500"/>
          </w:tcPr>
          <w:p>
            <w:pPr>
              <w:jc w:val="center"/>
            </w:pPr>
            <w:r>
              <w:rPr>
                <w:rFonts w:ascii="Calibri" w:cs="Calibri" w:eastAsia="Calibri" w:hAnsi="Calibri"/>
                <w:b w:val="false"/>
                <w:bCs w:val="false"/>
                <w:sz w:val="18"/>
                <w:szCs w:val="18"/>
              </w:rPr>
              <w:t xml:space="preserve">42</w:t>
            </w:r>
          </w:p>
        </w:tc>
        <w:tc>
          <w:tcPr>
            <w:tcW w:type="dxa" w:w="900"/>
          </w:tcPr>
          <w:p>
            <w:pPr>
              <w:jc w:val="center"/>
            </w:pPr>
            <w:r>
              <w:rPr>
                <w:rFonts w:ascii="Calibri" w:cs="Calibri" w:eastAsia="Calibri" w:hAnsi="Calibri"/>
                <w:b w:val="false"/>
                <w:bCs w:val="false"/>
                <w:sz w:val="18"/>
                <w:szCs w:val="18"/>
              </w:rPr>
              <w:t xml:space="preserve">0.555</w:t>
            </w:r>
          </w:p>
        </w:tc>
        <w:tc>
          <w:tcPr>
            <w:tcW w:type="dxa" w:w="950"/>
          </w:tcPr>
          <w:p>
            <w:pPr>
              <w:jc w:val="center"/>
            </w:pPr>
            <w:r>
              <w:rPr>
                <w:rFonts w:ascii="Calibri" w:cs="Calibri" w:eastAsia="Calibri" w:hAnsi="Calibri"/>
                <w:b w:val="false"/>
                <w:bCs w:val="false"/>
                <w:sz w:val="18"/>
                <w:szCs w:val="18"/>
              </w:rPr>
              <w:t xml:space="preserve">0.433</w:t>
            </w:r>
          </w:p>
        </w:tc>
        <w:tc>
          <w:tcPr>
            <w:tcW w:type="dxa" w:w="1350"/>
          </w:tcPr>
          <w:p>
            <w:pPr>
              <w:jc w:val="center"/>
            </w:pPr>
            <w:r>
              <w:rPr>
                <w:rFonts w:ascii="Calibri" w:cs="Calibri" w:eastAsia="Calibri" w:hAnsi="Calibri"/>
                <w:b w:val="false"/>
                <w:bCs w:val="false"/>
                <w:sz w:val="18"/>
                <w:szCs w:val="18"/>
              </w:rPr>
              <w:t xml:space="preserve">1424</w:t>
            </w:r>
          </w:p>
        </w:tc>
        <w:tc>
          <w:tcPr>
            <w:tcW w:type="dxa" w:w="600"/>
          </w:tcPr>
          <w:p>
            <w:pPr>
              <w:jc w:val="center"/>
            </w:pPr>
            <w:r>
              <w:rPr>
                <w:rFonts w:ascii="Calibri" w:cs="Calibri" w:eastAsia="Calibri" w:hAnsi="Calibri"/>
                <w:b w:val="false"/>
                <w:bCs w:val="false"/>
                <w:sz w:val="18"/>
                <w:szCs w:val="18"/>
              </w:rPr>
              <w:t xml:space="preserve">57</w:t>
            </w:r>
          </w:p>
        </w:tc>
        <w:tc>
          <w:tcPr>
            <w:tcW w:type="dxa" w:w="600"/>
          </w:tcPr>
          <w:p>
            <w:pPr>
              <w:jc w:val="center"/>
            </w:pPr>
            <w:r>
              <w:rPr>
                <w:rFonts w:ascii="Calibri" w:cs="Calibri" w:eastAsia="Calibri" w:hAnsi="Calibri"/>
                <w:b w:val="false"/>
                <w:bCs w:val="false"/>
                <w:sz w:val="18"/>
                <w:szCs w:val="18"/>
              </w:rPr>
              <w:t xml:space="preserve">26</w:t>
            </w:r>
          </w:p>
        </w:tc>
        <w:tc>
          <w:tcPr>
            <w:tcW w:type="dxa" w:w="600"/>
          </w:tcPr>
          <w:p>
            <w:pPr>
              <w:jc w:val="center"/>
            </w:pPr>
            <w:r>
              <w:rPr>
                <w:rFonts w:ascii="Calibri" w:cs="Calibri" w:eastAsia="Calibri" w:hAnsi="Calibri"/>
                <w:b w:val="false"/>
                <w:bCs w:val="false"/>
                <w:sz w:val="18"/>
                <w:szCs w:val="18"/>
              </w:rPr>
              <w:t xml:space="preserve">30</w:t>
            </w:r>
          </w:p>
        </w:tc>
        <w:tc>
          <w:tcPr>
            <w:tcW w:type="dxa" w:w="1900"/>
          </w:tcPr>
          <w:p>
            <w:pPr>
              <w:jc w:val="center"/>
            </w:pPr>
            <w:r>
              <w:rPr>
                <w:rFonts w:ascii="Calibri" w:cs="Calibri" w:eastAsia="Calibri" w:hAnsi="Calibri"/>
                <w:b w:val="false"/>
                <w:bCs w:val="false"/>
                <w:sz w:val="18"/>
                <w:szCs w:val="18"/>
              </w:rPr>
              <w:t xml:space="preserve">Substitution</w:t>
            </w:r>
          </w:p>
        </w:tc>
      </w:tr>
      <w:tr>
        <w:tc>
          <w:tcPr>
            <w:tcW w:type="dxa" w:w="1100"/>
          </w:tcPr>
          <w:p>
            <w:pPr>
              <w:jc w:val="center"/>
            </w:pPr>
            <w:r>
              <w:rPr>
                <w:rFonts w:ascii="Calibri" w:cs="Calibri" w:eastAsia="Calibri" w:hAnsi="Calibri"/>
                <w:b w:val="false"/>
                <w:bCs w:val="false"/>
                <w:sz w:val="18"/>
                <w:szCs w:val="18"/>
              </w:rPr>
              <w:t xml:space="preserve">Korean</w:t>
            </w:r>
          </w:p>
        </w:tc>
        <w:tc>
          <w:tcPr>
            <w:tcW w:type="dxa" w:w="1000"/>
          </w:tcPr>
          <w:p>
            <w:pPr>
              <w:jc w:val="center"/>
            </w:pPr>
            <w:r>
              <w:rPr>
                <w:rFonts w:ascii="Calibri" w:cs="Calibri" w:eastAsia="Calibri" w:hAnsi="Calibri"/>
                <w:b w:val="false"/>
                <w:bCs w:val="false"/>
                <w:sz w:val="18"/>
                <w:szCs w:val="18"/>
              </w:rPr>
              <w:t xml:space="preserve">Clean</w:t>
            </w:r>
          </w:p>
        </w:tc>
        <w:tc>
          <w:tcPr>
            <w:tcW w:type="dxa" w:w="500"/>
          </w:tcPr>
          <w:p>
            <w:pPr>
              <w:jc w:val="center"/>
            </w:pPr>
            <w:r>
              <w:rPr>
                <w:rFonts w:ascii="Calibri" w:cs="Calibri" w:eastAsia="Calibri" w:hAnsi="Calibri"/>
                <w:b w:val="false"/>
                <w:bCs w:val="false"/>
                <w:sz w:val="18"/>
                <w:szCs w:val="18"/>
              </w:rPr>
              <w:t xml:space="preserve">42</w:t>
            </w:r>
          </w:p>
        </w:tc>
        <w:tc>
          <w:tcPr>
            <w:tcW w:type="dxa" w:w="900"/>
          </w:tcPr>
          <w:p>
            <w:pPr>
              <w:jc w:val="center"/>
            </w:pPr>
            <w:r>
              <w:rPr>
                <w:rFonts w:ascii="Calibri" w:cs="Calibri" w:eastAsia="Calibri" w:hAnsi="Calibri"/>
                <w:b w:val="false"/>
                <w:bCs w:val="false"/>
                <w:sz w:val="18"/>
                <w:szCs w:val="18"/>
              </w:rPr>
              <w:t xml:space="preserve">0.097</w:t>
            </w:r>
          </w:p>
        </w:tc>
        <w:tc>
          <w:tcPr>
            <w:tcW w:type="dxa" w:w="950"/>
          </w:tcPr>
          <w:p>
            <w:pPr>
              <w:jc w:val="center"/>
            </w:pPr>
            <w:r>
              <w:rPr>
                <w:rFonts w:ascii="Calibri" w:cs="Calibri" w:eastAsia="Calibri" w:hAnsi="Calibri"/>
                <w:b w:val="false"/>
                <w:bCs w:val="false"/>
                <w:sz w:val="18"/>
                <w:szCs w:val="18"/>
              </w:rPr>
              <w:t xml:space="preserve">0.000</w:t>
            </w:r>
          </w:p>
        </w:tc>
        <w:tc>
          <w:tcPr>
            <w:tcW w:type="dxa" w:w="1350"/>
          </w:tcPr>
          <w:p>
            <w:pPr>
              <w:jc w:val="center"/>
            </w:pPr>
            <w:r>
              <w:rPr>
                <w:rFonts w:ascii="Calibri" w:cs="Calibri" w:eastAsia="Calibri" w:hAnsi="Calibri"/>
                <w:b w:val="false"/>
                <w:bCs w:val="false"/>
                <w:sz w:val="18"/>
                <w:szCs w:val="18"/>
              </w:rPr>
              <w:t xml:space="preserve">666</w:t>
            </w:r>
          </w:p>
        </w:tc>
        <w:tc>
          <w:tcPr>
            <w:tcW w:type="dxa" w:w="600"/>
          </w:tcPr>
          <w:p>
            <w:pPr>
              <w:jc w:val="center"/>
            </w:pPr>
            <w:r>
              <w:rPr>
                <w:rFonts w:ascii="Calibri" w:cs="Calibri" w:eastAsia="Calibri" w:hAnsi="Calibri"/>
                <w:b w:val="false"/>
                <w:bCs w:val="false"/>
                <w:sz w:val="18"/>
                <w:szCs w:val="18"/>
              </w:rPr>
              <w:t xml:space="preserve">13</w:t>
            </w:r>
          </w:p>
        </w:tc>
        <w:tc>
          <w:tcPr>
            <w:tcW w:type="dxa" w:w="600"/>
          </w:tcPr>
          <w:p>
            <w:pPr>
              <w:jc w:val="center"/>
            </w:pPr>
            <w:r>
              <w:rPr>
                <w:rFonts w:ascii="Calibri" w:cs="Calibri" w:eastAsia="Calibri" w:hAnsi="Calibri"/>
                <w:b w:val="false"/>
                <w:bCs w:val="false"/>
                <w:sz w:val="18"/>
                <w:szCs w:val="18"/>
              </w:rPr>
              <w:t xml:space="preserve">3</w:t>
            </w:r>
          </w:p>
        </w:tc>
        <w:tc>
          <w:tcPr>
            <w:tcW w:type="dxa" w:w="600"/>
          </w:tcPr>
          <w:p>
            <w:pPr>
              <w:jc w:val="center"/>
            </w:pPr>
            <w:r>
              <w:rPr>
                <w:rFonts w:ascii="Calibri" w:cs="Calibri" w:eastAsia="Calibri" w:hAnsi="Calibri"/>
                <w:b w:val="false"/>
                <w:bCs w:val="false"/>
                <w:sz w:val="18"/>
                <w:szCs w:val="18"/>
              </w:rPr>
              <w:t xml:space="preserve">7</w:t>
            </w:r>
          </w:p>
        </w:tc>
        <w:tc>
          <w:tcPr>
            <w:tcW w:type="dxa" w:w="1900"/>
          </w:tcPr>
          <w:p>
            <w:pPr>
              <w:jc w:val="center"/>
            </w:pPr>
            <w:r>
              <w:rPr>
                <w:rFonts w:ascii="Calibri" w:cs="Calibri" w:eastAsia="Calibri" w:hAnsi="Calibri"/>
                <w:b w:val="false"/>
                <w:bCs w:val="false"/>
                <w:sz w:val="18"/>
                <w:szCs w:val="18"/>
              </w:rPr>
              <w:t xml:space="preserve">Substitution</w:t>
            </w:r>
          </w:p>
        </w:tc>
      </w:tr>
      <w:tr>
        <w:tc>
          <w:tcPr>
            <w:tcW w:type="dxa" w:w="1100"/>
          </w:tcPr>
          <w:p>
            <w:pPr>
              <w:jc w:val="center"/>
            </w:pPr>
            <w:r>
              <w:rPr>
                <w:rFonts w:ascii="Calibri" w:cs="Calibri" w:eastAsia="Calibri" w:hAnsi="Calibri"/>
                <w:b w:val="false"/>
                <w:bCs w:val="false"/>
                <w:sz w:val="18"/>
                <w:szCs w:val="18"/>
              </w:rPr>
              <w:t xml:space="preserve">Korean</w:t>
            </w:r>
          </w:p>
        </w:tc>
        <w:tc>
          <w:tcPr>
            <w:tcW w:type="dxa" w:w="1000"/>
          </w:tcPr>
          <w:p>
            <w:pPr>
              <w:jc w:val="center"/>
            </w:pPr>
            <w:r>
              <w:rPr>
                <w:rFonts w:ascii="Calibri" w:cs="Calibri" w:eastAsia="Calibri" w:hAnsi="Calibri"/>
                <w:b w:val="false"/>
                <w:bCs w:val="false"/>
                <w:sz w:val="18"/>
                <w:szCs w:val="18"/>
              </w:rPr>
              <w:t xml:space="preserve">Low</w:t>
            </w:r>
          </w:p>
        </w:tc>
        <w:tc>
          <w:tcPr>
            <w:tcW w:type="dxa" w:w="500"/>
          </w:tcPr>
          <w:p>
            <w:pPr>
              <w:jc w:val="center"/>
            </w:pPr>
            <w:r>
              <w:rPr>
                <w:rFonts w:ascii="Calibri" w:cs="Calibri" w:eastAsia="Calibri" w:hAnsi="Calibri"/>
                <w:b w:val="false"/>
                <w:bCs w:val="false"/>
                <w:sz w:val="18"/>
                <w:szCs w:val="18"/>
              </w:rPr>
              <w:t xml:space="preserve">42</w:t>
            </w:r>
          </w:p>
        </w:tc>
        <w:tc>
          <w:tcPr>
            <w:tcW w:type="dxa" w:w="900"/>
          </w:tcPr>
          <w:p>
            <w:pPr>
              <w:jc w:val="center"/>
            </w:pPr>
            <w:r>
              <w:rPr>
                <w:rFonts w:ascii="Calibri" w:cs="Calibri" w:eastAsia="Calibri" w:hAnsi="Calibri"/>
                <w:b w:val="false"/>
                <w:bCs w:val="false"/>
                <w:sz w:val="18"/>
                <w:szCs w:val="18"/>
              </w:rPr>
              <w:t xml:space="preserve">0.265</w:t>
            </w:r>
          </w:p>
        </w:tc>
        <w:tc>
          <w:tcPr>
            <w:tcW w:type="dxa" w:w="950"/>
          </w:tcPr>
          <w:p>
            <w:pPr>
              <w:jc w:val="center"/>
            </w:pPr>
            <w:r>
              <w:rPr>
                <w:rFonts w:ascii="Calibri" w:cs="Calibri" w:eastAsia="Calibri" w:hAnsi="Calibri"/>
                <w:b w:val="false"/>
                <w:bCs w:val="false"/>
                <w:sz w:val="18"/>
                <w:szCs w:val="18"/>
              </w:rPr>
              <w:t xml:space="preserve">0.250</w:t>
            </w:r>
          </w:p>
        </w:tc>
        <w:tc>
          <w:tcPr>
            <w:tcW w:type="dxa" w:w="1350"/>
          </w:tcPr>
          <w:p>
            <w:pPr>
              <w:jc w:val="center"/>
            </w:pPr>
            <w:r>
              <w:rPr>
                <w:rFonts w:ascii="Calibri" w:cs="Calibri" w:eastAsia="Calibri" w:hAnsi="Calibri"/>
                <w:b w:val="false"/>
                <w:bCs w:val="false"/>
                <w:sz w:val="18"/>
                <w:szCs w:val="18"/>
              </w:rPr>
              <w:t xml:space="preserve">857</w:t>
            </w:r>
          </w:p>
        </w:tc>
        <w:tc>
          <w:tcPr>
            <w:tcW w:type="dxa" w:w="600"/>
          </w:tcPr>
          <w:p>
            <w:pPr>
              <w:jc w:val="center"/>
            </w:pPr>
            <w:r>
              <w:rPr>
                <w:rFonts w:ascii="Calibri" w:cs="Calibri" w:eastAsia="Calibri" w:hAnsi="Calibri"/>
                <w:b w:val="false"/>
                <w:bCs w:val="false"/>
                <w:sz w:val="18"/>
                <w:szCs w:val="18"/>
              </w:rPr>
              <w:t xml:space="preserve">25</w:t>
            </w:r>
          </w:p>
        </w:tc>
        <w:tc>
          <w:tcPr>
            <w:tcW w:type="dxa" w:w="600"/>
          </w:tcPr>
          <w:p>
            <w:pPr>
              <w:jc w:val="center"/>
            </w:pPr>
            <w:r>
              <w:rPr>
                <w:rFonts w:ascii="Calibri" w:cs="Calibri" w:eastAsia="Calibri" w:hAnsi="Calibri"/>
                <w:b w:val="false"/>
                <w:bCs w:val="false"/>
                <w:sz w:val="18"/>
                <w:szCs w:val="18"/>
              </w:rPr>
              <w:t xml:space="preserve">12</w:t>
            </w:r>
          </w:p>
        </w:tc>
        <w:tc>
          <w:tcPr>
            <w:tcW w:type="dxa" w:w="600"/>
          </w:tcPr>
          <w:p>
            <w:pPr>
              <w:jc w:val="center"/>
            </w:pPr>
            <w:r>
              <w:rPr>
                <w:rFonts w:ascii="Calibri" w:cs="Calibri" w:eastAsia="Calibri" w:hAnsi="Calibri"/>
                <w:b w:val="false"/>
                <w:bCs w:val="false"/>
                <w:sz w:val="18"/>
                <w:szCs w:val="18"/>
              </w:rPr>
              <w:t xml:space="preserve">9</w:t>
            </w:r>
          </w:p>
        </w:tc>
        <w:tc>
          <w:tcPr>
            <w:tcW w:type="dxa" w:w="1900"/>
          </w:tcPr>
          <w:p>
            <w:pPr>
              <w:jc w:val="center"/>
            </w:pPr>
            <w:r>
              <w:rPr>
                <w:rFonts w:ascii="Calibri" w:cs="Calibri" w:eastAsia="Calibri" w:hAnsi="Calibri"/>
                <w:b w:val="false"/>
                <w:bCs w:val="false"/>
                <w:sz w:val="18"/>
                <w:szCs w:val="18"/>
              </w:rPr>
              <w:t xml:space="preserve">Substitution</w:t>
            </w:r>
          </w:p>
        </w:tc>
      </w:tr>
      <w:tr>
        <w:tc>
          <w:tcPr>
            <w:tcW w:type="dxa" w:w="1100"/>
          </w:tcPr>
          <w:p>
            <w:pPr>
              <w:jc w:val="center"/>
            </w:pPr>
            <w:r>
              <w:rPr>
                <w:rFonts w:ascii="Calibri" w:cs="Calibri" w:eastAsia="Calibri" w:hAnsi="Calibri"/>
                <w:b w:val="false"/>
                <w:bCs w:val="false"/>
                <w:sz w:val="18"/>
                <w:szCs w:val="18"/>
              </w:rPr>
              <w:t xml:space="preserve">Korean</w:t>
            </w:r>
          </w:p>
        </w:tc>
        <w:tc>
          <w:tcPr>
            <w:tcW w:type="dxa" w:w="1000"/>
          </w:tcPr>
          <w:p>
            <w:pPr>
              <w:jc w:val="center"/>
            </w:pPr>
            <w:r>
              <w:rPr>
                <w:rFonts w:ascii="Calibri" w:cs="Calibri" w:eastAsia="Calibri" w:hAnsi="Calibri"/>
                <w:b w:val="false"/>
                <w:bCs w:val="false"/>
                <w:sz w:val="18"/>
                <w:szCs w:val="18"/>
              </w:rPr>
              <w:t xml:space="preserve">Moderate</w:t>
            </w:r>
          </w:p>
        </w:tc>
        <w:tc>
          <w:tcPr>
            <w:tcW w:type="dxa" w:w="500"/>
          </w:tcPr>
          <w:p>
            <w:pPr>
              <w:jc w:val="center"/>
            </w:pPr>
            <w:r>
              <w:rPr>
                <w:rFonts w:ascii="Calibri" w:cs="Calibri" w:eastAsia="Calibri" w:hAnsi="Calibri"/>
                <w:b w:val="false"/>
                <w:bCs w:val="false"/>
                <w:sz w:val="18"/>
                <w:szCs w:val="18"/>
              </w:rPr>
              <w:t xml:space="preserve">42</w:t>
            </w:r>
          </w:p>
        </w:tc>
        <w:tc>
          <w:tcPr>
            <w:tcW w:type="dxa" w:w="900"/>
          </w:tcPr>
          <w:p>
            <w:pPr>
              <w:jc w:val="center"/>
            </w:pPr>
            <w:r>
              <w:rPr>
                <w:rFonts w:ascii="Calibri" w:cs="Calibri" w:eastAsia="Calibri" w:hAnsi="Calibri"/>
                <w:b w:val="false"/>
                <w:bCs w:val="false"/>
                <w:sz w:val="18"/>
                <w:szCs w:val="18"/>
              </w:rPr>
              <w:t xml:space="preserve">0.507</w:t>
            </w:r>
          </w:p>
        </w:tc>
        <w:tc>
          <w:tcPr>
            <w:tcW w:type="dxa" w:w="950"/>
          </w:tcPr>
          <w:p>
            <w:pPr>
              <w:jc w:val="center"/>
            </w:pPr>
            <w:r>
              <w:rPr>
                <w:rFonts w:ascii="Calibri" w:cs="Calibri" w:eastAsia="Calibri" w:hAnsi="Calibri"/>
                <w:b w:val="false"/>
                <w:bCs w:val="false"/>
                <w:sz w:val="18"/>
                <w:szCs w:val="18"/>
              </w:rPr>
              <w:t xml:space="preserve">0.417</w:t>
            </w:r>
          </w:p>
        </w:tc>
        <w:tc>
          <w:tcPr>
            <w:tcW w:type="dxa" w:w="1350"/>
          </w:tcPr>
          <w:p>
            <w:pPr>
              <w:jc w:val="center"/>
            </w:pPr>
            <w:r>
              <w:rPr>
                <w:rFonts w:ascii="Calibri" w:cs="Calibri" w:eastAsia="Calibri" w:hAnsi="Calibri"/>
                <w:b w:val="false"/>
                <w:bCs w:val="false"/>
                <w:sz w:val="18"/>
                <w:szCs w:val="18"/>
              </w:rPr>
              <w:t xml:space="preserve">1063</w:t>
            </w:r>
          </w:p>
        </w:tc>
        <w:tc>
          <w:tcPr>
            <w:tcW w:type="dxa" w:w="600"/>
          </w:tcPr>
          <w:p>
            <w:pPr>
              <w:jc w:val="center"/>
            </w:pPr>
            <w:r>
              <w:rPr>
                <w:rFonts w:ascii="Calibri" w:cs="Calibri" w:eastAsia="Calibri" w:hAnsi="Calibri"/>
                <w:b w:val="false"/>
                <w:bCs w:val="false"/>
                <w:sz w:val="18"/>
                <w:szCs w:val="18"/>
              </w:rPr>
              <w:t xml:space="preserve">32</w:t>
            </w:r>
          </w:p>
        </w:tc>
        <w:tc>
          <w:tcPr>
            <w:tcW w:type="dxa" w:w="600"/>
          </w:tcPr>
          <w:p>
            <w:pPr>
              <w:jc w:val="center"/>
            </w:pPr>
            <w:r>
              <w:rPr>
                <w:rFonts w:ascii="Calibri" w:cs="Calibri" w:eastAsia="Calibri" w:hAnsi="Calibri"/>
                <w:b w:val="false"/>
                <w:bCs w:val="false"/>
                <w:sz w:val="18"/>
                <w:szCs w:val="18"/>
              </w:rPr>
              <w:t xml:space="preserve">20</w:t>
            </w:r>
          </w:p>
        </w:tc>
        <w:tc>
          <w:tcPr>
            <w:tcW w:type="dxa" w:w="600"/>
          </w:tcPr>
          <w:p>
            <w:pPr>
              <w:jc w:val="center"/>
            </w:pPr>
            <w:r>
              <w:rPr>
                <w:rFonts w:ascii="Calibri" w:cs="Calibri" w:eastAsia="Calibri" w:hAnsi="Calibri"/>
                <w:b w:val="false"/>
                <w:bCs w:val="false"/>
                <w:sz w:val="18"/>
                <w:szCs w:val="18"/>
              </w:rPr>
              <w:t xml:space="preserve">18</w:t>
            </w:r>
          </w:p>
        </w:tc>
        <w:tc>
          <w:tcPr>
            <w:tcW w:type="dxa" w:w="1900"/>
          </w:tcPr>
          <w:p>
            <w:pPr>
              <w:jc w:val="center"/>
            </w:pPr>
            <w:r>
              <w:rPr>
                <w:rFonts w:ascii="Calibri" w:cs="Calibri" w:eastAsia="Calibri" w:hAnsi="Calibri"/>
                <w:b w:val="false"/>
                <w:bCs w:val="false"/>
                <w:sz w:val="18"/>
                <w:szCs w:val="18"/>
              </w:rPr>
              <w:t xml:space="preserve">Substitution</w:t>
            </w:r>
          </w:p>
        </w:tc>
      </w:tr>
      <w:tr>
        <w:tc>
          <w:tcPr>
            <w:tcW w:type="dxa" w:w="1100"/>
          </w:tcPr>
          <w:p>
            <w:pPr>
              <w:jc w:val="center"/>
            </w:pPr>
            <w:r>
              <w:rPr>
                <w:rFonts w:ascii="Calibri" w:cs="Calibri" w:eastAsia="Calibri" w:hAnsi="Calibri"/>
                <w:b w:val="false"/>
                <w:bCs w:val="false"/>
                <w:sz w:val="18"/>
                <w:szCs w:val="18"/>
              </w:rPr>
              <w:t xml:space="preserve">Korean</w:t>
            </w:r>
          </w:p>
        </w:tc>
        <w:tc>
          <w:tcPr>
            <w:tcW w:type="dxa" w:w="1000"/>
          </w:tcPr>
          <w:p>
            <w:pPr>
              <w:jc w:val="center"/>
            </w:pPr>
            <w:r>
              <w:rPr>
                <w:rFonts w:ascii="Calibri" w:cs="Calibri" w:eastAsia="Calibri" w:hAnsi="Calibri"/>
                <w:b w:val="false"/>
                <w:bCs w:val="false"/>
                <w:sz w:val="18"/>
                <w:szCs w:val="18"/>
              </w:rPr>
              <w:t xml:space="preserve">High</w:t>
            </w:r>
          </w:p>
        </w:tc>
        <w:tc>
          <w:tcPr>
            <w:tcW w:type="dxa" w:w="500"/>
          </w:tcPr>
          <w:p>
            <w:pPr>
              <w:jc w:val="center"/>
            </w:pPr>
            <w:r>
              <w:rPr>
                <w:rFonts w:ascii="Calibri" w:cs="Calibri" w:eastAsia="Calibri" w:hAnsi="Calibri"/>
                <w:b w:val="false"/>
                <w:bCs w:val="false"/>
                <w:sz w:val="18"/>
                <w:szCs w:val="18"/>
              </w:rPr>
              <w:t xml:space="preserve">42</w:t>
            </w:r>
          </w:p>
        </w:tc>
        <w:tc>
          <w:tcPr>
            <w:tcW w:type="dxa" w:w="900"/>
          </w:tcPr>
          <w:p>
            <w:pPr>
              <w:jc w:val="center"/>
            </w:pPr>
            <w:r>
              <w:rPr>
                <w:rFonts w:ascii="Calibri" w:cs="Calibri" w:eastAsia="Calibri" w:hAnsi="Calibri"/>
                <w:b w:val="false"/>
                <w:bCs w:val="false"/>
                <w:sz w:val="18"/>
                <w:szCs w:val="18"/>
              </w:rPr>
              <w:t xml:space="preserve">0.867</w:t>
            </w:r>
          </w:p>
        </w:tc>
        <w:tc>
          <w:tcPr>
            <w:tcW w:type="dxa" w:w="950"/>
          </w:tcPr>
          <w:p>
            <w:pPr>
              <w:jc w:val="center"/>
            </w:pPr>
            <w:r>
              <w:rPr>
                <w:rFonts w:ascii="Calibri" w:cs="Calibri" w:eastAsia="Calibri" w:hAnsi="Calibri"/>
                <w:b w:val="false"/>
                <w:bCs w:val="false"/>
                <w:sz w:val="18"/>
                <w:szCs w:val="18"/>
              </w:rPr>
              <w:t xml:space="preserve">0.750</w:t>
            </w:r>
          </w:p>
        </w:tc>
        <w:tc>
          <w:tcPr>
            <w:tcW w:type="dxa" w:w="1350"/>
          </w:tcPr>
          <w:p>
            <w:pPr>
              <w:jc w:val="center"/>
            </w:pPr>
            <w:r>
              <w:rPr>
                <w:rFonts w:ascii="Calibri" w:cs="Calibri" w:eastAsia="Calibri" w:hAnsi="Calibri"/>
                <w:b w:val="false"/>
                <w:bCs w:val="false"/>
                <w:sz w:val="18"/>
                <w:szCs w:val="18"/>
              </w:rPr>
              <w:t xml:space="preserve">1392</w:t>
            </w:r>
          </w:p>
        </w:tc>
        <w:tc>
          <w:tcPr>
            <w:tcW w:type="dxa" w:w="600"/>
          </w:tcPr>
          <w:p>
            <w:pPr>
              <w:jc w:val="center"/>
            </w:pPr>
            <w:r>
              <w:rPr>
                <w:rFonts w:ascii="Calibri" w:cs="Calibri" w:eastAsia="Calibri" w:hAnsi="Calibri"/>
                <w:b w:val="false"/>
                <w:bCs w:val="false"/>
                <w:sz w:val="18"/>
                <w:szCs w:val="18"/>
              </w:rPr>
              <w:t xml:space="preserve">42</w:t>
            </w:r>
          </w:p>
        </w:tc>
        <w:tc>
          <w:tcPr>
            <w:tcW w:type="dxa" w:w="600"/>
          </w:tcPr>
          <w:p>
            <w:pPr>
              <w:jc w:val="center"/>
            </w:pPr>
            <w:r>
              <w:rPr>
                <w:rFonts w:ascii="Calibri" w:cs="Calibri" w:eastAsia="Calibri" w:hAnsi="Calibri"/>
                <w:b w:val="false"/>
                <w:bCs w:val="false"/>
                <w:sz w:val="18"/>
                <w:szCs w:val="18"/>
              </w:rPr>
              <w:t xml:space="preserve">35</w:t>
            </w:r>
          </w:p>
        </w:tc>
        <w:tc>
          <w:tcPr>
            <w:tcW w:type="dxa" w:w="600"/>
          </w:tcPr>
          <w:p>
            <w:pPr>
              <w:jc w:val="center"/>
            </w:pPr>
            <w:r>
              <w:rPr>
                <w:rFonts w:ascii="Calibri" w:cs="Calibri" w:eastAsia="Calibri" w:hAnsi="Calibri"/>
                <w:b w:val="false"/>
                <w:bCs w:val="false"/>
                <w:sz w:val="18"/>
                <w:szCs w:val="18"/>
              </w:rPr>
              <w:t xml:space="preserve">24</w:t>
            </w:r>
          </w:p>
        </w:tc>
        <w:tc>
          <w:tcPr>
            <w:tcW w:type="dxa" w:w="1900"/>
          </w:tcPr>
          <w:p>
            <w:pPr>
              <w:jc w:val="center"/>
            </w:pPr>
            <w:r>
              <w:rPr>
                <w:rFonts w:ascii="Calibri" w:cs="Calibri" w:eastAsia="Calibri" w:hAnsi="Calibri"/>
                <w:b w:val="false"/>
                <w:bCs w:val="false"/>
                <w:sz w:val="18"/>
                <w:szCs w:val="18"/>
              </w:rPr>
              <w:t xml:space="preserve">Substitution</w:t>
            </w:r>
          </w:p>
        </w:tc>
      </w:tr>
    </w:tbl>
    <w:p>
      <w:pPr>
        <w:spacing w:after="0" w:before="200"/>
      </w:pPr>
    </w:p>
    <w:p>
      <w:pPr>
        <w:pStyle w:val="Heading2"/>
        <w:spacing w:after="120" w:before="240"/>
      </w:pPr>
      <w:r>
        <w:rPr>
          <w:rFonts w:ascii="Calibri" w:cs="Calibri" w:eastAsia="Calibri" w:hAnsi="Calibri"/>
          <w:b/>
          <w:bCs/>
        </w:rPr>
        <w:t xml:space="preserve">6.1 Word Error Rate (RQ1, RQ3)</w:t>
      </w:r>
    </w:p>
    <w:p>
      <w:pPr>
        <w:spacing w:after="160" w:line="276"/>
      </w:pPr>
      <w:r>
        <w:rPr>
          <w:rFonts w:ascii="Calibri" w:cs="Calibri" w:eastAsia="Calibri" w:hAnsi="Calibri"/>
        </w:rPr>
        <w:t xml:space="preserve">In English, mean WER rose monotonically across all four noise steps: 0.022 (Clean), 0.243 (Low), 0.378 (Moderate), 0.555 (High). In Korean, mean WER also rose monotonically: 0.097 (Clean), 0.265 (Low), 0.507 (Moderate), 0.867 (High). With the sample expanded from n = 2 to n = 6 participants per language, the non-monotonic Clean-to-Low dip seen in the earlier pilot phase (traceable to a single atypical Korean trial) disappeared entirely — a direct illustration of how a larger sample stabilizes noise-level trends against single-participant outliers, exactly as anticipated in the protocol's discussion of pilot-cohort limitations.</w:t>
      </w:r>
    </w:p>
    <w:p>
      <w:pPr>
        <w:spacing w:after="160" w:line="276"/>
      </w:pPr>
      <w:r>
        <w:rPr>
          <w:rFonts w:ascii="Calibri" w:cs="Calibri" w:eastAsia="Calibri" w:hAnsi="Calibri"/>
        </w:rPr>
        <w:t xml:space="preserve">Comparing languages directly (RQ3): Korean WER was higher than English WER at every single noise level (0.097 vs. 0.022 Clean; 0.265 vs. 0.243 Low; 0.507 vs. 0.378 Moderate; 0.867 vs. 0.555 High). The Korean–English gap was largest at High noise (0.312) and smallest at Clean (0.075), though the progression was not strictly monotonic: the gap narrowed to 0.022 at Low before widening again at Moderate and High. Taken as a whole, this pattern is consistent with H2's prediction that Korean would show greater sensitivity to noise than English, plausibly because agglutinative particles and verb endings give the recognizer more opportunities to substitute or drop a token than English's simpler word-boundary structure. The non-monotonic dip at Low noise, however, suggests the relationship is not a simple linear one, and it would be worth checking whether the dip replicates with a larger sample before treating it as a stable feature of the language × noise interaction.</w:t>
      </w:r>
    </w:p>
    <w:p>
      <w:pPr>
        <w:pStyle w:val="Heading2"/>
        <w:spacing w:after="120" w:before="240"/>
      </w:pPr>
      <w:r>
        <w:rPr>
          <w:rFonts w:ascii="Calibri" w:cs="Calibri" w:eastAsia="Calibri" w:hAnsi="Calibri"/>
          <w:b/>
          <w:bCs/>
        </w:rPr>
        <w:t xml:space="preserve">6.2 Latency (RQ2)</w:t>
      </w:r>
    </w:p>
    <w:p>
      <w:pPr>
        <w:spacing w:after="160" w:line="276"/>
      </w:pPr>
      <w:r>
        <w:rPr>
          <w:rFonts w:ascii="Calibri" w:cs="Calibri" w:eastAsia="Calibri" w:hAnsi="Calibri"/>
        </w:rPr>
        <w:t xml:space="preserve">Latency increased monotonically with noise in both languages: English rose from 675 ms (Clean) to 879 ms (Low) to 1,099 ms (Moderate) to 1,424 ms (High); Korean rose from 666 ms (Clean) to 857 ms (Low) to 1,063 ms (Moderate) to 1,392 ms (High). As in the pilot phase, the two languages tracked each other closely at every noise level (within about 10–35 ms), reinforcing H1's latency prediction and suggesting the latency cost of noise is largely a property of the ASR pipeline itself rather than of the language being recognized.</w:t>
      </w:r>
    </w:p>
    <w:p>
      <w:pPr>
        <w:pStyle w:val="Heading2"/>
        <w:spacing w:after="120" w:before="240"/>
      </w:pPr>
      <w:r>
        <w:rPr>
          <w:rFonts w:ascii="Calibri" w:cs="Calibri" w:eastAsia="Calibri" w:hAnsi="Calibri"/>
          <w:b/>
          <w:bCs/>
        </w:rPr>
        <w:t xml:space="preserve">6.3 Error Type Distribution (RQ4, H3)</w:t>
      </w:r>
    </w:p>
    <w:p>
      <w:pPr>
        <w:spacing w:after="160" w:line="276"/>
      </w:pPr>
      <w:r>
        <w:rPr>
          <w:rFonts w:ascii="Calibri" w:cs="Calibri" w:eastAsia="Calibri" w:hAnsi="Calibri"/>
        </w:rPr>
        <w:t xml:space="preserve">Substitution was the most common error type in all eight language × noise cells, including Korean under High noise (42 substitutions vs. 35 deletions vs. 24 insertions) — unlike the earlier n = 2 pilot phase, where deletions had briefly overtaken substitutions in that same cell. With the larger sample, that earlier finding did not hold up: deletion's share still grew notably faster than substitution's under Korean High noise (deletion count roughly 12x its Clean-condition value, versus roughly 3x for substitution), so the underlying signal — that severe noise disproportionately pushes Korean recognition toward dropped tokens — persists, but it was not yet strong enough at n = 2 to be reported as a stable pattern. This is a useful methodological lesson: the qualitative direction of an effect (deletion becoming relatively more common) survived the larger sample, but the specific claim (deletion overtaking substitution) did not.</w:t>
      </w:r>
    </w:p>
    <w:p>
      <w:pPr>
        <w:spacing w:after="160" w:line="276"/>
      </w:pPr>
      <w:r>
        <w:rPr>
          <w:rFonts w:ascii="Calibri" w:cs="Calibri" w:eastAsia="Calibri" w:hAnsi="Calibri"/>
        </w:rPr>
        <w:t xml:space="preserve">H3 predicted that insertions (filler-word artifacts) would become proportionally more common as noise increased. Both languages now show a generally increasing insertion count with noise (English: 2 → 10 → 22 → 30; Korean: 7 → 9 → 18 → 24), which is more consistent with H3 than the pilot phase provided. However, insertions never became the dominant error type in either language at any noise level; substitution remained dominant throughout.</w:t>
      </w:r>
    </w:p>
    <w:p>
      <w:pPr>
        <w:pStyle w:val="Heading1"/>
        <w:spacing w:after="160" w:before="320"/>
      </w:pPr>
      <w:r>
        <w:rPr>
          <w:rFonts w:ascii="Calibri" w:cs="Calibri" w:eastAsia="Calibri" w:hAnsi="Calibri"/>
          <w:b/>
          <w:bCs/>
        </w:rPr>
        <w:t xml:space="preserve">7. Discussion</w:t>
      </w:r>
    </w:p>
    <w:p>
      <w:pPr>
        <w:spacing w:after="160" w:line="276"/>
      </w:pPr>
      <w:r>
        <w:rPr>
          <w:rFonts w:ascii="Calibri" w:cs="Calibri" w:eastAsia="Calibri" w:hAnsi="Calibri"/>
        </w:rPr>
        <w:t xml:space="preserve">With the sample expanded to n = 6 participants per language, both WER and latency increased monotonically with noise level in both languages, with no exceptions — a pattern descriptively consistent with H1. This is a more consistent pattern than the n = 2 pilot phase produced, where a single atypical Korean trial had broken the monotonic WER trend at the Clean-to-Low step; expanding the sample made that trend less dependent on any one participant. However, because noise conditions were presented in a fixed order rather than randomized (Section 8), this monotonic pattern cannot be cleanly attributed to noise alone — it is equally consistent with a time-on-task or fatigue effect that happens to track the same Clean-to-High sequence every participant experienced. Distinguishing between these two explanations is not possible with the current design and is the most important direction for a follow-up study.</w:t>
      </w:r>
    </w:p>
    <w:p>
      <w:pPr>
        <w:spacing w:after="160" w:line="276"/>
      </w:pPr>
      <w:r>
        <w:rPr>
          <w:rFonts w:ascii="Calibri" w:cs="Calibri" w:eastAsia="Calibri" w:hAnsi="Calibri"/>
        </w:rPr>
        <w:t xml:space="preserve">H2 (Korean showing greater noise sensitivity than English) is consistent with the data across the noise gradient: Korean WER exceeded English WER at every noise condition, and the gap was largest at the highest noise level, though it did not widen at every step — it briefly narrowed at Low noise before widening again at Moderate and High. This is broadly in line with Kafle and Huenerfauth's [3] and Berke et al.'s [4] wider point that raw WER and error type, not just an aggregate accuracy number, determine how disruptive an ASR error is for a DHH reader. The persistent (though not dominant) rise in Korean deletions under high noise is arguably a more severe failure mode than substitution, since a dropped word gives the reader no signal at all that something was missed, whereas a substituted word is at least present and may be recognizable as anomalous from context.</w:t>
      </w:r>
    </w:p>
    <w:p>
      <w:pPr>
        <w:spacing w:after="160" w:line="276"/>
      </w:pPr>
      <w:r>
        <w:rPr>
          <w:rFonts w:ascii="Calibri" w:cs="Calibri" w:eastAsia="Calibri" w:hAnsi="Calibri"/>
        </w:rPr>
        <w:t xml:space="preserve">H3 (insertions increasing with noise) received clearer support with the larger sample than in the pilot phase, in both languages, though substitution remained the dominant error type throughout. One possible explanation for substitution's consistent dominance is that HEAR's recognizer tends to replace an uncertain segment with its best guess rather than either dropping it or inserting an unrelated token — though testing this would require inspecting the system's internals rather than only its outputs, which was outside the scope of this behavioral study.</w:t>
      </w:r>
    </w:p>
    <w:p>
      <w:pPr>
        <w:spacing w:after="160" w:line="276"/>
      </w:pPr>
      <w:r>
        <w:rPr>
          <w:rFonts w:ascii="Calibri" w:cs="Calibri" w:eastAsia="Calibri" w:hAnsi="Calibri"/>
        </w:rPr>
        <w:t xml:space="preserve">Overall, the pattern most relevant to the accessibility framing in Section 2 is the noise-latency relationship: captions took roughly twice as long to finalize under high noise as under clean conditions in both languages. For a DHH reader following a live conversation, a caption that is both less accurate and roughly 700–750 ms more delayed under noisy conditions compounds two separate usability problems identified in the literature [3][4] — error tolerance and timing — simultaneously, which this behavioral study was not designed to measure directly but which future work incorporating DHH participant feedback (as in [3], [4], and [6]) could address.</w:t>
      </w:r>
    </w:p>
    <w:p>
      <w:pPr>
        <w:pStyle w:val="Heading1"/>
        <w:spacing w:after="160" w:before="320"/>
      </w:pPr>
      <w:r>
        <w:rPr>
          <w:rFonts w:ascii="Calibri" w:cs="Calibri" w:eastAsia="Calibri" w:hAnsi="Calibri"/>
          <w:b/>
          <w:bCs/>
        </w:rPr>
        <w:t xml:space="preserve">8. Limitations</w:t>
      </w:r>
    </w:p>
    <w:p>
      <w:pPr>
        <w:spacing w:after="160" w:line="276"/>
      </w:pPr>
      <w:r>
        <w:rPr>
          <w:rFonts w:ascii="Calibri" w:cs="Calibri" w:eastAsia="Calibri" w:hAnsi="Calibri"/>
        </w:rPr>
        <w:t xml:space="preserve">This study is limited to a fixed set of seven sentence pairs and four discretized noise levels, which constrains generalization to other sentence content or continuous noise levels. Most importantly, noise conditions were presented to each participant in a fixed increasing order (Clean, Low, Moderate, High) rather than randomized or counterbalanced, despite Section 4.4 originally intending otherwise. This means noise level is confounded with trial order within each sentence: the monotonic increase in WER and latency reported in Section 6 could reflect growing environmental noise, but it could equally reflect time-on-task effects such as participant fatigue, vocal fatigue, or a warm-up period in HEAR's recognizer, since every participant always experienced Clean before Low before Moderate before High. This study cannot distinguish between these explanations, and the results should not be read as establishing that noise, specifically, causes the observed increases in error and latency. Randomizing or counterbalancing presentation order is the single most important change for any follow-up study to make.</w:t>
      </w:r>
    </w:p>
    <w:p>
      <w:pPr>
        <w:spacing w:after="160"/>
      </w:pPr>
      <w:r>
        <w:rPr>
          <w:rFonts w:ascii="Calibri" w:hAnsi="Calibri"/>
          <w:sz w:val="22"/>
        </w:rPr>
        <w:t xml:space="preserve">WER treats all word errors as equally important, even though prior accessibility research indicates that error severity for DHH readers depends on error type and context, not just error count [3][4]. Error type (substitution, deletion, insertion) was classified by a single researcher without an independent second rater, so inter-annotator agreement was not measured and some ambiguous cases may have been classified inconsistently. The completed sample (n = 6 participants per language, 42 trials per language × noise cell) is larger than the initial n = 2 pilot but still modest relative to the originally planned 4–8 participants per language, and no formal inferential statistics were run; the reported patterns are descriptive and should be treated as a solid pilot-to-small-sample finding rather than a fully powered confirmatory result.</w:t>
      </w:r>
    </w:p>
    <w:p>
      <w:pPr>
        <w:spacing w:after="160" w:line="276"/>
      </w:pPr>
      <w:r>
        <w:rPr>
          <w:rFonts w:ascii="Calibri" w:cs="Calibri" w:eastAsia="Calibri" w:hAnsi="Calibri"/>
        </w:rPr>
        <w:t xml:space="preserve">Because each participant contributed all seven sentences under all four noise conditions, the 42 trials in a given language × noise cell are not fully independent of one another — the effective unit of replication is the participant (n = 6 per language), not the trial. Cell-level patterns should therefore be interpreted with that smaller effective sample size in mind, particularly for comparisons like the Korean–English WER gap, which did not widen at every noise step (Section 6.1).</w:t>
      </w:r>
    </w:p>
    <w:p>
      <w:pPr>
        <w:spacing w:after="160" w:line="276"/>
      </w:pPr>
      <w:r>
        <w:rPr>
          <w:rFonts w:ascii="Calibri" w:cs="Calibri" w:eastAsia="Calibri" w:hAnsi="Calibri"/>
        </w:rPr>
        <w:t xml:space="preserve">The Korean eojeol tokenization rule (as opposed to morpheme-level tokenization) was chosen for simplicity; this choice affects the absolute WER values and should be kept in mind if comparing these numbers to studies using a different Korean tokenization convention. Finally, the reversal of the Korean-High “deletion overtakes substitution” finding between the n = 2 and n = 6 samples is a useful reminder that even an n = 6 sample may still shift with further data collection, and any single-condition claim in this report should be treated with corresponding caution.</w:t>
      </w:r>
    </w:p>
    <w:p>
      <w:pPr>
        <w:pStyle w:val="Heading1"/>
        <w:spacing w:after="160" w:before="320"/>
      </w:pPr>
      <w:r>
        <w:rPr>
          <w:rFonts w:ascii="Calibri" w:cs="Calibri" w:eastAsia="Calibri" w:hAnsi="Calibri"/>
          <w:b/>
          <w:bCs/>
        </w:rPr>
        <w:t xml:space="preserve">9. Conclusion</w:t>
      </w:r>
    </w:p>
    <w:p>
      <w:pPr>
        <w:spacing w:after="160" w:line="276"/>
      </w:pPr>
      <w:r>
        <w:rPr>
          <w:rFonts w:ascii="Calibri" w:cs="Calibri" w:eastAsia="Calibri" w:hAnsi="Calibri"/>
        </w:rPr>
        <w:t xml:space="preserve">This study evaluated HEAR's real-time captioning system across a controlled noise gradient in English and Korean, using the system's own built-in sentence content and a structured error taxonomy. With a completed sample of n = 6 participants per language (336 trials total), both WER and latency increased monotonically with noise in both languages, Korean showed generally greater noise sensitivity than English across the gradient (with the gap largest at high noise, though not widening at every step), and substitution remained the dominant error type throughout, though deletions grew disproportionately fast in Korean under high noise. Expanding the sample from an initial n = 2 pilot to n = 6 resolved a non-monotonic anomaly and reversed an earlier finding about which error type dominated Korean-under-high-noise trials, underscoring how sensitive small-sample pilot results can be to individual participants — and how much more stable the picture becomes with even a modest increase in sample size.</w:t>
      </w:r>
    </w:p>
    <w:p>
      <w:pPr>
        <w:pStyle w:val="Heading1"/>
        <w:spacing w:after="160" w:before="320"/>
      </w:pPr>
      <w:r>
        <w:rPr>
          <w:rFonts w:ascii="Calibri" w:cs="Calibri" w:eastAsia="Calibri" w:hAnsi="Calibri"/>
          <w:b/>
          <w:bCs/>
        </w:rPr>
        <w:t xml:space="preserve">References</w:t>
      </w:r>
    </w:p>
    <w:p>
      <w:pPr>
        <w:spacing w:after="160" w:line="276"/>
      </w:pPr>
      <w:r>
        <w:rPr>
          <w:rFonts w:ascii="Calibri" w:cs="Calibri" w:eastAsia="Calibri" w:hAnsi="Calibri"/>
        </w:rPr>
        <w:t xml:space="preserve">[1] Li, J., Deng, L., Gong, Y., &amp; Haeb-Umbach, R. (2014). An overview of noise-robust automatic speech recognition. IEEE/ACM Transactions on Audio, Speech, and Language Processing, 22(4), 745–777.</w:t>
      </w:r>
    </w:p>
    <w:p>
      <w:pPr>
        <w:spacing w:after="160" w:line="276"/>
      </w:pPr>
      <w:r>
        <w:rPr>
          <w:rFonts w:ascii="Calibri" w:cs="Calibri" w:eastAsia="Calibri" w:hAnsi="Calibri"/>
        </w:rPr>
        <w:t xml:space="preserve">[2] Yamamoto, K., Suzuki, I., Shitara, A., &amp; Ochiai, Y. (2021). See-through captions: Real-time captioning on transparent display for deaf and hard-of-hearing people. In Proceedings of the 23rd International ACM SIGACCESS Conference on Computers and Accessibility (ASSETS '21).</w:t>
      </w:r>
    </w:p>
    <w:p>
      <w:pPr>
        <w:spacing w:after="160" w:line="276"/>
      </w:pPr>
      <w:r>
        <w:rPr>
          <w:rFonts w:ascii="Calibri" w:cs="Calibri" w:eastAsia="Calibri" w:hAnsi="Calibri"/>
        </w:rPr>
        <w:t xml:space="preserve">[3] Kafle, S., &amp; Huenerfauth, M. (2017). Evaluating the usability of automatically generated captions for people who are deaf or hard of hearing. In Proceedings of the 19th International ACM SIGACCESS Conference on Computers and Accessibility (ASSETS '17), 165–174.</w:t>
      </w:r>
    </w:p>
    <w:p>
      <w:pPr>
        <w:spacing w:after="160" w:line="276"/>
      </w:pPr>
      <w:r>
        <w:rPr>
          <w:rFonts w:ascii="Calibri" w:cs="Calibri" w:eastAsia="Calibri" w:hAnsi="Calibri"/>
        </w:rPr>
        <w:t xml:space="preserve">[4] Berke, L., Caulfield, C., &amp; Huenerfauth, M. (2017). Deaf and hard-of-hearing perspectives on imperfect automatic speech recognition for captioning one-on-one meetings. In Proceedings of the 19th International ACM SIGACCESS Conference on Computers and Accessibility (ASSETS '17), 155–164.</w:t>
      </w:r>
    </w:p>
    <w:p>
      <w:pPr>
        <w:spacing w:after="160" w:line="276"/>
      </w:pPr>
      <w:r>
        <w:rPr>
          <w:rFonts w:ascii="Calibri" w:cs="Calibri" w:eastAsia="Calibri" w:hAnsi="Calibri"/>
        </w:rPr>
        <w:t xml:space="preserve">[5] National Institute on Deafness and Other Communication Disorders (NIDCD). Captions for deaf and hard-of-hearing viewers. National Institutes of Health.</w:t>
      </w:r>
    </w:p>
    <w:p>
      <w:pPr>
        <w:spacing w:after="160" w:line="276"/>
      </w:pPr>
      <w:r>
        <w:rPr>
          <w:rFonts w:ascii="Calibri" w:cs="Calibri" w:eastAsia="Calibri" w:hAnsi="Calibri"/>
        </w:rPr>
        <w:t xml:space="preserve">[6] Hughes, S. E., Wu, L.-Y., Ma, L. J., Jain, D., &amp; McKee, M. M. (2026). Assessing the role of medical caption technology to support physician–patient communication for patients with hearing loss: Mixed methods pilot study. JMIR Rehabilitation and Assistive Technologies, 13, e79073.</w:t>
      </w:r>
    </w:p>
    <w:p>
      <w:pPr>
        <w:spacing w:after="160" w:line="276"/>
      </w:pPr>
      <w:r>
        <w:rPr>
          <w:rFonts w:ascii="Calibri" w:cs="Calibri" w:eastAsia="Calibri" w:hAnsi="Calibri"/>
        </w:rPr>
        <w:t xml:space="preserve">[7] Katkov, S., Liotta, A., &amp; Vietti, A. (2026). Speech recognition in adverse conditions: Synthetic transformations and real environmental noise. Journal on Audio, Speech, and Music Processing, 2026, 28.</w:t>
      </w:r>
    </w:p>
    <w:p>
      <w:pPr>
        <w:pStyle w:val="Heading1"/>
      </w:pPr>
      <w:r>
        <w:t>Appendix A: Post-Hoc Error Analysis and a Lightweight Correction Filter</w:t>
      </w:r>
    </w:p>
    <w:p>
      <w:pPr>
        <w:spacing w:after="160"/>
      </w:pPr>
      <w:r>
        <w:rPr>
          <w:rFonts w:ascii="Calibri" w:hAnsi="Calibri" w:eastAsia="Calibri"/>
          <w:b w:val="0"/>
          <w:i w:val="0"/>
          <w:sz w:val="22"/>
        </w:rPr>
        <w:t>This appendix reports an exploratory follow-up analysis conducted after the main results (Section 6): a lightweight, rule-based post-processing filter designed around one specific pattern observed in the error log, together with a measured before/after comparison across all 336 trials. This analysis was not part of the pre-registered plan in Section 5 and should be read as an exploratory proof-of-concept, not a confirmatory result.</w:t>
      </w:r>
    </w:p>
    <w:p>
      <w:pPr>
        <w:pStyle w:val="Heading2"/>
      </w:pPr>
      <w:r>
        <w:t>A.1 Motivation</w:t>
      </w:r>
    </w:p>
    <w:p>
      <w:pPr>
        <w:spacing w:after="160"/>
      </w:pPr>
      <w:r>
        <w:rPr>
          <w:rFonts w:ascii="Calibri" w:hAnsi="Calibri" w:eastAsia="Calibri"/>
          <w:b w:val="0"/>
          <w:i w:val="0"/>
          <w:sz w:val="22"/>
        </w:rPr>
        <w:t>Manual review of the Error Log (used for RQ4 in Section 6.3) showed that many insertion errors were not arbitrary: the spurious word HEAR inserted under noise frequently matched a word that appears in one of the other six test sentences, rather than an unrelated word. For example, under high noise, “The package arrived this morning” was captioned as “The soup arrived this morning” — and “soup” is a word from a different sentence in the same test set (the restaurant-scenario sentence), not a random insertion. This suggested a specific, targetable failure mode: under noise, HEAR appears to sometimes confuse the current utterance with another sentence from the same closed vocabulary it was recently exposed to.</w:t>
      </w:r>
    </w:p>
    <w:p>
      <w:pPr>
        <w:spacing w:after="160"/>
      </w:pPr>
      <w:r>
        <w:rPr>
          <w:rFonts w:ascii="Calibri" w:hAnsi="Calibri" w:eastAsia="Calibri"/>
          <w:b w:val="0"/>
          <w:i w:val="0"/>
          <w:sz w:val="22"/>
        </w:rPr>
        <w:t>This pattern is a plausible target for a lightweight, rule-based post-processing filter without needing to modify or retrain the underlying recognizer.</w:t>
      </w:r>
    </w:p>
    <w:p>
      <w:pPr>
        <w:pStyle w:val="Heading2"/>
      </w:pPr>
      <w:r>
        <w:t>A.2 Filter Design</w:t>
      </w:r>
    </w:p>
    <w:p>
      <w:pPr>
        <w:spacing w:after="160"/>
      </w:pPr>
      <w:r>
        <w:rPr>
          <w:rFonts w:ascii="Calibri" w:hAnsi="Calibri" w:eastAsia="Calibri"/>
          <w:b w:val="0"/>
          <w:i w:val="0"/>
          <w:sz w:val="22"/>
        </w:rPr>
        <w:t>For each of the seven sentences in a given language, a “foreign vocabulary” set was built from the words that appear in any of the other six sentences but not in the sentence itself. The filter removes any word from a caption if it belongs to this foreign-vocabulary set (i.e., it is recognizably a word from a different known sentence) and is not also part of the correct sentence's own vocabulary. No words are added back by this filter — it only removes tokens that are confidently attributable to cross-sentence contamination.</w:t>
      </w:r>
    </w:p>
    <w:p>
      <w:pPr>
        <w:spacing w:after="160"/>
      </w:pPr>
      <w:r>
        <w:rPr>
          <w:rFonts w:ascii="Calibri" w:hAnsi="Calibri" w:eastAsia="Calibri"/>
          <w:b w:val="0"/>
          <w:i w:val="0"/>
          <w:sz w:val="22"/>
        </w:rPr>
        <w:t>Word Error Rate before and after filtering was recomputed from scratch for every one of the 336 trials using a standard word-level edit-distance alignment (dynamic programming), rather than reusing the manually logged Substitution/Deletion/Insertion counts, so that the before/after comparison used one consistent, automated method throughout.</w:t>
      </w:r>
    </w:p>
    <w:p>
      <w:pPr>
        <w:pStyle w:val="Heading2"/>
      </w:pPr>
      <w:r>
        <w:t>A.3 Results</w:t>
      </w:r>
    </w:p>
    <w:p>
      <w:pPr>
        <w:spacing w:after="160"/>
      </w:pPr>
      <w:r>
        <w:rPr>
          <w:rFonts w:ascii="Calibri" w:hAnsi="Calibri" w:eastAsia="Calibri"/>
          <w:b w:val="0"/>
          <w:i w:val="0"/>
          <w:sz w:val="22"/>
        </w:rPr>
        <w:t>The filter changed the caption text in 169 of 336 trials (50.3%). Overall WER dropped from 0.2448 to 0.2370, a 3.2% relative reduction. The effect was concentrated at higher noise levels, especially in English:</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tcPr>
          <w:p>
            <w:r>
              <w:rPr>
                <w:rFonts w:ascii="Calibri" w:hAnsi="Calibri"/>
                <w:b/>
                <w:sz w:val="20"/>
              </w:rPr>
              <w:t>Language</w:t>
            </w:r>
          </w:p>
        </w:tc>
        <w:tc>
          <w:tcPr>
            <w:tcW w:type="dxa" w:w="1872"/>
          </w:tcPr>
          <w:p>
            <w:r>
              <w:rPr>
                <w:rFonts w:ascii="Calibri" w:hAnsi="Calibri"/>
                <w:b/>
                <w:sz w:val="20"/>
              </w:rPr>
              <w:t>Noise</w:t>
            </w:r>
          </w:p>
        </w:tc>
        <w:tc>
          <w:tcPr>
            <w:tcW w:type="dxa" w:w="1872"/>
          </w:tcPr>
          <w:p>
            <w:r>
              <w:rPr>
                <w:rFonts w:ascii="Calibri" w:hAnsi="Calibri"/>
                <w:b/>
                <w:sz w:val="20"/>
              </w:rPr>
              <w:t>WER before</w:t>
            </w:r>
          </w:p>
        </w:tc>
        <w:tc>
          <w:tcPr>
            <w:tcW w:type="dxa" w:w="1872"/>
          </w:tcPr>
          <w:p>
            <w:r>
              <w:rPr>
                <w:rFonts w:ascii="Calibri" w:hAnsi="Calibri"/>
                <w:b/>
                <w:sz w:val="20"/>
              </w:rPr>
              <w:t>WER after</w:t>
            </w:r>
          </w:p>
        </w:tc>
        <w:tc>
          <w:tcPr>
            <w:tcW w:type="dxa" w:w="1872"/>
          </w:tcPr>
          <w:p>
            <w:r>
              <w:rPr>
                <w:rFonts w:ascii="Calibri" w:hAnsi="Calibri"/>
                <w:b/>
                <w:sz w:val="20"/>
              </w:rPr>
              <w:t>Relative Δ</w:t>
            </w:r>
          </w:p>
        </w:tc>
      </w:tr>
      <w:tr>
        <w:tc>
          <w:tcPr>
            <w:tcW w:type="dxa" w:w="1872"/>
          </w:tcPr>
          <w:p>
            <w:r>
              <w:rPr>
                <w:rFonts w:ascii="Calibri" w:hAnsi="Calibri"/>
                <w:sz w:val="20"/>
              </w:rPr>
              <w:t>English</w:t>
            </w:r>
          </w:p>
        </w:tc>
        <w:tc>
          <w:tcPr>
            <w:tcW w:type="dxa" w:w="1872"/>
          </w:tcPr>
          <w:p>
            <w:r>
              <w:rPr>
                <w:rFonts w:ascii="Calibri" w:hAnsi="Calibri"/>
                <w:sz w:val="20"/>
              </w:rPr>
              <w:t>Clean</w:t>
            </w:r>
          </w:p>
        </w:tc>
        <w:tc>
          <w:tcPr>
            <w:tcW w:type="dxa" w:w="1872"/>
          </w:tcPr>
          <w:p>
            <w:r>
              <w:rPr>
                <w:rFonts w:ascii="Calibri" w:hAnsi="Calibri"/>
                <w:sz w:val="20"/>
              </w:rPr>
              <w:t>0.0224</w:t>
            </w:r>
          </w:p>
        </w:tc>
        <w:tc>
          <w:tcPr>
            <w:tcW w:type="dxa" w:w="1872"/>
          </w:tcPr>
          <w:p>
            <w:r>
              <w:rPr>
                <w:rFonts w:ascii="Calibri" w:hAnsi="Calibri"/>
                <w:sz w:val="20"/>
              </w:rPr>
              <w:t>0.0199</w:t>
            </w:r>
          </w:p>
        </w:tc>
        <w:tc>
          <w:tcPr>
            <w:tcW w:type="dxa" w:w="1872"/>
          </w:tcPr>
          <w:p>
            <w:r>
              <w:rPr>
                <w:rFonts w:ascii="Calibri" w:hAnsi="Calibri"/>
                <w:sz w:val="20"/>
              </w:rPr>
              <w:t>11.2%</w:t>
            </w:r>
          </w:p>
        </w:tc>
      </w:tr>
      <w:tr>
        <w:tc>
          <w:tcPr>
            <w:tcW w:type="dxa" w:w="1872"/>
          </w:tcPr>
          <w:p>
            <w:r>
              <w:rPr>
                <w:rFonts w:ascii="Calibri" w:hAnsi="Calibri"/>
                <w:sz w:val="20"/>
              </w:rPr>
              <w:t>English</w:t>
            </w:r>
          </w:p>
        </w:tc>
        <w:tc>
          <w:tcPr>
            <w:tcW w:type="dxa" w:w="1872"/>
          </w:tcPr>
          <w:p>
            <w:r>
              <w:rPr>
                <w:rFonts w:ascii="Calibri" w:hAnsi="Calibri"/>
                <w:sz w:val="20"/>
              </w:rPr>
              <w:t>Low</w:t>
            </w:r>
          </w:p>
        </w:tc>
        <w:tc>
          <w:tcPr>
            <w:tcW w:type="dxa" w:w="1872"/>
          </w:tcPr>
          <w:p>
            <w:r>
              <w:rPr>
                <w:rFonts w:ascii="Calibri" w:hAnsi="Calibri"/>
                <w:sz w:val="20"/>
              </w:rPr>
              <w:t>0.1716</w:t>
            </w:r>
          </w:p>
        </w:tc>
        <w:tc>
          <w:tcPr>
            <w:tcW w:type="dxa" w:w="1872"/>
          </w:tcPr>
          <w:p>
            <w:r>
              <w:rPr>
                <w:rFonts w:ascii="Calibri" w:hAnsi="Calibri"/>
                <w:sz w:val="20"/>
              </w:rPr>
              <w:t>0.1692</w:t>
            </w:r>
          </w:p>
        </w:tc>
        <w:tc>
          <w:tcPr>
            <w:tcW w:type="dxa" w:w="1872"/>
          </w:tcPr>
          <w:p>
            <w:r>
              <w:rPr>
                <w:rFonts w:ascii="Calibri" w:hAnsi="Calibri"/>
                <w:sz w:val="20"/>
              </w:rPr>
              <w:t>1.4%</w:t>
            </w:r>
          </w:p>
        </w:tc>
      </w:tr>
      <w:tr>
        <w:tc>
          <w:tcPr>
            <w:tcW w:type="dxa" w:w="1872"/>
          </w:tcPr>
          <w:p>
            <w:r>
              <w:rPr>
                <w:rFonts w:ascii="Calibri" w:hAnsi="Calibri"/>
                <w:sz w:val="20"/>
              </w:rPr>
              <w:t>English</w:t>
            </w:r>
          </w:p>
        </w:tc>
        <w:tc>
          <w:tcPr>
            <w:tcW w:type="dxa" w:w="1872"/>
          </w:tcPr>
          <w:p>
            <w:r>
              <w:rPr>
                <w:rFonts w:ascii="Calibri" w:hAnsi="Calibri"/>
                <w:sz w:val="20"/>
              </w:rPr>
              <w:t>Moderate</w:t>
            </w:r>
          </w:p>
        </w:tc>
        <w:tc>
          <w:tcPr>
            <w:tcW w:type="dxa" w:w="1872"/>
          </w:tcPr>
          <w:p>
            <w:r>
              <w:rPr>
                <w:rFonts w:ascii="Calibri" w:hAnsi="Calibri"/>
                <w:sz w:val="20"/>
              </w:rPr>
              <w:t>0.2886</w:t>
            </w:r>
          </w:p>
        </w:tc>
        <w:tc>
          <w:tcPr>
            <w:tcW w:type="dxa" w:w="1872"/>
          </w:tcPr>
          <w:p>
            <w:r>
              <w:rPr>
                <w:rFonts w:ascii="Calibri" w:hAnsi="Calibri"/>
                <w:sz w:val="20"/>
              </w:rPr>
              <w:t>0.2761</w:t>
            </w:r>
          </w:p>
        </w:tc>
        <w:tc>
          <w:tcPr>
            <w:tcW w:type="dxa" w:w="1872"/>
          </w:tcPr>
          <w:p>
            <w:r>
              <w:rPr>
                <w:rFonts w:ascii="Calibri" w:hAnsi="Calibri"/>
                <w:sz w:val="20"/>
              </w:rPr>
              <w:t>4.3%</w:t>
            </w:r>
          </w:p>
        </w:tc>
      </w:tr>
      <w:tr>
        <w:tc>
          <w:tcPr>
            <w:tcW w:type="dxa" w:w="1872"/>
          </w:tcPr>
          <w:p>
            <w:r>
              <w:rPr>
                <w:rFonts w:ascii="Calibri" w:hAnsi="Calibri"/>
                <w:sz w:val="20"/>
              </w:rPr>
              <w:t>English</w:t>
            </w:r>
          </w:p>
        </w:tc>
        <w:tc>
          <w:tcPr>
            <w:tcW w:type="dxa" w:w="1872"/>
          </w:tcPr>
          <w:p>
            <w:r>
              <w:rPr>
                <w:rFonts w:ascii="Calibri" w:hAnsi="Calibri"/>
                <w:sz w:val="20"/>
              </w:rPr>
              <w:t>High</w:t>
            </w:r>
          </w:p>
        </w:tc>
        <w:tc>
          <w:tcPr>
            <w:tcW w:type="dxa" w:w="1872"/>
          </w:tcPr>
          <w:p>
            <w:r>
              <w:rPr>
                <w:rFonts w:ascii="Calibri" w:hAnsi="Calibri"/>
                <w:sz w:val="20"/>
              </w:rPr>
              <w:t>0.3756</w:t>
            </w:r>
          </w:p>
        </w:tc>
        <w:tc>
          <w:tcPr>
            <w:tcW w:type="dxa" w:w="1872"/>
          </w:tcPr>
          <w:p>
            <w:r>
              <w:rPr>
                <w:rFonts w:ascii="Calibri" w:hAnsi="Calibri"/>
                <w:sz w:val="20"/>
              </w:rPr>
              <w:t>0.3507</w:t>
            </w:r>
          </w:p>
        </w:tc>
        <w:tc>
          <w:tcPr>
            <w:tcW w:type="dxa" w:w="1872"/>
          </w:tcPr>
          <w:p>
            <w:r>
              <w:rPr>
                <w:rFonts w:ascii="Calibri" w:hAnsi="Calibri"/>
                <w:sz w:val="20"/>
              </w:rPr>
              <w:t>6.6%</w:t>
            </w:r>
          </w:p>
        </w:tc>
      </w:tr>
      <w:tr>
        <w:tc>
          <w:tcPr>
            <w:tcW w:type="dxa" w:w="1872"/>
          </w:tcPr>
          <w:p>
            <w:r>
              <w:rPr>
                <w:rFonts w:ascii="Calibri" w:hAnsi="Calibri"/>
                <w:sz w:val="20"/>
              </w:rPr>
              <w:t>Korean</w:t>
            </w:r>
          </w:p>
        </w:tc>
        <w:tc>
          <w:tcPr>
            <w:tcW w:type="dxa" w:w="1872"/>
          </w:tcPr>
          <w:p>
            <w:r>
              <w:rPr>
                <w:rFonts w:ascii="Calibri" w:hAnsi="Calibri"/>
                <w:sz w:val="20"/>
              </w:rPr>
              <w:t>Clean</w:t>
            </w:r>
          </w:p>
        </w:tc>
        <w:tc>
          <w:tcPr>
            <w:tcW w:type="dxa" w:w="1872"/>
          </w:tcPr>
          <w:p>
            <w:r>
              <w:rPr>
                <w:rFonts w:ascii="Calibri" w:hAnsi="Calibri"/>
                <w:sz w:val="20"/>
              </w:rPr>
              <w:t>0.0852</w:t>
            </w:r>
          </w:p>
        </w:tc>
        <w:tc>
          <w:tcPr>
            <w:tcW w:type="dxa" w:w="1872"/>
          </w:tcPr>
          <w:p>
            <w:r>
              <w:rPr>
                <w:rFonts w:ascii="Calibri" w:hAnsi="Calibri"/>
                <w:sz w:val="20"/>
              </w:rPr>
              <w:t>0.0852</w:t>
            </w:r>
          </w:p>
        </w:tc>
        <w:tc>
          <w:tcPr>
            <w:tcW w:type="dxa" w:w="1872"/>
          </w:tcPr>
          <w:p>
            <w:r>
              <w:rPr>
                <w:rFonts w:ascii="Calibri" w:hAnsi="Calibri"/>
                <w:sz w:val="20"/>
              </w:rPr>
              <w:t>0.0%</w:t>
            </w:r>
          </w:p>
        </w:tc>
      </w:tr>
      <w:tr>
        <w:tc>
          <w:tcPr>
            <w:tcW w:type="dxa" w:w="1872"/>
          </w:tcPr>
          <w:p>
            <w:r>
              <w:rPr>
                <w:rFonts w:ascii="Calibri" w:hAnsi="Calibri"/>
                <w:sz w:val="20"/>
              </w:rPr>
              <w:t>Korean</w:t>
            </w:r>
          </w:p>
        </w:tc>
        <w:tc>
          <w:tcPr>
            <w:tcW w:type="dxa" w:w="1872"/>
          </w:tcPr>
          <w:p>
            <w:r>
              <w:rPr>
                <w:rFonts w:ascii="Calibri" w:hAnsi="Calibri"/>
                <w:sz w:val="20"/>
              </w:rPr>
              <w:t>Low</w:t>
            </w:r>
          </w:p>
        </w:tc>
        <w:tc>
          <w:tcPr>
            <w:tcW w:type="dxa" w:w="1872"/>
          </w:tcPr>
          <w:p>
            <w:r>
              <w:rPr>
                <w:rFonts w:ascii="Calibri" w:hAnsi="Calibri"/>
                <w:sz w:val="20"/>
              </w:rPr>
              <w:t>0.1963</w:t>
            </w:r>
          </w:p>
        </w:tc>
        <w:tc>
          <w:tcPr>
            <w:tcW w:type="dxa" w:w="1872"/>
          </w:tcPr>
          <w:p>
            <w:r>
              <w:rPr>
                <w:rFonts w:ascii="Calibri" w:hAnsi="Calibri"/>
                <w:sz w:val="20"/>
              </w:rPr>
              <w:t>0.1926</w:t>
            </w:r>
          </w:p>
        </w:tc>
        <w:tc>
          <w:tcPr>
            <w:tcW w:type="dxa" w:w="1872"/>
          </w:tcPr>
          <w:p>
            <w:r>
              <w:rPr>
                <w:rFonts w:ascii="Calibri" w:hAnsi="Calibri"/>
                <w:sz w:val="20"/>
              </w:rPr>
              <w:t>1.9%</w:t>
            </w:r>
          </w:p>
        </w:tc>
      </w:tr>
      <w:tr>
        <w:tc>
          <w:tcPr>
            <w:tcW w:type="dxa" w:w="1872"/>
          </w:tcPr>
          <w:p>
            <w:r>
              <w:rPr>
                <w:rFonts w:ascii="Calibri" w:hAnsi="Calibri"/>
                <w:sz w:val="20"/>
              </w:rPr>
              <w:t>Korean</w:t>
            </w:r>
          </w:p>
        </w:tc>
        <w:tc>
          <w:tcPr>
            <w:tcW w:type="dxa" w:w="1872"/>
          </w:tcPr>
          <w:p>
            <w:r>
              <w:rPr>
                <w:rFonts w:ascii="Calibri" w:hAnsi="Calibri"/>
                <w:sz w:val="20"/>
              </w:rPr>
              <w:t>Moderate</w:t>
            </w:r>
          </w:p>
        </w:tc>
        <w:tc>
          <w:tcPr>
            <w:tcW w:type="dxa" w:w="1872"/>
          </w:tcPr>
          <w:p>
            <w:r>
              <w:rPr>
                <w:rFonts w:ascii="Calibri" w:hAnsi="Calibri"/>
                <w:sz w:val="20"/>
              </w:rPr>
              <w:t>0.3481</w:t>
            </w:r>
          </w:p>
        </w:tc>
        <w:tc>
          <w:tcPr>
            <w:tcW w:type="dxa" w:w="1872"/>
          </w:tcPr>
          <w:p>
            <w:r>
              <w:rPr>
                <w:rFonts w:ascii="Calibri" w:hAnsi="Calibri"/>
                <w:sz w:val="20"/>
              </w:rPr>
              <w:t>0.3444</w:t>
            </w:r>
          </w:p>
        </w:tc>
        <w:tc>
          <w:tcPr>
            <w:tcW w:type="dxa" w:w="1872"/>
          </w:tcPr>
          <w:p>
            <w:r>
              <w:rPr>
                <w:rFonts w:ascii="Calibri" w:hAnsi="Calibri"/>
                <w:sz w:val="20"/>
              </w:rPr>
              <w:t>1.1%</w:t>
            </w:r>
          </w:p>
        </w:tc>
      </w:tr>
      <w:tr>
        <w:tc>
          <w:tcPr>
            <w:tcW w:type="dxa" w:w="1872"/>
          </w:tcPr>
          <w:p>
            <w:r>
              <w:rPr>
                <w:rFonts w:ascii="Calibri" w:hAnsi="Calibri"/>
                <w:sz w:val="20"/>
              </w:rPr>
              <w:t>Korean</w:t>
            </w:r>
          </w:p>
        </w:tc>
        <w:tc>
          <w:tcPr>
            <w:tcW w:type="dxa" w:w="1872"/>
          </w:tcPr>
          <w:p>
            <w:r>
              <w:rPr>
                <w:rFonts w:ascii="Calibri" w:hAnsi="Calibri"/>
                <w:sz w:val="20"/>
              </w:rPr>
              <w:t>High</w:t>
            </w:r>
          </w:p>
        </w:tc>
        <w:tc>
          <w:tcPr>
            <w:tcW w:type="dxa" w:w="1872"/>
          </w:tcPr>
          <w:p>
            <w:r>
              <w:rPr>
                <w:rFonts w:ascii="Calibri" w:hAnsi="Calibri"/>
                <w:sz w:val="20"/>
              </w:rPr>
              <w:t>0.5296</w:t>
            </w:r>
          </w:p>
        </w:tc>
        <w:tc>
          <w:tcPr>
            <w:tcW w:type="dxa" w:w="1872"/>
          </w:tcPr>
          <w:p>
            <w:r>
              <w:rPr>
                <w:rFonts w:ascii="Calibri" w:hAnsi="Calibri"/>
                <w:sz w:val="20"/>
              </w:rPr>
              <w:t>0.5222</w:t>
            </w:r>
          </w:p>
        </w:tc>
        <w:tc>
          <w:tcPr>
            <w:tcW w:type="dxa" w:w="1872"/>
          </w:tcPr>
          <w:p>
            <w:r>
              <w:rPr>
                <w:rFonts w:ascii="Calibri" w:hAnsi="Calibri"/>
                <w:sz w:val="20"/>
              </w:rPr>
              <w:t>1.4%</w:t>
            </w:r>
          </w:p>
        </w:tc>
      </w:tr>
    </w:tbl>
    <w:p>
      <w:pPr>
        <w:spacing w:after="160"/>
      </w:pPr>
      <w:r>
        <w:rPr>
          <w:rFonts w:ascii="Calibri" w:hAnsi="Calibri" w:eastAsia="Calibri"/>
          <w:b w:val="0"/>
          <w:i w:val="0"/>
          <w:sz w:val="22"/>
        </w:rPr>
      </w:r>
    </w:p>
    <w:p>
      <w:r>
        <w:rPr>
          <w:rFonts w:ascii="Calibri" w:hAnsi="Calibri"/>
          <w:i/>
          <w:sz w:val="22"/>
        </w:rPr>
        <w:t>Note that the Clean-condition relative reduction (11.2% for English) looks larger than the High-noise reduction (6.6%) only because the Clean-condition baseline WER is already very small (0.0224); a small absolute change produces a large relative percentage at a near-zero baseline, so absolute WER values in the table above are more informative than the relative-Δ column when comparing across noise levels.</w:t>
      </w:r>
    </w:p>
    <w:p>
      <w:pPr>
        <w:spacing w:after="160"/>
      </w:pPr>
      <w:r>
        <w:rPr>
          <w:rFonts w:ascii="Calibri" w:hAnsi="Calibri" w:eastAsia="Calibri"/>
          <w:b w:val="0"/>
          <w:i w:val="0"/>
          <w:sz w:val="22"/>
        </w:rPr>
        <w:t>Example corrections (caption before → after filtering):</w:t>
      </w:r>
    </w:p>
    <w:p>
      <w:pPr>
        <w:spacing w:after="160"/>
      </w:pPr>
      <w:r>
        <w:rPr>
          <w:rFonts w:ascii="Calibri" w:hAnsi="Calibri" w:eastAsia="Calibri"/>
          <w:b w:val="0"/>
          <w:i/>
          <w:sz w:val="22"/>
        </w:rPr>
        <w:t>• “The soup arrived this morning” → “The arrived this morning”</w:t>
      </w:r>
    </w:p>
    <w:p>
      <w:pPr>
        <w:spacing w:after="160"/>
      </w:pPr>
      <w:r>
        <w:rPr>
          <w:rFonts w:ascii="Calibri" w:hAnsi="Calibri" w:eastAsia="Calibri"/>
          <w:b w:val="0"/>
          <w:i/>
          <w:sz w:val="22"/>
        </w:rPr>
        <w:t>• “menu meeting close at three” → “meeting at three”</w:t>
      </w:r>
    </w:p>
    <w:p>
      <w:pPr>
        <w:spacing w:after="160"/>
      </w:pPr>
      <w:r>
        <w:rPr>
          <w:rFonts w:ascii="Calibri" w:hAnsi="Calibri" w:eastAsia="Calibri"/>
          <w:b w:val="0"/>
          <w:i/>
          <w:sz w:val="22"/>
        </w:rPr>
        <w:t>• “Turn at soup next light” → “Turn at next light”</w:t>
      </w:r>
    </w:p>
    <w:p>
      <w:pPr>
        <w:spacing w:after="160"/>
      </w:pPr>
      <w:r>
        <w:rPr>
          <w:rFonts w:ascii="Calibri" w:hAnsi="Calibri" w:eastAsia="Calibri"/>
          <w:b w:val="0"/>
          <w:i/>
          <w:sz w:val="22"/>
        </w:rPr>
        <w:t>• “The package soup this morning” → “The package this morning”</w:t>
      </w:r>
    </w:p>
    <w:p>
      <w:pPr>
        <w:pStyle w:val="Heading2"/>
      </w:pPr>
      <w:r>
        <w:t>A.4 Limitations of This Filter</w:t>
      </w:r>
    </w:p>
    <w:p>
      <w:pPr>
        <w:spacing w:after="160"/>
      </w:pPr>
      <w:r>
        <w:rPr>
          <w:rFonts w:ascii="Calibri" w:hAnsi="Calibri" w:eastAsia="Calibri"/>
          <w:b w:val="0"/>
          <w:i w:val="0"/>
          <w:sz w:val="22"/>
        </w:rPr>
        <w:t>This filter is not a general noise-robustness solution and should not be read as one. Three caveats limit its interpretation:</w:t>
      </w:r>
    </w:p>
    <w:p>
      <w:pPr>
        <w:spacing w:after="160"/>
      </w:pPr>
      <w:r>
        <w:rPr>
          <w:rFonts w:ascii="Calibri" w:hAnsi="Calibri" w:eastAsia="Calibri"/>
          <w:b w:val="0"/>
          <w:i w:val="0"/>
          <w:sz w:val="22"/>
        </w:rPr>
        <w:t>First, the improvement is modest (3.2% relative overall, up to 6.6% under English high noise) — a real, measurable effect, but not a large one. Second, the filter only removes words; it does not restore anything in their place, so a corrected caption can read as grammatically incomplete (e.g., “The arrived this morning”) even though its WER is lower. This is a direct illustration of the point raised by Kafle and Huenerfauth [3] in Section 2: WER improvements do not necessarily track improvements in a caption's usability for a DHH reader, and this filter's benefit would need to be validated with DHH participants before being considered a genuine improvement rather than only a metric improvement. Third, the filter exploits a property specific to this study's closed, seven-sentence vocabulary (knowing exactly which words belong to “other” known sentences); it does not directly generalize to open-vocabulary, real-world captioning, where there is no fixed small set of “other sentences” to define foreign vocabulary against. A generalizable version of this idea would require a domain-specific language model or confidence-based rejection rule rather than a fixed sentence list, and is a natural direction for future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2026-09-14T18:37:59.023Z</dcterms:created>
  <dcterms:modified xsi:type="dcterms:W3CDTF">2026-09-14T18:37:59.034Z</dcterms:modified>
</cp:coreProperties>
</file>

<file path=docProps/custom.xml><?xml version="1.0" encoding="utf-8"?>
<Properties xmlns="http://schemas.openxmlformats.org/officeDocument/2006/custom-properties" xmlns:vt="http://schemas.openxmlformats.org/officeDocument/2006/docPropsVTypes"/>
</file>