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80" w:line="288" w:lineRule="auto"/>
        <w:jc w:val="center"/>
      </w:pPr>
      <w:r>
        <w:rPr>
          <w:rFonts w:ascii="宋体" w:hAnsi="宋体" w:eastAsia="宋体"/>
          <w:b/>
          <w:color w:val="1A3C6E"/>
          <w:sz w:val="56"/>
        </w:rPr>
        <w:t>阿坝州紧密型县域医共体</w:t>
      </w:r>
    </w:p>
    <w:p>
      <w:pPr>
        <w:spacing w:before="0" w:after="160" w:line="288" w:lineRule="auto"/>
        <w:jc w:val="center"/>
      </w:pPr>
      <w:r>
        <w:rPr>
          <w:rFonts w:ascii="宋体" w:hAnsi="宋体" w:eastAsia="宋体"/>
          <w:b/>
          <w:color w:val="1A3C6E"/>
          <w:sz w:val="56"/>
        </w:rPr>
        <w:t>信息化建设项目</w:t>
      </w:r>
    </w:p>
    <w:p>
      <w:pPr>
        <w:spacing w:before="0" w:after="600" w:line="360" w:lineRule="auto"/>
        <w:jc w:val="center"/>
      </w:pPr>
      <w:r>
        <w:rPr>
          <w:rFonts w:ascii="宋体" w:hAnsi="宋体" w:eastAsia="宋体"/>
          <w:color w:val="2B579A"/>
          <w:sz w:val="28"/>
        </w:rPr>
        <w:t>方案编制任务书</w:t>
      </w:r>
    </w:p>
    <w:p>
      <w:pPr>
        <w:jc w:val="center"/>
        <w:pBdr>
          <w:bottom w:val="single" w:sz="12" w:space="8" w:color="1A3C6E"/>
        </w:pBdr>
      </w:pPr>
    </w:p>
    <w:p/>
    <w:p/>
    <w:p/>
    <w:p/>
    <w:p>
      <w:pPr>
        <w:spacing w:before="40" w:after="40" w:line="432" w:lineRule="auto"/>
        <w:jc w:val="center"/>
      </w:pPr>
      <w:r>
        <w:rPr>
          <w:rFonts w:ascii="宋体" w:hAnsi="宋体" w:eastAsia="宋体"/>
          <w:b/>
          <w:color w:val="1A3C6E"/>
          <w:sz w:val="22"/>
        </w:rPr>
        <w:t>编制日期：</w:t>
      </w:r>
      <w:r>
        <w:rPr>
          <w:rFonts w:ascii="宋体" w:hAnsi="宋体" w:eastAsia="宋体"/>
          <w:color w:val="222222"/>
          <w:sz w:val="22"/>
        </w:rPr>
        <w:t>2026年5月</w:t>
      </w:r>
    </w:p>
    <w:p>
      <w:pPr>
        <w:spacing w:before="40" w:after="40" w:line="432" w:lineRule="auto"/>
        <w:jc w:val="center"/>
      </w:pPr>
      <w:r>
        <w:rPr>
          <w:rFonts w:ascii="宋体" w:hAnsi="宋体" w:eastAsia="宋体"/>
          <w:b/>
          <w:color w:val="1A3C6E"/>
          <w:sz w:val="22"/>
        </w:rPr>
        <w:t>版   本   号：</w:t>
      </w:r>
      <w:r>
        <w:rPr>
          <w:rFonts w:ascii="宋体" w:hAnsi="宋体" w:eastAsia="宋体"/>
          <w:color w:val="222222"/>
          <w:sz w:val="22"/>
        </w:rPr>
        <w:t>V2.0（最终版）</w:t>
      </w:r>
    </w:p>
    <w:p>
      <w:pPr>
        <w:spacing w:before="40" w:after="40" w:line="432" w:lineRule="auto"/>
        <w:jc w:val="center"/>
      </w:pPr>
      <w:r>
        <w:rPr>
          <w:rFonts w:ascii="宋体" w:hAnsi="宋体" w:eastAsia="宋体"/>
          <w:b/>
          <w:color w:val="1A3C6E"/>
          <w:sz w:val="22"/>
        </w:rPr>
        <w:t>编 制 单 位：</w:t>
      </w:r>
      <w:r>
        <w:rPr>
          <w:rFonts w:ascii="宋体" w:hAnsi="宋体" w:eastAsia="宋体"/>
          <w:color w:val="222222"/>
          <w:sz w:val="22"/>
        </w:rPr>
        <w:t>阿坝州卫生健康委员会（拟）</w:t>
      </w:r>
    </w:p>
    <w:p>
      <w:pPr>
        <w:spacing w:before="40" w:after="40" w:line="432" w:lineRule="auto"/>
        <w:jc w:val="center"/>
      </w:pPr>
      <w:r>
        <w:rPr>
          <w:rFonts w:ascii="宋体" w:hAnsi="宋体" w:eastAsia="宋体"/>
          <w:b/>
          <w:color w:val="1A3C6E"/>
          <w:sz w:val="22"/>
        </w:rPr>
        <w:t>密       级：</w:t>
      </w:r>
      <w:r>
        <w:rPr>
          <w:rFonts w:ascii="宋体" w:hAnsi="宋体" w:eastAsia="宋体"/>
          <w:color w:val="222222"/>
          <w:sz w:val="22"/>
        </w:rPr>
        <w:t>内部</w:t>
      </w:r>
    </w:p>
    <w:p>
      <w:r>
        <w:br w:type="page"/>
      </w:r>
    </w:p>
    <w:p>
      <w:pPr>
        <w:spacing w:before="0" w:after="0" w:line="120" w:lineRule="auto"/>
      </w:pPr>
    </w:p>
    <w:p>
      <w:pPr>
        <w:spacing w:before="360" w:after="160"/>
        <w:pBdr>
          <w:bottom w:val="single" w:sz="4" w:space="2" w:color="8CA3C2"/>
        </w:pBdr>
      </w:pPr>
      <w:r>
        <w:rPr>
          <w:rFonts w:ascii="宋体" w:hAnsi="宋体" w:eastAsia="宋体"/>
          <w:b/>
          <w:color w:val="1A3C6E"/>
          <w:sz w:val="32"/>
        </w:rPr>
        <w:t>一、项目基础信息</w:t>
      </w:r>
    </w:p>
    <w:p>
      <w:pPr>
        <w:spacing w:before="0" w:after="0" w:line="12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4366"/>
            <w:shd w:fill="1A3C6E"/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项目要素</w:t>
            </w:r>
          </w:p>
        </w:tc>
        <w:tc>
          <w:tcPr>
            <w:tcW w:type="dxa" w:w="4366"/>
            <w:shd w:fill="1A3C6E"/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内容</w:t>
            </w:r>
          </w:p>
        </w:tc>
      </w:tr>
    </w:tbl>
    <w:p/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| **项目名称** | 阿坝州紧密型县域医共体信息化建设项目 |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| **总投资规模** | 9,600万元 |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| **已到位资金** | 3,000万元 |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| **建设方向** | 信息化为主（具体建设范围待存量调研后确认） |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| **当前信息完整度** | 有限，需通过调研补全 |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| **建设策略铁律** | 查漏补缺、避免重复建设、不搞大拆大建、合理化适配改造优先、性价比突出 |</w:t>
      </w:r>
    </w:p>
    <w:p>
      <w:pPr>
        <w:spacing w:before="0" w:after="0" w:line="120" w:lineRule="auto"/>
      </w:pPr>
    </w:p>
    <w:p>
      <w:pPr>
        <w:spacing w:before="0" w:after="0" w:line="120" w:lineRule="auto"/>
      </w:pPr>
    </w:p>
    <w:p>
      <w:pPr>
        <w:spacing w:before="360" w:after="160"/>
        <w:pBdr>
          <w:bottom w:val="single" w:sz="4" w:space="2" w:color="8CA3C2"/>
        </w:pBdr>
      </w:pPr>
      <w:r>
        <w:rPr>
          <w:rFonts w:ascii="宋体" w:hAnsi="宋体" w:eastAsia="宋体"/>
          <w:b/>
          <w:color w:val="1A3C6E"/>
          <w:sz w:val="32"/>
        </w:rPr>
        <w:t>二、建设策略核心约束（贯穿全方案）</w:t>
      </w:r>
    </w:p>
    <w:p>
      <w:pPr>
        <w:spacing w:before="0" w:after="0" w:line="120" w:lineRule="auto"/>
      </w:pPr>
    </w:p>
    <w:p>
      <w:pPr>
        <w:spacing w:before="280" w:after="120"/>
      </w:pPr>
      <w:r>
        <w:rPr>
          <w:rFonts w:ascii="宋体" w:hAnsi="宋体" w:eastAsia="宋体"/>
          <w:b/>
          <w:color w:val="2B579A"/>
          <w:sz w:val="26"/>
        </w:rPr>
        <w:t>2.1 五项铁律</w:t>
      </w:r>
    </w:p>
    <w:p>
      <w:pPr>
        <w:spacing w:before="0" w:after="0" w:line="12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shd w:fill="1A3C6E"/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铁律</w:t>
            </w:r>
          </w:p>
        </w:tc>
        <w:tc>
          <w:tcPr>
            <w:tcW w:type="dxa" w:w="2911"/>
            <w:shd w:fill="1A3C6E"/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2911"/>
            <w:shd w:fill="1A3C6E"/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方案中的落地要求</w:t>
            </w:r>
          </w:p>
        </w:tc>
      </w:tr>
    </w:tbl>
    <w:p/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| **查漏补缺** | 先摸清现有系统家底，只建没有的、补足薄弱的 | 每个建设模块必须先回答：现状有什么、缺什么、为什么必须建 |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| **避免重复建设** | 已有系统能用则用、能扩则扩，同类功能不重复投资 | 存量系统评估表：标注每个已有系统的"保留/升级/替换"决策及理由 |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| **不搞大拆大建** | 不推倒重来，最大化利旧现有硬件、网络、数据、人员能力 | 利旧率目标：硬件≥60%、网络≥80%、数据100%迁移 |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| **适配改造优先** | 现有系统通过接口改造、功能扩展、配置优化来满足新需求 | 新建 vs 改造决策树：先评估改造可行性→仅当改造不可行时才新建 |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| **性价比突出** | 每花一分钱都要对应可量化的回报或刚性的合规需求 | 标注投入金额 vs 预期年回报，优先实施回报周期&lt;18个月的项目 |</w:t>
      </w:r>
    </w:p>
    <w:p>
      <w:pPr>
        <w:spacing w:before="0" w:after="0" w:line="120" w:lineRule="auto"/>
      </w:pPr>
    </w:p>
    <w:p>
      <w:pPr>
        <w:spacing w:before="280" w:after="120"/>
      </w:pPr>
      <w:r>
        <w:rPr>
          <w:rFonts w:ascii="宋体" w:hAnsi="宋体" w:eastAsia="宋体"/>
          <w:b/>
          <w:color w:val="2B579A"/>
          <w:sz w:val="26"/>
        </w:rPr>
        <w:t>2.2 投资优先级矩阵</w:t>
      </w:r>
    </w:p>
    <w:p>
      <w:pPr>
        <w:spacing w:before="0" w:after="0" w:line="12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shd w:fill="1A3C6E"/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2183"/>
            <w:shd w:fill="1A3C6E"/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判定标准</w:t>
            </w:r>
          </w:p>
        </w:tc>
        <w:tc>
          <w:tcPr>
            <w:tcW w:type="dxa" w:w="2183"/>
            <w:shd w:fill="1A3C6E"/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典型项目</w:t>
            </w:r>
          </w:p>
        </w:tc>
        <w:tc>
          <w:tcPr>
            <w:tcW w:type="dxa" w:w="2183"/>
            <w:shd w:fill="1A3C6E"/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投资占比</w:t>
            </w:r>
          </w:p>
        </w:tc>
      </w:tr>
    </w:tbl>
    <w:p/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| **P0** | 合规必须 + 存量空白 + 无替代方案 | 全民健康信息平台（州级）、传染病监测预警 | 30-35% |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| **P1** | 高回报(ROI&gt;50%/年) + 存量薄弱 + 改造可行 | AI影像辅诊、云胶片、医保AI审核、AI处方审核 | 30-35% |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| **P2** | 中回报 + 存量有基础 + 适配改造为主 | 区域PACS升级、体检系统对接、智能导诊改造 | 20-25% |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| **P3** | 长期价值 + 创新探索 + 增量建设 | 藏医药AI、高原病特色模型 | 5-10% |</w:t>
      </w:r>
    </w:p>
    <w:p>
      <w:pPr>
        <w:spacing w:before="0" w:after="0" w:line="120" w:lineRule="auto"/>
      </w:pPr>
    </w:p>
    <w:p>
      <w:pPr>
        <w:spacing w:before="280" w:after="120"/>
      </w:pPr>
      <w:r>
        <w:rPr>
          <w:rFonts w:ascii="宋体" w:hAnsi="宋体" w:eastAsia="宋体"/>
          <w:b/>
          <w:color w:val="2B579A"/>
          <w:sz w:val="26"/>
        </w:rPr>
        <w:t>2.3 投资配比行业基准（来自7个标杆案例统计）</w:t>
      </w:r>
    </w:p>
    <w:p>
      <w:pPr>
        <w:spacing w:before="0" w:after="0" w:line="12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shd w:fill="1A3C6E"/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投资类别</w:t>
            </w:r>
          </w:p>
        </w:tc>
        <w:tc>
          <w:tcPr>
            <w:tcW w:type="dxa" w:w="2183"/>
            <w:shd w:fill="1A3C6E"/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行业区间</w:t>
            </w:r>
          </w:p>
        </w:tc>
        <w:tc>
          <w:tcPr>
            <w:tcW w:type="dxa" w:w="2183"/>
            <w:shd w:fill="1A3C6E"/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阿坝建议</w:t>
            </w:r>
          </w:p>
        </w:tc>
        <w:tc>
          <w:tcPr>
            <w:tcW w:type="dxa" w:w="2183"/>
            <w:shd w:fill="1A3C6E"/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案例依据</w:t>
            </w:r>
          </w:p>
        </w:tc>
      </w:tr>
    </w:tbl>
    <w:p/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| 基础平台（数据交换/EMPI/认证/BI） | 25-35% | 30% | 东台35%、江西省级28% |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| 业务应用系统（PACS/体检/导诊/院感等） | 25-35% | 30% | 滨海17场景32% |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| AI能力（影像/医保/慢病/传染病/审方） | 8-15% | 12% | 西青10%、梧州8%、安徽15% |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| 硬件与网络基础设施 | 15-20% | 18% | 含服务器/存储/网络/安全/终端 |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| 实施服务与培训 | 5-10% | 7% | 含集成/数据迁移/培训/变革管理 |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| 三年运维与预备金 | 3-5% | 3% | 含运维/安全服务/应急储备 |</w:t>
      </w:r>
    </w:p>
    <w:p>
      <w:pPr>
        <w:spacing w:before="0" w:after="0" w:line="120" w:lineRule="auto"/>
      </w:pPr>
    </w:p>
    <w:p>
      <w:pPr>
        <w:spacing w:before="280" w:after="120"/>
      </w:pPr>
      <w:r>
        <w:rPr>
          <w:rFonts w:ascii="宋体" w:hAnsi="宋体" w:eastAsia="宋体"/>
          <w:b/>
          <w:color w:val="2B579A"/>
          <w:sz w:val="26"/>
        </w:rPr>
        <w:t>2.4 四种行业验证的建设模式</w:t>
      </w:r>
    </w:p>
    <w:p>
      <w:pPr>
        <w:spacing w:before="0" w:after="0" w:line="12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shd w:fill="1A3C6E"/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模式</w:t>
            </w:r>
          </w:p>
        </w:tc>
        <w:tc>
          <w:tcPr>
            <w:tcW w:type="dxa" w:w="2183"/>
            <w:shd w:fill="1A3C6E"/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代表案例</w:t>
            </w:r>
          </w:p>
        </w:tc>
        <w:tc>
          <w:tcPr>
            <w:tcW w:type="dxa" w:w="2183"/>
            <w:shd w:fill="1A3C6E"/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核心特征</w:t>
            </w:r>
          </w:p>
        </w:tc>
        <w:tc>
          <w:tcPr>
            <w:tcW w:type="dxa" w:w="2183"/>
            <w:shd w:fill="1A3C6E"/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阿坝建议</w:t>
            </w:r>
          </w:p>
        </w:tc>
      </w:tr>
    </w:tbl>
    <w:p/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| **省级统筹云化部署** | 安徽影像云+AI / 江西基层AI | 省统建平台→市县作为节点接入→基层即开即用 | 阿坝可在**州级仿效**：州统建+13县节点 |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| **小切口单点突破** | 重庆"影像云+AI" / 南皮AI影像 | 选1-2个最高频场景→AI赋能→快速见效→逐步扩展 | **首推**：肺结核AI筛查 + DRG智能审核 |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| **全栈AI原生** | 天津西青 / 江西全省 | 从底层平台到顶层AI一次规划、分步建设 | 信息化薄弱县适用 |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| **存量改造渐进升级** | 滨海 / 广东曲江 | 在现有HIS/EMR基础上叠加AI | 已有基础的县(茂县/松潘/汶川等)适用 |</w:t>
      </w:r>
    </w:p>
    <w:p>
      <w:pPr>
        <w:spacing w:before="0" w:after="0" w:line="120" w:lineRule="auto"/>
      </w:pPr>
    </w:p>
    <w:p>
      <w:pPr>
        <w:spacing w:before="280" w:after="120"/>
      </w:pPr>
      <w:r>
        <w:rPr>
          <w:rFonts w:ascii="宋体" w:hAnsi="宋体" w:eastAsia="宋体"/>
          <w:b/>
          <w:color w:val="2B579A"/>
          <w:sz w:val="26"/>
        </w:rPr>
        <w:t>2.5 被反复验证的快赢场景（优先排期）</w:t>
      </w:r>
    </w:p>
    <w:p>
      <w:pPr>
        <w:spacing w:before="0" w:after="0" w:line="12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6"/>
        <w:gridCol w:w="1746"/>
        <w:gridCol w:w="1746"/>
        <w:gridCol w:w="1746"/>
        <w:gridCol w:w="1746"/>
      </w:tblGrid>
      <w:tr>
        <w:tc>
          <w:tcPr>
            <w:tcW w:type="dxa" w:w="1746"/>
            <w:shd w:fill="1A3C6E"/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快赢场景</w:t>
            </w:r>
          </w:p>
        </w:tc>
        <w:tc>
          <w:tcPr>
            <w:tcW w:type="dxa" w:w="1746"/>
            <w:shd w:fill="1A3C6E"/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典型投入</w:t>
            </w:r>
          </w:p>
        </w:tc>
        <w:tc>
          <w:tcPr>
            <w:tcW w:type="dxa" w:w="1746"/>
            <w:shd w:fill="1A3C6E"/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见效周期</w:t>
            </w:r>
          </w:p>
        </w:tc>
        <w:tc>
          <w:tcPr>
            <w:tcW w:type="dxa" w:w="1746"/>
            <w:shd w:fill="1A3C6E"/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可量化回报</w:t>
            </w:r>
          </w:p>
        </w:tc>
        <w:tc>
          <w:tcPr>
            <w:tcW w:type="dxa" w:w="1746"/>
            <w:shd w:fill="1A3C6E"/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案例来源</w:t>
            </w:r>
          </w:p>
        </w:tc>
      </w:tr>
    </w:tbl>
    <w:p/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| 云胶片替代塑料胶片 | 150万(全州) | 3-6月 | 年省耗材200-300万，ROI&gt;150% | 安徽/东台 |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| AI肺结核DR筛查 | 100万(试点) | 3-6月 | 检出率提升3-5倍 | 重庆/安徽/灵璧 |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| DRG智能审核 | 200万 | 6-9月 | 年追回违规300-800万 | 梧州/尤溪/湘潭 |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| AI处方前置审核 | 120万 | 3-6月 | 处方合格率85%→95%+ | 滨海/江西 |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| 智能语音慢病随访 | 80万(试点) | 3-6月 | 随访效率提升3-5倍 | 江西/郑州/西青 |</w:t>
      </w:r>
    </w:p>
    <w:p>
      <w:pPr>
        <w:spacing w:before="0" w:after="0" w:line="120" w:lineRule="auto"/>
      </w:pPr>
    </w:p>
    <w:p>
      <w:pPr>
        <w:spacing w:before="40" w:after="40" w:line="336" w:lineRule="auto"/>
        <w:ind w:left="454"/>
      </w:pPr>
      <w:r>
        <w:rPr>
          <w:rFonts w:ascii="宋体" w:hAnsi="宋体" w:eastAsia="宋体"/>
          <w:i/>
          <w:color w:val="666666"/>
          <w:sz w:val="22"/>
        </w:rPr>
        <w:t>**策略含义**：一期3,000万中至少安排800万（27%）用于快赢场景，确保首年即产生可量化回报。</w:t>
      </w:r>
    </w:p>
    <w:p>
      <w:pPr>
        <w:spacing w:before="0" w:after="0" w:line="120" w:lineRule="auto"/>
      </w:pPr>
    </w:p>
    <w:p>
      <w:pPr>
        <w:spacing w:before="280" w:after="120"/>
      </w:pPr>
      <w:r>
        <w:rPr>
          <w:rFonts w:ascii="宋体" w:hAnsi="宋体" w:eastAsia="宋体"/>
          <w:b/>
          <w:color w:val="2B579A"/>
          <w:sz w:val="26"/>
        </w:rPr>
        <w:t>2.6 常见失败模式与规避</w:t>
      </w:r>
    </w:p>
    <w:p>
      <w:pPr>
        <w:spacing w:before="0" w:after="0" w:line="12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shd w:fill="1A3C6E"/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失败模式</w:t>
            </w:r>
          </w:p>
        </w:tc>
        <w:tc>
          <w:tcPr>
            <w:tcW w:type="dxa" w:w="2911"/>
            <w:shd w:fill="1A3C6E"/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案例教训</w:t>
            </w:r>
          </w:p>
        </w:tc>
        <w:tc>
          <w:tcPr>
            <w:tcW w:type="dxa" w:w="2911"/>
            <w:shd w:fill="1A3C6E"/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阿坝规避策略</w:t>
            </w:r>
          </w:p>
        </w:tc>
      </w:tr>
    </w:tbl>
    <w:p/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| 贪大求全、一期铺太开 | 一次性全省铺开→系统崩溃、基层抵触 | 一期只做4试点县，跑通后再推广 |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| 建完不用、系统空转 | 投2000万建平台，上线1年后登录率&lt;10% | 信息化使用率纳入院长考核、月度通报排名、设"用得好"奖金 |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| 重硬轻软、数据不通 | 大量硬件采购但HIS对接失败 | 预留215万专项用于HIS接口开发 |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| AI当摆设、医生不信任 | AI部署后医生从不参考 | AI上线前先做双盲对比测试+本地数据证明准确率 |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| 供应商锁定、后期被动 | 全部委托一家供应商 | 接口全部采用HL7/FHIR开放标准、合同约定二开权利 |</w:t>
      </w:r>
    </w:p>
    <w:p>
      <w:pPr>
        <w:spacing w:before="0" w:after="0" w:line="120" w:lineRule="auto"/>
      </w:pPr>
    </w:p>
    <w:p>
      <w:pPr>
        <w:spacing w:before="0" w:after="0" w:line="120" w:lineRule="auto"/>
      </w:pPr>
    </w:p>
    <w:p>
      <w:pPr>
        <w:spacing w:before="360" w:after="160"/>
        <w:pBdr>
          <w:bottom w:val="single" w:sz="4" w:space="2" w:color="8CA3C2"/>
        </w:pBdr>
      </w:pPr>
      <w:r>
        <w:rPr>
          <w:rFonts w:ascii="宋体" w:hAnsi="宋体" w:eastAsia="宋体"/>
          <w:b/>
          <w:color w:val="1A3C6E"/>
          <w:sz w:val="32"/>
        </w:rPr>
        <w:t>三、合作厂商资源</w:t>
      </w:r>
    </w:p>
    <w:p>
      <w:pPr>
        <w:spacing w:before="0" w:after="0" w:line="120" w:lineRule="auto"/>
      </w:pPr>
    </w:p>
    <w:p>
      <w:pPr>
        <w:spacing w:before="20" w:after="60" w:line="360" w:lineRule="auto"/>
      </w:pPr>
      <w:r>
        <w:rPr>
          <w:rFonts w:ascii="宋体" w:hAnsi="宋体" w:eastAsia="宋体"/>
          <w:sz w:val="22"/>
        </w:rPr>
        <w:t>以下厂商为熟悉渠道，方案中需将其产品能力转化为通用能力模块，</w:t>
      </w:r>
      <w:r>
        <w:rPr>
          <w:rFonts w:ascii="宋体" w:hAnsi="宋体" w:eastAsia="宋体"/>
          <w:b/>
          <w:sz w:val="22"/>
        </w:rPr>
        <w:t>不体现厂商名称</w:t>
      </w:r>
      <w:r>
        <w:rPr>
          <w:rFonts w:ascii="宋体" w:hAnsi="宋体" w:eastAsia="宋体"/>
          <w:sz w:val="22"/>
        </w:rPr>
        <w:t>：</w:t>
      </w:r>
    </w:p>
    <w:p>
      <w:pPr>
        <w:spacing w:before="0" w:after="0" w:line="12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shd w:fill="1A3C6E"/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厂商</w:t>
            </w:r>
          </w:p>
        </w:tc>
        <w:tc>
          <w:tcPr>
            <w:tcW w:type="dxa" w:w="2911"/>
            <w:shd w:fill="1A3C6E"/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能力方向</w:t>
            </w:r>
          </w:p>
        </w:tc>
        <w:tc>
          <w:tcPr>
            <w:tcW w:type="dxa" w:w="2911"/>
            <w:shd w:fill="1A3C6E"/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方案中的能力模块命名</w:t>
            </w:r>
          </w:p>
        </w:tc>
      </w:tr>
    </w:tbl>
    <w:p/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| 影禾医脉 | 影像AI辅助诊断 | 区域医学影像AI辅助诊断平台 |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| 蓝蜻蜓 | 院感、传染病、医务管理、疾控 | 院感-传染病-疾控一体化智能管理平台 |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| 成都捷图明宇 | 区域PACS系统 | 区域PACS/云影像/远程诊断平台 |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| 未具名 | 智慧体检及预约 | 智慧体检预约与智能导检系统 |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| 未具名 | 智能导诊分流 | 智能导诊分流与预问诊系统 |</w:t>
      </w:r>
    </w:p>
    <w:p>
      <w:pPr>
        <w:spacing w:before="0" w:after="0" w:line="120" w:lineRule="auto"/>
      </w:pPr>
    </w:p>
    <w:p>
      <w:pPr>
        <w:spacing w:before="0" w:after="0" w:line="120" w:lineRule="auto"/>
      </w:pPr>
    </w:p>
    <w:p>
      <w:pPr>
        <w:spacing w:before="360" w:after="160"/>
        <w:pBdr>
          <w:bottom w:val="single" w:sz="4" w:space="2" w:color="8CA3C2"/>
        </w:pBdr>
      </w:pPr>
      <w:r>
        <w:rPr>
          <w:rFonts w:ascii="宋体" w:hAnsi="宋体" w:eastAsia="宋体"/>
          <w:b/>
          <w:color w:val="1A3C6E"/>
          <w:sz w:val="32"/>
        </w:rPr>
        <w:t>四、任务清单</w:t>
      </w:r>
    </w:p>
    <w:p>
      <w:pPr>
        <w:spacing w:before="0" w:after="0" w:line="120" w:lineRule="auto"/>
      </w:pPr>
    </w:p>
    <w:p>
      <w:pPr>
        <w:spacing w:before="0" w:after="0" w:line="120" w:lineRule="auto"/>
      </w:pPr>
    </w:p>
    <w:p>
      <w:pPr>
        <w:spacing w:before="280" w:after="120"/>
      </w:pPr>
      <w:r>
        <w:rPr>
          <w:rFonts w:ascii="宋体" w:hAnsi="宋体" w:eastAsia="宋体"/>
          <w:b/>
          <w:color w:val="2B579A"/>
          <w:sz w:val="26"/>
        </w:rPr>
        <w:t>阶段一：存量摸底与需求诊断（只读调研，不写方案）</w:t>
      </w:r>
    </w:p>
    <w:p>
      <w:pPr>
        <w:spacing w:before="0" w:after="0" w:line="120" w:lineRule="auto"/>
      </w:pPr>
    </w:p>
    <w:p>
      <w:pPr>
        <w:spacing w:before="200" w:after="80"/>
      </w:pPr>
      <w:r>
        <w:rPr>
          <w:rFonts w:ascii="宋体" w:hAnsi="宋体" w:eastAsia="宋体"/>
          <w:b/>
          <w:color w:val="222222"/>
          <w:sz w:val="23"/>
        </w:rPr>
        <w:t>T1. 阿坝州存量信息化家底普查</w:t>
      </w:r>
    </w:p>
    <w:p>
      <w:pPr>
        <w:spacing w:before="0" w:after="0" w:line="120" w:lineRule="auto"/>
      </w:pPr>
    </w:p>
    <w:p>
      <w:pPr>
        <w:spacing w:before="20" w:after="60" w:line="360" w:lineRule="auto"/>
      </w:pPr>
      <w:r>
        <w:rPr>
          <w:rFonts w:ascii="宋体" w:hAnsi="宋体" w:eastAsia="宋体"/>
          <w:sz w:val="22"/>
        </w:rPr>
        <w:t>逐县（13县+州本级）摸清以下家底，输出</w:t>
      </w:r>
      <w:r>
        <w:rPr>
          <w:rFonts w:ascii="宋体" w:hAnsi="宋体" w:eastAsia="宋体"/>
          <w:b/>
          <w:sz w:val="22"/>
        </w:rPr>
        <w:t>存量系统评估表</w:t>
      </w:r>
      <w:r>
        <w:rPr>
          <w:rFonts w:ascii="宋体" w:hAnsi="宋体" w:eastAsia="宋体"/>
          <w:sz w:val="22"/>
        </w:rPr>
        <w:t>：</w:t>
      </w:r>
    </w:p>
    <w:p>
      <w:pPr>
        <w:spacing w:before="0" w:after="0" w:line="12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91"/>
        <w:gridCol w:w="1091"/>
        <w:gridCol w:w="1091"/>
        <w:gridCol w:w="1091"/>
        <w:gridCol w:w="1091"/>
        <w:gridCol w:w="1091"/>
        <w:gridCol w:w="1091"/>
        <w:gridCol w:w="1091"/>
      </w:tblGrid>
      <w:tr>
        <w:tc>
          <w:tcPr>
            <w:tcW w:type="dxa" w:w="1091"/>
            <w:shd w:fill="1A3C6E"/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县/机构</w:t>
            </w:r>
          </w:p>
        </w:tc>
        <w:tc>
          <w:tcPr>
            <w:tcW w:type="dxa" w:w="1091"/>
            <w:shd w:fill="1A3C6E"/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系统名称</w:t>
            </w:r>
          </w:p>
        </w:tc>
        <w:tc>
          <w:tcPr>
            <w:tcW w:type="dxa" w:w="1091"/>
            <w:shd w:fill="1A3C6E"/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供应商/品牌</w:t>
            </w:r>
          </w:p>
        </w:tc>
        <w:tc>
          <w:tcPr>
            <w:tcW w:type="dxa" w:w="1091"/>
            <w:shd w:fill="1A3C6E"/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上线年份</w:t>
            </w:r>
          </w:p>
        </w:tc>
        <w:tc>
          <w:tcPr>
            <w:tcW w:type="dxa" w:w="1091"/>
            <w:shd w:fill="1A3C6E"/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覆盖范围</w:t>
            </w:r>
          </w:p>
        </w:tc>
        <w:tc>
          <w:tcPr>
            <w:tcW w:type="dxa" w:w="1091"/>
            <w:shd w:fill="1A3C6E"/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使用状态</w:t>
            </w:r>
          </w:p>
        </w:tc>
        <w:tc>
          <w:tcPr>
            <w:tcW w:type="dxa" w:w="1091"/>
            <w:shd w:fill="1A3C6E"/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保留/升级/替换</w:t>
            </w:r>
          </w:p>
        </w:tc>
        <w:tc>
          <w:tcPr>
            <w:tcW w:type="dxa" w:w="1091"/>
            <w:shd w:fill="1A3C6E"/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决策理由</w:t>
            </w:r>
          </w:p>
        </w:tc>
      </w:tr>
    </w:tbl>
    <w:p/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| 州人民医院 | HIS | 重庆中联ZLHIS | 20XX | 全院 | 在用 | 保留+升级 | 主流品牌，可通过接口适配接入州平台 |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| XX县 | XX系统 | XX | 20XX | — | 闲置 | 替换 | 品牌小众，接口不开放 |</w:t>
      </w:r>
    </w:p>
    <w:p>
      <w:pPr>
        <w:spacing w:before="0" w:after="0" w:line="120" w:lineRule="auto"/>
      </w:pPr>
    </w:p>
    <w:p>
      <w:pPr>
        <w:spacing w:before="20" w:after="60" w:line="360" w:lineRule="auto"/>
      </w:pPr>
      <w:r>
        <w:rPr>
          <w:rFonts w:ascii="宋体" w:hAnsi="宋体" w:eastAsia="宋体"/>
          <w:sz w:val="22"/>
        </w:rPr>
      </w:r>
      <w:r>
        <w:rPr>
          <w:rFonts w:ascii="宋体" w:hAnsi="宋体" w:eastAsia="宋体"/>
          <w:b/>
          <w:sz w:val="22"/>
        </w:rPr>
        <w:t>决策规则</w:t>
      </w:r>
      <w:r>
        <w:rPr>
          <w:rFonts w:ascii="宋体" w:hAnsi="宋体" w:eastAsia="宋体"/>
          <w:sz w:val="22"/>
        </w:rPr>
        <w:t>：</w:t>
      </w:r>
    </w:p>
    <w:p>
      <w:pPr>
        <w:spacing w:before="20" w:after="40" w:line="336" w:lineRule="auto"/>
        <w:ind w:left="283"/>
      </w:pPr>
      <w:r>
        <w:rPr>
          <w:rFonts w:ascii="宋体" w:hAnsi="宋体" w:eastAsia="宋体"/>
          <w:sz w:val="22"/>
        </w:rPr>
        <w:t>• **保留**（&gt;50%存量系统）：主流品牌、接口开放、使用状态良好 → 不做任何改动</w:t>
      </w:r>
    </w:p>
    <w:p>
      <w:pPr>
        <w:spacing w:before="20" w:after="40" w:line="336" w:lineRule="auto"/>
        <w:ind w:left="283"/>
      </w:pPr>
      <w:r>
        <w:rPr>
          <w:rFonts w:ascii="宋体" w:hAnsi="宋体" w:eastAsia="宋体"/>
          <w:sz w:val="22"/>
        </w:rPr>
        <w:t>• **保留+适配改造**（约30%）：主流品牌但版本老旧/接口需开发 → 投入少量改造费对接州平台</w:t>
      </w:r>
    </w:p>
    <w:p>
      <w:pPr>
        <w:spacing w:before="20" w:after="40" w:line="336" w:lineRule="auto"/>
        <w:ind w:left="283"/>
      </w:pPr>
      <w:r>
        <w:rPr>
          <w:rFonts w:ascii="宋体" w:hAnsi="宋体" w:eastAsia="宋体"/>
          <w:sz w:val="22"/>
        </w:rPr>
        <w:t>• **替换**（&lt;20%）：小众品牌、接口封闭、已停维、使用率低 → 统一替换为标准系统</w:t>
      </w:r>
    </w:p>
    <w:p>
      <w:pPr>
        <w:spacing w:before="0" w:after="0" w:line="120" w:lineRule="auto"/>
      </w:pPr>
    </w:p>
    <w:p>
      <w:pPr>
        <w:spacing w:before="20" w:after="60" w:line="360" w:lineRule="auto"/>
      </w:pPr>
      <w:r>
        <w:rPr>
          <w:rFonts w:ascii="宋体" w:hAnsi="宋体" w:eastAsia="宋体"/>
          <w:sz w:val="22"/>
        </w:rPr>
      </w:r>
      <w:r>
        <w:rPr>
          <w:rFonts w:ascii="宋体" w:hAnsi="宋体" w:eastAsia="宋体"/>
          <w:b/>
          <w:sz w:val="22"/>
        </w:rPr>
        <w:t>利旧率目标</w:t>
      </w:r>
      <w:r>
        <w:rPr>
          <w:rFonts w:ascii="宋体" w:hAnsi="宋体" w:eastAsia="宋体"/>
          <w:sz w:val="22"/>
        </w:rPr>
        <w:t>：</w:t>
      </w:r>
    </w:p>
    <w:p>
      <w:pPr>
        <w:spacing w:before="20" w:after="40" w:line="336" w:lineRule="auto"/>
        <w:ind w:left="283"/>
      </w:pPr>
      <w:r>
        <w:rPr>
          <w:rFonts w:ascii="宋体" w:hAnsi="宋体" w:eastAsia="宋体"/>
          <w:sz w:val="22"/>
        </w:rPr>
        <w:t>• 硬件利旧率 ≥ 60%（服务器/存储/网络设备/终端）</w:t>
      </w:r>
    </w:p>
    <w:p>
      <w:pPr>
        <w:spacing w:before="20" w:after="40" w:line="336" w:lineRule="auto"/>
        <w:ind w:left="283"/>
      </w:pPr>
      <w:r>
        <w:rPr>
          <w:rFonts w:ascii="宋体" w:hAnsi="宋体" w:eastAsia="宋体"/>
          <w:sz w:val="22"/>
        </w:rPr>
        <w:t>• 网络利旧率 ≥ 80%（电子政务外网已覆盖大部分乡镇）</w:t>
      </w:r>
    </w:p>
    <w:p>
      <w:pPr>
        <w:spacing w:before="20" w:after="40" w:line="336" w:lineRule="auto"/>
        <w:ind w:left="283"/>
      </w:pPr>
      <w:r>
        <w:rPr>
          <w:rFonts w:ascii="宋体" w:hAnsi="宋体" w:eastAsia="宋体"/>
          <w:sz w:val="22"/>
        </w:rPr>
        <w:t>• 数据利旧率 = 100%（历史诊疗数据全部迁移至新平台）</w:t>
      </w:r>
    </w:p>
    <w:p>
      <w:pPr>
        <w:spacing w:before="0" w:after="0" w:line="120" w:lineRule="auto"/>
      </w:pPr>
    </w:p>
    <w:p>
      <w:pPr>
        <w:spacing w:before="200" w:after="80"/>
      </w:pPr>
      <w:r>
        <w:rPr>
          <w:rFonts w:ascii="宋体" w:hAnsi="宋体" w:eastAsia="宋体"/>
          <w:b/>
          <w:color w:val="222222"/>
          <w:sz w:val="23"/>
        </w:rPr>
        <w:t>T2. 阿坝州现状痛点诊断</w:t>
      </w:r>
    </w:p>
    <w:p>
      <w:pPr>
        <w:spacing w:before="0" w:after="0" w:line="120" w:lineRule="auto"/>
      </w:pPr>
    </w:p>
    <w:p>
      <w:pPr>
        <w:spacing w:before="20" w:after="60" w:line="360" w:lineRule="auto"/>
      </w:pPr>
      <w:r>
        <w:rPr>
          <w:rFonts w:ascii="宋体" w:hAnsi="宋体" w:eastAsia="宋体"/>
          <w:sz w:val="22"/>
        </w:rPr>
        <w:t>从以下维度分析，每个维度输出</w:t>
      </w:r>
      <w:r>
        <w:rPr>
          <w:rFonts w:ascii="宋体" w:hAnsi="宋体" w:eastAsia="宋体"/>
          <w:b/>
          <w:sz w:val="22"/>
        </w:rPr>
        <w:t>量化现状 + 突出短板 + 改造空间评估</w:t>
      </w:r>
      <w:r>
        <w:rPr>
          <w:rFonts w:ascii="宋体" w:hAnsi="宋体" w:eastAsia="宋体"/>
          <w:sz w:val="22"/>
        </w:rPr>
        <w:t>：</w:t>
      </w:r>
    </w:p>
    <w:p>
      <w:pPr>
        <w:spacing w:before="0" w:after="0" w:line="120" w:lineRule="auto"/>
      </w:pPr>
    </w:p>
    <w:p>
      <w:pPr>
        <w:spacing w:before="20" w:after="40" w:line="336" w:lineRule="auto"/>
        <w:ind w:left="283"/>
      </w:pPr>
      <w:r>
        <w:rPr>
          <w:rFonts w:ascii="宋体" w:hAnsi="宋体" w:eastAsia="宋体"/>
          <w:sz w:val="22"/>
        </w:rPr>
        <w:t>• **医疗卫生**：机构/床位/人力/设备/服务量/县域就诊率/基层诊疗占比</w:t>
      </w:r>
    </w:p>
    <w:p>
      <w:pPr>
        <w:spacing w:before="20" w:after="40" w:line="336" w:lineRule="auto"/>
        <w:ind w:left="283"/>
      </w:pPr>
      <w:r>
        <w:rPr>
          <w:rFonts w:ascii="宋体" w:hAnsi="宋体" w:eastAsia="宋体"/>
          <w:sz w:val="22"/>
        </w:rPr>
        <w:t>• **医疗保障**：参保/基金收支/外转率/DIP试点/智能审核现状</w:t>
      </w:r>
    </w:p>
    <w:p>
      <w:pPr>
        <w:spacing w:before="20" w:after="40" w:line="336" w:lineRule="auto"/>
        <w:ind w:left="283"/>
      </w:pPr>
      <w:r>
        <w:rPr>
          <w:rFonts w:ascii="宋体" w:hAnsi="宋体" w:eastAsia="宋体"/>
          <w:sz w:val="22"/>
        </w:rPr>
        <w:t>• **医药管理**：药品采购模式/基药使用率/中心药房/处方审核</w:t>
      </w:r>
    </w:p>
    <w:p>
      <w:pPr>
        <w:spacing w:before="20" w:after="40" w:line="336" w:lineRule="auto"/>
        <w:ind w:left="283"/>
      </w:pPr>
      <w:r>
        <w:rPr>
          <w:rFonts w:ascii="宋体" w:hAnsi="宋体" w:eastAsia="宋体"/>
          <w:sz w:val="22"/>
        </w:rPr>
        <w:t>• **医改推进**：医共体建设阶段/八统一落地/三医联动</w:t>
      </w:r>
    </w:p>
    <w:p>
      <w:pPr>
        <w:spacing w:before="20" w:after="40" w:line="336" w:lineRule="auto"/>
        <w:ind w:left="283"/>
      </w:pPr>
      <w:r>
        <w:rPr>
          <w:rFonts w:ascii="宋体" w:hAnsi="宋体" w:eastAsia="宋体"/>
          <w:sz w:val="22"/>
        </w:rPr>
        <w:t>• **健康管理**：慢病管理率/家医签约履约率/公卫/妇幼</w:t>
      </w:r>
    </w:p>
    <w:p>
      <w:pPr>
        <w:spacing w:before="20" w:after="40" w:line="336" w:lineRule="auto"/>
        <w:ind w:left="283"/>
      </w:pPr>
      <w:r>
        <w:rPr>
          <w:rFonts w:ascii="宋体" w:hAnsi="宋体" w:eastAsia="宋体"/>
          <w:sz w:val="22"/>
        </w:rPr>
        <w:t>• **信息平台**：HIS品牌分布/互联互通评级/电子病历评级/已有平台/数据孤岛/闲置系统</w:t>
      </w:r>
    </w:p>
    <w:p>
      <w:pPr>
        <w:spacing w:before="20" w:after="40" w:line="336" w:lineRule="auto"/>
        <w:ind w:left="283"/>
      </w:pPr>
      <w:r>
        <w:rPr>
          <w:rFonts w:ascii="宋体" w:hAnsi="宋体" w:eastAsia="宋体"/>
          <w:sz w:val="22"/>
        </w:rPr>
        <w:t>• **招标中标**：近3年13县信息化招标项目、中标方、金额、建设内容（**重点标注：哪些已建成的本次可直接利旧**）</w:t>
      </w:r>
    </w:p>
    <w:p>
      <w:pPr>
        <w:spacing w:before="0" w:after="0" w:line="120" w:lineRule="auto"/>
      </w:pPr>
    </w:p>
    <w:p>
      <w:pPr>
        <w:spacing w:before="200" w:after="80"/>
      </w:pPr>
      <w:r>
        <w:rPr>
          <w:rFonts w:ascii="宋体" w:hAnsi="宋体" w:eastAsia="宋体"/>
          <w:b/>
          <w:color w:val="222222"/>
          <w:sz w:val="23"/>
        </w:rPr>
        <w:t>T3. 查漏补缺清单</w:t>
      </w:r>
    </w:p>
    <w:p>
      <w:pPr>
        <w:spacing w:before="0" w:after="0" w:line="120" w:lineRule="auto"/>
      </w:pPr>
    </w:p>
    <w:p>
      <w:pPr>
        <w:spacing w:before="20" w:after="60" w:line="360" w:lineRule="auto"/>
      </w:pPr>
      <w:r>
        <w:rPr>
          <w:rFonts w:ascii="宋体" w:hAnsi="宋体" w:eastAsia="宋体"/>
          <w:sz w:val="22"/>
        </w:rPr>
        <w:t>基于T1和T2，输出</w:t>
      </w:r>
      <w:r>
        <w:rPr>
          <w:rFonts w:ascii="宋体" w:hAnsi="宋体" w:eastAsia="宋体"/>
          <w:b/>
          <w:sz w:val="22"/>
        </w:rPr>
        <w:t>建设必要性论证表</w:t>
      </w:r>
      <w:r>
        <w:rPr>
          <w:rFonts w:ascii="宋体" w:hAnsi="宋体" w:eastAsia="宋体"/>
          <w:sz w:val="22"/>
        </w:rPr>
        <w:t>：</w:t>
      </w:r>
    </w:p>
    <w:p>
      <w:pPr>
        <w:spacing w:before="0" w:after="0" w:line="12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247"/>
            <w:shd w:fill="1A3C6E"/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建设模块</w:t>
            </w:r>
          </w:p>
        </w:tc>
        <w:tc>
          <w:tcPr>
            <w:tcW w:type="dxa" w:w="1247"/>
            <w:shd w:fill="1A3C6E"/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现状有什么</w:t>
            </w:r>
          </w:p>
        </w:tc>
        <w:tc>
          <w:tcPr>
            <w:tcW w:type="dxa" w:w="1247"/>
            <w:shd w:fill="1A3C6E"/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缺什么</w:t>
            </w:r>
          </w:p>
        </w:tc>
        <w:tc>
          <w:tcPr>
            <w:tcW w:type="dxa" w:w="1247"/>
            <w:shd w:fill="1A3C6E"/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为什么必须建（政策/痛点/回报）</w:t>
            </w:r>
          </w:p>
        </w:tc>
        <w:tc>
          <w:tcPr>
            <w:tcW w:type="dxa" w:w="1247"/>
            <w:shd w:fill="1A3C6E"/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改造还是新建</w:t>
            </w:r>
          </w:p>
        </w:tc>
        <w:tc>
          <w:tcPr>
            <w:tcW w:type="dxa" w:w="1247"/>
            <w:shd w:fill="1A3C6E"/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改造可行性</w:t>
            </w:r>
          </w:p>
        </w:tc>
        <w:tc>
          <w:tcPr>
            <w:tcW w:type="dxa" w:w="1247"/>
            <w:shd w:fill="1A3C6E"/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优先级</w:t>
            </w:r>
          </w:p>
        </w:tc>
      </w:tr>
    </w:tbl>
    <w:p/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| 州级全民健康信息平台 | 无 | 全州统一数据汇聚/交换/EMPI | 国卫办规划函〔2025〕63号强制要求；消除13县数据孤岛 | 新建 | 无存量可改造 | P0 |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| 区域PACS | 松潘/阿坝县有基础 | 全州统一影像云+云胶片+AI | 年省耗材200-300万；减少重复检查 | 改造为主 | 存量PACS可通过DICOM接口升级 | P1 |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| ... | ... | ... | ... | ... | ... | ... |</w:t>
      </w:r>
    </w:p>
    <w:p>
      <w:pPr>
        <w:spacing w:before="0" w:after="0" w:line="120" w:lineRule="auto"/>
      </w:pPr>
    </w:p>
    <w:p>
      <w:pPr>
        <w:spacing w:before="200" w:after="80"/>
      </w:pPr>
      <w:r>
        <w:rPr>
          <w:rFonts w:ascii="宋体" w:hAnsi="宋体" w:eastAsia="宋体"/>
          <w:b/>
          <w:color w:val="222222"/>
          <w:sz w:val="23"/>
        </w:rPr>
        <w:t>T4. 政策体系梳理（2021-2026）</w:t>
      </w:r>
    </w:p>
    <w:p>
      <w:pPr>
        <w:spacing w:before="0" w:after="0" w:line="120" w:lineRule="auto"/>
      </w:pP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按"国家→四川省→阿坝州"三级+主题分类：</w:t>
      </w:r>
    </w:p>
    <w:p>
      <w:pPr>
        <w:spacing w:before="0" w:after="0" w:line="120" w:lineRule="auto"/>
      </w:pP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国家战略层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├── 国务院《关于深入实施"人工智能+"行动的意见》(国发〔2025〕11号, 2025.8)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│   └── 大力推进AI规模化商业化应用，医疗是重点领域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│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行业专项层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├── ★五部门《关于促进和规范"人工智能+医疗卫生"应用发展的实施意见》(2025.11)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│   ├── 8大方向：基层/临床/患者服务/中医药/公卫/科研/行业治理/健康产业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│   ├── 24项重点应用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│   └── 目标：2027年基层诊疗智能辅助广泛应用 → 2030年基层全覆盖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├── 国家卫健委《卫生健康行业人工智能应用场景参考指引》(2024.11)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│   └── 84个细分领域AI应用规范，可直接引用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├── ★国家卫健委《紧密型县域医共体信息化功能指引》(国卫办规划函〔2025〕63号)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│   └── 5大领域36项功能+4种建设模式（最核心的信息化依据）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├── 国家卫健委等10部门《关于全面推进紧密型县域医共体建设的指导意见》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│   (国卫基层发〔2023〕41号)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├── 四部门《紧密型县域医共体监测指标体系（2024版）》(国卫办基层发〔2024〕22号)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│   └── 5维14指标（精简自37项）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│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基础设施层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├── 国家发改委：超长期特别国债支持县域医共体设备更新，向中西部倾斜(2025.7)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├── 国家发改委《中央预算内投资资金申请报告编写和批复格式文本》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│   (发改办投资〔2024〕1049号)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├── 国家发改委《投资项目可行性研究报告编写通用大纲（2023年版）》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│   (发改投资规〔2023〕304号)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└── 工信部《算力互联互通行动计划》(2025.5)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│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四川省层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├── ★省卫健委等10部门《四川省全面推进紧密型县域医共体建设实施方案》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│   (川卫发〔2024〕9号) — 核心操作文件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│   ├── 2024年底前85%的县("三州"75%)达到紧密型标准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│   ├── 2026年底前建成五大资源共享中心（三州2030年底前）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│   ├── 2027年底前村卫生室转为乡镇卫生院延伸服务点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│   └── 八统一：编制/岗位/人员/经费/管理/财务/药物/信息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├── 省医保局《关于进一步落实紧密型县域医共体医保支付政策的通知》(2025.1)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│   └── "五统一"后可实行"一个总额付费"+"双打包"模式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├── 省医保局《四川省DRG分组目录和DIP病种库》(2024.10, 2025.1统一执行)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├── 《四川省建设优质高效医疗卫生服务体系实施方案》(川办发〔2024〕8号)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└── 《关于推动卫生健康高质量发展加快建设健康四川的意见》(2024.10)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│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三明医改专题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├── 三医联动：县乡村三级"一家人"、医保打包支付、全员年薪制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├── 关键数据：人均预期寿命80.19岁(全国78.6)、人均医疗费2,336元(全国2,958)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└── 全国推广：每年每省选2-3个地区，5年内全覆盖</w:t>
      </w:r>
    </w:p>
    <w:p>
      <w:pPr>
        <w:spacing w:before="0" w:after="0" w:line="120" w:lineRule="auto"/>
      </w:pPr>
    </w:p>
    <w:p>
      <w:pPr>
        <w:spacing w:before="40" w:after="40" w:line="336" w:lineRule="auto"/>
        <w:ind w:left="454"/>
      </w:pPr>
      <w:r>
        <w:rPr>
          <w:rFonts w:ascii="宋体" w:hAnsi="宋体" w:eastAsia="宋体"/>
          <w:i/>
          <w:color w:val="666666"/>
          <w:sz w:val="22"/>
        </w:rPr>
        <w:t>**方案要求**：每个AI相关建设模块应引用上述政策作为合规依据，格式示例：</w:t>
      </w:r>
    </w:p>
    <w:p>
      <w:pPr>
        <w:spacing w:before="40" w:after="40" w:line="336" w:lineRule="auto"/>
        <w:ind w:left="454"/>
      </w:pPr>
      <w:r>
        <w:rPr>
          <w:rFonts w:ascii="宋体" w:hAnsi="宋体" w:eastAsia="宋体"/>
          <w:i/>
          <w:color w:val="666666"/>
          <w:sz w:val="22"/>
        </w:rPr>
        <w:t>"依据五部门《关于促进和规范'人工智能+医疗卫生'应用发展的实施意见》'AI+基层应用'方向和'2027年基层诊疗智能辅助广泛应用'的目标，本方案规划......"</w:t>
      </w:r>
    </w:p>
    <w:p>
      <w:pPr>
        <w:spacing w:before="0" w:after="0" w:line="120" w:lineRule="auto"/>
      </w:pPr>
    </w:p>
    <w:p>
      <w:pPr>
        <w:spacing w:before="200" w:after="80"/>
      </w:pPr>
      <w:r>
        <w:rPr>
          <w:rFonts w:ascii="宋体" w:hAnsi="宋体" w:eastAsia="宋体"/>
          <w:b/>
          <w:color w:val="222222"/>
          <w:sz w:val="23"/>
        </w:rPr>
        <w:t>T5. AI赋能医共体案例收集</w:t>
      </w:r>
    </w:p>
    <w:p>
      <w:pPr>
        <w:spacing w:before="0" w:after="0" w:line="120" w:lineRule="auto"/>
      </w:pPr>
    </w:p>
    <w:p>
      <w:pPr>
        <w:spacing w:before="20" w:after="60" w:line="360" w:lineRule="auto"/>
      </w:pPr>
      <w:r>
        <w:rPr>
          <w:rFonts w:ascii="宋体" w:hAnsi="宋体" w:eastAsia="宋体"/>
          <w:sz w:val="22"/>
        </w:rPr>
        <w:t>按以下场景分类收集，每个案例标注</w:t>
      </w:r>
      <w:r>
        <w:rPr>
          <w:rFonts w:ascii="宋体" w:hAnsi="宋体" w:eastAsia="宋体"/>
          <w:b/>
          <w:sz w:val="22"/>
        </w:rPr>
        <w:t>核心数据 + 技术路线 + 可复制经验 + 阿坝适配度</w:t>
      </w:r>
      <w:r>
        <w:rPr>
          <w:rFonts w:ascii="宋体" w:hAnsi="宋体" w:eastAsia="宋体"/>
          <w:sz w:val="22"/>
        </w:rPr>
        <w:t>：</w:t>
      </w:r>
    </w:p>
    <w:p>
      <w:pPr>
        <w:spacing w:before="0" w:after="0" w:line="120" w:lineRule="auto"/>
      </w:pPr>
    </w:p>
    <w:p>
      <w:pPr>
        <w:spacing w:before="20" w:after="60" w:line="360" w:lineRule="auto"/>
      </w:pPr>
      <w:r>
        <w:rPr>
          <w:rFonts w:ascii="宋体" w:hAnsi="宋体" w:eastAsia="宋体"/>
          <w:sz w:val="22"/>
        </w:rPr>
      </w:r>
      <w:r>
        <w:rPr>
          <w:rFonts w:ascii="宋体" w:hAnsi="宋体" w:eastAsia="宋体"/>
          <w:b/>
          <w:sz w:val="22"/>
        </w:rPr>
        <w:t>AI+医学影像</w:t>
      </w:r>
      <w:r>
        <w:rPr>
          <w:rFonts w:ascii="宋体" w:hAnsi="宋体" w:eastAsia="宋体"/>
          <w:sz w:val="22"/>
        </w:rPr>
        <w:t>：</w:t>
      </w:r>
    </w:p>
    <w:p>
      <w:pPr>
        <w:spacing w:before="0" w:after="0" w:line="12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shd w:fill="1A3C6E"/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案例</w:t>
            </w:r>
          </w:p>
        </w:tc>
        <w:tc>
          <w:tcPr>
            <w:tcW w:type="dxa" w:w="2183"/>
            <w:shd w:fill="1A3C6E"/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核心数据</w:t>
            </w:r>
          </w:p>
        </w:tc>
        <w:tc>
          <w:tcPr>
            <w:tcW w:type="dxa" w:w="2183"/>
            <w:shd w:fill="1A3C6E"/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技术路线</w:t>
            </w:r>
          </w:p>
        </w:tc>
        <w:tc>
          <w:tcPr>
            <w:tcW w:type="dxa" w:w="2183"/>
            <w:shd w:fill="1A3C6E"/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阿坝适配度</w:t>
            </w:r>
          </w:p>
        </w:tc>
      </w:tr>
    </w:tbl>
    <w:p/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| 重庆"影像云+AI"结核筛查 | 1.5万例检出800例疑似；确诊率30+→190例；阅片效率达人工数十倍 | 全市影像云+AI阅片系统(DenseNet) | ★★★★★ |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| 安徽省级肺结核AI筛查 | 17万份DR回顾性读片；灵璧县8904份筛出87例高危；灵敏度特异度达WHO标准 | 省级影像云(AI+专家复核+疾控联动) | ★★★★★ |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| 南皮县AI影像 | 一次CT平扫完成肺结节/骨折/肺炎/骨密度多项筛查；设备利用率提升100% | 数坤科技AI+"基层检查+上级诊断" | ★★★★ |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| 武汉"AI结核哨兵" | 多模态(文本+影像)双引擎筛查；入选2025湖北省AI典型场景 | DeepSeek大模型+知识图谱 | ★★★ |</w:t>
      </w:r>
    </w:p>
    <w:p>
      <w:pPr>
        <w:spacing w:before="0" w:after="0" w:line="120" w:lineRule="auto"/>
      </w:pPr>
    </w:p>
    <w:p>
      <w:pPr>
        <w:spacing w:before="20" w:after="60" w:line="360" w:lineRule="auto"/>
      </w:pPr>
      <w:r>
        <w:rPr>
          <w:rFonts w:ascii="宋体" w:hAnsi="宋体" w:eastAsia="宋体"/>
          <w:sz w:val="22"/>
        </w:rPr>
      </w:r>
      <w:r>
        <w:rPr>
          <w:rFonts w:ascii="宋体" w:hAnsi="宋体" w:eastAsia="宋体"/>
          <w:b/>
          <w:sz w:val="22"/>
        </w:rPr>
        <w:t>AI+医保监管</w:t>
      </w:r>
      <w:r>
        <w:rPr>
          <w:rFonts w:ascii="宋体" w:hAnsi="宋体" w:eastAsia="宋体"/>
          <w:sz w:val="22"/>
        </w:rPr>
        <w:t>：</w:t>
      </w:r>
    </w:p>
    <w:p>
      <w:pPr>
        <w:spacing w:before="0" w:after="0" w:line="12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shd w:fill="1A3C6E"/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案例</w:t>
            </w:r>
          </w:p>
        </w:tc>
        <w:tc>
          <w:tcPr>
            <w:tcW w:type="dxa" w:w="2183"/>
            <w:shd w:fill="1A3C6E"/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核心数据</w:t>
            </w:r>
          </w:p>
        </w:tc>
        <w:tc>
          <w:tcPr>
            <w:tcW w:type="dxa" w:w="2183"/>
            <w:shd w:fill="1A3C6E"/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技术路线</w:t>
            </w:r>
          </w:p>
        </w:tc>
        <w:tc>
          <w:tcPr>
            <w:tcW w:type="dxa" w:w="2183"/>
            <w:shd w:fill="1A3C6E"/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阿坝适配度</w:t>
            </w:r>
          </w:p>
        </w:tc>
      </w:tr>
    </w:tbl>
    <w:p/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| 梧州DRG反欺诈 | 34万份全量AI审核；追回1,477.44万元；国家试点 | "两中心一平台"+AI医学内涵审核 | ★★★★★ |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| 尤溪AI全闭环 | 住院率↓14.13%；外转支出↓0.77%；结余777.43万元 | 事前预警→事中拦截→事后追溯 | ★★★★ |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| 湘潭"四个结合" | 16万条数据筛查；问题病历≈5%；10项动态监测指标 | DRG智能审核模型 | ★★★★ |</w:t>
      </w:r>
    </w:p>
    <w:p>
      <w:pPr>
        <w:spacing w:before="0" w:after="0" w:line="120" w:lineRule="auto"/>
      </w:pPr>
    </w:p>
    <w:p>
      <w:pPr>
        <w:spacing w:before="20" w:after="60" w:line="360" w:lineRule="auto"/>
      </w:pPr>
      <w:r>
        <w:rPr>
          <w:rFonts w:ascii="宋体" w:hAnsi="宋体" w:eastAsia="宋体"/>
          <w:sz w:val="22"/>
        </w:rPr>
      </w:r>
      <w:r>
        <w:rPr>
          <w:rFonts w:ascii="宋体" w:hAnsi="宋体" w:eastAsia="宋体"/>
          <w:b/>
          <w:sz w:val="22"/>
        </w:rPr>
        <w:t>AI+慢病管理</w:t>
      </w:r>
      <w:r>
        <w:rPr>
          <w:rFonts w:ascii="宋体" w:hAnsi="宋体" w:eastAsia="宋体"/>
          <w:sz w:val="22"/>
        </w:rPr>
        <w:t>：</w:t>
      </w:r>
    </w:p>
    <w:p>
      <w:pPr>
        <w:spacing w:before="0" w:after="0" w:line="12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shd w:fill="1A3C6E"/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案例</w:t>
            </w:r>
          </w:p>
        </w:tc>
        <w:tc>
          <w:tcPr>
            <w:tcW w:type="dxa" w:w="2183"/>
            <w:shd w:fill="1A3C6E"/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核心数据</w:t>
            </w:r>
          </w:p>
        </w:tc>
        <w:tc>
          <w:tcPr>
            <w:tcW w:type="dxa" w:w="2183"/>
            <w:shd w:fill="1A3C6E"/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技术路线</w:t>
            </w:r>
          </w:p>
        </w:tc>
        <w:tc>
          <w:tcPr>
            <w:tcW w:type="dxa" w:w="2183"/>
            <w:shd w:fill="1A3C6E"/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阿坝适配度</w:t>
            </w:r>
          </w:p>
        </w:tc>
      </w:tr>
    </w:tbl>
    <w:p/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| 天津西青AI健管 | 34万签约居民管理；糖化达标率6.2%→36.9%；血压达标率27%→52.9% | AI健管智能体+家医协同+四朵云平台 | ★★★★★ |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| 江西全省基层AI | 2,159卫生院+20,769村卫生室全覆盖；病历规范率28%→99%；服务9,594万人次 | AI辅助诊疗+智能语音随访+AI质检 | ★★★★★ |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| 郑州数字家医 | 1,127万居民98亿条健康数据；日处理预警2,000+条 | 智医助理+语音外呼+慢病管理 | ★★★★ |</w:t>
      </w:r>
    </w:p>
    <w:p>
      <w:pPr>
        <w:spacing w:before="0" w:after="0" w:line="120" w:lineRule="auto"/>
      </w:pPr>
    </w:p>
    <w:p>
      <w:pPr>
        <w:spacing w:before="20" w:after="60" w:line="360" w:lineRule="auto"/>
      </w:pPr>
      <w:r>
        <w:rPr>
          <w:rFonts w:ascii="宋体" w:hAnsi="宋体" w:eastAsia="宋体"/>
          <w:sz w:val="22"/>
        </w:rPr>
      </w:r>
      <w:r>
        <w:rPr>
          <w:rFonts w:ascii="宋体" w:hAnsi="宋体" w:eastAsia="宋体"/>
          <w:b/>
          <w:sz w:val="22"/>
        </w:rPr>
        <w:t>AI+传染病监测预警</w:t>
      </w:r>
      <w:r>
        <w:rPr>
          <w:rFonts w:ascii="宋体" w:hAnsi="宋体" w:eastAsia="宋体"/>
          <w:sz w:val="22"/>
        </w:rPr>
        <w:t>：</w:t>
      </w:r>
    </w:p>
    <w:p>
      <w:pPr>
        <w:spacing w:before="0" w:after="0" w:line="12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shd w:fill="1A3C6E"/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案例</w:t>
            </w:r>
          </w:p>
        </w:tc>
        <w:tc>
          <w:tcPr>
            <w:tcW w:type="dxa" w:w="2183"/>
            <w:shd w:fill="1A3C6E"/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核心数据</w:t>
            </w:r>
          </w:p>
        </w:tc>
        <w:tc>
          <w:tcPr>
            <w:tcW w:type="dxa" w:w="2183"/>
            <w:shd w:fill="1A3C6E"/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技术路线</w:t>
            </w:r>
          </w:p>
        </w:tc>
        <w:tc>
          <w:tcPr>
            <w:tcW w:type="dxa" w:w="2183"/>
            <w:shd w:fill="1A3C6E"/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阿坝适配度</w:t>
            </w:r>
          </w:p>
        </w:tc>
      </w:tr>
    </w:tbl>
    <w:p/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| 安徽六大AI场景 | 21.7万例肺炎监测；流调报告10分钟生成；蜱虫识别率92%+ | NLP症候群监测+时空聚类+智能流调 | ★★★★★ |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| 合肥重症肺炎预警 | 成功预警并完成院感联动闭环 | 症候群AI+院感联动+应急响应 | ★★★★★ |</w:t>
      </w:r>
    </w:p>
    <w:p>
      <w:pPr>
        <w:spacing w:before="0" w:after="0" w:line="120" w:lineRule="auto"/>
      </w:pPr>
    </w:p>
    <w:p>
      <w:pPr>
        <w:spacing w:before="20" w:after="60" w:line="360" w:lineRule="auto"/>
      </w:pPr>
      <w:r>
        <w:rPr>
          <w:rFonts w:ascii="宋体" w:hAnsi="宋体" w:eastAsia="宋体"/>
          <w:sz w:val="22"/>
        </w:rPr>
      </w:r>
      <w:r>
        <w:rPr>
          <w:rFonts w:ascii="宋体" w:hAnsi="宋体" w:eastAsia="宋体"/>
          <w:b/>
          <w:sz w:val="22"/>
        </w:rPr>
        <w:t>AI+医院运营</w:t>
      </w:r>
      <w:r>
        <w:rPr>
          <w:rFonts w:ascii="宋体" w:hAnsi="宋体" w:eastAsia="宋体"/>
          <w:sz w:val="22"/>
        </w:rPr>
        <w:t>：</w:t>
      </w:r>
    </w:p>
    <w:p>
      <w:pPr>
        <w:spacing w:before="0" w:after="0" w:line="12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shd w:fill="1A3C6E"/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案例</w:t>
            </w:r>
          </w:p>
        </w:tc>
        <w:tc>
          <w:tcPr>
            <w:tcW w:type="dxa" w:w="2183"/>
            <w:shd w:fill="1A3C6E"/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核心数据</w:t>
            </w:r>
          </w:p>
        </w:tc>
        <w:tc>
          <w:tcPr>
            <w:tcW w:type="dxa" w:w="2183"/>
            <w:shd w:fill="1A3C6E"/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技术路线</w:t>
            </w:r>
          </w:p>
        </w:tc>
        <w:tc>
          <w:tcPr>
            <w:tcW w:type="dxa" w:w="2183"/>
            <w:shd w:fill="1A3C6E"/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阿坝适配度</w:t>
            </w:r>
          </w:p>
        </w:tc>
      </w:tr>
    </w:tbl>
    <w:p/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| 滨海数字医共体 | 17个应用场景；处方合格率85%→99.86%；县域就诊率83.27% | "驾驶中心"+AI影像+AI心电 | ★★★★ |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| 东台全民健康平台 | 23家机构+328村卫生室全接入；年远程影像80,000+例 | 一云一网一平台 | ★★★ |</w:t>
      </w:r>
    </w:p>
    <w:p>
      <w:pPr>
        <w:spacing w:before="0" w:after="0" w:line="120" w:lineRule="auto"/>
      </w:pPr>
    </w:p>
    <w:p>
      <w:pPr>
        <w:spacing w:before="200" w:after="80"/>
      </w:pPr>
      <w:r>
        <w:rPr>
          <w:rFonts w:ascii="宋体" w:hAnsi="宋体" w:eastAsia="宋体"/>
          <w:b/>
          <w:color w:val="222222"/>
          <w:sz w:val="23"/>
        </w:rPr>
        <w:t>T6. 行业TOP20-30医共体方案对标</w:t>
      </w:r>
    </w:p>
    <w:p>
      <w:pPr>
        <w:spacing w:before="0" w:after="0" w:line="120" w:lineRule="auto"/>
      </w:pP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搜索全国优秀方案，重点分析：</w:t>
      </w:r>
    </w:p>
    <w:p>
      <w:pPr>
        <w:spacing w:before="20" w:after="40" w:line="336" w:lineRule="auto"/>
        <w:ind w:left="283"/>
      </w:pPr>
      <w:r>
        <w:rPr>
          <w:rFonts w:ascii="宋体" w:hAnsi="宋体" w:eastAsia="宋体"/>
          <w:sz w:val="22"/>
        </w:rPr>
        <w:t>• **方案结构和大纲设计**：提取共性框架（见下述"建议完整目录结构"）</w:t>
      </w:r>
    </w:p>
    <w:p>
      <w:pPr>
        <w:spacing w:before="20" w:after="40" w:line="336" w:lineRule="auto"/>
        <w:ind w:left="283"/>
      </w:pPr>
      <w:r>
        <w:rPr>
          <w:rFonts w:ascii="宋体" w:hAnsi="宋体" w:eastAsia="宋体"/>
          <w:sz w:val="22"/>
        </w:rPr>
        <w:t>• **投资配比规律**：平台/系统/AI/硬件/服务的比例范围（已列于§2.3）</w:t>
      </w:r>
    </w:p>
    <w:p>
      <w:pPr>
        <w:spacing w:before="20" w:after="40" w:line="336" w:lineRule="auto"/>
        <w:ind w:left="283"/>
      </w:pPr>
      <w:r>
        <w:rPr>
          <w:rFonts w:ascii="宋体" w:hAnsi="宋体" w:eastAsia="宋体"/>
          <w:sz w:val="22"/>
        </w:rPr>
        <w:t>• **建设模式**：省级统筹/小切口/全栈AI/存量改造（已列于§2.4）</w:t>
      </w:r>
    </w:p>
    <w:p>
      <w:pPr>
        <w:spacing w:before="20" w:after="40" w:line="336" w:lineRule="auto"/>
        <w:ind w:left="283"/>
      </w:pPr>
      <w:r>
        <w:rPr>
          <w:rFonts w:ascii="宋体" w:hAnsi="宋体" w:eastAsia="宋体"/>
          <w:sz w:val="22"/>
        </w:rPr>
        <w:t>• **存量利旧策略**：如何做适配改造而非大拆大建（阿坝核心对标点）</w:t>
      </w:r>
    </w:p>
    <w:p>
      <w:pPr>
        <w:spacing w:before="20" w:after="40" w:line="336" w:lineRule="auto"/>
        <w:ind w:left="283"/>
      </w:pPr>
      <w:r>
        <w:rPr>
          <w:rFonts w:ascii="宋体" w:hAnsi="宋体" w:eastAsia="宋体"/>
          <w:sz w:val="22"/>
        </w:rPr>
        <w:t>• **快赢场景选取**：哪些低投入高回报项目被列为优先（已列于§2.5）</w:t>
      </w:r>
    </w:p>
    <w:p>
      <w:pPr>
        <w:spacing w:before="20" w:after="40" w:line="336" w:lineRule="auto"/>
        <w:ind w:left="283"/>
      </w:pPr>
      <w:r>
        <w:rPr>
          <w:rFonts w:ascii="宋体" w:hAnsi="宋体" w:eastAsia="宋体"/>
          <w:sz w:val="22"/>
        </w:rPr>
        <w:t>• **常见避坑经验**：5条失败模式和规避策略（已列于§2.6）</w:t>
      </w:r>
    </w:p>
    <w:p>
      <w:pPr>
        <w:spacing w:before="0" w:after="0" w:line="120" w:lineRule="auto"/>
      </w:pPr>
    </w:p>
    <w:p>
      <w:pPr>
        <w:spacing w:before="20" w:after="60" w:line="360" w:lineRule="auto"/>
      </w:pPr>
      <w:r>
        <w:rPr>
          <w:rFonts w:ascii="宋体" w:hAnsi="宋体" w:eastAsia="宋体"/>
          <w:sz w:val="22"/>
        </w:rPr>
      </w:r>
      <w:r>
        <w:rPr>
          <w:rFonts w:ascii="宋体" w:hAnsi="宋体" w:eastAsia="宋体"/>
          <w:b/>
          <w:sz w:val="22"/>
        </w:rPr>
        <w:t>已分析标杆案例清单</w:t>
      </w:r>
      <w:r>
        <w:rPr>
          <w:rFonts w:ascii="宋体" w:hAnsi="宋体" w:eastAsia="宋体"/>
          <w:sz w:val="22"/>
        </w:rPr>
        <w:t>（深度分析见附录五）：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1. 安徽省级影像云+AI传染病监测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2. 江西全省基层AI全覆盖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3. 梧州DRG反欺诈大数据监管（国家试点）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4. 天津西青AI医院+医共体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5. 三明三医联动+医保打包支付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6. 江苏东台全民健康信息平台（国家卫健委典型案例）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7. 浙江嘉善数字医共体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8. 盐城滨海数字化医共体驾驶中心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9. 沧州南皮数智医共体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10. 福建尤溪医保AI全闭环监管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11. 湖南湘潭DRG智能审核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12. 郑州金水数字家庭医生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13. 杭州萧山19种慢病AI管理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14. 重庆影像云+AI结核筛查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15. 武汉AI结核哨兵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16. 广西四大AI反欺诈模型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17. 武夷山国家慢病管理中心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18. 上海长宁"1+5+X"智慧医疗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19. 鄂托克前旗云上医共体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20. 广东曲江"1+1+4"医共体</w:t>
      </w:r>
    </w:p>
    <w:p>
      <w:pPr>
        <w:spacing w:before="0" w:after="0" w:line="120" w:lineRule="auto"/>
      </w:pPr>
    </w:p>
    <w:p>
      <w:pPr>
        <w:spacing w:before="0" w:after="0" w:line="120" w:lineRule="auto"/>
      </w:pPr>
    </w:p>
    <w:p>
      <w:pPr>
        <w:spacing w:before="280" w:after="120"/>
      </w:pPr>
      <w:r>
        <w:rPr>
          <w:rFonts w:ascii="宋体" w:hAnsi="宋体" w:eastAsia="宋体"/>
          <w:b/>
          <w:color w:val="2B579A"/>
          <w:sz w:val="26"/>
        </w:rPr>
        <w:t>阶段二：方案结构设计（输出大纲，确认后再写正文）</w:t>
      </w:r>
    </w:p>
    <w:p>
      <w:pPr>
        <w:spacing w:before="0" w:after="0" w:line="120" w:lineRule="auto"/>
      </w:pPr>
    </w:p>
    <w:p>
      <w:pPr>
        <w:spacing w:before="200" w:after="80"/>
      </w:pPr>
      <w:r>
        <w:rPr>
          <w:rFonts w:ascii="宋体" w:hAnsi="宋体" w:eastAsia="宋体"/>
          <w:b/>
          <w:color w:val="222222"/>
          <w:sz w:val="23"/>
        </w:rPr>
        <w:t>T7. 方案完整目录结构（4级标题）</w:t>
      </w:r>
    </w:p>
    <w:p>
      <w:pPr>
        <w:spacing w:before="0" w:after="0" w:line="120" w:lineRule="auto"/>
      </w:pP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基于20个标杆案例的结构分析和行业最佳实践，建议采用以下目录：</w:t>
      </w:r>
    </w:p>
    <w:p>
      <w:pPr>
        <w:spacing w:before="0" w:after="0" w:line="120" w:lineRule="auto"/>
      </w:pP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第一章 项目概述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├── 1.1 项目背景与建设策略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│   ├── 1.1.1 阿坝州医共体建设的政策窗口期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│   └── 1.1.2 五项建设铁律（查漏补缺/避免重复/不大拆大建/适配改造优先/性价比突出）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├── 1.2 建设目标与预期成效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└── 1.3 编制依据（政策索引+案例对标索引）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第二章 存量摸底与需求诊断 ★方案核心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├── 2.1 全州信息化存量家底普查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│   ├── 2.1.1 13县+州本级存量系统清单（逐系统标注保留/升级/替换决策）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│   ├── 2.1.2 硬件与网络存量盘点（利旧率≥60%/≥80%评估）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│   └── 2.1.3 数据资源盘点（可迁移数据量+数据质量评估）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├── 2.2 核心痛点诊断（医疗/医保/医药/公卫/运营五维量化分析）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├── 2.3 与"八统一"和14项监测指标的对标差距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└── 2.4 查漏补缺清单（每模块：有什么/缺什么/为什么必须建/改造还是新建）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第三章 政策依据与行业对标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├── 3.1 国家-省-州三级政策体系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├── 3.2 AI+医疗专项政策与标准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└── 3.3 全国标杆案例方法论提炼（建设模式/投资配比/快赢场景/失败教训）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第四章 总体架构设计（1+13+N）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├── 4.1 业务架构：三大闭环（诊疗闭环/医保控费闭环/健康管理闭环）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├── 4.2 技术架构：四层模型（接入/应用/平台/数据/基础设施）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├── 4.3 数据架构：一数一源、统一EMPI、FHIR标准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├── 4.4 安全架构：等保三级+信创适配+隐私计算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└── 4.5 AI架构：州级AI中台+县级边缘节点+村级云端调用+MLOps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第五章 建设方案（分层：利旧改造→基础补缺→业务提升→AI赋能）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├── 5.1 存量系统适配改造工程（利旧优先）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│   ├── 5.1.1 现有HIS系统接口标准化改造（43家医院→州平台，利旧率80%+）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│   ├── 5.1.2 存量PACS升级接入全州影像云（松潘/阿坝等县→改造为主）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│   └── 5.1.3 利旧设备清单与改造费用明细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├── 5.2 基础平台补缺工程（查漏）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│   ├── 5.2.1 州级全民健康信息平台（当前空白，P0新建，对标东台模式）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│   ├── 5.2.2 13县医共体信息平台（空白新建，州统建+县节点模式）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│   └── 5.2.3 五大资源共享中心信息化（部分已有基础，改造为主/新建为辅）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├── 5.3 业务系统提升工程（补短，按ROI排序）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│   ├── 5.3.1 区域PACS/云影像/云胶片（投入1,300万/年回报600-900万/ROI&gt;50%）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│   ├── 5.3.2 智慧体检预约与智能导检（投入690万/年增收1,500-2,500万）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│   ├── 5.3.3 智能导诊分流与预问诊（投入345万/年效率提升20-30%）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│   └── 5.3.4 院感-传染病-疾控一体化（投入660万/公卫安全不可量化）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├── 5.4 AI赋能工程（快赢优先，按ROI排序）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│   ├── 5.4.1 区域影像AI辅助诊断（5-7病种，投入300万/年回报200-400万）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│   ├── 5.4.2 AI医保智能审核与DRG监管（投入650万/年追回500-800万）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│   ├── 5.4.3 AI慢病管理智能体与家医协同（投入250万/年节省慢病住院数百万）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│   ├── 5.4.4 AI传染病监测预警"三件套"（投入100万/公卫安全）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│   ├── 5.4.5 AI处方前置审核（投入120万/年减少药费浪费250-500万）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│   └── 5.4.6 高原特色AI——藏医药知识图谱+高原病模型（投入200万/P3长期）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└── 5.5 三医联动数据打通工程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第六章 数据治理与标准体系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├── 6.1 数据标准体系（术语/交换/影像/电子病历/健康档案国标行标）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├── 6.2 数据质量PDCA循环机制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└── 6.3 数据安全与隐私保护（分类分级/动态脱敏/水印/审计/患者授权）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第七章 实施计划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├── 7.1 建设策略总纲（试点先行→验证推广→全面覆盖）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├── 7.2 分期建设计划（36月三期，每月里程碑+交付物+验收标准）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│   ├── 7.2.1 第一期（第1-12月/3,000万）：4试点县+州平台V1+快赢场景上线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│   ├── 7.2.2 第二期（第13-24月/3,300万）：9县推广+AI全州部署+五大中心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│   └── 7.2.3 第三期（第25-36月/3,300万）：三医联动+智能深化+村级全覆盖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├── 7.3 快赢场景优先排期（一期即产出可量化回报≥800万）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├── 7.4 团队配置与关键依赖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├── 7.5 分层培训体系（决策层/技术骨干/医生/护士/乡镇/村医6层×4维）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└── 7.6 分期上线Go-Live门禁标准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第八章 投资概算与回报分析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├── 8.1 投资总构成（改造费 vs 新建费 vs 运维费）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├── 8.2 存量利旧节约测算（对比"全新建"方案节省金额）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├── 8.3 分项投资明细（软件/硬件/集成/培训/运维五类逐项列示+计费依据）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├── 8.4 分期资金安排（3,000/3,300/3,300，标注每期利旧率和新建率）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├── 8.5 投入产出全景测算（增收+控费+效率三维回报模型，三年累计净回报）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└── 8.6 三场景ROI敏感性分析（保守/基准/乐观）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第九章 效益评估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├── 9.1 经济效益（年化可量化回报/静态回收期≈4.2年/8年NPV≈1.2-1.5亿）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├── 9.2 社会效益（就诊率79.69%→85%+/死亡率下降/互认率0→70%+）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├── 9.3 管理效益（八统一数字抓手/审核覆盖率100%/决策数据化）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└── 9.4 标杆效益（高原藏区AI医共体的全国示范+向甘孜/玉树/果洛等地输出）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第十章 风险管控与保障机制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├── 10.1 十大关键风险识别（概率×影响矩阵+应对策略）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├── 10.2 组织保障（领导小组/PMO/县专班/第三方监理/专家顾问组）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└── 10.3 考核驱动机制（使用率纳入院长考核/月度通报排名/"用得好"奖励基金）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附录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├── 附录一：存量系统评估明细表（13县逐系统+决策依据）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├── 附录二：建设内容政策与技术依据手册（每模块对照政策文号+条款+案例）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├── 附录三：八大业务系统功能规格摘要（功能模块+性能指标+接口规范）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├── 附录四：AI模型训练与部署技术规范（影像7模型+NLP 4模型+MLOps+高原特色）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└── 附录五：全国20个医共体标杆案例深度分析</w:t>
      </w:r>
    </w:p>
    <w:p>
      <w:pPr>
        <w:spacing w:before="0" w:after="0" w:line="120" w:lineRule="auto"/>
      </w:pPr>
    </w:p>
    <w:p>
      <w:pPr>
        <w:spacing w:before="200" w:after="80"/>
      </w:pPr>
      <w:r>
        <w:rPr>
          <w:rFonts w:ascii="宋体" w:hAnsi="宋体" w:eastAsia="宋体"/>
          <w:b/>
          <w:color w:val="222222"/>
          <w:sz w:val="23"/>
        </w:rPr>
        <w:t>T8. 三套方案风格设计</w:t>
      </w:r>
    </w:p>
    <w:p>
      <w:pPr>
        <w:spacing w:before="0" w:after="0" w:line="12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shd w:fill="1A3C6E"/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风格</w:t>
            </w:r>
          </w:p>
        </w:tc>
        <w:tc>
          <w:tcPr>
            <w:tcW w:type="dxa" w:w="2183"/>
            <w:shd w:fill="1A3C6E"/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定位</w:t>
            </w:r>
          </w:p>
        </w:tc>
        <w:tc>
          <w:tcPr>
            <w:tcW w:type="dxa" w:w="2183"/>
            <w:shd w:fill="1A3C6E"/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适用场景</w:t>
            </w:r>
          </w:p>
        </w:tc>
        <w:tc>
          <w:tcPr>
            <w:tcW w:type="dxa" w:w="2183"/>
            <w:shd w:fill="1A3C6E"/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核心特征</w:t>
            </w:r>
          </w:p>
        </w:tc>
      </w:tr>
    </w:tbl>
    <w:p/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| **A-标准合规型** | 对标发改委可研报告格式 | 正式上报、评审答辩 | 政策对齐度高、全面规范、10章+附表 |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| **B-问题导向型**(★推荐主方案) | 痛点驱动+ROI量化 | 领导汇报、争取预算 | 每方案对应量化回报、突出利旧和性价比 |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| **C-创新引领型** | AI+高原藏区标杆叙事 | 展现前瞻性、差异化 | AI转型叙事、全国案例对标、藏医药AI特色 |</w:t>
      </w:r>
    </w:p>
    <w:p>
      <w:pPr>
        <w:spacing w:before="0" w:after="0" w:line="120" w:lineRule="auto"/>
      </w:pPr>
    </w:p>
    <w:p>
      <w:pPr>
        <w:spacing w:before="200" w:after="80"/>
      </w:pPr>
      <w:r>
        <w:rPr>
          <w:rFonts w:ascii="宋体" w:hAnsi="宋体" w:eastAsia="宋体"/>
          <w:b/>
          <w:color w:val="222222"/>
          <w:sz w:val="23"/>
        </w:rPr>
        <w:t>T9. 图表清单</w:t>
      </w:r>
    </w:p>
    <w:p>
      <w:pPr>
        <w:spacing w:before="0" w:after="0" w:line="120" w:lineRule="auto"/>
      </w:pPr>
    </w:p>
    <w:p>
      <w:pPr>
        <w:spacing w:before="20" w:after="60" w:line="360" w:lineRule="auto"/>
      </w:pPr>
      <w:r>
        <w:rPr>
          <w:rFonts w:ascii="宋体" w:hAnsi="宋体" w:eastAsia="宋体"/>
          <w:sz w:val="22"/>
        </w:rPr>
        <w:t>所有图以</w:t>
      </w:r>
      <w:r>
        <w:rPr>
          <w:rFonts w:ascii="宋体" w:hAnsi="宋体" w:eastAsia="宋体"/>
          <w:b/>
          <w:sz w:val="22"/>
        </w:rPr>
        <w:t>HTML方式渲染</w:t>
      </w:r>
      <w:r>
        <w:rPr>
          <w:rFonts w:ascii="宋体" w:hAnsi="宋体" w:eastAsia="宋体"/>
          <w:sz w:val="22"/>
        </w:rPr>
        <w:t>，再导出为符合Word排版的JPG格式（宽度≤15cm，分辨率≥150dpi）：</w:t>
      </w:r>
    </w:p>
    <w:p>
      <w:pPr>
        <w:spacing w:before="0" w:after="0" w:line="120" w:lineRule="auto"/>
      </w:pPr>
    </w:p>
    <w:p>
      <w:pPr>
        <w:spacing w:before="20" w:after="60" w:line="360" w:lineRule="auto"/>
      </w:pPr>
      <w:r>
        <w:rPr>
          <w:rFonts w:ascii="宋体" w:hAnsi="宋体" w:eastAsia="宋体"/>
          <w:sz w:val="22"/>
        </w:rPr>
      </w:r>
      <w:r>
        <w:rPr>
          <w:rFonts w:ascii="宋体" w:hAnsi="宋体" w:eastAsia="宋体"/>
          <w:b/>
          <w:sz w:val="22"/>
        </w:rPr>
        <w:t>架构图</w:t>
      </w:r>
      <w:r>
        <w:rPr>
          <w:rFonts w:ascii="宋体" w:hAnsi="宋体" w:eastAsia="宋体"/>
          <w:sz w:val="22"/>
        </w:rPr>
        <w:t>（6张）：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1. 总体架构图（1+13+N三层架构：州级AI中台+13县平台+N个AI应用）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2. 技术架构图（接入层→应用层→平台层→数据层→基础设施层）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3. 数据架构图（数据源→采集→交换→存储→治理→服务→应用）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4. 安全架构图（6层防护：网络→认证→权限→加密→隐私→安全运营）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5. 网络拓扑图（电子政务外网核心环+5G备份+县乡村三级接入）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6. AI中台架构图（MLOps全链路：标注→训练→注册→A/B→推理→监控）</w:t>
      </w:r>
    </w:p>
    <w:p>
      <w:pPr>
        <w:spacing w:before="0" w:after="0" w:line="120" w:lineRule="auto"/>
      </w:pPr>
    </w:p>
    <w:p>
      <w:pPr>
        <w:spacing w:before="20" w:after="60" w:line="360" w:lineRule="auto"/>
      </w:pPr>
      <w:r>
        <w:rPr>
          <w:rFonts w:ascii="宋体" w:hAnsi="宋体" w:eastAsia="宋体"/>
          <w:sz w:val="22"/>
        </w:rPr>
      </w:r>
      <w:r>
        <w:rPr>
          <w:rFonts w:ascii="宋体" w:hAnsi="宋体" w:eastAsia="宋体"/>
          <w:b/>
          <w:sz w:val="22"/>
        </w:rPr>
        <w:t>流程图</w:t>
      </w:r>
      <w:r>
        <w:rPr>
          <w:rFonts w:ascii="宋体" w:hAnsi="宋体" w:eastAsia="宋体"/>
          <w:sz w:val="22"/>
        </w:rPr>
        <w:t>（6张）：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7. 远程影像诊断业务流程图（基层拍片→AI初筛→县级诊断→州级会诊）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8. 医保智能审核三级漏斗流程图（100%→规则15%→BERT 5%→LLM 2%）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9. 传染病监测预警闭环流程图（采集→AI分析→预警→流调→处置→复盘）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10. 体检智能导检流程图（预约→AI路径优化→实时排队调整→报告→检后闭环）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11. 双向转诊业务流程图（基层→县级→州级→回转→随访）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12. AI处方前置审核流程图（医生开方→实时AI审核→拦截/提醒→药师复核）</w:t>
      </w:r>
    </w:p>
    <w:p>
      <w:pPr>
        <w:spacing w:before="0" w:after="0" w:line="120" w:lineRule="auto"/>
      </w:pPr>
    </w:p>
    <w:p>
      <w:pPr>
        <w:spacing w:before="20" w:after="60" w:line="360" w:lineRule="auto"/>
      </w:pPr>
      <w:r>
        <w:rPr>
          <w:rFonts w:ascii="宋体" w:hAnsi="宋体" w:eastAsia="宋体"/>
          <w:sz w:val="22"/>
        </w:rPr>
      </w:r>
      <w:r>
        <w:rPr>
          <w:rFonts w:ascii="宋体" w:hAnsi="宋体" w:eastAsia="宋体"/>
          <w:b/>
          <w:sz w:val="22"/>
        </w:rPr>
        <w:t>逻辑图</w:t>
      </w:r>
      <w:r>
        <w:rPr>
          <w:rFonts w:ascii="宋体" w:hAnsi="宋体" w:eastAsia="宋体"/>
          <w:sz w:val="22"/>
        </w:rPr>
        <w:t>（4张）：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13. 八统一管理逻辑图（8个统一项目+对应的信息化支撑系统）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14. 三医联动逻辑图（医疗/医保/医药三者数据流+协同机制）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15. AI赋能全景图（5大AI引擎×业务场景矩阵）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16. 投资结构分解图（饼图：改造费 vs 新建费；柱状图：三期投资分布）</w:t>
      </w:r>
    </w:p>
    <w:p>
      <w:pPr>
        <w:spacing w:before="0" w:after="0" w:line="120" w:lineRule="auto"/>
      </w:pPr>
    </w:p>
    <w:p>
      <w:pPr>
        <w:spacing w:before="20" w:after="60" w:line="360" w:lineRule="auto"/>
      </w:pPr>
      <w:r>
        <w:rPr>
          <w:rFonts w:ascii="宋体" w:hAnsi="宋体" w:eastAsia="宋体"/>
          <w:sz w:val="22"/>
        </w:rPr>
      </w:r>
      <w:r>
        <w:rPr>
          <w:rFonts w:ascii="宋体" w:hAnsi="宋体" w:eastAsia="宋体"/>
          <w:b/>
          <w:sz w:val="22"/>
        </w:rPr>
        <w:t>分析图</w:t>
      </w:r>
      <w:r>
        <w:rPr>
          <w:rFonts w:ascii="宋体" w:hAnsi="宋体" w:eastAsia="宋体"/>
          <w:sz w:val="22"/>
        </w:rPr>
        <w:t>（3张）：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17. 投资优先级矩阵图（四象限：P0-P3，投入 vs 回报）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18. 存量利旧率分布图（13县的利旧/改造/新建比例柱状图）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19. ROI热力图（各建设模块的投入金额 vs 预期年回报对比）</w:t>
      </w:r>
    </w:p>
    <w:p>
      <w:pPr>
        <w:spacing w:before="0" w:after="0" w:line="120" w:lineRule="auto"/>
      </w:pPr>
    </w:p>
    <w:p>
      <w:pPr>
        <w:spacing w:before="0" w:after="0" w:line="120" w:lineRule="auto"/>
      </w:pPr>
    </w:p>
    <w:p>
      <w:pPr>
        <w:spacing w:before="280" w:after="120"/>
      </w:pPr>
      <w:r>
        <w:rPr>
          <w:rFonts w:ascii="宋体" w:hAnsi="宋体" w:eastAsia="宋体"/>
          <w:b/>
          <w:color w:val="2B579A"/>
          <w:sz w:val="26"/>
        </w:rPr>
        <w:t>阶段三：方案撰写（确认大纲后逐章推进）</w:t>
      </w:r>
    </w:p>
    <w:p>
      <w:pPr>
        <w:spacing w:before="0" w:after="0" w:line="120" w:lineRule="auto"/>
      </w:pPr>
    </w:p>
    <w:p>
      <w:pPr>
        <w:spacing w:before="200" w:after="80"/>
      </w:pPr>
      <w:r>
        <w:rPr>
          <w:rFonts w:ascii="宋体" w:hAnsi="宋体" w:eastAsia="宋体"/>
          <w:b/>
          <w:color w:val="222222"/>
          <w:sz w:val="23"/>
        </w:rPr>
        <w:t>T10. 建设方案撰写要求</w:t>
      </w:r>
    </w:p>
    <w:p>
      <w:pPr>
        <w:spacing w:before="0" w:after="0" w:line="120" w:lineRule="auto"/>
      </w:pP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每个建设模块必须包含6个标准段落：</w:t>
      </w:r>
    </w:p>
    <w:p>
      <w:pPr>
        <w:spacing w:before="0" w:after="0" w:line="120" w:lineRule="auto"/>
      </w:pPr>
    </w:p>
    <w:p>
      <w:pPr>
        <w:spacing w:before="20" w:after="60" w:line="360" w:lineRule="auto"/>
      </w:pPr>
      <w:r>
        <w:rPr>
          <w:rFonts w:ascii="宋体" w:hAnsi="宋体" w:eastAsia="宋体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存量盘点</w:t>
      </w:r>
      <w:r>
        <w:rPr>
          <w:rFonts w:ascii="宋体" w:hAnsi="宋体" w:eastAsia="宋体"/>
          <w:sz w:val="22"/>
        </w:rPr>
        <w:t>：该领域目前有什么、使用状态</w:t>
      </w:r>
    </w:p>
    <w:p>
      <w:pPr>
        <w:spacing w:before="20" w:after="60" w:line="360" w:lineRule="auto"/>
      </w:pPr>
      <w:r>
        <w:rPr>
          <w:rFonts w:ascii="宋体" w:hAnsi="宋体" w:eastAsia="宋体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差距分析</w:t>
      </w:r>
      <w:r>
        <w:rPr>
          <w:rFonts w:ascii="宋体" w:hAnsi="宋体" w:eastAsia="宋体"/>
          <w:sz w:val="22"/>
        </w:rPr>
        <w:t>：缺什么、为什么缺、不建会怎样</w:t>
      </w:r>
    </w:p>
    <w:p>
      <w:pPr>
        <w:spacing w:before="20" w:after="60" w:line="360" w:lineRule="auto"/>
      </w:pPr>
      <w:r>
        <w:rPr>
          <w:rFonts w:ascii="宋体" w:hAnsi="宋体" w:eastAsia="宋体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改造策略</w:t>
      </w:r>
      <w:r>
        <w:rPr>
          <w:rFonts w:ascii="宋体" w:hAnsi="宋体" w:eastAsia="宋体"/>
          <w:sz w:val="22"/>
        </w:rPr>
        <w:t>：优先适配改造现有系统→仅当不可行时才新建</w:t>
      </w:r>
    </w:p>
    <w:p>
      <w:pPr>
        <w:spacing w:before="20" w:after="60" w:line="360" w:lineRule="auto"/>
      </w:pPr>
      <w:r>
        <w:rPr>
          <w:rFonts w:ascii="宋体" w:hAnsi="宋体" w:eastAsia="宋体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建设方案</w:t>
      </w:r>
      <w:r>
        <w:rPr>
          <w:rFonts w:ascii="宋体" w:hAnsi="宋体" w:eastAsia="宋体"/>
          <w:sz w:val="22"/>
        </w:rPr>
        <w:t>：具体建设内容（新建部分）+ 适配改造方案（利旧部分）</w:t>
      </w:r>
    </w:p>
    <w:p>
      <w:pPr>
        <w:spacing w:before="20" w:after="60" w:line="360" w:lineRule="auto"/>
      </w:pPr>
      <w:r>
        <w:rPr>
          <w:rFonts w:ascii="宋体" w:hAnsi="宋体" w:eastAsia="宋体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利旧清单</w:t>
      </w:r>
      <w:r>
        <w:rPr>
          <w:rFonts w:ascii="宋体" w:hAnsi="宋体" w:eastAsia="宋体"/>
          <w:sz w:val="22"/>
        </w:rPr>
        <w:t>：哪些硬件/软件/数据/人员可直接复用</w:t>
      </w:r>
    </w:p>
    <w:p>
      <w:pPr>
        <w:spacing w:before="20" w:after="60" w:line="360" w:lineRule="auto"/>
      </w:pPr>
      <w:r>
        <w:rPr>
          <w:rFonts w:ascii="宋体" w:hAnsi="宋体" w:eastAsia="宋体"/>
          <w:sz w:val="22"/>
        </w:rPr>
        <w:t xml:space="preserve">6. </w:t>
      </w:r>
      <w:r>
        <w:rPr>
          <w:rFonts w:ascii="宋体" w:hAnsi="宋体" w:eastAsia="宋体"/>
          <w:b/>
          <w:sz w:val="22"/>
        </w:rPr>
        <w:t>投入产出</w:t>
      </w:r>
      <w:r>
        <w:rPr>
          <w:rFonts w:ascii="宋体" w:hAnsi="宋体" w:eastAsia="宋体"/>
          <w:sz w:val="22"/>
        </w:rPr>
        <w:t>：投资金额 vs 预期年回报（或合规必须性），标注回报周期（&lt;18个月=优先）</w:t>
      </w:r>
    </w:p>
    <w:p>
      <w:pPr>
        <w:spacing w:before="0" w:after="0" w:line="120" w:lineRule="auto"/>
      </w:pPr>
    </w:p>
    <w:p>
      <w:pPr>
        <w:spacing w:before="20" w:after="60" w:line="360" w:lineRule="auto"/>
      </w:pPr>
      <w:r>
        <w:rPr>
          <w:rFonts w:ascii="宋体" w:hAnsi="宋体" w:eastAsia="宋体"/>
          <w:sz w:val="22"/>
        </w:rPr>
      </w:r>
      <w:r>
        <w:rPr>
          <w:rFonts w:ascii="宋体" w:hAnsi="宋体" w:eastAsia="宋体"/>
          <w:b/>
          <w:sz w:val="22"/>
        </w:rPr>
        <w:t>三大最佳实践模式需在方案中明确体现</w:t>
      </w:r>
      <w:r>
        <w:rPr>
          <w:rFonts w:ascii="宋体" w:hAnsi="宋体" w:eastAsia="宋体"/>
          <w:sz w:val="22"/>
        </w:rPr>
        <w:t>：</w:t>
      </w:r>
    </w:p>
    <w:p>
      <w:pPr>
        <w:spacing w:before="0" w:after="0" w:line="120" w:lineRule="auto"/>
      </w:pPr>
    </w:p>
    <w:p>
      <w:pPr>
        <w:spacing w:before="20" w:after="60" w:line="360" w:lineRule="auto"/>
      </w:pPr>
      <w:r>
        <w:rPr>
          <w:rFonts w:ascii="宋体" w:hAnsi="宋体" w:eastAsia="宋体"/>
          <w:sz w:val="22"/>
        </w:rPr>
      </w:r>
      <w:r>
        <w:rPr>
          <w:rFonts w:ascii="宋体" w:hAnsi="宋体" w:eastAsia="宋体"/>
          <w:b/>
          <w:sz w:val="22"/>
        </w:rPr>
        <w:t>模式一：三级漏斗AI审核架构</w:t>
      </w:r>
      <w:r>
        <w:rPr>
          <w:rFonts w:ascii="宋体" w:hAnsi="宋体" w:eastAsia="宋体"/>
          <w:sz w:val="22"/>
        </w:rPr>
        <w:t>（适用医保审核/处方审核场景）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100%数据 ──→ [L1: 规则引擎] ──→ ~15%可疑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 xml:space="preserve">               &gt;500条规则, &lt;1ms/条, 零推理成本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 xml:space="preserve">                │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 xml:space="preserve">                ▼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 xml:space="preserve">            [L2: 轻量AI分类] ──→ ~5%高度可疑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 xml:space="preserve">               BERT本地微调, &lt;100ms/条, 极低成本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 xml:space="preserve">                │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 xml:space="preserve">                ▼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 xml:space="preserve">            [L3: LLM深度推理] ──→ ~2%确认问题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 xml:space="preserve">               仅疑难case才调用, 年API费用&lt;10万元</w:t>
      </w:r>
    </w:p>
    <w:p>
      <w:pPr>
        <w:spacing w:before="40" w:after="40" w:line="336" w:lineRule="auto"/>
        <w:ind w:left="454"/>
      </w:pPr>
      <w:r>
        <w:rPr>
          <w:rFonts w:ascii="宋体" w:hAnsi="宋体" w:eastAsia="宋体"/>
          <w:i/>
          <w:color w:val="666666"/>
          <w:sz w:val="22"/>
        </w:rPr>
        <w:t>参考案例：梧州(34万份AI全量审核)、湘潭(16万条数据、问题病历≈5%)</w:t>
      </w:r>
    </w:p>
    <w:p>
      <w:pPr>
        <w:spacing w:before="0" w:after="0" w:line="120" w:lineRule="auto"/>
      </w:pPr>
    </w:p>
    <w:p>
      <w:pPr>
        <w:spacing w:before="20" w:after="60" w:line="360" w:lineRule="auto"/>
      </w:pPr>
      <w:r>
        <w:rPr>
          <w:rFonts w:ascii="宋体" w:hAnsi="宋体" w:eastAsia="宋体"/>
          <w:sz w:val="22"/>
        </w:rPr>
      </w:r>
      <w:r>
        <w:rPr>
          <w:rFonts w:ascii="宋体" w:hAnsi="宋体" w:eastAsia="宋体"/>
          <w:b/>
          <w:sz w:val="22"/>
        </w:rPr>
        <w:t>模式二：AI初筛+医生复核模式</w:t>
      </w:r>
      <w:r>
        <w:rPr>
          <w:rFonts w:ascii="宋体" w:hAnsi="宋体" w:eastAsia="宋体"/>
          <w:sz w:val="22"/>
        </w:rPr>
        <w:t>（适用影像AI场景）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基层拍片 → AI秒级初筛（标注+分级+报告草稿）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 xml:space="preserve">         → 阴性：AI自动生成报告，医生一键确认（节省80%工作量）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 xml:space="preserve">         → 阳性：AI标注区域→推送医生复核→医生修正后发出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 xml:space="preserve">         → 疑难：AI预分析→推送专家会诊</w:t>
      </w:r>
    </w:p>
    <w:p>
      <w:pPr>
        <w:spacing w:before="40" w:after="40" w:line="336" w:lineRule="auto"/>
        <w:ind w:left="454"/>
      </w:pPr>
      <w:r>
        <w:rPr>
          <w:rFonts w:ascii="宋体" w:hAnsi="宋体" w:eastAsia="宋体"/>
          <w:i/>
          <w:color w:val="666666"/>
          <w:sz w:val="22"/>
        </w:rPr>
        <w:t>参考案例：重庆(阅片效率数十倍)、南皮(设备利用率↑100%)</w:t>
      </w:r>
    </w:p>
    <w:p>
      <w:pPr>
        <w:spacing w:before="0" w:after="0" w:line="120" w:lineRule="auto"/>
      </w:pPr>
    </w:p>
    <w:p>
      <w:pPr>
        <w:spacing w:before="20" w:after="60" w:line="360" w:lineRule="auto"/>
      </w:pPr>
      <w:r>
        <w:rPr>
          <w:rFonts w:ascii="宋体" w:hAnsi="宋体" w:eastAsia="宋体"/>
          <w:sz w:val="22"/>
        </w:rPr>
      </w:r>
      <w:r>
        <w:rPr>
          <w:rFonts w:ascii="宋体" w:hAnsi="宋体" w:eastAsia="宋体"/>
          <w:b/>
          <w:sz w:val="22"/>
        </w:rPr>
        <w:t>模式三：AI健管智能体+家医协同模式</w:t>
      </w:r>
      <w:r>
        <w:rPr>
          <w:rFonts w:ascii="宋体" w:hAnsi="宋体" w:eastAsia="宋体"/>
          <w:sz w:val="22"/>
        </w:rPr>
        <w:t>（适用慢病管理场景）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AI处理80%常规随访(语音外呼+数据录入+初步分析)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→ 家医聚焦20%复杂case(异常结果审核+个性化干预+面对面服务)</w:t>
      </w:r>
    </w:p>
    <w:p>
      <w:pPr>
        <w:spacing w:before="0" w:after="0" w:line="240" w:lineRule="auto"/>
        <w:ind w:left="283"/>
      </w:pPr>
      <w:r>
        <w:rPr>
          <w:rFonts w:ascii="Consolas" w:hAnsi="Consolas"/>
          <w:color w:val="666666"/>
          <w:sz w:val="17"/>
        </w:rPr>
        <w:t>→ 协同效果：人均管理患者数提升3-5倍，规范管理率提升20%+</w:t>
      </w:r>
    </w:p>
    <w:p>
      <w:pPr>
        <w:spacing w:before="40" w:after="40" w:line="336" w:lineRule="auto"/>
        <w:ind w:left="454"/>
      </w:pPr>
      <w:r>
        <w:rPr>
          <w:rFonts w:ascii="宋体" w:hAnsi="宋体" w:eastAsia="宋体"/>
          <w:i/>
          <w:color w:val="666666"/>
          <w:sz w:val="22"/>
        </w:rPr>
        <w:t>参考案例：西青(血糖达标率6.2%→36.9%)、江西(覆盖省域全覆盖)</w:t>
      </w:r>
    </w:p>
    <w:p>
      <w:pPr>
        <w:spacing w:before="0" w:after="0" w:line="120" w:lineRule="auto"/>
      </w:pPr>
    </w:p>
    <w:p>
      <w:pPr>
        <w:spacing w:before="200" w:after="80"/>
      </w:pPr>
      <w:r>
        <w:rPr>
          <w:rFonts w:ascii="宋体" w:hAnsi="宋体" w:eastAsia="宋体"/>
          <w:b/>
          <w:color w:val="222222"/>
          <w:sz w:val="23"/>
        </w:rPr>
        <w:t>T11. 投资概算编制要求</w:t>
      </w:r>
    </w:p>
    <w:p>
      <w:pPr>
        <w:spacing w:before="0" w:after="0" w:line="120" w:lineRule="auto"/>
      </w:pPr>
    </w:p>
    <w:p>
      <w:pPr>
        <w:spacing w:before="20" w:after="60" w:line="360" w:lineRule="auto"/>
      </w:pPr>
      <w:r>
        <w:rPr>
          <w:rFonts w:ascii="宋体" w:hAnsi="宋体" w:eastAsia="宋体"/>
          <w:sz w:val="22"/>
        </w:rPr>
      </w:r>
      <w:r>
        <w:rPr>
          <w:rFonts w:ascii="宋体" w:hAnsi="宋体" w:eastAsia="宋体"/>
          <w:b/>
          <w:sz w:val="22"/>
        </w:rPr>
        <w:t>八大编制原则</w:t>
      </w:r>
      <w:r>
        <w:rPr>
          <w:rFonts w:ascii="宋体" w:hAnsi="宋体" w:eastAsia="宋体"/>
          <w:sz w:val="22"/>
        </w:rPr>
        <w:t>：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1. 分"存量改造费"和"新建投入费"两大类列示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2. 改造费：接口开发、系统升级、数据迁移、配置优化（单价低、见效快）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3. 新建费：软件授权/开发/硬件/集成/培训/运维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4. 每项标注计费依据（市场均价/厂商询价/行业标准/已有招标可比价/案例参考）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5. 软件23项+硬件19项+集成8项+培训7项+运维9项逐项列示</w:t>
      </w:r>
    </w:p>
    <w:p>
      <w:pPr>
        <w:spacing w:before="20" w:after="60" w:line="360" w:lineRule="auto"/>
      </w:pPr>
      <w:r>
        <w:rPr>
          <w:rFonts w:ascii="宋体" w:hAnsi="宋体" w:eastAsia="宋体"/>
          <w:sz w:val="22"/>
        </w:rPr>
        <w:t>6. 分三期安排，每期标注</w:t>
      </w:r>
      <w:r>
        <w:rPr>
          <w:rFonts w:ascii="宋体" w:hAnsi="宋体" w:eastAsia="宋体"/>
          <w:b/>
          <w:sz w:val="22"/>
        </w:rPr>
        <w:t>利旧率</w:t>
      </w:r>
      <w:r>
        <w:rPr>
          <w:rFonts w:ascii="宋体" w:hAnsi="宋体" w:eastAsia="宋体"/>
          <w:sz w:val="22"/>
        </w:rPr>
        <w:t>和</w:t>
      </w:r>
      <w:r>
        <w:rPr>
          <w:rFonts w:ascii="宋体" w:hAnsi="宋体" w:eastAsia="宋体"/>
          <w:b/>
          <w:sz w:val="22"/>
        </w:rPr>
        <w:t>新建率</w:t>
      </w:r>
      <w:r>
        <w:rPr>
          <w:rFonts w:ascii="宋体" w:hAnsi="宋体" w:eastAsia="宋体"/>
          <w:sz w:val="22"/>
        </w:rPr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7. 提供三场景ROI敏感性分析（保守/基准/乐观）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8. 与"全新建"方案做对比，突出利旧策略的节约金额</w:t>
      </w:r>
    </w:p>
    <w:p>
      <w:pPr>
        <w:spacing w:before="0" w:after="0" w:line="120" w:lineRule="auto"/>
      </w:pPr>
    </w:p>
    <w:p>
      <w:pPr>
        <w:spacing w:before="20" w:after="60" w:line="360" w:lineRule="auto"/>
      </w:pPr>
      <w:r>
        <w:rPr>
          <w:rFonts w:ascii="宋体" w:hAnsi="宋体" w:eastAsia="宋体"/>
          <w:sz w:val="22"/>
        </w:rPr>
      </w:r>
      <w:r>
        <w:rPr>
          <w:rFonts w:ascii="宋体" w:hAnsi="宋体" w:eastAsia="宋体"/>
          <w:b/>
          <w:sz w:val="22"/>
        </w:rPr>
        <w:t>投资结构要求</w:t>
      </w:r>
      <w:r>
        <w:rPr>
          <w:rFonts w:ascii="宋体" w:hAnsi="宋体" w:eastAsia="宋体"/>
          <w:sz w:val="22"/>
        </w:rPr>
        <w:t>（与行业基准对齐）：</w:t>
      </w:r>
    </w:p>
    <w:p>
      <w:pPr>
        <w:spacing w:before="20" w:after="40" w:line="336" w:lineRule="auto"/>
        <w:ind w:left="283"/>
      </w:pPr>
      <w:r>
        <w:rPr>
          <w:rFonts w:ascii="宋体" w:hAnsi="宋体" w:eastAsia="宋体"/>
          <w:sz w:val="22"/>
        </w:rPr>
        <w:t>• 基础平台 ≤35%</w:t>
      </w:r>
    </w:p>
    <w:p>
      <w:pPr>
        <w:spacing w:before="20" w:after="40" w:line="336" w:lineRule="auto"/>
        <w:ind w:left="283"/>
      </w:pPr>
      <w:r>
        <w:rPr>
          <w:rFonts w:ascii="宋体" w:hAnsi="宋体" w:eastAsia="宋体"/>
          <w:sz w:val="22"/>
        </w:rPr>
        <w:t>• 业务应用 ≈30%</w:t>
      </w:r>
    </w:p>
    <w:p>
      <w:pPr>
        <w:spacing w:before="20" w:after="40" w:line="336" w:lineRule="auto"/>
        <w:ind w:left="283"/>
      </w:pPr>
      <w:r>
        <w:rPr>
          <w:rFonts w:ascii="宋体" w:hAnsi="宋体" w:eastAsia="宋体"/>
          <w:sz w:val="22"/>
        </w:rPr>
        <w:t>• AI能力 ≈12%</w:t>
      </w:r>
    </w:p>
    <w:p>
      <w:pPr>
        <w:spacing w:before="20" w:after="40" w:line="336" w:lineRule="auto"/>
        <w:ind w:left="283"/>
      </w:pPr>
      <w:r>
        <w:rPr>
          <w:rFonts w:ascii="宋体" w:hAnsi="宋体" w:eastAsia="宋体"/>
          <w:sz w:val="22"/>
        </w:rPr>
        <w:t>• 硬件网络 ≤18%</w:t>
      </w:r>
    </w:p>
    <w:p>
      <w:pPr>
        <w:spacing w:before="20" w:after="40" w:line="336" w:lineRule="auto"/>
        <w:ind w:left="283"/>
      </w:pPr>
      <w:r>
        <w:rPr>
          <w:rFonts w:ascii="宋体" w:hAnsi="宋体" w:eastAsia="宋体"/>
          <w:sz w:val="22"/>
        </w:rPr>
        <w:t>• 服务培训 ≥7%</w:t>
      </w:r>
    </w:p>
    <w:p>
      <w:pPr>
        <w:spacing w:before="20" w:after="40" w:line="336" w:lineRule="auto"/>
        <w:ind w:left="283"/>
      </w:pPr>
      <w:r>
        <w:rPr>
          <w:rFonts w:ascii="宋体" w:hAnsi="宋体" w:eastAsia="宋体"/>
          <w:sz w:val="22"/>
        </w:rPr>
        <w:t>• 运维预备 ≈3%</w:t>
      </w:r>
    </w:p>
    <w:p>
      <w:pPr>
        <w:spacing w:before="0" w:after="0" w:line="120" w:lineRule="auto"/>
      </w:pPr>
    </w:p>
    <w:p>
      <w:pPr>
        <w:spacing w:before="200" w:after="80"/>
      </w:pPr>
      <w:r>
        <w:rPr>
          <w:rFonts w:ascii="宋体" w:hAnsi="宋体" w:eastAsia="宋体"/>
          <w:b/>
          <w:color w:val="222222"/>
          <w:sz w:val="23"/>
        </w:rPr>
        <w:t>T12. 建设内容政策与技术依据手册</w:t>
      </w:r>
    </w:p>
    <w:p>
      <w:pPr>
        <w:spacing w:before="0" w:after="0" w:line="120" w:lineRule="auto"/>
      </w:pP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表格格式：</w:t>
      </w:r>
    </w:p>
    <w:p>
      <w:pPr>
        <w:spacing w:before="0" w:after="0" w:line="12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5"/>
        <w:gridCol w:w="1455"/>
        <w:gridCol w:w="1455"/>
        <w:gridCol w:w="1455"/>
        <w:gridCol w:w="1455"/>
        <w:gridCol w:w="1455"/>
      </w:tblGrid>
      <w:tr>
        <w:tc>
          <w:tcPr>
            <w:tcW w:type="dxa" w:w="1455"/>
            <w:shd w:fill="1A3C6E"/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建设模块</w:t>
            </w:r>
          </w:p>
        </w:tc>
        <w:tc>
          <w:tcPr>
            <w:tcW w:type="dxa" w:w="1455"/>
            <w:shd w:fill="1A3C6E"/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存量基础</w:t>
            </w:r>
          </w:p>
        </w:tc>
        <w:tc>
          <w:tcPr>
            <w:tcW w:type="dxa" w:w="1455"/>
            <w:shd w:fill="1A3C6E"/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改造/新建</w:t>
            </w:r>
          </w:p>
        </w:tc>
        <w:tc>
          <w:tcPr>
            <w:tcW w:type="dxa" w:w="1455"/>
            <w:shd w:fill="1A3C6E"/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政策依据(文号+条款)</w:t>
            </w:r>
          </w:p>
        </w:tc>
        <w:tc>
          <w:tcPr>
            <w:tcW w:type="dxa" w:w="1455"/>
            <w:shd w:fill="1A3C6E"/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行业案例</w:t>
            </w:r>
          </w:p>
        </w:tc>
        <w:tc>
          <w:tcPr>
            <w:tcW w:type="dxa" w:w="1455"/>
            <w:shd w:fill="1A3C6E"/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依据强度</w:t>
            </w:r>
          </w:p>
        </w:tc>
      </w:tr>
    </w:tbl>
    <w:p/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| 全民健康信息平台 | 无 | 新建 | 国卫办规划函〔2025〕63号 第X条 | 江苏东台/江西全省 | 强制 |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| 影像AI辅助诊断 | 无AI能力 | 新建 | 五部门AI+医疗实施意见 "AI+临床诊疗" | 安徽/重庆/南皮 | 推荐 |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| 区域PACS升级 | 松潘/阿坝有基础 | 改造为主 | 川卫发〔2024〕9号 五大资源共享中心 | 安徽影像云 | 推荐 |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| ... | ... | ... | ... | ... | ... |</w:t>
      </w:r>
    </w:p>
    <w:p>
      <w:pPr>
        <w:spacing w:before="0" w:after="0" w:line="120" w:lineRule="auto"/>
      </w:pPr>
    </w:p>
    <w:p>
      <w:pPr>
        <w:spacing w:before="0" w:after="0" w:line="120" w:lineRule="auto"/>
      </w:pPr>
    </w:p>
    <w:p>
      <w:pPr>
        <w:spacing w:before="280" w:after="120"/>
      </w:pPr>
      <w:r>
        <w:rPr>
          <w:rFonts w:ascii="宋体" w:hAnsi="宋体" w:eastAsia="宋体"/>
          <w:b/>
          <w:color w:val="2B579A"/>
          <w:sz w:val="26"/>
        </w:rPr>
        <w:t>阶段四：质量校验</w:t>
      </w:r>
    </w:p>
    <w:p>
      <w:pPr>
        <w:spacing w:before="0" w:after="0" w:line="120" w:lineRule="auto"/>
      </w:pPr>
    </w:p>
    <w:p>
      <w:pPr>
        <w:spacing w:before="200" w:after="80"/>
      </w:pPr>
      <w:r>
        <w:rPr>
          <w:rFonts w:ascii="宋体" w:hAnsi="宋体" w:eastAsia="宋体"/>
          <w:b/>
          <w:color w:val="222222"/>
          <w:sz w:val="23"/>
        </w:rPr>
        <w:t>T13. 数据校验清单</w:t>
      </w:r>
    </w:p>
    <w:p>
      <w:pPr>
        <w:spacing w:before="0" w:after="0" w:line="12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shd w:fill="1A3C6E"/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数据类型</w:t>
            </w:r>
          </w:p>
        </w:tc>
        <w:tc>
          <w:tcPr>
            <w:tcW w:type="dxa" w:w="2911"/>
            <w:shd w:fill="1A3C6E"/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校验方法</w:t>
            </w:r>
          </w:p>
        </w:tc>
        <w:tc>
          <w:tcPr>
            <w:tcW w:type="dxa" w:w="2911"/>
            <w:shd w:fill="1A3C6E"/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不通过标准</w:t>
            </w:r>
          </w:p>
        </w:tc>
      </w:tr>
    </w:tbl>
    <w:p/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| **硬数据** | 来源标注+交叉验证≥2个来源 | 无来源/单来源/来源不可查 |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| **政策引用** | 文件名称+文号+条款内容核对 | 文号错误/文件已作废/条款不对应 |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| **估算数据** | 标注估算方法+可比案例+置信区间 | 未标注"估算"/无计算方法/无可比案例 |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| **百分比类** | 确认基数+分子分母+计算逻辑 | 无基数/分子分母不明确/计算逻辑错误 |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| **财务数据** | 市场询价+行业标准+可比项目 | 偏差&gt;30%且无合理解释 |</w:t>
      </w:r>
    </w:p>
    <w:p>
      <w:pPr>
        <w:spacing w:before="0" w:after="0" w:line="120" w:lineRule="auto"/>
      </w:pPr>
    </w:p>
    <w:p>
      <w:pPr>
        <w:spacing w:before="200" w:after="80"/>
      </w:pPr>
      <w:r>
        <w:rPr>
          <w:rFonts w:ascii="宋体" w:hAnsi="宋体" w:eastAsia="宋体"/>
          <w:b/>
          <w:color w:val="222222"/>
          <w:sz w:val="23"/>
        </w:rPr>
        <w:t>T14. 逻辑一致性校验（三方交叉核对）</w:t>
      </w:r>
    </w:p>
    <w:p>
      <w:pPr>
        <w:spacing w:before="0" w:after="0" w:line="120" w:lineRule="auto"/>
      </w:pPr>
    </w:p>
    <w:p>
      <w:pPr>
        <w:spacing w:before="20" w:after="40" w:line="336" w:lineRule="auto"/>
        <w:ind w:left="283"/>
      </w:pPr>
      <w:r>
        <w:rPr>
          <w:rFonts w:ascii="宋体" w:hAnsi="宋体" w:eastAsia="宋体"/>
          <w:sz w:val="22"/>
        </w:rPr>
        <w:t>• [ ] 存量评估表中标注"保留"的系统 → 建设方案中是否无对应改造费用？(应该为零)</w:t>
      </w:r>
    </w:p>
    <w:p>
      <w:pPr>
        <w:spacing w:before="20" w:after="40" w:line="336" w:lineRule="auto"/>
        <w:ind w:left="283"/>
      </w:pPr>
      <w:r>
        <w:rPr>
          <w:rFonts w:ascii="宋体" w:hAnsi="宋体" w:eastAsia="宋体"/>
          <w:sz w:val="22"/>
        </w:rPr>
        <w:t>• [ ] 存量评估表中标注"保留+改造"的系统 → 建设方案中是否有对应改造费用？</w:t>
      </w:r>
    </w:p>
    <w:p>
      <w:pPr>
        <w:spacing w:before="20" w:after="40" w:line="336" w:lineRule="auto"/>
        <w:ind w:left="283"/>
      </w:pPr>
      <w:r>
        <w:rPr>
          <w:rFonts w:ascii="宋体" w:hAnsi="宋体" w:eastAsia="宋体"/>
          <w:sz w:val="22"/>
        </w:rPr>
        <w:t>• [ ] 建设方案中的"新建"项 → 是否已在存量评估中确认"无存量可改造"？</w:t>
      </w:r>
    </w:p>
    <w:p>
      <w:pPr>
        <w:spacing w:before="20" w:after="40" w:line="336" w:lineRule="auto"/>
        <w:ind w:left="283"/>
      </w:pPr>
      <w:r>
        <w:rPr>
          <w:rFonts w:ascii="宋体" w:hAnsi="宋体" w:eastAsia="宋体"/>
          <w:sz w:val="22"/>
        </w:rPr>
        <w:t>• [ ] 投资概算中的"改造费" → 是否与存量评估中的"需改造系统"一一对应？</w:t>
      </w:r>
    </w:p>
    <w:p>
      <w:pPr>
        <w:spacing w:before="20" w:after="40" w:line="336" w:lineRule="auto"/>
        <w:ind w:left="283"/>
      </w:pPr>
      <w:r>
        <w:rPr>
          <w:rFonts w:ascii="宋体" w:hAnsi="宋体" w:eastAsia="宋体"/>
          <w:sz w:val="22"/>
        </w:rPr>
        <w:t>• [ ] 投资概算中的"利旧率" → 是否与存量评估中的"保留"+"保留+改造"比例一致？</w:t>
      </w:r>
    </w:p>
    <w:p>
      <w:pPr>
        <w:spacing w:before="20" w:after="40" w:line="336" w:lineRule="auto"/>
        <w:ind w:left="283"/>
      </w:pPr>
      <w:r>
        <w:rPr>
          <w:rFonts w:ascii="宋体" w:hAnsi="宋体" w:eastAsia="宋体"/>
          <w:sz w:val="22"/>
        </w:rPr>
        <w:t>• [ ] 建设方案中的ROI测算 → 数据来源是否可追溯（政策/案例/行业报告）？</w:t>
      </w:r>
    </w:p>
    <w:p>
      <w:pPr>
        <w:spacing w:before="0" w:after="0" w:line="120" w:lineRule="auto"/>
      </w:pPr>
    </w:p>
    <w:p>
      <w:pPr>
        <w:spacing w:before="200" w:after="80"/>
      </w:pPr>
      <w:r>
        <w:rPr>
          <w:rFonts w:ascii="宋体" w:hAnsi="宋体" w:eastAsia="宋体"/>
          <w:b/>
          <w:color w:val="222222"/>
          <w:sz w:val="23"/>
        </w:rPr>
        <w:t>T15. Word/表格/图片格式检查</w:t>
      </w:r>
    </w:p>
    <w:p>
      <w:pPr>
        <w:spacing w:before="0" w:after="0" w:line="120" w:lineRule="auto"/>
      </w:pPr>
    </w:p>
    <w:p>
      <w:pPr>
        <w:spacing w:before="20" w:after="40" w:line="336" w:lineRule="auto"/>
        <w:ind w:left="283"/>
      </w:pPr>
      <w:r>
        <w:rPr>
          <w:rFonts w:ascii="宋体" w:hAnsi="宋体" w:eastAsia="宋体"/>
          <w:sz w:val="22"/>
        </w:rPr>
        <w:t>• [ ] 表格跨页是否断开？列宽是否合理？数字是否对齐？</w:t>
      </w:r>
    </w:p>
    <w:p>
      <w:pPr>
        <w:spacing w:before="20" w:after="40" w:line="336" w:lineRule="auto"/>
        <w:ind w:left="283"/>
      </w:pPr>
      <w:r>
        <w:rPr>
          <w:rFonts w:ascii="宋体" w:hAnsi="宋体" w:eastAsia="宋体"/>
          <w:sz w:val="22"/>
        </w:rPr>
        <w:t>• [ ] 图片分辨率≥150dpi？宽度≤15cm？位置是否正确？是否遮挡正文？</w:t>
      </w:r>
    </w:p>
    <w:p>
      <w:pPr>
        <w:spacing w:before="20" w:after="40" w:line="336" w:lineRule="auto"/>
        <w:ind w:left="283"/>
      </w:pPr>
      <w:r>
        <w:rPr>
          <w:rFonts w:ascii="宋体" w:hAnsi="宋体" w:eastAsia="宋体"/>
          <w:sz w:val="22"/>
        </w:rPr>
        <w:t>• [ ] 目录页码是否准确？</w:t>
      </w:r>
    </w:p>
    <w:p>
      <w:pPr>
        <w:spacing w:before="20" w:after="40" w:line="336" w:lineRule="auto"/>
        <w:ind w:left="283"/>
      </w:pPr>
      <w:r>
        <w:rPr>
          <w:rFonts w:ascii="宋体" w:hAnsi="宋体" w:eastAsia="宋体"/>
          <w:sz w:val="22"/>
        </w:rPr>
        <w:t>• [ ] 各级标题编号是否连续？层级是否正确？</w:t>
      </w:r>
    </w:p>
    <w:p>
      <w:pPr>
        <w:spacing w:before="20" w:after="40" w:line="336" w:lineRule="auto"/>
        <w:ind w:left="283"/>
      </w:pPr>
      <w:r>
        <w:rPr>
          <w:rFonts w:ascii="宋体" w:hAnsi="宋体" w:eastAsia="宋体"/>
          <w:sz w:val="22"/>
        </w:rPr>
        <w:t>• [ ] 所有交叉引用是否可点击跳转？</w:t>
      </w:r>
    </w:p>
    <w:p>
      <w:pPr>
        <w:spacing w:before="0" w:after="0" w:line="120" w:lineRule="auto"/>
      </w:pPr>
    </w:p>
    <w:p>
      <w:pPr>
        <w:spacing w:before="0" w:after="0" w:line="120" w:lineRule="auto"/>
      </w:pPr>
    </w:p>
    <w:p>
      <w:pPr>
        <w:spacing w:before="280" w:after="120"/>
      </w:pPr>
      <w:r>
        <w:rPr>
          <w:rFonts w:ascii="宋体" w:hAnsi="宋体" w:eastAsia="宋体"/>
          <w:b/>
          <w:color w:val="2B579A"/>
          <w:sz w:val="26"/>
        </w:rPr>
        <w:t>阶段五：输出交付</w:t>
      </w:r>
    </w:p>
    <w:p>
      <w:pPr>
        <w:spacing w:before="0" w:after="0" w:line="120" w:lineRule="auto"/>
      </w:pPr>
    </w:p>
    <w:p>
      <w:pPr>
        <w:spacing w:before="200" w:after="80"/>
      </w:pPr>
      <w:r>
        <w:rPr>
          <w:rFonts w:ascii="宋体" w:hAnsi="宋体" w:eastAsia="宋体"/>
          <w:b/>
          <w:color w:val="222222"/>
          <w:sz w:val="23"/>
        </w:rPr>
        <w:t>T16. 多格式输出清单</w:t>
      </w:r>
    </w:p>
    <w:p>
      <w:pPr>
        <w:spacing w:before="0" w:after="0" w:line="12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shd w:fill="1A3C6E"/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格式</w:t>
            </w:r>
          </w:p>
        </w:tc>
        <w:tc>
          <w:tcPr>
            <w:tcW w:type="dxa" w:w="2183"/>
            <w:shd w:fill="1A3C6E"/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数量</w:t>
            </w:r>
          </w:p>
        </w:tc>
        <w:tc>
          <w:tcPr>
            <w:tcW w:type="dxa" w:w="2183"/>
            <w:shd w:fill="1A3C6E"/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文件命名规范</w:t>
            </w:r>
          </w:p>
        </w:tc>
        <w:tc>
          <w:tcPr>
            <w:tcW w:type="dxa" w:w="2183"/>
            <w:shd w:fill="1A3C6E"/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排版要求</w:t>
            </w:r>
          </w:p>
        </w:tc>
      </w:tr>
    </w:tbl>
    <w:p/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| **MD** | 3份 | `阿坝州医共体方案-{风格}-{版本号}.md` | 完整Markdown语法，含目录锚点 |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| **Word** | 3份 | `阿坝州医共体方案-{风格}-{版本号}.docx` | 标题黑体/正文仿宋/页边距2.5cm×2.8cm/图表嵌入式 |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| **TXT** | 3份 | `阿坝州医共体方案-{风格}-{版本号}.txt` | 纯文本，移除格式标记，保留层级缩进 |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| **调研笔记** | 3份 | `{主题}调研笔记.md` | 阿坝现状/政策梳理/AI赋能案例 |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| **图表** | 19张 | `{编号}_{图表名称}.jpg` | 150dpi+/宽度≤15cm/嵌入Word对应位置 |</w:t>
      </w:r>
    </w:p>
    <w:p>
      <w:pPr>
        <w:spacing w:before="20" w:after="80" w:line="360" w:lineRule="auto"/>
      </w:pPr>
      <w:r>
        <w:rPr>
          <w:rFonts w:ascii="宋体" w:hAnsi="宋体" w:eastAsia="宋体"/>
          <w:color w:val="222222"/>
          <w:sz w:val="22"/>
        </w:rPr>
        <w:t>| **依据手册** | 1份 | `建设内容政策与技术依据手册.xlsx` | 表格格式，含筛选器 |</w:t>
      </w:r>
    </w:p>
    <w:p>
      <w:pPr>
        <w:spacing w:before="0" w:after="0" w:line="120" w:lineRule="auto"/>
      </w:pPr>
    </w:p>
    <w:p>
      <w:pPr>
        <w:spacing w:before="200" w:after="80"/>
      </w:pPr>
      <w:r>
        <w:rPr>
          <w:rFonts w:ascii="宋体" w:hAnsi="宋体" w:eastAsia="宋体"/>
          <w:b/>
          <w:color w:val="222222"/>
          <w:sz w:val="23"/>
        </w:rPr>
        <w:t>T17. 最终检查清单（交付前）</w:t>
      </w:r>
    </w:p>
    <w:p>
      <w:pPr>
        <w:spacing w:before="0" w:after="0" w:line="120" w:lineRule="auto"/>
      </w:pPr>
    </w:p>
    <w:p>
      <w:pPr>
        <w:spacing w:before="20" w:after="40" w:line="336" w:lineRule="auto"/>
        <w:ind w:left="283"/>
      </w:pPr>
      <w:r>
        <w:rPr>
          <w:rFonts w:ascii="宋体" w:hAnsi="宋体" w:eastAsia="宋体"/>
          <w:sz w:val="22"/>
        </w:rPr>
        <w:t>• [ ] 所有政策引用可查（文号+条款+文件名称）</w:t>
      </w:r>
    </w:p>
    <w:p>
      <w:pPr>
        <w:spacing w:before="20" w:after="40" w:line="336" w:lineRule="auto"/>
        <w:ind w:left="283"/>
      </w:pPr>
      <w:r>
        <w:rPr>
          <w:rFonts w:ascii="宋体" w:hAnsi="宋体" w:eastAsia="宋体"/>
          <w:sz w:val="22"/>
        </w:rPr>
        <w:t>• [ ] 所有硬数据有≥2个交叉验证来源</w:t>
      </w:r>
    </w:p>
    <w:p>
      <w:pPr>
        <w:spacing w:before="20" w:after="40" w:line="336" w:lineRule="auto"/>
        <w:ind w:left="283"/>
      </w:pPr>
      <w:r>
        <w:rPr>
          <w:rFonts w:ascii="宋体" w:hAnsi="宋体" w:eastAsia="宋体"/>
          <w:sz w:val="22"/>
        </w:rPr>
        <w:t>• [ ] 所有估算数据标注估算方法+可比案例</w:t>
      </w:r>
    </w:p>
    <w:p>
      <w:pPr>
        <w:spacing w:before="20" w:after="40" w:line="336" w:lineRule="auto"/>
        <w:ind w:left="283"/>
      </w:pPr>
      <w:r>
        <w:rPr>
          <w:rFonts w:ascii="宋体" w:hAnsi="宋体" w:eastAsia="宋体"/>
          <w:sz w:val="22"/>
        </w:rPr>
        <w:t>• [ ] 存量评估↔建设方案↔投资概算三方逻辑一致</w:t>
      </w:r>
    </w:p>
    <w:p>
      <w:pPr>
        <w:spacing w:before="20" w:after="40" w:line="336" w:lineRule="auto"/>
        <w:ind w:left="283"/>
      </w:pPr>
      <w:r>
        <w:rPr>
          <w:rFonts w:ascii="宋体" w:hAnsi="宋体" w:eastAsia="宋体"/>
          <w:sz w:val="22"/>
        </w:rPr>
        <w:t>• [ ] 5项铁律在方案中有量化体现</w:t>
      </w:r>
    </w:p>
    <w:p>
      <w:pPr>
        <w:spacing w:before="20" w:after="40" w:line="336" w:lineRule="auto"/>
        <w:ind w:left="283"/>
      </w:pPr>
      <w:r>
        <w:rPr>
          <w:rFonts w:ascii="宋体" w:hAnsi="宋体" w:eastAsia="宋体"/>
          <w:sz w:val="22"/>
        </w:rPr>
        <w:t>• [ ] 利旧率指标达标（硬件≥60%、网络≥80%）</w:t>
      </w:r>
    </w:p>
    <w:p>
      <w:pPr>
        <w:spacing w:before="20" w:after="40" w:line="336" w:lineRule="auto"/>
        <w:ind w:left="283"/>
      </w:pPr>
      <w:r>
        <w:rPr>
          <w:rFonts w:ascii="宋体" w:hAnsi="宋体" w:eastAsia="宋体"/>
          <w:sz w:val="22"/>
        </w:rPr>
        <w:t>• [ ] 所有图已嵌入Word对应位置且清晰</w:t>
      </w:r>
    </w:p>
    <w:p>
      <w:pPr>
        <w:spacing w:before="20" w:after="40" w:line="336" w:lineRule="auto"/>
        <w:ind w:left="283"/>
      </w:pPr>
      <w:r>
        <w:rPr>
          <w:rFonts w:ascii="宋体" w:hAnsi="宋体" w:eastAsia="宋体"/>
          <w:sz w:val="22"/>
        </w:rPr>
        <w:t>• [ ] 目录页码与实际内容一致</w:t>
      </w:r>
    </w:p>
    <w:p>
      <w:pPr>
        <w:spacing w:before="20" w:after="40" w:line="336" w:lineRule="auto"/>
        <w:ind w:left="283"/>
      </w:pPr>
      <w:r>
        <w:rPr>
          <w:rFonts w:ascii="宋体" w:hAnsi="宋体" w:eastAsia="宋体"/>
          <w:sz w:val="22"/>
        </w:rPr>
        <w:t>• [ ] 无厂商名称直接出现</w:t>
      </w:r>
    </w:p>
    <w:p>
      <w:pPr>
        <w:spacing w:before="20" w:after="40" w:line="336" w:lineRule="auto"/>
        <w:ind w:left="283"/>
      </w:pPr>
      <w:r>
        <w:rPr>
          <w:rFonts w:ascii="宋体" w:hAnsi="宋体" w:eastAsia="宋体"/>
          <w:sz w:val="22"/>
        </w:rPr>
        <w:t>• [ ] 方案可达到向州政府分管领导直接汇报的标准</w:t>
      </w:r>
    </w:p>
    <w:p>
      <w:pPr>
        <w:spacing w:before="0" w:after="0" w:line="120" w:lineRule="auto"/>
      </w:pPr>
    </w:p>
    <w:p>
      <w:pPr>
        <w:spacing w:before="0" w:after="0" w:line="120" w:lineRule="auto"/>
      </w:pPr>
    </w:p>
    <w:p>
      <w:pPr>
        <w:spacing w:before="360" w:after="160"/>
        <w:pBdr>
          <w:bottom w:val="single" w:sz="4" w:space="2" w:color="8CA3C2"/>
        </w:pBdr>
      </w:pPr>
      <w:r>
        <w:rPr>
          <w:rFonts w:ascii="宋体" w:hAnsi="宋体" w:eastAsia="宋体"/>
          <w:b/>
          <w:color w:val="1A3C6E"/>
          <w:sz w:val="32"/>
        </w:rPr>
        <w:t>五、执行纪律</w:t>
      </w:r>
    </w:p>
    <w:p>
      <w:pPr>
        <w:spacing w:before="0" w:after="0" w:line="120" w:lineRule="auto"/>
      </w:pPr>
    </w:p>
    <w:p>
      <w:pPr>
        <w:spacing w:before="20" w:after="60" w:line="360" w:lineRule="auto"/>
      </w:pPr>
      <w:r>
        <w:rPr>
          <w:rFonts w:ascii="宋体" w:hAnsi="宋体" w:eastAsia="宋体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顺序铁律</w:t>
      </w:r>
      <w:r>
        <w:rPr>
          <w:rFonts w:ascii="宋体" w:hAnsi="宋体" w:eastAsia="宋体"/>
          <w:sz w:val="22"/>
        </w:rPr>
        <w:t>：严格按阶段一→二→三→四→五顺序执行，每个阶段完成后确认再进入下一阶段</w:t>
      </w:r>
    </w:p>
    <w:p>
      <w:pPr>
        <w:spacing w:before="20" w:after="60" w:line="360" w:lineRule="auto"/>
      </w:pPr>
      <w:r>
        <w:rPr>
          <w:rFonts w:ascii="宋体" w:hAnsi="宋体" w:eastAsia="宋体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决策节点</w:t>
      </w:r>
      <w:r>
        <w:rPr>
          <w:rFonts w:ascii="宋体" w:hAnsi="宋体" w:eastAsia="宋体"/>
          <w:sz w:val="22"/>
        </w:rPr>
        <w:t>：阶段二完成后（输出3套大纲），选择一套作为主方案精写；阶段三按章节逐章推进</w:t>
      </w:r>
    </w:p>
    <w:p>
      <w:pPr>
        <w:spacing w:before="20" w:after="60" w:line="360" w:lineRule="auto"/>
      </w:pPr>
      <w:r>
        <w:rPr>
          <w:rFonts w:ascii="宋体" w:hAnsi="宋体" w:eastAsia="宋体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禁止</w:t>
      </w:r>
      <w:r>
        <w:rPr>
          <w:rFonts w:ascii="宋体" w:hAnsi="宋体" w:eastAsia="宋体"/>
          <w:sz w:val="22"/>
        </w:rPr>
        <w:t>：没有数据支撑不得编造具体数字；不确定的数据标注"待核实"</w:t>
      </w:r>
    </w:p>
    <w:p>
      <w:pPr>
        <w:spacing w:before="20" w:after="60" w:line="360" w:lineRule="auto"/>
      </w:pPr>
      <w:r>
        <w:rPr>
          <w:rFonts w:ascii="宋体" w:hAnsi="宋体" w:eastAsia="宋体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质量底线</w:t>
      </w:r>
      <w:r>
        <w:rPr>
          <w:rFonts w:ascii="宋体" w:hAnsi="宋体" w:eastAsia="宋体"/>
          <w:sz w:val="22"/>
        </w:rPr>
        <w:t>：方案需可向州政府分管领导直接汇报；每项建设内容需有政策或案例依据</w:t>
      </w:r>
    </w:p>
    <w:p>
      <w:pPr>
        <w:spacing w:before="20" w:after="60" w:line="360" w:lineRule="auto"/>
      </w:pPr>
      <w:r>
        <w:rPr>
          <w:rFonts w:ascii="宋体" w:hAnsi="宋体" w:eastAsia="宋体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利旧绝对优先</w:t>
      </w:r>
      <w:r>
        <w:rPr>
          <w:rFonts w:ascii="宋体" w:hAnsi="宋体" w:eastAsia="宋体"/>
          <w:sz w:val="22"/>
        </w:rPr>
        <w:t>：能改不建、能扩不买、能复用不采购——任何"新建"决策必须在存量评估中证明"无存量可改造"</w:t>
      </w:r>
    </w:p>
    <w:sectPr w:rsidR="00FC693F" w:rsidRPr="0006063C" w:rsidSect="00034616">
      <w:pgSz w:w="11906" w:h="16838"/>
      <w:pgMar w:top="1417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