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0000"/>
          <w:rtl w:val="0"/>
        </w:rPr>
        <w:t xml:space="preserve">A2UI 사용자실험 논문용 결과표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1. 참가자 구성 및 측정도구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1.1 UI 유형과 AI 리터러시 수준별 참가자 분포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각 참가자의 사전 AI 리터러시 6문항 점수를 평균하여 개인별 AI 리터러시 점수를 산출하였다.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개인 평균이 6.0 미만이면 낮은 수준, 6.0 이상이면 높은 수준으로 분류하였다.</w:t>
      </w:r>
    </w:p>
    <w:p w:rsidR="00000000" w:rsidDel="00000000" w:rsidP="00000000" w:rsidRDefault="00000000" w:rsidRPr="00000000" w14:paraId="00000008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UI 유형(A2UI/Baseline)과 AI 리터러시 수준(낮음/높음)을 교차하여 각 조합의 인원 수를 세고, 행·열 합계를 계산하였다.</w:t>
      </w:r>
    </w:p>
    <w:p w:rsidR="00000000" w:rsidDel="00000000" w:rsidP="00000000" w:rsidRDefault="00000000" w:rsidRPr="00000000" w14:paraId="00000009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AI 리터러시 평균 = (6개 문항 점수의 합) /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1. UI 유형과 AI 리터러시 수준별 참가자 분포</w:t>
      </w:r>
    </w:p>
    <w:tbl>
      <w:tblPr>
        <w:tblStyle w:val="Table1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UI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낮은 수준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높은 수준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전체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A2UI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AI 리터러시는 사전 6문항 평균 6.0을 기준으로 구분하였다. 분석자료: 02·04·05번.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전체 표본은 A2UI 20명, Baseline 20명으로 UI 조건 자체는 동일한 크기이다.</w:t>
      </w:r>
    </w:p>
    <w:p w:rsidR="00000000" w:rsidDel="00000000" w:rsidP="00000000" w:rsidRDefault="00000000" w:rsidRPr="00000000" w14:paraId="0000001E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각 UI 조건에는 AI 리터러시가 낮은 참가자와 높은 참가자가 각각 10명씩 포함되어, 네 조건의 표본 수가 균형을 이루었다.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이후 표 5에서는 UI 유형과 AI 리터러시 수준의 주효과 및 두 요인의 상호작용을 함께 검토하였다.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1.2 측정도구의 내적 일관성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각 구성개념에 포함된 문항들을 한 묶음으로 만들었다. 예를 들어 지각된 유용성은 4문항, AI 리터러시는 6문항으로 구성된다.</w:t>
      </w:r>
    </w:p>
    <w:p w:rsidR="00000000" w:rsidDel="00000000" w:rsidP="00000000" w:rsidRDefault="00000000" w:rsidRPr="00000000" w14:paraId="0000002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각 문항의 분산과 문항 합계점수의 분산을 이용하여 Cronbach’s α를 계산하였다. 문항들이 같은 개념을 비슷한 방향으로 측정할수록 α가 높아진다.</w:t>
      </w:r>
    </w:p>
    <w:p w:rsidR="00000000" w:rsidDel="00000000" w:rsidP="00000000" w:rsidRDefault="00000000" w:rsidRPr="00000000" w14:paraId="00000024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&lt;</w:t>
      </w:r>
      <w:r w:rsidDel="00000000" w:rsidR="00000000" w:rsidRPr="00000000">
        <w:rPr>
          <w:rtl w:val="0"/>
        </w:rPr>
        <w:t xml:space="preserve">재사용 의도&gt;는 단일 문항이므로 문항 간 일관성을 계산할 수 없어 α를 산출하지 않았다.</w:t>
      </w:r>
    </w:p>
    <w:p w:rsidR="00000000" w:rsidDel="00000000" w:rsidP="00000000" w:rsidRDefault="00000000" w:rsidRPr="00000000" w14:paraId="00000025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Cronbach’s α = k/(k−1) × [1 − (문항별 분산의 합 / 문항 합계점수의 분산)]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2. 측정도구의 문항 수와 내적 일관성</w:t>
      </w:r>
    </w:p>
    <w:tbl>
      <w:tblPr>
        <w:tblStyle w:val="Table2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측정변수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문항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Cronbach’s 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AI 리터러시 (사전)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.911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지각된 유용성 (PU)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사용 용이성 (PEU)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전반적 만족도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.892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인지부하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.824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결과 신뢰도·품질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.932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상호작용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.880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재사용 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재사용 의도는 단일 문항이므로 α를 산출하지 않았다. AI 리터러시는 사전 측정, 나머지는 사후 측정이다. 분석자료: 01번.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다문항 척도의 Cronbach’s α는 .824~.960 범위로 나타났다. 즉, 같은 구성개념 안의 문항들이 서로 일관된 방향으로 응답되는 편이었다.</w:t>
      </w:r>
    </w:p>
    <w:p w:rsidR="00000000" w:rsidDel="00000000" w:rsidP="00000000" w:rsidRDefault="00000000" w:rsidRPr="00000000" w14:paraId="0000004E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특히 지각된 유용성(.960), 결과 신뢰도·품질(.932), AI 리터러시(.911)는 매우 높은 내적 일관성을 보였다.</w:t>
      </w:r>
    </w:p>
    <w:p w:rsidR="00000000" w:rsidDel="00000000" w:rsidP="00000000" w:rsidRDefault="00000000" w:rsidRPr="00000000" w14:paraId="0000004F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다문항 척도는 내적 일관성 측면의 근거를 제공하였다. 각 구성개념의 점수는 해당 문항의 평균으로 산출하였다. 다만 Cronbach’s α만으로 척도의 단일차원성이나 구성타당성이 확인되는 것은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2. 사후설문 기술통계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2.1 UI 유형 및 AI 리터러시 수준별 사후설문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다문항 변수는 먼저 참가자별로 해당 문항의 평균을 구해 한 사람당 하나의 점수로 만들었다. 재사용 의도는 단일 문항 점수를 그대로 사용하였다.</w:t>
      </w:r>
    </w:p>
    <w:p w:rsidR="00000000" w:rsidDel="00000000" w:rsidP="00000000" w:rsidRDefault="00000000" w:rsidRPr="00000000" w14:paraId="00000054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전체 40명에 대해 각 변수의 평균(M)과 표준편차(SD)를 계산하였다.</w:t>
      </w:r>
    </w:p>
    <w:p w:rsidR="00000000" w:rsidDel="00000000" w:rsidP="00000000" w:rsidRDefault="00000000" w:rsidRPr="00000000" w14:paraId="00000055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같은 40명을 UI 유형(A2UI 20명, Baseline 20명)과 AI 리터러시 수준(낮음 20명, 높음 20명)으로 각각 나누어 집단별 평균과 표준편차를 계산하였다.</w:t>
      </w:r>
    </w:p>
    <w:p w:rsidR="00000000" w:rsidDel="00000000" w:rsidP="00000000" w:rsidRDefault="00000000" w:rsidRPr="00000000" w14:paraId="00000056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표의 값은 M (SD) 형태로 제시하였다. 인지부하는 점수가 높을수록 부담이 크므로 다른 긍정적 지표와 해석 방향이 반대이다.</w:t>
      </w:r>
    </w:p>
    <w:p w:rsidR="00000000" w:rsidDel="00000000" w:rsidP="00000000" w:rsidRDefault="00000000" w:rsidRPr="00000000" w14:paraId="00000057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rtl w:val="0"/>
        </w:rPr>
        <w:t xml:space="preserve">UI 유형과 AI 리터러시 수준은 서로 다른 분류 기준으로 같은 참가자 40명을 요약한 것이므로, 두 분류의 열을 서로 독립된 표본처럼 해석하지 않는다.</w:t>
      </w:r>
    </w:p>
    <w:p w:rsidR="00000000" w:rsidDel="00000000" w:rsidP="00000000" w:rsidRDefault="00000000" w:rsidRPr="00000000" w14:paraId="00000058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M = Σx / n,    SD = √[Σ(x−M)² / (n−1)]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3. UI 유형 및 AI 리터러시 수준별 사후설문 기술통계</w:t>
      </w:r>
    </w:p>
    <w:tbl>
      <w:tblPr>
        <w:tblStyle w:val="Table3"/>
        <w:tblW w:w="9864.0" w:type="dxa"/>
        <w:jc w:val="center"/>
        <w:tblLayout w:type="fixed"/>
        <w:tblLook w:val="0400"/>
      </w:tblPr>
      <w:tblGrid>
        <w:gridCol w:w="1644"/>
        <w:gridCol w:w="1644"/>
        <w:gridCol w:w="1644"/>
        <w:gridCol w:w="1644"/>
        <w:gridCol w:w="1644"/>
        <w:gridCol w:w="1644"/>
        <w:tblGridChange w:id="0">
          <w:tblGrid>
            <w:gridCol w:w="1644"/>
            <w:gridCol w:w="1644"/>
            <w:gridCol w:w="1644"/>
            <w:gridCol w:w="1644"/>
            <w:gridCol w:w="1644"/>
            <w:gridCol w:w="1644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측정변수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UI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AI 리터러시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7.4560546875011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 = 40</w:t>
              <w:br w:type="textWrapping"/>
              <w:t xml:space="preserve">M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A2UI</w:t>
              <w:br w:type="textWrapping"/>
              <w:t xml:space="preserve">n = 20</w:t>
              <w:br w:type="textWrapping"/>
              <w:t xml:space="preserve">M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Baseline</w:t>
              <w:br w:type="textWrapping"/>
              <w:t xml:space="preserve">n = 20</w:t>
              <w:br w:type="textWrapping"/>
              <w:t xml:space="preserve">M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낮은 수준</w:t>
              <w:br w:type="textWrapping"/>
              <w:t xml:space="preserve">n = 20</w:t>
              <w:br w:type="textWrapping"/>
              <w:t xml:space="preserve">M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높은 수준</w:t>
              <w:br w:type="textWrapping"/>
              <w:t xml:space="preserve">n = 20</w:t>
              <w:br w:type="textWrapping"/>
              <w:t xml:space="preserve">M (SD)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지각된 유용성 (PU)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5.51 (1.24)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5.76 (0.96)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5.25 (1.45)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5.08 (1.27)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5.94 (1.08)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사용 용이성 (PEU)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5.49 (1.18)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5.58 (1.09)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5.40 (1.29)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5.25 (1.22)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5.73 (1.12)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전반적 만족도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5.51 (1.30)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5.88 (0.90)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5.13 (1.53)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5.12 (1.46)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5.90 (0.99)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인지부하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3.36 (1.51)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3.03 (1.66)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3.68 (1.31)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3.72 (1.49)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3.00 (1.49)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결과 신뢰도·품질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5.67 (1.08)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6.05 (0.82)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5.28 (1.20)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5.25 (1.28)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6.08 (0.65)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상호작용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5.43 (1.24)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5.70 (1.10)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5.17 (1.34)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5.00 (1.38)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5.87 (0.92)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재사용 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5.42 (1.36)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5.85 (0.93)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5.00 (1.59)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4.95 (1.47)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5.90 (1.07)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값은 M (SD)이며 7점 척도이다. 전체 열은 N=40, UI 유형과 AI 리터러시 수준의 각 하위집단은 n=20이다. 인지부하는 점수가 높을수록 부담이 크다. UI 유형과 AI 리터러시 수준은 동일한 참가자 40명을 서로 다른 기준으로 나눈 결과이다. 분석자료: 02번.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UI 유형을 보면 A2UI는 지각된 유용성, 사용 용이성, 전반적 만족도, 결과 신뢰도·품질, 상호작용 품질, 재사용 의도에서 Baseline보다 평균이 높았고, 인지부하는 더 낮았다. 즉 단순 평균의 방향은 전반적으로 A2UI에 유리하다.</w:t>
      </w:r>
    </w:p>
    <w:p w:rsidR="00000000" w:rsidDel="00000000" w:rsidP="00000000" w:rsidRDefault="00000000" w:rsidRPr="00000000" w14:paraId="0000009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차이가 비교적 크게 나타난 항목은 재사용 의도(+0.85점), 전반적 만족도(+0.75점), 인지부하(−0.65점), 결과 신뢰도·품질(+0.77점)이다. 반면 사용 용이성 차이는 +0.18점으로 상대적으로 작다.</w:t>
      </w:r>
    </w:p>
    <w:p w:rsidR="00000000" w:rsidDel="00000000" w:rsidP="00000000" w:rsidRDefault="00000000" w:rsidRPr="00000000" w14:paraId="00000094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AI 리터러시 수준을 보면 높은 수준 집단은 모든 긍정적 지표에서 낮은 수준 집단보다 평균이 높고, 인지부하는 0.72점 낮았다. 특히 재사용 의도(+0.95점)와 지각된 유용성(+0.86점)에서 차이가 크게 나타났다.</w:t>
      </w:r>
    </w:p>
    <w:p w:rsidR="00000000" w:rsidDel="00000000" w:rsidP="00000000" w:rsidRDefault="00000000" w:rsidRPr="00000000" w14:paraId="00000095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4) 전체 평균에서는 긍정적 지표가 모두 7점 척도의 중립점인 4점보다 높고, 인지부하는 3.36점으로 중립점보다 낮다. 따라서 참가자들은 전반적으로 시스템을 긍정적으로 평가한 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5) 다만 이 표는 평균과 표준편차를 보여주는 기술통계이다. A2UI와 Baseline의 차이 또는 AI 리터러시 수준의 차이가 통계적으로 유의한지는 표 5의 이원분산분석 결과를 함께 확인해야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70087" cy="184770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087" cy="184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그림 1. UI 유형별 사후설문 7개 종속변수 평균</w:t>
        <w:br w:type="textWrapping"/>
        <w:t xml:space="preserve">주. 원문 그림을 유지하였다. 막대 높이와 오차막대의 정의는 표 3 및 그림 생성 자료와 대조해야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center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3. 사후설문 변수 간 상관관계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7개 사후설문 변수에 대해 전체 40명의 참가자 점수를 사용하였다.</w:t>
      </w:r>
    </w:p>
    <w:p w:rsidR="00000000" w:rsidDel="00000000" w:rsidP="00000000" w:rsidRDefault="00000000" w:rsidRPr="00000000" w14:paraId="0000009E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두 변수의 공분산을 각 변수의 표준편차로 나누어 Pearson 상관계수 r을 계산하였다. r이 +1에 가까울수록 함께 증가하고, −1에 가까울수록 한 변수가 증가할 때 다른 변수가 감소하는 관계가 강하다.</w:t>
      </w:r>
    </w:p>
    <w:p w:rsidR="00000000" w:rsidDel="00000000" w:rsidP="00000000" w:rsidRDefault="00000000" w:rsidRPr="00000000" w14:paraId="0000009F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각 상관계수에 대해 양측검정 p값을 계산했으며, 표에는 ** p&lt;.05, * .05≤p&lt;.10로 표시하였다.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r = Cov(X,Y) / (SDₓ × SDᵧ)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4. 사후설문 변수의 기술통계와 Pearson 상관계수</w:t>
      </w:r>
    </w:p>
    <w:tbl>
      <w:tblPr>
        <w:tblStyle w:val="Table4"/>
        <w:tblW w:w="9870.000000000002" w:type="dxa"/>
        <w:jc w:val="center"/>
        <w:tblLayout w:type="fixed"/>
        <w:tblLook w:val="040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tblGridChange w:id="0">
          <w:tblGrid>
            <w:gridCol w:w="987"/>
            <w:gridCol w:w="987"/>
            <w:gridCol w:w="987"/>
            <w:gridCol w:w="987"/>
            <w:gridCol w:w="987"/>
            <w:gridCol w:w="987"/>
            <w:gridCol w:w="987"/>
            <w:gridCol w:w="987"/>
            <w:gridCol w:w="987"/>
            <w:gridCol w:w="98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 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2. PEU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.76**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.80**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.62**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4. 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3.36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-.35**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-.50**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 TQ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.76**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.43**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.73**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6.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.83**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.64**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.79**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-.37**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.86**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7.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1.36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.72**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.60**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.71**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-.37**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.76**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.69**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N=40. PU=지각된 유용성, PEU=사용 용이성, SAT=전반적 만족도, CL=인지부하, TQ=결과 신뢰도·품질, IQ=상호작용 품질, RI=재사용 의도. ** p&lt;.05, * .05≤p&lt;.10; 양측검정, 다중비교 보정 전. 분석자료: 03번.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긍정적 사용자 경험 변수들은 서로 정적 상관을 보였다. 특히 PU–SAT(r=.80), TQ–IQ(r=.86), SAT–RI(r=.71)에서 높은 상관이 나타났다.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인지부하는 지각된 유용성, 사용 용이성, 상호작용 품질 및 재사용 의도와 유의한 음의 상관을 보였다. 전반적 만족도(r=−.17) 및 결과 신뢰도·품질(r≈−.25, p=.118)과의 상관은 통계적으로 유의하지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13" w:firstLine="0"/>
        <w:rPr/>
        <w:sectPr>
          <w:pgSz w:h="16838" w:w="11906" w:orient="portrait"/>
          <w:pgMar w:bottom="1020" w:top="1020" w:left="1020" w:right="1020" w:header="720" w:footer="720"/>
          <w:pgNumType w:start="1"/>
        </w:sectPr>
      </w:pPr>
      <w:r w:rsidDel="00000000" w:rsidR="00000000" w:rsidRPr="00000000">
        <w:rPr>
          <w:b w:val="0"/>
          <w:bCs w:val="0"/>
          <w:rtl w:val="0"/>
        </w:rPr>
        <w:t xml:space="preserve">3) 인지부하가 높을수록 일부 사용자 평가가 낮은 방향의 관련성이 관찰되었다. 다만 상관관계는 인과관계를 의미하지 않으며, 이 결과는 다중검정 보정 전의 탐색적 결과이다.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4. UI 유형 × AI 리터러시 이원분산분석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각 종속변수에 대해 UI 유형(A2UI/Baseline)과 AI 리터러시 수준(낮음/높음)을 동시에 투입한 2×2 이원분산분석을 실시하였다. TQ와 RI는 Box–Cox 변환 후 ANOVA 결과이며, 나머지 다섯 변수는 원자료 ANOVA 결과이다.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FA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네 조건의 표본 수는 각각 10명으로 동일하였다. 분석에는 UI 유형, AI 리터러시 수준 및 두 요인의 상호작용을 포함하고, Type III 제곱합을 사용하였다.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Factor는 UI 유형, AI 리터러시, UI×AI 리터러시의 세 효과이다. 각 효과는 2수준 요인에서 나온 1 자유도 효과이므로 NumDF=1이다.</w:t>
      </w:r>
    </w:p>
    <w:p w:rsidR="00000000" w:rsidDel="00000000" w:rsidP="00000000" w:rsidRDefault="00000000" w:rsidRPr="00000000" w14:paraId="000000FC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오차 자유도는 N=40에서 절편, UI, AI 리터러시, 상호작용의 4개 모수를 제외하여 DenDF=40−4=36이다. 따라서 모든 효과는 F(1,36)으로 검정하였다.</w:t>
      </w:r>
    </w:p>
    <w:p w:rsidR="00000000" w:rsidDel="00000000" w:rsidP="00000000" w:rsidRDefault="00000000" w:rsidRPr="00000000" w14:paraId="000000F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rtl w:val="0"/>
        </w:rPr>
        <w:t xml:space="preserve">각 효과의 평균제곱을 오차 평균제곱으로 나누어 F값을 구하고, F(1,36) 분포에서 p값을 계산하였다.</w:t>
      </w:r>
    </w:p>
    <w:p w:rsidR="00000000" w:rsidDel="00000000" w:rsidP="00000000" w:rsidRDefault="00000000" w:rsidRPr="00000000" w14:paraId="000000FE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Y = β₀ + β₁(UI) + β₂(AI 리터러시) + β₃(UI×AI 리터러시) + ε    /    F = MS효과 / MS오차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계산 예시. 표 5의 PU에 대한 AI 리터러시 주효과는 F(1, 36)=5.325이다. 이 F값을 F분포에 대입하면 p≈.02688로, 소수 셋째 자리에서 p=.027로 표시된다. F값은 효과 평균제곱을 오차 평균제곱으로 나눈 값이다.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5. UI 유형과 AI 리터러시 수준에 따른 사후설문 이원분산분석(Type III)</w:t>
      </w:r>
    </w:p>
    <w:tbl>
      <w:tblPr>
        <w:tblStyle w:val="Table5"/>
        <w:tblW w:w="14640.0" w:type="dxa"/>
        <w:jc w:val="center"/>
        <w:tblLayout w:type="fixed"/>
        <w:tblLook w:val="0400"/>
      </w:tblPr>
      <w:tblGrid>
        <w:gridCol w:w="1995"/>
        <w:gridCol w:w="930"/>
        <w:gridCol w:w="825"/>
        <w:gridCol w:w="930"/>
        <w:gridCol w:w="765"/>
        <w:gridCol w:w="780"/>
        <w:gridCol w:w="765"/>
        <w:gridCol w:w="780"/>
        <w:gridCol w:w="750"/>
        <w:gridCol w:w="780"/>
        <w:gridCol w:w="750"/>
        <w:gridCol w:w="780"/>
        <w:gridCol w:w="750"/>
        <w:gridCol w:w="780"/>
        <w:gridCol w:w="750"/>
        <w:gridCol w:w="780"/>
        <w:gridCol w:w="750"/>
        <w:tblGridChange w:id="0">
          <w:tblGrid>
            <w:gridCol w:w="1995"/>
            <w:gridCol w:w="930"/>
            <w:gridCol w:w="825"/>
            <w:gridCol w:w="930"/>
            <w:gridCol w:w="765"/>
            <w:gridCol w:w="780"/>
            <w:gridCol w:w="765"/>
            <w:gridCol w:w="780"/>
            <w:gridCol w:w="750"/>
            <w:gridCol w:w="780"/>
            <w:gridCol w:w="750"/>
            <w:gridCol w:w="780"/>
            <w:gridCol w:w="750"/>
            <w:gridCol w:w="780"/>
            <w:gridCol w:w="750"/>
            <w:gridCol w:w="780"/>
            <w:gridCol w:w="75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NumDF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DenDF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>
                <w:b w:val="1"/>
                <w:bCs w:val="1"/>
              </w:rPr>
            </w:pPr>
            <w:sdt>
              <w:sdtPr>
                <w:id w:val="37243453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5"/>
                    <w:szCs w:val="15"/>
                    <w:rtl w:val="0"/>
                  </w:rPr>
                  <w:t xml:space="preserve">UI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1.880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4.122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06666"/>
                <w:sz w:val="15"/>
                <w:szCs w:val="15"/>
                <w:rtl w:val="0"/>
              </w:rPr>
              <w:t xml:space="preserve">0.049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e06666"/>
                <w:sz w:val="15"/>
                <w:szCs w:val="15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2.141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6.771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e06666"/>
                <w:sz w:val="15"/>
                <w:szCs w:val="15"/>
                <w:rtl w:val="0"/>
              </w:rPr>
              <w:t xml:space="preserve">.013**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2.100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3.664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>
                <w:color w:val="3c78d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3c78d8"/>
                <w:sz w:val="15"/>
                <w:szCs w:val="15"/>
                <w:rtl w:val="0"/>
              </w:rPr>
              <w:t xml:space="preserve">.064*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>
                <w:b w:val="1"/>
                <w:bCs w:val="1"/>
              </w:rPr>
            </w:pPr>
            <w:sdt>
              <w:sdtPr>
                <w:id w:val="200792921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5"/>
                    <w:szCs w:val="15"/>
                    <w:rtl w:val="0"/>
                  </w:rPr>
                  <w:t xml:space="preserve">AI 리터러시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5.325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06666"/>
                <w:sz w:val="15"/>
                <w:szCs w:val="15"/>
                <w:rtl w:val="0"/>
              </w:rPr>
              <w:t xml:space="preserve">.027**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4.497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e06666"/>
                <w:sz w:val="15"/>
                <w:szCs w:val="15"/>
                <w:rtl w:val="0"/>
              </w:rPr>
              <w:t xml:space="preserve">.041**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2.603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6.589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06666"/>
                <w:sz w:val="15"/>
                <w:szCs w:val="15"/>
                <w:rtl w:val="0"/>
              </w:rPr>
              <w:t xml:space="preserve">.015**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5.546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06666"/>
                <w:sz w:val="15"/>
                <w:szCs w:val="15"/>
                <w:rtl w:val="0"/>
              </w:rPr>
              <w:t xml:space="preserve">.024**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5.602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06666"/>
                <w:sz w:val="15"/>
                <w:szCs w:val="15"/>
                <w:rtl w:val="0"/>
              </w:rPr>
              <w:t xml:space="preserve">.023**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>
                <w:b w:val="1"/>
                <w:bCs w:val="1"/>
              </w:rPr>
            </w:pPr>
            <w:sdt>
              <w:sdtPr>
                <w:id w:val="-6812459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5"/>
                    <w:szCs w:val="15"/>
                    <w:rtl w:val="0"/>
                  </w:rPr>
                  <w:t xml:space="preserve">UI 유형 × AI 리터러시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3.422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>
                <w:color w:val="3c78d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3c78d8"/>
                <w:sz w:val="15"/>
                <w:szCs w:val="15"/>
                <w:rtl w:val="0"/>
              </w:rPr>
              <w:t xml:space="preserve">.073*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4.574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e06666"/>
                <w:sz w:val="15"/>
                <w:szCs w:val="15"/>
                <w:rtl w:val="0"/>
              </w:rPr>
              <w:t xml:space="preserve">.039**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30.0" w:type="dxa"/>
              <w:left w:w="35.0" w:type="dxa"/>
              <w:bottom w:w="30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.434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90287316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c62828"/>
              <w:sz w:val="17"/>
              <w:szCs w:val="17"/>
              <w:u w:val="none"/>
              <w:shd w:fill="auto" w:val="clear"/>
              <w:vertAlign w:val="baseline"/>
              <w:rtl w:val="0"/>
            </w:rPr>
            <w:t xml:space="preserve">주. N=40. NumDF=효과 자유도, DenDF=오차 자유도. 모든 효과는 F(1, 36)으로 검정하였다. PU=지각된 유용성, PEU=사용 용이성, SAT=전반적 만족도, CL=인지부하, TQ=결과 신뢰도·품질, IQ=상호작용 품질, RI=재사용 의도. ** p&lt;.05, * .05≤p&lt;.10. p값은 다중검정 보정 전 값이다. TQ와 RI는 Box–Cox 변환 후 ANOVA 결과이며, 나머지 다섯 변수는 원자료 ANOVA 결과이다.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UI 유형의 주효과는 전반적 만족도(SAT)와 결과 신뢰도·품질(TQ)에서 유의하였다. SAT는 F(1, 36)=4.122, TQ는 F(1, 36)=6.771이었다. 두 변수의 전체 평균은 A2UI가 Baseline보다 높았다. 나머지 다섯 변수의 UI 주효과는 .05 기준에서 유의하지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AI 리터러시 수준의 주효과는 지각된 유용성(F=5.325, p=.027), 전반적 만족도(F=4.497, p=.041), 결과 신뢰도·품질(F=6.589, p=.015), 상호작용 품질(F=5.546, p=.024), 재사용 의도(F=5.602, p=.023)에서 유의하였다. 해당 변수의 전체 평균은 높은 수준 집단에서 더 높았다.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UI 유형×AI 리터러시 수준 상호작용은 인지부하에서 유의하였다(F=4.574, p=.039). 따라서 인지부하는 네 조건의 평균과 단순효과를 함께 검토해야 한다. 현재의 주변평균만으로 어느 AI 리터러시 집단에서 UI 차이가 나타났는지 판단할 수 없다. 나머지 6개 변수의 상호작용은 유의하지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4) 위 유의성 판단은 다중검정 보정 전 결과이다. 효과크기 및 신뢰구간을 함께 검토해야 하며, 비유의한 결과가 두 조건의 동등성을 입증하는 것은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113" w:firstLine="0"/>
        <w:rPr/>
        <w:sectPr>
          <w:type w:val="nextPage"/>
          <w:pgSz w:h="11906" w:w="16838" w:orient="landscape"/>
          <w:pgMar w:bottom="850" w:top="850" w:left="737" w:right="737" w:header="720" w:footer="720"/>
        </w:sectPr>
      </w:pPr>
      <w:r w:rsidDel="00000000" w:rsidR="00000000" w:rsidRPr="00000000">
        <w:rPr>
          <w:b w:val="0"/>
          <w:bCs w:val="0"/>
          <w:rtl w:val="0"/>
        </w:rPr>
        <w:t xml:space="preserve">5) 이 문서에는 잔차 정규성 및 등분산성 검정 결과가 제시되어 있지 않다. 최종 보고 전 분석 출력에서 가정 검증 결과와 모형 설정을 확인하고, 필요한 경우 근거에 따라 강건성 분석을 별도로 보고해야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5. 행동 로그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5.1 참가자별 두 과제 합산 수행시간과 프롬프트 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참가자마다 Task 1과 Task 2의 로그 기반 수행시간을 각각 산출한 뒤 합산하였다. 각 과제의 시간 범위는 스레드의 첫 요청부터 마지막 로그 시각까지이며, 스레드 사이 휴지시간은 제외하였다. 이 값은 로그에 기록된 수행 구간의 길이로 해석하며, 정답 도달까지의 완료시간과 일치하는지는 별도 확인이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프롬프트 수는 두 과제의 사용자 요청 수를 합산하였다. A2UI의 계획 생성과 실행 확인(plan→confirm)은 한 번의 요청으로 집계하였으며, 확인 동작에 해당하는 confirmed_execution은 별도 프롬프트로 세지 않았다. 따라서 프롬프트 수는 전체 클릭 수나 전체 상호작용 횟수를 의미하지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합산된 참가자 단위 값을 UI 유형과 AI 리터러시 수준으로 각각 묶어 평균과 표준편차를 계산하였다.</w:t>
      </w:r>
    </w:p>
    <w:p w:rsidR="00000000" w:rsidDel="00000000" w:rsidP="00000000" w:rsidRDefault="00000000" w:rsidRPr="00000000" w14:paraId="00000164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참가자 총 수행시간 = T1 수행시간 + T2 수행시간    /    참가자 총 프롬프트 수 = T1 + T2 사용자 프롬프트 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6. 참가자별 두 과제 합산 수행시간과 프롬프트 수</w:t>
      </w:r>
    </w:p>
    <w:tbl>
      <w:tblPr>
        <w:tblStyle w:val="Table6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집단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수행시간(분) M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프롬프트 수(회) M (SD)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A2UI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11.21 (7.19)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8.35 (3.39)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11.46 (9.53)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9.10 (3.06)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AI 리터러시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13.04 (9.10)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9.30 (3.18)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AI 리터러시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9.63 (7.32)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8.15 (3.22)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동일 참가자의 Task 1과 Task 2를 합산한 값이다. A2UI confirmed_execution은 프롬프트 수에서 제외하였다. 분석자료: 05번.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UI 기준으로 수행시간은 A2UI 11.21분, Baseline 11.46분으로 거의 비슷했다. 프롬프트 수는 A2UI 8.35회, Baseline 9.10회로 A2UI가 평균 0.75회 적었다.</w:t>
      </w:r>
    </w:p>
    <w:p w:rsidR="00000000" w:rsidDel="00000000" w:rsidP="00000000" w:rsidRDefault="00000000" w:rsidRPr="00000000" w14:paraId="0000017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AI 리터러시가 높은 집단은 낮은 집단보다 수행시간이 9.63분 vs 13.04분으로 짧고, 프롬프트 수도 8.15회 vs 9.30회로 적었다.</w:t>
      </w:r>
    </w:p>
    <w:p w:rsidR="00000000" w:rsidDel="00000000" w:rsidP="00000000" w:rsidRDefault="00000000" w:rsidRPr="00000000" w14:paraId="0000017E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그러나 이 표는 기술통계이다. UI나 AI 리터러시 수준 차이가 통계적으로 유의한지는 표 8의 3요인 F 검정 결과를 함께 확인해야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5.2 UI 유형별 프롬프트 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각 참가자에 대해 Task 1과 Task 2에서 실제 사용자가 입력한 프롬프트 수를 합산하였다.</w:t>
      </w:r>
    </w:p>
    <w:p w:rsidR="00000000" w:rsidDel="00000000" w:rsidP="00000000" w:rsidRDefault="00000000" w:rsidRPr="00000000" w14:paraId="00000182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A2UI의 confirmed_execution 및 기존 로그 정제 기준에 따라 제외된 행은 프롬프트 수에 포함하지 않았다. 재현 가능한 보고를 위해 제외 사유별 기준과 제외 건수를 분석 기록에 명시해야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UI 유형별로 평균, 표준편차, 중앙값, 최솟값, 최댓값을 계산하여 분포의 중심과 범위를 함께 확인하였다.</w:t>
      </w:r>
    </w:p>
    <w:p w:rsidR="00000000" w:rsidDel="00000000" w:rsidP="00000000" w:rsidRDefault="00000000" w:rsidRPr="00000000" w14:paraId="00000184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평균 = Σ프롬프트 수 / n    /    중앙값 = 정렬했을 때 가운데 위치한 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7. UI 유형별 프롬프트 수 기술통계 (전체, N = 40)</w:t>
      </w:r>
    </w:p>
    <w:tbl>
      <w:tblPr>
        <w:tblStyle w:val="Table7"/>
        <w:tblW w:w="9863.0" w:type="dxa"/>
        <w:jc w:val="center"/>
        <w:tblLayout w:type="fixed"/>
        <w:tblLook w:val="0400"/>
      </w:tblPr>
      <w:tblGrid>
        <w:gridCol w:w="1409"/>
        <w:gridCol w:w="1409"/>
        <w:gridCol w:w="1409"/>
        <w:gridCol w:w="1409"/>
        <w:gridCol w:w="1409"/>
        <w:gridCol w:w="1409"/>
        <w:gridCol w:w="1409"/>
        <w:tblGridChange w:id="0">
          <w:tblGrid>
            <w:gridCol w:w="1409"/>
            <w:gridCol w:w="1409"/>
            <w:gridCol w:w="1409"/>
            <w:gridCol w:w="1409"/>
            <w:gridCol w:w="1409"/>
            <w:gridCol w:w="1409"/>
            <w:gridCol w:w="14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UI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A2UI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8.35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3.06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참가자별 두 과제 프롬프트 수를 합산하였다. 분석자료: 05번 3-1.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A2UI의 평균(8.35)과 중앙값(7.5)은 Baseline의 평균(9.10)과 중앙값(9.5)보다 낮아, A2UI가 더 적은 프롬프트로 진행된 방향은 확인된다.</w:t>
      </w:r>
    </w:p>
    <w:p w:rsidR="00000000" w:rsidDel="00000000" w:rsidP="00000000" w:rsidRDefault="00000000" w:rsidRPr="00000000" w14:paraId="0000019E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두 집단의 최솟값과 최댓값으로 나타낸 범위가 겹쳤다. 집단 평균만으로 UI에 따른 차이를 확정할 수 없으며, 추론통계 결과를 함께 확인해야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표 8의 프롬프트 수에 대한 UI 주효과는 F(1, 39)=0.254, p=.617로 유의하지 않았다. 따라서 “A2UI가 프롬프트 수를 유의하게 줄였다”라고 결론내리지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406738" cy="329069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738" cy="3290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그림 2. UI 조건별 프롬프트 수 분포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center"/>
        <w:rPr/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참가자별 두 과제 프롬프트 수 합산 분포이다. 점은 개별 참가자 값을 나타내며 A2UI confirmed_execution은 제외하였다. 분석자료: 05번.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5.3 행동지표에 대한 3요인 F 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40명이 각각 두 과제를 수행했으므로 총 80개의 과제 수준 관측값을 사용하였다. 같은 참가자에게서 나온 두 관측값은 서로 독립이 아니므로 참가자 ID로 군집화한 강건 표준오차를 적용하였다.</w:t>
      </w:r>
    </w:p>
    <w:p w:rsidR="00000000" w:rsidDel="00000000" w:rsidP="00000000" w:rsidRDefault="00000000" w:rsidRPr="00000000" w14:paraId="000001A6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모형에는 UI, AI 리터러시 수준, Task와 이들의 모든 2원 및 3원 상호작용을 포함하였다. 과제 순서는 모형에서 제외하였다.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각 효과는 소표본 보정을 적용한 F 검정으로 평가하였다. 각 효과의 분자 자유도는 1, 분모 자유도는 39이며 p&lt;.05를 유의성 기준으로 보았다.</w:t>
      </w:r>
    </w:p>
    <w:p w:rsidR="00000000" w:rsidDel="00000000" w:rsidP="00000000" w:rsidRDefault="00000000" w:rsidRPr="00000000" w14:paraId="000001A8">
      <w:pPr>
        <w:ind w:left="397" w:firstLine="0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분석식: 프롬프트 수(또는 수행시간) ~ UI × AI 리터러시 수준 ×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8. 행동지표에 대한 3요인 F 검정 결과</w:t>
      </w:r>
    </w:p>
    <w:tbl>
      <w:tblPr>
        <w:tblStyle w:val="Table8"/>
        <w:tblW w:w="9870.0" w:type="dxa"/>
        <w:jc w:val="center"/>
        <w:tblLayout w:type="fixed"/>
        <w:tblLook w:val="0400"/>
      </w:tblPr>
      <w:tblGrid>
        <w:gridCol w:w="1770"/>
        <w:gridCol w:w="1090.0000000000002"/>
        <w:gridCol w:w="1219.9999999999998"/>
        <w:gridCol w:w="1560"/>
        <w:gridCol w:w="1410"/>
        <w:gridCol w:w="1410"/>
        <w:gridCol w:w="1410"/>
        <w:tblGridChange w:id="0">
          <w:tblGrid>
            <w:gridCol w:w="1770"/>
            <w:gridCol w:w="1090.0000000000002"/>
            <w:gridCol w:w="1219.9999999999998"/>
            <w:gridCol w:w="1560"/>
            <w:gridCol w:w="1410"/>
            <w:gridCol w:w="1410"/>
            <w:gridCol w:w="141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NumDF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DenDF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7f7f7f" w:space="0" w:sz="5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수행시간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7f7f7f" w:space="0" w:sz="5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프롬프트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.617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AI 리터러시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2.128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.338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32.246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19.361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&lt;.001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UI × AI 리터러시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UI ×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1.986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AI 리터러시 수준 ×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0.627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UI × AI 리터러시 수준 ×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1.416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2.238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0"/>
                <w:bCs w:val="0"/>
                <w:sz w:val="17"/>
                <w:szCs w:val="17"/>
                <w:rtl w:val="0"/>
              </w:rPr>
              <w:t xml:space="preserve">.143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sz w:val="15"/>
          <w:szCs w:val="15"/>
          <w:rtl w:val="0"/>
        </w:rPr>
        <w:t xml:space="preserve">주. 40명×2개 과제의 반복측정 자료. 참가자 ID로 군집화한 강건 표준오차와 소표본 보정 F 검정을 사용하였다. NumDF=효과 자유도, DenDF=분모 자유도. 모든 효과는 F(1, 39)로 검정하였다. 과제 순서는 모형에서 제외하였다. p값은 다중검정 보정 전. 분석자료: 05번.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가장 분명한 결과는 Task의 주효과이다. 수행시간은 F(1, 39)=32.246, p&lt;.001, 프롬프트 수는 F(1, 39)=19.361, p&lt;.001로 두 지표 모두 유의했다.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2) UI 주효과는 수행시간 p=.852, 프롬프트 수 p=.617로 유의하지 않았다. 즉 행동 효율성 측면에서 A2UI가 Baseline보다 확실히 빠르거나 프롬프트가 적다고 입증되지는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3) AI 리터러시 수준 주효과도 수행시간 p=.153, 프롬프트 수 p=.338로 유의하지 않았고, UI×AI 리터러시 수준, UI×Task, AI 리터러시 수준×Task 상호작용도 모두 .05 기준에서 유의하지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4) UI×AI 리터러시 수준×Task의 3원 상호작용은 수행시간 p=.241, 프롬프트 수 p=.143으로 유의하지 않았다. 따라서 과제에 따른 차이가 UI와 AI 리터러시 수준의 조합에 따라 달라진다는 통계적 근거는 확인되지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1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1"/>
        <w:rPr/>
      </w:pPr>
      <w:r w:rsidDel="00000000" w:rsidR="00000000" w:rsidRPr="00000000">
        <w:rPr>
          <w:color w:val="000000"/>
          <w:rtl w:val="0"/>
        </w:rPr>
        <w:t xml:space="preserve">5.4 UI 유형별 두 과제 최종 완료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b9bd5" w:space="1" w:sz="6" w:val="single"/>
          <w:right w:space="0" w:sz="0" w:val="nil"/>
          <w:between w:space="0" w:sz="0" w:val="nil"/>
        </w:pBdr>
        <w:shd w:fill="edf3f9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f5597"/>
          <w:sz w:val="19"/>
          <w:szCs w:val="19"/>
          <w:u w:val="none"/>
          <w:shd w:fill="auto" w:val="clear"/>
          <w:vertAlign w:val="baseline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각 참가자가 Task 1과 Task 2를 모두 최종 완료했는지를 이분형으로 분류하였다.</w:t>
      </w:r>
    </w:p>
    <w:p w:rsidR="00000000" w:rsidDel="00000000" w:rsidP="00000000" w:rsidRDefault="00000000" w:rsidRPr="00000000" w14:paraId="000001F3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UI별 완료 인원과 미완료 인원을 세고, 각 UI의 20명을 분모로 완료율과 미완료율을 계산하였다.</w:t>
      </w:r>
    </w:p>
    <w:p w:rsidR="00000000" w:rsidDel="00000000" w:rsidP="00000000" w:rsidRDefault="00000000" w:rsidRPr="00000000" w14:paraId="000001F4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A2UI와 Baseline의 완료 여부가 서로 다른지 2×2 분할표에 Fisher 정확검정을 적용하였다.</w:t>
      </w:r>
    </w:p>
    <w:p w:rsidR="00000000" w:rsidDel="00000000" w:rsidP="00000000" w:rsidRDefault="00000000" w:rsidRPr="00000000" w14:paraId="000001F5">
      <w:pPr>
        <w:ind w:left="397" w:firstLine="0"/>
        <w:rPr/>
      </w:pPr>
      <w:r w:rsidDel="00000000" w:rsidR="00000000" w:rsidRPr="00000000">
        <w:rPr>
          <w:rFonts w:ascii="Noto Serif CJK KR" w:cs="Noto Serif CJK KR" w:eastAsia="Noto Serif CJK KR" w:hAnsi="Noto Serif CJK KR"/>
          <w:i w:val="1"/>
          <w:iCs w:val="1"/>
          <w:rtl w:val="0"/>
        </w:rPr>
        <w:t xml:space="preserve">완료율(%) = 두 과제 모두 완료한 인원 / 해당 UI 전체 인원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표 9. UI 유형별 두 과제 최종 완료 여부</w:t>
      </w:r>
    </w:p>
    <w:tbl>
      <w:tblPr>
        <w:tblStyle w:val="Table9"/>
        <w:tblW w:w="9864.0" w:type="dxa"/>
        <w:jc w:val="center"/>
        <w:tblLayout w:type="fixed"/>
        <w:tblLook w:val="0400"/>
      </w:tblPr>
      <w:tblGrid>
        <w:gridCol w:w="2466"/>
        <w:gridCol w:w="2466"/>
        <w:gridCol w:w="2466"/>
        <w:gridCol w:w="2466"/>
        <w:tblGridChange w:id="0">
          <w:tblGrid>
            <w:gridCol w:w="2466"/>
            <w:gridCol w:w="2466"/>
            <w:gridCol w:w="2466"/>
            <w:gridCol w:w="24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rtl w:val="0"/>
              </w:rPr>
              <w:t xml:space="preserve">UI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rtl w:val="0"/>
              </w:rPr>
              <w:t xml:space="preserve">두 과제 모두 완료 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b w:val="1"/>
                <w:bCs w:val="1"/>
                <w:color w:val="000000"/>
                <w:rtl w:val="0"/>
              </w:rPr>
              <w:t xml:space="preserve">한 과제 이상 미완료 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A2UI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16 (80.0)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4 (20.0)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17 (85.0)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3 (15.0)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33 (82.5)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erif CJK KR" w:cs="Noto Serif CJK KR" w:eastAsia="Noto Serif CJK KR" w:hAnsi="Noto Serif CJK KR"/>
                <w:color w:val="000000"/>
                <w:rtl w:val="0"/>
              </w:rPr>
              <w:t xml:space="preserve">7 (17.5)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76" w:lineRule="auto"/>
        <w:ind w:left="0" w:right="0" w:firstLine="0"/>
        <w:jc w:val="left"/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CJK KR" w:cs="Noto Serif CJK KR" w:eastAsia="Noto Serif CJK KR" w:hAnsi="Noto Serif CJK K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주. 30분 제한을 적용하지 않은 최종 재분류 기준이며 시스템 오류 및 후속 완료 사례 재분류가 반영되었다. Fisher 정확검정 p=1.000. 분석자료: 05번.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70ad47" w:space="1" w:sz="6" w:val="single"/>
          <w:right w:space="0" w:sz="0" w:val="nil"/>
          <w:between w:space="0" w:sz="0" w:val="nil"/>
        </w:pBdr>
        <w:shd w:fill="f1f6ec" w:val="clear"/>
        <w:spacing w:after="40" w:before="8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85723"/>
          <w:sz w:val="19"/>
          <w:szCs w:val="19"/>
          <w:u w:val="none"/>
          <w:shd w:fill="auto" w:val="clear"/>
          <w:vertAlign w:val="baseline"/>
          <w:rtl w:val="0"/>
        </w:rPr>
        <w:t xml:space="preserve">표를 통해 알 수 있는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1) 최종 완료율은 A2UI 80.0%, Baseline 85.0%로, Baseline이 5%p 높았다. 완료 인원은 각각 16명과 17명으로 1명 차이였다.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Fisher 정확검정 p=1.000이므로 현재 자료에서 UI 유형에 따른 완료율 차이는 통계적으로 확인되지 않았다.</w:t>
      </w:r>
    </w:p>
    <w:p w:rsidR="00000000" w:rsidDel="00000000" w:rsidP="00000000" w:rsidRDefault="00000000" w:rsidRPr="00000000" w14:paraId="0000020B">
      <w:pPr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따라서 “A2UI가 성공률을 향상시켰다” 또는 “Baseline이 더 우수했다”고 결론내리기보다, 두 UI의 완료율 차이가 확인되지 않았다고 보고하는 것이 맞다.</w:t>
      </w:r>
    </w:p>
    <w:p w:rsidR="00000000" w:rsidDel="00000000" w:rsidP="00000000" w:rsidRDefault="00000000" w:rsidRPr="00000000" w14:paraId="0000020C">
      <w:pPr>
        <w:ind w:left="113" w:firstLine="0"/>
        <w:rPr/>
      </w:pPr>
      <w:r w:rsidDel="00000000" w:rsidR="00000000" w:rsidRPr="00000000">
        <w:rPr>
          <w:b w:val="0"/>
          <w:bCs w:val="0"/>
          <w:rtl w:val="0"/>
        </w:rPr>
        <w:t xml:space="preserve">4) 이 완료율은 30분 제한을 적용하지 않은 최종 재분류 결과이다. 제한시간 내 완료율과 구분하여 보고하고, 완료의 판정 기준 및 시스템 오류·후속 완료 사례의 재분류 기준을 명시해야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1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1"/>
        <w:rPr/>
      </w:pPr>
      <w:r w:rsidDel="00000000" w:rsidR="00000000" w:rsidRPr="00000000">
        <w:rPr>
          <w:color w:val="000000"/>
          <w:rtl w:val="0"/>
        </w:rPr>
        <w:t xml:space="preserve">6. 종합 해석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0"/>
          <w:bCs w:val="0"/>
          <w:rtl w:val="0"/>
        </w:rPr>
        <w:t xml:space="preserve">본 연구에서 A2UI는 Baseline에 비해 긍정적 사용자 평가 변수의 평균이 높고 인지부하의 평균이 낮았다. 표 5의 다중검정 보정 전 결과에서 UI 유형의 주효과는 전반적 만족도(SAT)와 결과 신뢰도·품질(TQ)에서 유의하였다. AI 리터러시 수준의 주효과는 지각된 유용성, 전반적 만족도, 결과 신뢰도·품질, 상호작용 품질 및 재사용 의도에서 유의하였다. 인지부하에서는 UI 유형과 AI 리터러시 수준의 상호작용이 나타나 네 조건의 평균과 단순효과에 대한 추가 검토가 필요하다. 행동지표에서는 과제 유형의 주효과가 수행시간과 프롬프트 수 모두에서 유의하였으나, UI 주효과는 유의하지 않았다. 최종 완료율에서도 UI 간 차이는 통계적으로 확인되지 않았다. 이 결과는 일부 주관적 평가에서 UI와 관련된 차이가 관찰되었지만, 수행시간·프롬프트 수·최종 완료율의 개선까지 일관되게 확인된 것은 아님을 보여준다.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0"/>
          <w:bCs w:val="0"/>
          <w:rtl w:val="0"/>
        </w:rPr>
        <w:t xml:space="preserve">해석 범위. 비유의한 결과를 효과가 없다는 증거 또는 두 UI가 동등하다는 증거로 해석하지 않는다. AI 리터러시와 주관적 평가의 관련성을 인과관계로 단정하지 않으며, 한 효과의 유의성과 다른 효과의 비유의성만으로 효과크기의 우열을 판단하지 않는다. 추가 분석은 목적과 근거를 명시하고 기존 분석과 구분하여 보고한다.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/>
      </w:pPr>
      <w:r w:rsidDel="00000000" w:rsidR="00000000" w:rsidRPr="00000000">
        <w:rPr>
          <w:color w:val="646464"/>
          <w:sz w:val="15"/>
          <w:szCs w:val="15"/>
          <w:rtl w:val="0"/>
        </w:rPr>
        <w:t xml:space="preserve">자료 기준: 01 측정도구 신뢰도, 02 기술통계, 03 Pearson 상관분석, 04 이원분산분석, 05 로그분석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7. 최종 보고 전 확인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1) AI 리터러시 분류: 6.0을 기준으로 나눈 근거와 기준 선정 시점을 명시한다. 상대적 분류인지 절대적 수준 판단인지 구분하고, 연속 점수를 이분화한 데 따른 정보 손실을 한계로 설명한다.</w:t>
      </w:r>
    </w:p>
    <w:p w:rsidR="00000000" w:rsidDel="00000000" w:rsidP="00000000" w:rsidRDefault="00000000" w:rsidRPr="00000000" w14:paraId="0000021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2) 측정도구: 척도의 출처, 구성개념별 문항 배정, 역문항 처리 및 결측값 처리 기준을 확인한다. AI 리터러시 수준과 별도로 측정한 숙련도가 있다면 두 변수를 구분하여 기술한다.</w:t>
      </w:r>
    </w:p>
    <w:p w:rsidR="00000000" w:rsidDel="00000000" w:rsidP="00000000" w:rsidRDefault="00000000" w:rsidRPr="00000000" w14:paraId="0000021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3) 사후설문 분석: 표 5의 수치와 원출력을 대조한다. 효과 코딩, 잔차 정규성·등분산성, 효과크기 및 신뢰구간을 확인한다. 다중검정의 범위와 보정 또는 탐색적 해석 방침을 명시한다.</w:t>
      </w:r>
    </w:p>
    <w:p w:rsidR="00000000" w:rsidDel="00000000" w:rsidP="00000000" w:rsidRDefault="00000000" w:rsidRPr="00000000" w14:paraId="0000021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4) 인지부하 상호작용: 네 조건의 평균과 표준편차를 제시하고, 단순효과 검정 및 필요한 다중비교 보정을 통해 상호작용의 방향을 검토한다.</w:t>
      </w:r>
    </w:p>
    <w:p w:rsidR="00000000" w:rsidDel="00000000" w:rsidP="00000000" w:rsidRDefault="00000000" w:rsidRPr="00000000" w14:paraId="0000021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5) 행동 로그: 첫 요청과 마지막 로그의 이벤트 정의, 미완료 참가자의 시간 처리, 정제 제외 사유 및 건수를 명시한다. 표 8의 군집 강건 표준오차와 소표본 보정 방식은 실제 코드와 대조하고, 과제 순서 제외의 근거를 설명한다.</w:t>
      </w:r>
    </w:p>
    <w:p w:rsidR="00000000" w:rsidDel="00000000" w:rsidP="00000000" w:rsidRDefault="00000000" w:rsidRPr="00000000" w14:paraId="0000021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6) 완료 판정: 두 과제 완료의 구체적 기준, 판정 절차, 시스템 오류와 후속 수행의 처리 기준을 명시한다. 제한시간 내 완료와 제한시간을 적용하지 않은 최종 완료를 구분한다.</w:t>
      </w:r>
    </w:p>
    <w:p w:rsidR="00000000" w:rsidDel="00000000" w:rsidP="00000000" w:rsidRDefault="00000000" w:rsidRPr="00000000" w14:paraId="0000021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7) 그림 검증: 그림 1의 막대 높이와 오차막대가 표 3의 최신 수치 및 통계량과 일치하는지 그림 생성 자료에서 확인한다. 그림 2의 개별 점과 분포 요약도 표 7 및 정제된 참가자별 로그와 대조한다.</w:t>
      </w:r>
    </w:p>
    <w:sectPr>
      <w:type w:val="nextPage"/>
      <w:pgSz w:h="16838" w:w="11906" w:orient="portrait"/>
      <w:pgMar w:bottom="1020" w:top="1020" w:left="1020" w:right="10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erif CJK KR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CJK KR" w:cs="Noto Serif CJK KR" w:eastAsia="Noto Serif CJK KR" w:hAnsi="Noto Serif CJK KR"/>
        <w:sz w:val="18"/>
        <w:szCs w:val="18"/>
        <w:lang w:val="en"/>
      </w:rPr>
    </w:rPrDefault>
    <w:pPrDefault>
      <w:pPr>
        <w:spacing w:after="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ans" w:cs="Noto Sans" w:eastAsia="Noto Sans" w:hAnsi="Noto Sans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Noto Sans" w:cs="Noto Sans" w:eastAsia="Noto Sans" w:hAnsi="Noto Sans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cHeading" w:customStyle="1">
    <w:name w:val="CalcHeading"/>
    <w:pPr>
      <w:spacing w:after="40" w:before="80"/>
    </w:pPr>
    <w:rPr>
      <w:rFonts w:ascii="Noto Sans CJK KR" w:eastAsia="Noto Sans CJK KR" w:hAnsi="Noto Sans CJK KR"/>
      <w:b w:val="1"/>
      <w:color w:val="2f5597"/>
      <w:sz w:val="19"/>
    </w:rPr>
  </w:style>
  <w:style w:type="paragraph" w:styleId="InsightHeading" w:customStyle="1">
    <w:name w:val="InsightHeading"/>
    <w:pPr>
      <w:spacing w:after="40" w:before="80"/>
    </w:pPr>
    <w:rPr>
      <w:rFonts w:ascii="Noto Sans CJK KR" w:eastAsia="Noto Sans CJK KR" w:hAnsi="Noto Sans CJK KR"/>
      <w:b w:val="1"/>
      <w:color w:val="385723"/>
      <w:sz w:val="19"/>
    </w:rPr>
  </w:style>
  <w:style w:type="paragraph" w:styleId="TableCaption" w:customStyle="1">
    <w:name w:val="TableCaption"/>
    <w:pPr>
      <w:spacing w:after="60" w:before="100"/>
    </w:pPr>
    <w:rPr>
      <w:rFonts w:ascii="Noto Serif CJK KR" w:eastAsia="Noto Serif CJK KR" w:hAnsi="Noto Serif CJK KR"/>
      <w:b w:val="1"/>
      <w:sz w:val="19"/>
    </w:rPr>
  </w:style>
  <w:style w:type="paragraph" w:styleId="Note" w:customStyle="1">
    <w:name w:val="Note"/>
    <w:pPr>
      <w:spacing w:after="80" w:before="40"/>
    </w:pPr>
    <w:rPr>
      <w:rFonts w:ascii="Noto Serif CJK KR" w:eastAsia="Noto Serif CJK KR" w:hAnsi="Noto Serif CJK KR"/>
      <w:sz w:val="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j5v1o72lxkIdQpRDe1d5dn2uQ==">CgMxLjAaJQoBMBIgCh4IB0IaCg9UaW1lcyBOZXcgUm9tYW4SB0d1bmdzdWgaJQoBMRIgCh4IB0IaCg9UaW1lcyBOZXcgUm9tYW4SB0d1bmdzdWgaJQoBMhIgCh4IB0IaCg9UaW1lcyBOZXcgUm9tYW4SB0d1bmdzdWgaJQoBMxIgCh4IB0IaCg9UaW1lcyBOZXcgUm9tYW4SB0d1bmdzdWg4AHIhMTk3NFd4QXAwTGF6UGg5ZGRBUnVQcWg2d2RLOVZyeF9i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