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EDE85" w14:textId="08A070D3" w:rsidR="008C598E" w:rsidRPr="00477F90" w:rsidRDefault="003D65CB" w:rsidP="00A91EBB">
      <w:pPr>
        <w:spacing w:before="3000" w:line="400" w:lineRule="exact"/>
        <w:ind w:left="0"/>
        <w:jc w:val="center"/>
        <w:rPr>
          <w:b/>
          <w:sz w:val="52"/>
          <w:szCs w:val="52"/>
        </w:rPr>
      </w:pPr>
      <w:r>
        <w:rPr>
          <w:b/>
          <w:sz w:val="52"/>
          <w:szCs w:val="52"/>
        </w:rPr>
        <w:t xml:space="preserve">Sample </w:t>
      </w:r>
      <w:r w:rsidR="00477F90" w:rsidRPr="00477F90">
        <w:rPr>
          <w:b/>
          <w:sz w:val="52"/>
          <w:szCs w:val="52"/>
        </w:rPr>
        <w:t>NSW Department of Education</w:t>
      </w:r>
    </w:p>
    <w:p w14:paraId="35971634" w14:textId="0F1F415D" w:rsidR="00477F90" w:rsidRPr="00477F90" w:rsidRDefault="00477F90" w:rsidP="00477F90">
      <w:pPr>
        <w:spacing w:line="400" w:lineRule="exact"/>
        <w:ind w:left="0"/>
        <w:jc w:val="center"/>
        <w:rPr>
          <w:b/>
          <w:sz w:val="52"/>
          <w:szCs w:val="52"/>
        </w:rPr>
      </w:pPr>
      <w:r w:rsidRPr="00477F90">
        <w:rPr>
          <w:b/>
          <w:sz w:val="52"/>
          <w:szCs w:val="52"/>
        </w:rPr>
        <w:t>Disability Inclusion Action Plan</w:t>
      </w:r>
    </w:p>
    <w:p w14:paraId="074F7A9B" w14:textId="3D1B3F5A" w:rsidR="00477F90" w:rsidRPr="00477F90" w:rsidRDefault="00477F90" w:rsidP="00477F90">
      <w:pPr>
        <w:pStyle w:val="Heading4"/>
        <w:spacing w:before="600" w:line="400" w:lineRule="exact"/>
        <w:jc w:val="center"/>
        <w:rPr>
          <w:i w:val="0"/>
          <w:sz w:val="52"/>
          <w:szCs w:val="52"/>
        </w:rPr>
      </w:pPr>
      <w:r w:rsidRPr="00477F90">
        <w:rPr>
          <w:i w:val="0"/>
          <w:sz w:val="52"/>
          <w:szCs w:val="52"/>
        </w:rPr>
        <w:t>2016-2020</w:t>
      </w:r>
    </w:p>
    <w:p w14:paraId="5459A7BF" w14:textId="227BA96A" w:rsidR="00630916" w:rsidRDefault="007B3953" w:rsidP="00477F90">
      <w:r>
        <w:br w:type="page"/>
      </w:r>
    </w:p>
    <w:bookmarkStart w:id="0" w:name="_Toc462405348" w:displacedByCustomXml="next"/>
    <w:bookmarkStart w:id="1" w:name="_Toc461799788" w:displacedByCustomXml="next"/>
    <w:bookmarkStart w:id="2" w:name="_Toc461799214" w:displacedByCustomXml="next"/>
    <w:bookmarkStart w:id="3" w:name="_Toc461626164" w:displacedByCustomXml="next"/>
    <w:bookmarkStart w:id="4" w:name="_Toc461625072" w:displacedByCustomXml="next"/>
    <w:bookmarkStart w:id="5" w:name="_Toc459899502" w:displacedByCustomXml="next"/>
    <w:bookmarkStart w:id="6" w:name="_Toc459899319" w:displacedByCustomXml="next"/>
    <w:bookmarkStart w:id="7" w:name="_Toc459899168" w:displacedByCustomXml="next"/>
    <w:bookmarkStart w:id="8" w:name="_Toc459898523" w:displacedByCustomXml="next"/>
    <w:bookmarkStart w:id="9" w:name="_Toc459898451" w:displacedByCustomXml="next"/>
    <w:bookmarkStart w:id="10" w:name="_Toc458522477" w:displacedByCustomXml="next"/>
    <w:bookmarkStart w:id="11" w:name="_Toc445712163" w:displacedByCustomXml="next"/>
    <w:bookmarkStart w:id="12" w:name="_Toc445472448" w:displacedByCustomXml="next"/>
    <w:bookmarkStart w:id="13" w:name="_Toc362351338" w:displacedByCustomXml="next"/>
    <w:bookmarkStart w:id="14" w:name="_Toc362341618" w:displacedByCustomXml="next"/>
    <w:bookmarkStart w:id="15" w:name="_Toc361997177" w:displacedByCustomXml="next"/>
    <w:bookmarkStart w:id="16" w:name="_Toc359401129" w:displacedByCustomXml="next"/>
    <w:bookmarkStart w:id="17" w:name="_Toc359421672" w:displacedByCustomXml="next"/>
    <w:bookmarkStart w:id="18" w:name="_Toc359422595" w:displacedByCustomXml="next"/>
    <w:bookmarkStart w:id="19" w:name="_Toc359422862" w:displacedByCustomXml="next"/>
    <w:bookmarkStart w:id="20" w:name="_Toc359491245" w:displacedByCustomXml="next"/>
    <w:bookmarkStart w:id="21" w:name="_Toc361843212" w:displacedByCustomXml="next"/>
    <w:bookmarkStart w:id="22" w:name="_Toc425947423" w:displacedByCustomXml="next"/>
    <w:bookmarkStart w:id="23" w:name="_Toc426020990" w:displacedByCustomXml="next"/>
    <w:bookmarkStart w:id="24" w:name="_Toc426022939" w:displacedByCustomXml="next"/>
    <w:bookmarkStart w:id="25" w:name="_Toc445385495" w:displacedByCustomXml="next"/>
    <w:bookmarkStart w:id="26" w:name="_Toc445387046" w:displacedByCustomXml="next"/>
    <w:bookmarkStart w:id="27" w:name="_Toc445451409" w:displacedByCustomXml="next"/>
    <w:bookmarkStart w:id="28" w:name="_Toc445467770" w:displacedByCustomXml="next"/>
    <w:bookmarkStart w:id="29" w:name="_Toc445467809" w:displacedByCustomXml="next"/>
    <w:bookmarkStart w:id="30" w:name="_Toc445467820" w:displacedByCustomXml="next"/>
    <w:bookmarkStart w:id="31" w:name="_Toc445468009" w:displacedByCustomXml="next"/>
    <w:bookmarkStart w:id="32" w:name="_Toc445471367" w:displacedByCustomXml="next"/>
    <w:bookmarkStart w:id="33" w:name="_Toc451942371" w:displacedByCustomXml="next"/>
    <w:bookmarkStart w:id="34" w:name="_Toc458691145" w:displacedByCustomXml="next"/>
    <w:bookmarkStart w:id="35" w:name="_Toc458757446" w:displacedByCustomXml="next"/>
    <w:bookmarkStart w:id="36" w:name="_Toc458760996" w:displacedByCustomXml="next"/>
    <w:bookmarkStart w:id="37" w:name="_Toc458762622" w:displacedByCustomXml="next"/>
    <w:bookmarkStart w:id="38" w:name="_Toc458776086" w:displacedByCustomXml="next"/>
    <w:bookmarkStart w:id="39" w:name="_Toc459109447" w:displacedByCustomXml="next"/>
    <w:bookmarkStart w:id="40" w:name="_Toc459109580" w:displacedByCustomXml="next"/>
    <w:bookmarkStart w:id="41" w:name="_Toc460227371" w:displacedByCustomXml="next"/>
    <w:bookmarkStart w:id="42" w:name="_Toc462406899" w:displacedByCustomXml="next"/>
    <w:bookmarkStart w:id="43" w:name="_Toc465328089" w:displacedByCustomXml="next"/>
    <w:bookmarkStart w:id="44" w:name="_Toc465328361" w:displacedByCustomXml="next"/>
    <w:bookmarkStart w:id="45" w:name="_Toc465335178" w:displacedByCustomXml="next"/>
    <w:bookmarkStart w:id="46" w:name="_Toc465336435" w:displacedByCustomXml="next"/>
    <w:bookmarkStart w:id="47" w:name="_Toc465428240" w:displacedByCustomXml="next"/>
    <w:bookmarkStart w:id="48" w:name="_Toc362341870" w:displacedByCustomXml="next"/>
    <w:sdt>
      <w:sdtPr>
        <w:rPr>
          <w:rFonts w:eastAsia="Arial" w:cs="Arial"/>
          <w:b/>
          <w:bCs w:val="0"/>
          <w:color w:val="auto"/>
          <w:sz w:val="24"/>
          <w:szCs w:val="22"/>
        </w:rPr>
        <w:id w:val="-1761520205"/>
        <w:docPartObj>
          <w:docPartGallery w:val="Table of Contents"/>
          <w:docPartUnique/>
        </w:docPartObj>
      </w:sdtPr>
      <w:sdtEndPr>
        <w:rPr>
          <w:b w:val="0"/>
          <w:noProof/>
        </w:rPr>
      </w:sdtEndPr>
      <w:sdtContent>
        <w:p w14:paraId="0991014B" w14:textId="77777777" w:rsidR="00B87461" w:rsidRDefault="00630916" w:rsidP="001F13BB">
          <w:pPr>
            <w:pStyle w:val="Heading1"/>
            <w:tabs>
              <w:tab w:val="right" w:pos="8931"/>
            </w:tabs>
            <w:ind w:right="707" w:hanging="1740"/>
            <w:rPr>
              <w:noProof/>
            </w:rPr>
          </w:pPr>
          <w:r w:rsidRPr="00630916">
            <w:rPr>
              <w:sz w:val="56"/>
              <w:szCs w:val="80"/>
            </w:rPr>
            <w:t>Contents</w:t>
          </w:r>
          <w:bookmarkEnd w:id="47"/>
          <w:bookmarkEnd w:id="46"/>
          <w:bookmarkEnd w:id="45"/>
          <w:bookmarkEnd w:id="44"/>
          <w:bookmarkEnd w:id="43"/>
          <w:bookmarkEnd w:id="42"/>
          <w:bookmarkEnd w:id="41"/>
          <w:bookmarkEnd w:id="40"/>
          <w:bookmarkEnd w:id="39"/>
          <w:bookmarkEnd w:id="38"/>
          <w:bookmarkEnd w:id="37"/>
          <w:bookmarkEnd w:id="36"/>
          <w:bookmarkEnd w:id="35"/>
          <w:bookmarkEnd w:id="34"/>
          <w:bookmarkEnd w:id="33"/>
          <w:bookmarkEnd w:id="32"/>
          <w:bookmarkEnd w:id="31"/>
          <w:bookmarkEnd w:id="30"/>
          <w:bookmarkEnd w:id="29"/>
          <w:bookmarkEnd w:id="28"/>
          <w:bookmarkEnd w:id="27"/>
          <w:bookmarkEnd w:id="26"/>
          <w:bookmarkEnd w:id="25"/>
          <w:bookmarkEnd w:id="24"/>
          <w:bookmarkEnd w:id="23"/>
          <w:bookmarkEnd w:id="22"/>
          <w:bookmarkEnd w:id="21"/>
          <w:bookmarkEnd w:id="20"/>
          <w:bookmarkEnd w:id="19"/>
          <w:bookmarkEnd w:id="18"/>
          <w:bookmarkEnd w:id="17"/>
          <w:bookmarkEnd w:id="16"/>
          <w:bookmarkEnd w:id="15"/>
          <w:bookmarkEnd w:id="14"/>
          <w:bookmarkEnd w:id="13"/>
          <w:bookmarkEnd w:id="12"/>
          <w:bookmarkEnd w:id="11"/>
          <w:bookmarkEnd w:id="10"/>
          <w:bookmarkEnd w:id="9"/>
          <w:bookmarkEnd w:id="8"/>
          <w:bookmarkEnd w:id="7"/>
          <w:bookmarkEnd w:id="6"/>
          <w:bookmarkEnd w:id="5"/>
          <w:bookmarkEnd w:id="4"/>
          <w:bookmarkEnd w:id="3"/>
          <w:bookmarkEnd w:id="2"/>
          <w:bookmarkEnd w:id="1"/>
          <w:bookmarkEnd w:id="0"/>
          <w:r w:rsidRPr="00630916">
            <w:rPr>
              <w:noProof/>
              <w:color w:val="00505B"/>
              <w:sz w:val="24"/>
              <w:lang w:val="en-US"/>
            </w:rPr>
            <w:fldChar w:fldCharType="begin"/>
          </w:r>
          <w:r w:rsidRPr="00630916">
            <w:rPr>
              <w:noProof/>
              <w:lang w:val="en-US"/>
            </w:rPr>
            <w:instrText xml:space="preserve"> TOC \o "1-3" \h \z \u </w:instrText>
          </w:r>
          <w:r w:rsidRPr="00630916">
            <w:rPr>
              <w:noProof/>
              <w:color w:val="00505B"/>
              <w:sz w:val="24"/>
              <w:lang w:val="en-US"/>
            </w:rPr>
            <w:fldChar w:fldCharType="separate"/>
          </w:r>
        </w:p>
        <w:p w14:paraId="4F598C28" w14:textId="77777777" w:rsidR="00B87461" w:rsidRDefault="003D65CB" w:rsidP="00B87461">
          <w:pPr>
            <w:pStyle w:val="TOC1"/>
            <w:tabs>
              <w:tab w:val="clear" w:pos="9214"/>
              <w:tab w:val="right" w:pos="8931"/>
            </w:tabs>
            <w:rPr>
              <w:rFonts w:asciiTheme="minorHAnsi" w:eastAsiaTheme="minorEastAsia" w:hAnsiTheme="minorHAnsi" w:cstheme="minorBidi"/>
              <w:noProof/>
              <w:spacing w:val="0"/>
              <w:sz w:val="22"/>
            </w:rPr>
          </w:pPr>
          <w:hyperlink w:anchor="_Toc465428241" w:history="1">
            <w:r w:rsidR="00B87461" w:rsidRPr="00416139">
              <w:rPr>
                <w:rStyle w:val="Hyperlink"/>
                <w:noProof/>
              </w:rPr>
              <w:t>1.</w:t>
            </w:r>
            <w:r w:rsidR="00B87461">
              <w:rPr>
                <w:rFonts w:asciiTheme="minorHAnsi" w:eastAsiaTheme="minorEastAsia" w:hAnsiTheme="minorHAnsi" w:cstheme="minorBidi"/>
                <w:noProof/>
                <w:spacing w:val="0"/>
                <w:sz w:val="22"/>
              </w:rPr>
              <w:tab/>
            </w:r>
            <w:r w:rsidR="00B87461" w:rsidRPr="00416139">
              <w:rPr>
                <w:rStyle w:val="Hyperlink"/>
                <w:noProof/>
              </w:rPr>
              <w:t>Introduction</w:t>
            </w:r>
            <w:r w:rsidR="00B87461">
              <w:rPr>
                <w:noProof/>
                <w:webHidden/>
              </w:rPr>
              <w:tab/>
            </w:r>
            <w:r w:rsidR="00B87461">
              <w:rPr>
                <w:noProof/>
                <w:webHidden/>
              </w:rPr>
              <w:fldChar w:fldCharType="begin"/>
            </w:r>
            <w:r w:rsidR="00B87461">
              <w:rPr>
                <w:noProof/>
                <w:webHidden/>
              </w:rPr>
              <w:instrText xml:space="preserve"> PAGEREF _Toc465428241 \h </w:instrText>
            </w:r>
            <w:r w:rsidR="00B87461">
              <w:rPr>
                <w:noProof/>
                <w:webHidden/>
              </w:rPr>
            </w:r>
            <w:r w:rsidR="00B87461">
              <w:rPr>
                <w:noProof/>
                <w:webHidden/>
              </w:rPr>
              <w:fldChar w:fldCharType="separate"/>
            </w:r>
            <w:r w:rsidR="00A7023F">
              <w:rPr>
                <w:noProof/>
                <w:webHidden/>
              </w:rPr>
              <w:t>3</w:t>
            </w:r>
            <w:r w:rsidR="00B87461">
              <w:rPr>
                <w:noProof/>
                <w:webHidden/>
              </w:rPr>
              <w:fldChar w:fldCharType="end"/>
            </w:r>
          </w:hyperlink>
        </w:p>
        <w:p w14:paraId="3962AF20" w14:textId="77777777" w:rsidR="00B87461" w:rsidRDefault="003D65CB" w:rsidP="00B87461">
          <w:pPr>
            <w:pStyle w:val="TOC1"/>
            <w:tabs>
              <w:tab w:val="clear" w:pos="9214"/>
              <w:tab w:val="right" w:pos="8931"/>
            </w:tabs>
            <w:rPr>
              <w:rFonts w:asciiTheme="minorHAnsi" w:eastAsiaTheme="minorEastAsia" w:hAnsiTheme="minorHAnsi" w:cstheme="minorBidi"/>
              <w:noProof/>
              <w:spacing w:val="0"/>
              <w:sz w:val="22"/>
            </w:rPr>
          </w:pPr>
          <w:hyperlink w:anchor="_Toc465428242" w:history="1">
            <w:r w:rsidR="00B87461" w:rsidRPr="00416139">
              <w:rPr>
                <w:rStyle w:val="Hyperlink"/>
                <w:noProof/>
              </w:rPr>
              <w:t>2.</w:t>
            </w:r>
            <w:r w:rsidR="00B87461">
              <w:rPr>
                <w:rFonts w:asciiTheme="minorHAnsi" w:eastAsiaTheme="minorEastAsia" w:hAnsiTheme="minorHAnsi" w:cstheme="minorBidi"/>
                <w:noProof/>
                <w:spacing w:val="0"/>
                <w:sz w:val="22"/>
              </w:rPr>
              <w:tab/>
            </w:r>
            <w:r w:rsidR="00B87461" w:rsidRPr="00416139">
              <w:rPr>
                <w:rStyle w:val="Hyperlink"/>
                <w:noProof/>
              </w:rPr>
              <w:t>The NSW Department of Education</w:t>
            </w:r>
            <w:r w:rsidR="00B87461">
              <w:rPr>
                <w:noProof/>
                <w:webHidden/>
              </w:rPr>
              <w:tab/>
            </w:r>
            <w:r w:rsidR="00B87461">
              <w:rPr>
                <w:noProof/>
                <w:webHidden/>
              </w:rPr>
              <w:fldChar w:fldCharType="begin"/>
            </w:r>
            <w:r w:rsidR="00B87461">
              <w:rPr>
                <w:noProof/>
                <w:webHidden/>
              </w:rPr>
              <w:instrText xml:space="preserve"> PAGEREF _Toc465428242 \h </w:instrText>
            </w:r>
            <w:r w:rsidR="00B87461">
              <w:rPr>
                <w:noProof/>
                <w:webHidden/>
              </w:rPr>
            </w:r>
            <w:r w:rsidR="00B87461">
              <w:rPr>
                <w:noProof/>
                <w:webHidden/>
              </w:rPr>
              <w:fldChar w:fldCharType="separate"/>
            </w:r>
            <w:r w:rsidR="00A7023F">
              <w:rPr>
                <w:noProof/>
                <w:webHidden/>
              </w:rPr>
              <w:t>5</w:t>
            </w:r>
            <w:r w:rsidR="00B87461">
              <w:rPr>
                <w:noProof/>
                <w:webHidden/>
              </w:rPr>
              <w:fldChar w:fldCharType="end"/>
            </w:r>
          </w:hyperlink>
        </w:p>
        <w:p w14:paraId="19E53B3D" w14:textId="77777777" w:rsidR="00B87461" w:rsidRDefault="003D65CB" w:rsidP="00B87461">
          <w:pPr>
            <w:pStyle w:val="TOC1"/>
            <w:tabs>
              <w:tab w:val="clear" w:pos="9214"/>
              <w:tab w:val="right" w:pos="8931"/>
            </w:tabs>
            <w:rPr>
              <w:rFonts w:asciiTheme="minorHAnsi" w:eastAsiaTheme="minorEastAsia" w:hAnsiTheme="minorHAnsi" w:cstheme="minorBidi"/>
              <w:noProof/>
              <w:spacing w:val="0"/>
              <w:sz w:val="22"/>
            </w:rPr>
          </w:pPr>
          <w:hyperlink w:anchor="_Toc465428243" w:history="1">
            <w:r w:rsidR="00B87461" w:rsidRPr="00416139">
              <w:rPr>
                <w:rStyle w:val="Hyperlink"/>
                <w:noProof/>
              </w:rPr>
              <w:t>3.</w:t>
            </w:r>
            <w:r w:rsidR="00B87461">
              <w:rPr>
                <w:rFonts w:asciiTheme="minorHAnsi" w:eastAsiaTheme="minorEastAsia" w:hAnsiTheme="minorHAnsi" w:cstheme="minorBidi"/>
                <w:noProof/>
                <w:spacing w:val="0"/>
                <w:sz w:val="22"/>
              </w:rPr>
              <w:tab/>
            </w:r>
            <w:r w:rsidR="00B87461" w:rsidRPr="00416139">
              <w:rPr>
                <w:rStyle w:val="Hyperlink"/>
                <w:noProof/>
              </w:rPr>
              <w:t>Legislative and policy context</w:t>
            </w:r>
            <w:r w:rsidR="00B87461">
              <w:rPr>
                <w:noProof/>
                <w:webHidden/>
              </w:rPr>
              <w:tab/>
            </w:r>
            <w:r w:rsidR="00B87461">
              <w:rPr>
                <w:noProof/>
                <w:webHidden/>
              </w:rPr>
              <w:fldChar w:fldCharType="begin"/>
            </w:r>
            <w:r w:rsidR="00B87461">
              <w:rPr>
                <w:noProof/>
                <w:webHidden/>
              </w:rPr>
              <w:instrText xml:space="preserve"> PAGEREF _Toc465428243 \h </w:instrText>
            </w:r>
            <w:r w:rsidR="00B87461">
              <w:rPr>
                <w:noProof/>
                <w:webHidden/>
              </w:rPr>
            </w:r>
            <w:r w:rsidR="00B87461">
              <w:rPr>
                <w:noProof/>
                <w:webHidden/>
              </w:rPr>
              <w:fldChar w:fldCharType="separate"/>
            </w:r>
            <w:r w:rsidR="00A7023F">
              <w:rPr>
                <w:noProof/>
                <w:webHidden/>
              </w:rPr>
              <w:t>6</w:t>
            </w:r>
            <w:r w:rsidR="00B87461">
              <w:rPr>
                <w:noProof/>
                <w:webHidden/>
              </w:rPr>
              <w:fldChar w:fldCharType="end"/>
            </w:r>
          </w:hyperlink>
        </w:p>
        <w:p w14:paraId="0A1E5A1F" w14:textId="77777777" w:rsidR="00B87461" w:rsidRDefault="003D65CB" w:rsidP="00B87461">
          <w:pPr>
            <w:pStyle w:val="TOC1"/>
            <w:tabs>
              <w:tab w:val="clear" w:pos="9214"/>
              <w:tab w:val="right" w:pos="8931"/>
            </w:tabs>
            <w:rPr>
              <w:rFonts w:asciiTheme="minorHAnsi" w:eastAsiaTheme="minorEastAsia" w:hAnsiTheme="minorHAnsi" w:cstheme="minorBidi"/>
              <w:noProof/>
              <w:spacing w:val="0"/>
              <w:sz w:val="22"/>
            </w:rPr>
          </w:pPr>
          <w:hyperlink w:anchor="_Toc465428244" w:history="1">
            <w:r w:rsidR="00B87461" w:rsidRPr="00416139">
              <w:rPr>
                <w:rStyle w:val="Hyperlink"/>
                <w:noProof/>
              </w:rPr>
              <w:t>4.</w:t>
            </w:r>
            <w:r w:rsidR="00B87461">
              <w:rPr>
                <w:rFonts w:asciiTheme="minorHAnsi" w:eastAsiaTheme="minorEastAsia" w:hAnsiTheme="minorHAnsi" w:cstheme="minorBidi"/>
                <w:noProof/>
                <w:spacing w:val="0"/>
                <w:sz w:val="22"/>
              </w:rPr>
              <w:tab/>
            </w:r>
            <w:r w:rsidR="00B87461" w:rsidRPr="00416139">
              <w:rPr>
                <w:rStyle w:val="Hyperlink"/>
                <w:noProof/>
              </w:rPr>
              <w:t>Key areas for action</w:t>
            </w:r>
            <w:r w:rsidR="00B87461">
              <w:rPr>
                <w:noProof/>
                <w:webHidden/>
              </w:rPr>
              <w:tab/>
            </w:r>
            <w:r w:rsidR="00B87461">
              <w:rPr>
                <w:noProof/>
                <w:webHidden/>
              </w:rPr>
              <w:fldChar w:fldCharType="begin"/>
            </w:r>
            <w:r w:rsidR="00B87461">
              <w:rPr>
                <w:noProof/>
                <w:webHidden/>
              </w:rPr>
              <w:instrText xml:space="preserve"> PAGEREF _Toc465428244 \h </w:instrText>
            </w:r>
            <w:r w:rsidR="00B87461">
              <w:rPr>
                <w:noProof/>
                <w:webHidden/>
              </w:rPr>
            </w:r>
            <w:r w:rsidR="00B87461">
              <w:rPr>
                <w:noProof/>
                <w:webHidden/>
              </w:rPr>
              <w:fldChar w:fldCharType="separate"/>
            </w:r>
            <w:r w:rsidR="00A7023F">
              <w:rPr>
                <w:noProof/>
                <w:webHidden/>
              </w:rPr>
              <w:t>7</w:t>
            </w:r>
            <w:r w:rsidR="00B87461">
              <w:rPr>
                <w:noProof/>
                <w:webHidden/>
              </w:rPr>
              <w:fldChar w:fldCharType="end"/>
            </w:r>
          </w:hyperlink>
        </w:p>
        <w:p w14:paraId="49740B43" w14:textId="77777777" w:rsidR="00B87461" w:rsidRDefault="003D65CB" w:rsidP="00B87461">
          <w:pPr>
            <w:pStyle w:val="TOC1"/>
            <w:tabs>
              <w:tab w:val="clear" w:pos="9214"/>
              <w:tab w:val="right" w:pos="8931"/>
            </w:tabs>
            <w:rPr>
              <w:rFonts w:asciiTheme="minorHAnsi" w:eastAsiaTheme="minorEastAsia" w:hAnsiTheme="minorHAnsi" w:cstheme="minorBidi"/>
              <w:noProof/>
              <w:spacing w:val="0"/>
              <w:sz w:val="22"/>
            </w:rPr>
          </w:pPr>
          <w:hyperlink w:anchor="_Toc465428245" w:history="1">
            <w:r w:rsidR="00B87461" w:rsidRPr="00416139">
              <w:rPr>
                <w:rStyle w:val="Hyperlink"/>
                <w:noProof/>
              </w:rPr>
              <w:t>5.</w:t>
            </w:r>
            <w:r w:rsidR="00B87461">
              <w:rPr>
                <w:rFonts w:asciiTheme="minorHAnsi" w:eastAsiaTheme="minorEastAsia" w:hAnsiTheme="minorHAnsi" w:cstheme="minorBidi"/>
                <w:noProof/>
                <w:spacing w:val="0"/>
                <w:sz w:val="22"/>
              </w:rPr>
              <w:tab/>
            </w:r>
            <w:r w:rsidR="00B87461" w:rsidRPr="00416139">
              <w:rPr>
                <w:rStyle w:val="Hyperlink"/>
                <w:noProof/>
              </w:rPr>
              <w:t>Consultation</w:t>
            </w:r>
            <w:r w:rsidR="00B87461">
              <w:rPr>
                <w:noProof/>
                <w:webHidden/>
              </w:rPr>
              <w:tab/>
            </w:r>
            <w:r w:rsidR="00B87461">
              <w:rPr>
                <w:noProof/>
                <w:webHidden/>
              </w:rPr>
              <w:fldChar w:fldCharType="begin"/>
            </w:r>
            <w:r w:rsidR="00B87461">
              <w:rPr>
                <w:noProof/>
                <w:webHidden/>
              </w:rPr>
              <w:instrText xml:space="preserve"> PAGEREF _Toc465428245 \h </w:instrText>
            </w:r>
            <w:r w:rsidR="00B87461">
              <w:rPr>
                <w:noProof/>
                <w:webHidden/>
              </w:rPr>
            </w:r>
            <w:r w:rsidR="00B87461">
              <w:rPr>
                <w:noProof/>
                <w:webHidden/>
              </w:rPr>
              <w:fldChar w:fldCharType="separate"/>
            </w:r>
            <w:r w:rsidR="00A7023F">
              <w:rPr>
                <w:noProof/>
                <w:webHidden/>
              </w:rPr>
              <w:t>8</w:t>
            </w:r>
            <w:r w:rsidR="00B87461">
              <w:rPr>
                <w:noProof/>
                <w:webHidden/>
              </w:rPr>
              <w:fldChar w:fldCharType="end"/>
            </w:r>
          </w:hyperlink>
        </w:p>
        <w:p w14:paraId="03E0E56E" w14:textId="77777777" w:rsidR="00B87461" w:rsidRDefault="003D65CB" w:rsidP="00B87461">
          <w:pPr>
            <w:pStyle w:val="TOC1"/>
            <w:tabs>
              <w:tab w:val="clear" w:pos="9214"/>
              <w:tab w:val="right" w:pos="8931"/>
            </w:tabs>
            <w:rPr>
              <w:rFonts w:asciiTheme="minorHAnsi" w:eastAsiaTheme="minorEastAsia" w:hAnsiTheme="minorHAnsi" w:cstheme="minorBidi"/>
              <w:noProof/>
              <w:spacing w:val="0"/>
              <w:sz w:val="22"/>
            </w:rPr>
          </w:pPr>
          <w:hyperlink w:anchor="_Toc465428246" w:history="1">
            <w:r w:rsidR="00B87461" w:rsidRPr="00416139">
              <w:rPr>
                <w:rStyle w:val="Hyperlink"/>
                <w:noProof/>
              </w:rPr>
              <w:t>6.</w:t>
            </w:r>
            <w:r w:rsidR="00B87461">
              <w:rPr>
                <w:rFonts w:asciiTheme="minorHAnsi" w:eastAsiaTheme="minorEastAsia" w:hAnsiTheme="minorHAnsi" w:cstheme="minorBidi"/>
                <w:noProof/>
                <w:spacing w:val="0"/>
                <w:sz w:val="22"/>
              </w:rPr>
              <w:tab/>
            </w:r>
            <w:r w:rsidR="00B87461" w:rsidRPr="00416139">
              <w:rPr>
                <w:rStyle w:val="Hyperlink"/>
                <w:noProof/>
              </w:rPr>
              <w:t>Key outcomes</w:t>
            </w:r>
            <w:r w:rsidR="00B87461">
              <w:rPr>
                <w:noProof/>
                <w:webHidden/>
              </w:rPr>
              <w:tab/>
            </w:r>
            <w:r w:rsidR="00B87461">
              <w:rPr>
                <w:noProof/>
                <w:webHidden/>
              </w:rPr>
              <w:fldChar w:fldCharType="begin"/>
            </w:r>
            <w:r w:rsidR="00B87461">
              <w:rPr>
                <w:noProof/>
                <w:webHidden/>
              </w:rPr>
              <w:instrText xml:space="preserve"> PAGEREF _Toc465428246 \h </w:instrText>
            </w:r>
            <w:r w:rsidR="00B87461">
              <w:rPr>
                <w:noProof/>
                <w:webHidden/>
              </w:rPr>
            </w:r>
            <w:r w:rsidR="00B87461">
              <w:rPr>
                <w:noProof/>
                <w:webHidden/>
              </w:rPr>
              <w:fldChar w:fldCharType="separate"/>
            </w:r>
            <w:r w:rsidR="00A7023F">
              <w:rPr>
                <w:noProof/>
                <w:webHidden/>
              </w:rPr>
              <w:t>9</w:t>
            </w:r>
            <w:r w:rsidR="00B87461">
              <w:rPr>
                <w:noProof/>
                <w:webHidden/>
              </w:rPr>
              <w:fldChar w:fldCharType="end"/>
            </w:r>
          </w:hyperlink>
        </w:p>
        <w:p w14:paraId="65CE6980" w14:textId="7587EA4B" w:rsidR="00B87461" w:rsidRDefault="003D65CB" w:rsidP="00B87461">
          <w:pPr>
            <w:pStyle w:val="TOC3"/>
            <w:tabs>
              <w:tab w:val="right" w:pos="8931"/>
            </w:tabs>
            <w:rPr>
              <w:rFonts w:asciiTheme="minorHAnsi" w:eastAsiaTheme="minorEastAsia" w:hAnsiTheme="minorHAnsi" w:cstheme="minorBidi"/>
              <w:noProof/>
              <w:spacing w:val="0"/>
              <w:sz w:val="22"/>
            </w:rPr>
          </w:pPr>
          <w:hyperlink w:anchor="_Toc465428247" w:history="1">
            <w:r w:rsidR="00B87461" w:rsidRPr="00416139">
              <w:rPr>
                <w:rStyle w:val="Hyperlink"/>
                <w:noProof/>
              </w:rPr>
              <w:t>Focus Area 1: Developi</w:t>
            </w:r>
            <w:r w:rsidR="00B87461">
              <w:rPr>
                <w:rStyle w:val="Hyperlink"/>
                <w:noProof/>
              </w:rPr>
              <w:t>ng positive community attitudes</w:t>
            </w:r>
            <w:r w:rsidR="00B87461">
              <w:rPr>
                <w:rStyle w:val="Hyperlink"/>
                <w:noProof/>
              </w:rPr>
              <w:br/>
            </w:r>
            <w:r w:rsidR="00B87461" w:rsidRPr="00416139">
              <w:rPr>
                <w:rStyle w:val="Hyperlink"/>
                <w:noProof/>
              </w:rPr>
              <w:t>and behaviours towards people with disability</w:t>
            </w:r>
            <w:r w:rsidR="00B87461">
              <w:rPr>
                <w:noProof/>
                <w:webHidden/>
              </w:rPr>
              <w:tab/>
            </w:r>
            <w:r w:rsidR="00B87461">
              <w:rPr>
                <w:noProof/>
                <w:webHidden/>
              </w:rPr>
              <w:fldChar w:fldCharType="begin"/>
            </w:r>
            <w:r w:rsidR="00B87461">
              <w:rPr>
                <w:noProof/>
                <w:webHidden/>
              </w:rPr>
              <w:instrText xml:space="preserve"> PAGEREF _Toc465428247 \h </w:instrText>
            </w:r>
            <w:r w:rsidR="00B87461">
              <w:rPr>
                <w:noProof/>
                <w:webHidden/>
              </w:rPr>
            </w:r>
            <w:r w:rsidR="00B87461">
              <w:rPr>
                <w:noProof/>
                <w:webHidden/>
              </w:rPr>
              <w:fldChar w:fldCharType="separate"/>
            </w:r>
            <w:r w:rsidR="00A7023F">
              <w:rPr>
                <w:noProof/>
                <w:webHidden/>
              </w:rPr>
              <w:t>9</w:t>
            </w:r>
            <w:r w:rsidR="00B87461">
              <w:rPr>
                <w:noProof/>
                <w:webHidden/>
              </w:rPr>
              <w:fldChar w:fldCharType="end"/>
            </w:r>
          </w:hyperlink>
        </w:p>
        <w:p w14:paraId="3AB24AB6" w14:textId="256394EA" w:rsidR="00B87461" w:rsidRDefault="003D65CB" w:rsidP="00B87461">
          <w:pPr>
            <w:pStyle w:val="TOC3"/>
            <w:tabs>
              <w:tab w:val="right" w:pos="8931"/>
            </w:tabs>
            <w:rPr>
              <w:rFonts w:asciiTheme="minorHAnsi" w:eastAsiaTheme="minorEastAsia" w:hAnsiTheme="minorHAnsi" w:cstheme="minorBidi"/>
              <w:noProof/>
              <w:spacing w:val="0"/>
              <w:sz w:val="22"/>
            </w:rPr>
          </w:pPr>
          <w:hyperlink w:anchor="_Toc465428248" w:history="1">
            <w:r w:rsidR="00B87461" w:rsidRPr="00416139">
              <w:rPr>
                <w:rStyle w:val="Hyperlink"/>
                <w:noProof/>
              </w:rPr>
              <w:t>Focus Area 2: Creatin</w:t>
            </w:r>
            <w:r w:rsidR="00B87461">
              <w:rPr>
                <w:rStyle w:val="Hyperlink"/>
                <w:noProof/>
              </w:rPr>
              <w:t>g more liveable communities for</w:t>
            </w:r>
            <w:r w:rsidR="00B87461">
              <w:rPr>
                <w:rStyle w:val="Hyperlink"/>
                <w:noProof/>
              </w:rPr>
              <w:br/>
            </w:r>
            <w:r w:rsidR="00B87461" w:rsidRPr="00416139">
              <w:rPr>
                <w:rStyle w:val="Hyperlink"/>
                <w:noProof/>
              </w:rPr>
              <w:t>people with disability</w:t>
            </w:r>
            <w:r w:rsidR="00B87461">
              <w:rPr>
                <w:noProof/>
                <w:webHidden/>
              </w:rPr>
              <w:tab/>
            </w:r>
            <w:r w:rsidR="00B87461">
              <w:rPr>
                <w:noProof/>
                <w:webHidden/>
              </w:rPr>
              <w:fldChar w:fldCharType="begin"/>
            </w:r>
            <w:r w:rsidR="00B87461">
              <w:rPr>
                <w:noProof/>
                <w:webHidden/>
              </w:rPr>
              <w:instrText xml:space="preserve"> PAGEREF _Toc465428248 \h </w:instrText>
            </w:r>
            <w:r w:rsidR="00B87461">
              <w:rPr>
                <w:noProof/>
                <w:webHidden/>
              </w:rPr>
            </w:r>
            <w:r w:rsidR="00B87461">
              <w:rPr>
                <w:noProof/>
                <w:webHidden/>
              </w:rPr>
              <w:fldChar w:fldCharType="separate"/>
            </w:r>
            <w:r w:rsidR="00A7023F">
              <w:rPr>
                <w:noProof/>
                <w:webHidden/>
              </w:rPr>
              <w:t>10</w:t>
            </w:r>
            <w:r w:rsidR="00B87461">
              <w:rPr>
                <w:noProof/>
                <w:webHidden/>
              </w:rPr>
              <w:fldChar w:fldCharType="end"/>
            </w:r>
          </w:hyperlink>
        </w:p>
        <w:p w14:paraId="64E90194" w14:textId="0E942BB8" w:rsidR="00B87461" w:rsidRDefault="003D65CB" w:rsidP="00B87461">
          <w:pPr>
            <w:pStyle w:val="TOC3"/>
            <w:tabs>
              <w:tab w:val="right" w:pos="8931"/>
            </w:tabs>
            <w:rPr>
              <w:rFonts w:asciiTheme="minorHAnsi" w:eastAsiaTheme="minorEastAsia" w:hAnsiTheme="minorHAnsi" w:cstheme="minorBidi"/>
              <w:noProof/>
              <w:spacing w:val="0"/>
              <w:sz w:val="22"/>
            </w:rPr>
          </w:pPr>
          <w:hyperlink w:anchor="_Toc465428249" w:history="1">
            <w:r w:rsidR="00B87461" w:rsidRPr="00416139">
              <w:rPr>
                <w:rStyle w:val="Hyperlink"/>
                <w:noProof/>
              </w:rPr>
              <w:t>Focus Area 3: Achiev</w:t>
            </w:r>
            <w:r w:rsidR="00B87461">
              <w:rPr>
                <w:rStyle w:val="Hyperlink"/>
                <w:noProof/>
              </w:rPr>
              <w:t>ing a higher rate of meaningful</w:t>
            </w:r>
            <w:r w:rsidR="00B87461">
              <w:rPr>
                <w:rStyle w:val="Hyperlink"/>
                <w:noProof/>
              </w:rPr>
              <w:br/>
            </w:r>
            <w:r w:rsidR="00B87461" w:rsidRPr="00416139">
              <w:rPr>
                <w:rStyle w:val="Hyperlink"/>
                <w:noProof/>
              </w:rPr>
              <w:t>employment participation by</w:t>
            </w:r>
            <w:r w:rsidR="00FF6D6B">
              <w:rPr>
                <w:rStyle w:val="Hyperlink"/>
                <w:noProof/>
              </w:rPr>
              <w:t xml:space="preserve"> people with disability</w:t>
            </w:r>
            <w:r w:rsidR="00FF6D6B">
              <w:rPr>
                <w:rStyle w:val="Hyperlink"/>
                <w:noProof/>
              </w:rPr>
              <w:br/>
            </w:r>
            <w:r w:rsidR="00B87461">
              <w:rPr>
                <w:rStyle w:val="Hyperlink"/>
                <w:noProof/>
              </w:rPr>
              <w:t>through</w:t>
            </w:r>
            <w:r w:rsidR="00FF6D6B">
              <w:rPr>
                <w:rStyle w:val="Hyperlink"/>
                <w:noProof/>
              </w:rPr>
              <w:t xml:space="preserve"> </w:t>
            </w:r>
            <w:r w:rsidR="00B87461" w:rsidRPr="00416139">
              <w:rPr>
                <w:rStyle w:val="Hyperlink"/>
                <w:noProof/>
              </w:rPr>
              <w:t>inclusive employment practices</w:t>
            </w:r>
            <w:r w:rsidR="00B87461">
              <w:rPr>
                <w:noProof/>
                <w:webHidden/>
              </w:rPr>
              <w:tab/>
            </w:r>
            <w:r w:rsidR="00B87461">
              <w:rPr>
                <w:noProof/>
                <w:webHidden/>
              </w:rPr>
              <w:fldChar w:fldCharType="begin"/>
            </w:r>
            <w:r w:rsidR="00B87461">
              <w:rPr>
                <w:noProof/>
                <w:webHidden/>
              </w:rPr>
              <w:instrText xml:space="preserve"> PAGEREF _Toc465428249 \h </w:instrText>
            </w:r>
            <w:r w:rsidR="00B87461">
              <w:rPr>
                <w:noProof/>
                <w:webHidden/>
              </w:rPr>
            </w:r>
            <w:r w:rsidR="00B87461">
              <w:rPr>
                <w:noProof/>
                <w:webHidden/>
              </w:rPr>
              <w:fldChar w:fldCharType="separate"/>
            </w:r>
            <w:r w:rsidR="00A7023F">
              <w:rPr>
                <w:noProof/>
                <w:webHidden/>
              </w:rPr>
              <w:t>10</w:t>
            </w:r>
            <w:r w:rsidR="00B87461">
              <w:rPr>
                <w:noProof/>
                <w:webHidden/>
              </w:rPr>
              <w:fldChar w:fldCharType="end"/>
            </w:r>
          </w:hyperlink>
        </w:p>
        <w:p w14:paraId="59EE8652" w14:textId="12896FFE" w:rsidR="00B87461" w:rsidRDefault="003D65CB" w:rsidP="00B87461">
          <w:pPr>
            <w:pStyle w:val="TOC3"/>
            <w:tabs>
              <w:tab w:val="right" w:pos="8931"/>
            </w:tabs>
            <w:rPr>
              <w:rFonts w:asciiTheme="minorHAnsi" w:eastAsiaTheme="minorEastAsia" w:hAnsiTheme="minorHAnsi" w:cstheme="minorBidi"/>
              <w:noProof/>
              <w:spacing w:val="0"/>
              <w:sz w:val="22"/>
            </w:rPr>
          </w:pPr>
          <w:hyperlink w:anchor="_Toc465428250" w:history="1">
            <w:r w:rsidR="00B87461" w:rsidRPr="00416139">
              <w:rPr>
                <w:rStyle w:val="Hyperlink"/>
                <w:noProof/>
              </w:rPr>
              <w:t>Focus Area 4: Ach</w:t>
            </w:r>
            <w:r w:rsidR="00B87461">
              <w:rPr>
                <w:rStyle w:val="Hyperlink"/>
                <w:noProof/>
              </w:rPr>
              <w:t>ieving more equitable access to</w:t>
            </w:r>
            <w:r w:rsidR="00B87461">
              <w:rPr>
                <w:rStyle w:val="Hyperlink"/>
                <w:noProof/>
              </w:rPr>
              <w:br/>
            </w:r>
            <w:r w:rsidR="00B87461" w:rsidRPr="00416139">
              <w:rPr>
                <w:rStyle w:val="Hyperlink"/>
                <w:noProof/>
              </w:rPr>
              <w:t>mainstream services for</w:t>
            </w:r>
            <w:r w:rsidR="00B87461">
              <w:rPr>
                <w:rStyle w:val="Hyperlink"/>
                <w:noProof/>
              </w:rPr>
              <w:t xml:space="preserve"> people with disability through</w:t>
            </w:r>
            <w:r w:rsidR="00B87461">
              <w:rPr>
                <w:rStyle w:val="Hyperlink"/>
                <w:noProof/>
              </w:rPr>
              <w:br/>
            </w:r>
            <w:r w:rsidR="00B87461" w:rsidRPr="00416139">
              <w:rPr>
                <w:rStyle w:val="Hyperlink"/>
                <w:noProof/>
              </w:rPr>
              <w:t>better systems and processes</w:t>
            </w:r>
            <w:r w:rsidR="00B87461">
              <w:rPr>
                <w:noProof/>
                <w:webHidden/>
              </w:rPr>
              <w:tab/>
            </w:r>
            <w:r w:rsidR="00B87461">
              <w:rPr>
                <w:noProof/>
                <w:webHidden/>
              </w:rPr>
              <w:fldChar w:fldCharType="begin"/>
            </w:r>
            <w:r w:rsidR="00B87461">
              <w:rPr>
                <w:noProof/>
                <w:webHidden/>
              </w:rPr>
              <w:instrText xml:space="preserve"> PAGEREF _Toc465428250 \h </w:instrText>
            </w:r>
            <w:r w:rsidR="00B87461">
              <w:rPr>
                <w:noProof/>
                <w:webHidden/>
              </w:rPr>
            </w:r>
            <w:r w:rsidR="00B87461">
              <w:rPr>
                <w:noProof/>
                <w:webHidden/>
              </w:rPr>
              <w:fldChar w:fldCharType="separate"/>
            </w:r>
            <w:r w:rsidR="00A7023F">
              <w:rPr>
                <w:noProof/>
                <w:webHidden/>
              </w:rPr>
              <w:t>10</w:t>
            </w:r>
            <w:r w:rsidR="00B87461">
              <w:rPr>
                <w:noProof/>
                <w:webHidden/>
              </w:rPr>
              <w:fldChar w:fldCharType="end"/>
            </w:r>
          </w:hyperlink>
        </w:p>
        <w:p w14:paraId="2EA3E5C9" w14:textId="77777777" w:rsidR="00B87461" w:rsidRDefault="003D65CB" w:rsidP="00B87461">
          <w:pPr>
            <w:pStyle w:val="TOC1"/>
            <w:tabs>
              <w:tab w:val="clear" w:pos="9214"/>
              <w:tab w:val="right" w:pos="8931"/>
            </w:tabs>
            <w:rPr>
              <w:rFonts w:asciiTheme="minorHAnsi" w:eastAsiaTheme="minorEastAsia" w:hAnsiTheme="minorHAnsi" w:cstheme="minorBidi"/>
              <w:noProof/>
              <w:spacing w:val="0"/>
              <w:sz w:val="22"/>
            </w:rPr>
          </w:pPr>
          <w:hyperlink w:anchor="_Toc465428251" w:history="1">
            <w:r w:rsidR="00B87461" w:rsidRPr="00416139">
              <w:rPr>
                <w:rStyle w:val="Hyperlink"/>
                <w:noProof/>
              </w:rPr>
              <w:t>7.</w:t>
            </w:r>
            <w:r w:rsidR="00B87461">
              <w:rPr>
                <w:rFonts w:asciiTheme="minorHAnsi" w:eastAsiaTheme="minorEastAsia" w:hAnsiTheme="minorHAnsi" w:cstheme="minorBidi"/>
                <w:noProof/>
                <w:spacing w:val="0"/>
                <w:sz w:val="22"/>
              </w:rPr>
              <w:tab/>
            </w:r>
            <w:r w:rsidR="00B87461" w:rsidRPr="00416139">
              <w:rPr>
                <w:rStyle w:val="Hyperlink"/>
                <w:noProof/>
              </w:rPr>
              <w:t>Governance, monitoring and reporting</w:t>
            </w:r>
            <w:r w:rsidR="00B87461">
              <w:rPr>
                <w:noProof/>
                <w:webHidden/>
              </w:rPr>
              <w:tab/>
            </w:r>
            <w:r w:rsidR="00B87461">
              <w:rPr>
                <w:noProof/>
                <w:webHidden/>
              </w:rPr>
              <w:fldChar w:fldCharType="begin"/>
            </w:r>
            <w:r w:rsidR="00B87461">
              <w:rPr>
                <w:noProof/>
                <w:webHidden/>
              </w:rPr>
              <w:instrText xml:space="preserve"> PAGEREF _Toc465428251 \h </w:instrText>
            </w:r>
            <w:r w:rsidR="00B87461">
              <w:rPr>
                <w:noProof/>
                <w:webHidden/>
              </w:rPr>
            </w:r>
            <w:r w:rsidR="00B87461">
              <w:rPr>
                <w:noProof/>
                <w:webHidden/>
              </w:rPr>
              <w:fldChar w:fldCharType="separate"/>
            </w:r>
            <w:r w:rsidR="00A7023F">
              <w:rPr>
                <w:noProof/>
                <w:webHidden/>
              </w:rPr>
              <w:t>11</w:t>
            </w:r>
            <w:r w:rsidR="00B87461">
              <w:rPr>
                <w:noProof/>
                <w:webHidden/>
              </w:rPr>
              <w:fldChar w:fldCharType="end"/>
            </w:r>
          </w:hyperlink>
        </w:p>
        <w:p w14:paraId="60B31C5F" w14:textId="77777777" w:rsidR="00B87461" w:rsidRDefault="003D65CB" w:rsidP="00B87461">
          <w:pPr>
            <w:pStyle w:val="TOC1"/>
            <w:tabs>
              <w:tab w:val="clear" w:pos="9214"/>
              <w:tab w:val="right" w:pos="8931"/>
            </w:tabs>
            <w:rPr>
              <w:rFonts w:asciiTheme="minorHAnsi" w:eastAsiaTheme="minorEastAsia" w:hAnsiTheme="minorHAnsi" w:cstheme="minorBidi"/>
              <w:noProof/>
              <w:spacing w:val="0"/>
              <w:sz w:val="22"/>
            </w:rPr>
          </w:pPr>
          <w:hyperlink w:anchor="_Toc465428252" w:history="1">
            <w:r w:rsidR="00B87461" w:rsidRPr="00416139">
              <w:rPr>
                <w:rStyle w:val="Hyperlink"/>
                <w:noProof/>
              </w:rPr>
              <w:t>8.</w:t>
            </w:r>
            <w:r w:rsidR="00B87461">
              <w:rPr>
                <w:rFonts w:asciiTheme="minorHAnsi" w:eastAsiaTheme="minorEastAsia" w:hAnsiTheme="minorHAnsi" w:cstheme="minorBidi"/>
                <w:noProof/>
                <w:spacing w:val="0"/>
                <w:sz w:val="22"/>
              </w:rPr>
              <w:tab/>
            </w:r>
            <w:r w:rsidR="00B87461" w:rsidRPr="00416139">
              <w:rPr>
                <w:rStyle w:val="Hyperlink"/>
                <w:noProof/>
              </w:rPr>
              <w:t>Feedback</w:t>
            </w:r>
            <w:r w:rsidR="00B87461">
              <w:rPr>
                <w:noProof/>
                <w:webHidden/>
              </w:rPr>
              <w:tab/>
            </w:r>
            <w:r w:rsidR="00B87461">
              <w:rPr>
                <w:noProof/>
                <w:webHidden/>
              </w:rPr>
              <w:fldChar w:fldCharType="begin"/>
            </w:r>
            <w:r w:rsidR="00B87461">
              <w:rPr>
                <w:noProof/>
                <w:webHidden/>
              </w:rPr>
              <w:instrText xml:space="preserve"> PAGEREF _Toc465428252 \h </w:instrText>
            </w:r>
            <w:r w:rsidR="00B87461">
              <w:rPr>
                <w:noProof/>
                <w:webHidden/>
              </w:rPr>
            </w:r>
            <w:r w:rsidR="00B87461">
              <w:rPr>
                <w:noProof/>
                <w:webHidden/>
              </w:rPr>
              <w:fldChar w:fldCharType="separate"/>
            </w:r>
            <w:r w:rsidR="00A7023F">
              <w:rPr>
                <w:noProof/>
                <w:webHidden/>
              </w:rPr>
              <w:t>11</w:t>
            </w:r>
            <w:r w:rsidR="00B87461">
              <w:rPr>
                <w:noProof/>
                <w:webHidden/>
              </w:rPr>
              <w:fldChar w:fldCharType="end"/>
            </w:r>
          </w:hyperlink>
        </w:p>
        <w:p w14:paraId="525445DF" w14:textId="77777777" w:rsidR="00B87461" w:rsidRDefault="003D65CB" w:rsidP="00B87461">
          <w:pPr>
            <w:pStyle w:val="TOC3"/>
            <w:tabs>
              <w:tab w:val="right" w:pos="8931"/>
            </w:tabs>
            <w:rPr>
              <w:rFonts w:asciiTheme="minorHAnsi" w:eastAsiaTheme="minorEastAsia" w:hAnsiTheme="minorHAnsi" w:cstheme="minorBidi"/>
              <w:noProof/>
              <w:spacing w:val="0"/>
              <w:sz w:val="22"/>
            </w:rPr>
          </w:pPr>
          <w:hyperlink w:anchor="_Toc465428253" w:history="1">
            <w:r w:rsidR="00B87461" w:rsidRPr="00416139">
              <w:rPr>
                <w:rStyle w:val="Hyperlink"/>
                <w:noProof/>
              </w:rPr>
              <w:t>Table Focus Area 1</w:t>
            </w:r>
            <w:r w:rsidR="00B87461">
              <w:rPr>
                <w:noProof/>
                <w:webHidden/>
              </w:rPr>
              <w:tab/>
            </w:r>
            <w:r w:rsidR="00B87461">
              <w:rPr>
                <w:noProof/>
                <w:webHidden/>
              </w:rPr>
              <w:fldChar w:fldCharType="begin"/>
            </w:r>
            <w:r w:rsidR="00B87461">
              <w:rPr>
                <w:noProof/>
                <w:webHidden/>
              </w:rPr>
              <w:instrText xml:space="preserve"> PAGEREF _Toc465428253 \h </w:instrText>
            </w:r>
            <w:r w:rsidR="00B87461">
              <w:rPr>
                <w:noProof/>
                <w:webHidden/>
              </w:rPr>
            </w:r>
            <w:r w:rsidR="00B87461">
              <w:rPr>
                <w:noProof/>
                <w:webHidden/>
              </w:rPr>
              <w:fldChar w:fldCharType="separate"/>
            </w:r>
            <w:r w:rsidR="00A7023F">
              <w:rPr>
                <w:noProof/>
                <w:webHidden/>
              </w:rPr>
              <w:t>13</w:t>
            </w:r>
            <w:r w:rsidR="00B87461">
              <w:rPr>
                <w:noProof/>
                <w:webHidden/>
              </w:rPr>
              <w:fldChar w:fldCharType="end"/>
            </w:r>
          </w:hyperlink>
        </w:p>
        <w:p w14:paraId="0609624B" w14:textId="77777777" w:rsidR="00B87461" w:rsidRDefault="003D65CB" w:rsidP="00B87461">
          <w:pPr>
            <w:pStyle w:val="TOC3"/>
            <w:tabs>
              <w:tab w:val="right" w:pos="8931"/>
            </w:tabs>
            <w:rPr>
              <w:rFonts w:asciiTheme="minorHAnsi" w:eastAsiaTheme="minorEastAsia" w:hAnsiTheme="minorHAnsi" w:cstheme="minorBidi"/>
              <w:noProof/>
              <w:spacing w:val="0"/>
              <w:sz w:val="22"/>
            </w:rPr>
          </w:pPr>
          <w:hyperlink w:anchor="_Toc465428254" w:history="1">
            <w:r w:rsidR="00B87461" w:rsidRPr="00416139">
              <w:rPr>
                <w:rStyle w:val="Hyperlink"/>
                <w:noProof/>
              </w:rPr>
              <w:t>Table Focus Area 2</w:t>
            </w:r>
            <w:r w:rsidR="00B87461">
              <w:rPr>
                <w:noProof/>
                <w:webHidden/>
              </w:rPr>
              <w:tab/>
            </w:r>
            <w:r w:rsidR="00B87461">
              <w:rPr>
                <w:noProof/>
                <w:webHidden/>
              </w:rPr>
              <w:fldChar w:fldCharType="begin"/>
            </w:r>
            <w:r w:rsidR="00B87461">
              <w:rPr>
                <w:noProof/>
                <w:webHidden/>
              </w:rPr>
              <w:instrText xml:space="preserve"> PAGEREF _Toc465428254 \h </w:instrText>
            </w:r>
            <w:r w:rsidR="00B87461">
              <w:rPr>
                <w:noProof/>
                <w:webHidden/>
              </w:rPr>
            </w:r>
            <w:r w:rsidR="00B87461">
              <w:rPr>
                <w:noProof/>
                <w:webHidden/>
              </w:rPr>
              <w:fldChar w:fldCharType="separate"/>
            </w:r>
            <w:r w:rsidR="00A7023F">
              <w:rPr>
                <w:noProof/>
                <w:webHidden/>
              </w:rPr>
              <w:t>16</w:t>
            </w:r>
            <w:r w:rsidR="00B87461">
              <w:rPr>
                <w:noProof/>
                <w:webHidden/>
              </w:rPr>
              <w:fldChar w:fldCharType="end"/>
            </w:r>
          </w:hyperlink>
        </w:p>
        <w:p w14:paraId="310C8866" w14:textId="77777777" w:rsidR="00B87461" w:rsidRDefault="003D65CB" w:rsidP="00B87461">
          <w:pPr>
            <w:pStyle w:val="TOC3"/>
            <w:tabs>
              <w:tab w:val="right" w:pos="8931"/>
            </w:tabs>
            <w:rPr>
              <w:rFonts w:asciiTheme="minorHAnsi" w:eastAsiaTheme="minorEastAsia" w:hAnsiTheme="minorHAnsi" w:cstheme="minorBidi"/>
              <w:noProof/>
              <w:spacing w:val="0"/>
              <w:sz w:val="22"/>
            </w:rPr>
          </w:pPr>
          <w:hyperlink w:anchor="_Toc465428255" w:history="1">
            <w:r w:rsidR="00B87461" w:rsidRPr="00416139">
              <w:rPr>
                <w:rStyle w:val="Hyperlink"/>
                <w:noProof/>
              </w:rPr>
              <w:t>Table Focus Area 3</w:t>
            </w:r>
            <w:r w:rsidR="00B87461">
              <w:rPr>
                <w:noProof/>
                <w:webHidden/>
              </w:rPr>
              <w:tab/>
            </w:r>
            <w:r w:rsidR="00B87461">
              <w:rPr>
                <w:noProof/>
                <w:webHidden/>
              </w:rPr>
              <w:fldChar w:fldCharType="begin"/>
            </w:r>
            <w:r w:rsidR="00B87461">
              <w:rPr>
                <w:noProof/>
                <w:webHidden/>
              </w:rPr>
              <w:instrText xml:space="preserve"> PAGEREF _Toc465428255 \h </w:instrText>
            </w:r>
            <w:r w:rsidR="00B87461">
              <w:rPr>
                <w:noProof/>
                <w:webHidden/>
              </w:rPr>
            </w:r>
            <w:r w:rsidR="00B87461">
              <w:rPr>
                <w:noProof/>
                <w:webHidden/>
              </w:rPr>
              <w:fldChar w:fldCharType="separate"/>
            </w:r>
            <w:r w:rsidR="00A7023F">
              <w:rPr>
                <w:noProof/>
                <w:webHidden/>
              </w:rPr>
              <w:t>18</w:t>
            </w:r>
            <w:r w:rsidR="00B87461">
              <w:rPr>
                <w:noProof/>
                <w:webHidden/>
              </w:rPr>
              <w:fldChar w:fldCharType="end"/>
            </w:r>
          </w:hyperlink>
        </w:p>
        <w:p w14:paraId="48D990E3" w14:textId="77777777" w:rsidR="00B87461" w:rsidRDefault="003D65CB" w:rsidP="00B87461">
          <w:pPr>
            <w:pStyle w:val="TOC3"/>
            <w:tabs>
              <w:tab w:val="right" w:pos="8931"/>
            </w:tabs>
            <w:rPr>
              <w:rFonts w:asciiTheme="minorHAnsi" w:eastAsiaTheme="minorEastAsia" w:hAnsiTheme="minorHAnsi" w:cstheme="minorBidi"/>
              <w:noProof/>
              <w:spacing w:val="0"/>
              <w:sz w:val="22"/>
            </w:rPr>
          </w:pPr>
          <w:hyperlink w:anchor="_Toc465428256" w:history="1">
            <w:r w:rsidR="00B87461" w:rsidRPr="00416139">
              <w:rPr>
                <w:rStyle w:val="Hyperlink"/>
                <w:noProof/>
              </w:rPr>
              <w:t>Table Focus Area 4</w:t>
            </w:r>
            <w:r w:rsidR="00B87461">
              <w:rPr>
                <w:noProof/>
                <w:webHidden/>
              </w:rPr>
              <w:tab/>
            </w:r>
            <w:r w:rsidR="00B87461">
              <w:rPr>
                <w:noProof/>
                <w:webHidden/>
              </w:rPr>
              <w:fldChar w:fldCharType="begin"/>
            </w:r>
            <w:r w:rsidR="00B87461">
              <w:rPr>
                <w:noProof/>
                <w:webHidden/>
              </w:rPr>
              <w:instrText xml:space="preserve"> PAGEREF _Toc465428256 \h </w:instrText>
            </w:r>
            <w:r w:rsidR="00B87461">
              <w:rPr>
                <w:noProof/>
                <w:webHidden/>
              </w:rPr>
            </w:r>
            <w:r w:rsidR="00B87461">
              <w:rPr>
                <w:noProof/>
                <w:webHidden/>
              </w:rPr>
              <w:fldChar w:fldCharType="separate"/>
            </w:r>
            <w:r w:rsidR="00A7023F">
              <w:rPr>
                <w:noProof/>
                <w:webHidden/>
              </w:rPr>
              <w:t>20</w:t>
            </w:r>
            <w:r w:rsidR="00B87461">
              <w:rPr>
                <w:noProof/>
                <w:webHidden/>
              </w:rPr>
              <w:fldChar w:fldCharType="end"/>
            </w:r>
          </w:hyperlink>
        </w:p>
        <w:p w14:paraId="2EC8049A" w14:textId="77777777" w:rsidR="008C598E" w:rsidRDefault="00630916" w:rsidP="00B30C39">
          <w:pPr>
            <w:ind w:left="0"/>
            <w:rPr>
              <w:noProof/>
            </w:rPr>
          </w:pPr>
          <w:r w:rsidRPr="00630916">
            <w:rPr>
              <w:color w:val="00B050"/>
              <w:spacing w:val="0"/>
              <w:sz w:val="38"/>
            </w:rPr>
            <w:fldChar w:fldCharType="end"/>
          </w:r>
        </w:p>
      </w:sdtContent>
    </w:sdt>
    <w:bookmarkEnd w:id="48" w:displacedByCustomXml="prev"/>
    <w:p w14:paraId="00AA8E0A" w14:textId="5554BC48" w:rsidR="0033533A" w:rsidRPr="0033533A" w:rsidRDefault="003716C0" w:rsidP="00B30C39">
      <w:pPr>
        <w:pStyle w:val="TOC1"/>
        <w:rPr>
          <w:noProof/>
        </w:rPr>
      </w:pPr>
      <w:r>
        <w:br w:type="page"/>
      </w:r>
      <w:bookmarkStart w:id="49" w:name="_Toc309370440"/>
      <w:bookmarkStart w:id="50" w:name="_Toc361402930"/>
    </w:p>
    <w:p w14:paraId="2A17CA62" w14:textId="40CCE6A4" w:rsidR="0033533A" w:rsidRPr="0033533A" w:rsidRDefault="00162577" w:rsidP="00162577">
      <w:pPr>
        <w:pStyle w:val="Heading1"/>
        <w:numPr>
          <w:ilvl w:val="0"/>
          <w:numId w:val="19"/>
        </w:numPr>
        <w:spacing w:before="360"/>
      </w:pPr>
      <w:bookmarkStart w:id="51" w:name="_Toc465428241"/>
      <w:r>
        <w:lastRenderedPageBreak/>
        <w:t>Introduction</w:t>
      </w:r>
      <w:bookmarkEnd w:id="51"/>
    </w:p>
    <w:p w14:paraId="34AC6C30" w14:textId="1C11D9B6" w:rsidR="00572EBB" w:rsidRDefault="00162577" w:rsidP="00162577">
      <w:r w:rsidRPr="00011A5A">
        <w:t xml:space="preserve">The NSW Department of Education’s </w:t>
      </w:r>
      <w:r w:rsidRPr="001A32D4">
        <w:rPr>
          <w:i/>
        </w:rPr>
        <w:t>Disability Inclusion Action Plan 2016 – 2020</w:t>
      </w:r>
      <w:r w:rsidRPr="00011A5A">
        <w:t xml:space="preserve"> demonstrates </w:t>
      </w:r>
      <w:r w:rsidR="004A0976">
        <w:t>the d</w:t>
      </w:r>
      <w:r>
        <w:t>epartment’s</w:t>
      </w:r>
      <w:r w:rsidRPr="00011A5A">
        <w:t xml:space="preserve"> continuing commitment to improving the lives of people with disability</w:t>
      </w:r>
      <w:r>
        <w:t>,</w:t>
      </w:r>
      <w:r w:rsidRPr="00011A5A">
        <w:t xml:space="preserve"> their families and carers</w:t>
      </w:r>
      <w:r>
        <w:t>. As we increasingly move toward models of service and practices which seek to remove obstacles and enable people to achieve their</w:t>
      </w:r>
      <w:r w:rsidR="004A0976">
        <w:t xml:space="preserve"> full potential, the d</w:t>
      </w:r>
      <w:r>
        <w:t>epartment must ensure its operations and the services it provides are accessible and designed to enable and maximise participation of people with disability.</w:t>
      </w:r>
    </w:p>
    <w:p w14:paraId="005AA87F" w14:textId="051F772C" w:rsidR="00162577" w:rsidRDefault="00162577" w:rsidP="00162577">
      <w:r>
        <w:t xml:space="preserve">This Plan identifies actions the </w:t>
      </w:r>
      <w:r w:rsidR="004A0976">
        <w:t>department</w:t>
      </w:r>
      <w:r>
        <w:t xml:space="preserve"> will undertake over the next four years to foster an inclusive environment for people with disability, through policies, practices and high quality services that reflect, recognise and respond to their diverse needs</w:t>
      </w:r>
      <w:r w:rsidRPr="00011A5A">
        <w:t>.</w:t>
      </w:r>
    </w:p>
    <w:p w14:paraId="130C4C16" w14:textId="5708F797" w:rsidR="00162577" w:rsidRDefault="00162577" w:rsidP="00162577">
      <w:r>
        <w:t xml:space="preserve">The actions identified in this Plan respond to State and Federal legislation and policy initiatives that support rights of people with disability. </w:t>
      </w:r>
      <w:r w:rsidRPr="00E4595C">
        <w:t xml:space="preserve">Primary among these is the </w:t>
      </w:r>
      <w:r w:rsidRPr="00E4595C">
        <w:rPr>
          <w:i/>
        </w:rPr>
        <w:t>Disability Discrimination Act 1992</w:t>
      </w:r>
      <w:r>
        <w:t xml:space="preserve"> </w:t>
      </w:r>
      <w:r w:rsidRPr="00E4595C">
        <w:t xml:space="preserve">which </w:t>
      </w:r>
      <w:r>
        <w:t>protects</w:t>
      </w:r>
      <w:r w:rsidRPr="00E4595C">
        <w:t xml:space="preserve"> the rights of people with disability. The introduction in 2005 of the </w:t>
      </w:r>
      <w:r w:rsidRPr="00E4595C">
        <w:rPr>
          <w:i/>
        </w:rPr>
        <w:t>Disability Standards for Education</w:t>
      </w:r>
      <w:r w:rsidRPr="00E4595C">
        <w:t xml:space="preserve"> (the Disability Standards) contributed to an increasing focus in our schools on improving the educational outcomes of students with disability. In particular, the Disability Standards require schools</w:t>
      </w:r>
      <w:r>
        <w:t>, among other education providers,</w:t>
      </w:r>
      <w:r w:rsidRPr="00E4595C">
        <w:t xml:space="preserve"> to provide </w:t>
      </w:r>
      <w:r>
        <w:t xml:space="preserve">reasonable </w:t>
      </w:r>
      <w:r w:rsidRPr="00E4595C">
        <w:t>adjustments that enable students</w:t>
      </w:r>
      <w:r>
        <w:t xml:space="preserve"> with disability</w:t>
      </w:r>
      <w:r w:rsidRPr="00E4595C">
        <w:t xml:space="preserve"> to access and participate in education on the same basis as their peers. The </w:t>
      </w:r>
      <w:r w:rsidR="004A0976">
        <w:t>department</w:t>
      </w:r>
      <w:r w:rsidRPr="00E4595C">
        <w:t xml:space="preserve"> is </w:t>
      </w:r>
      <w:r>
        <w:t xml:space="preserve">currently </w:t>
      </w:r>
      <w:r w:rsidRPr="00E4595C">
        <w:t>committed to working with the Commonwealth to implement the recommendations of a review of the operation of the Disability Standards</w:t>
      </w:r>
      <w:r>
        <w:t xml:space="preserve"> completed in 2015</w:t>
      </w:r>
      <w:r w:rsidRPr="00E4595C">
        <w:t>.</w:t>
      </w:r>
    </w:p>
    <w:p w14:paraId="4ACEE0FA" w14:textId="77777777" w:rsidR="00162577" w:rsidRDefault="00162577" w:rsidP="00162577">
      <w:r>
        <w:t xml:space="preserve">In 2008, Australia’s ratification of the United Nations Convention on the Rights of Persons with disabilities (UNCRPD) signified a commitment by all levels of government to eradicate obstacles faced by people with </w:t>
      </w:r>
      <w:r>
        <w:lastRenderedPageBreak/>
        <w:t>disability. This was followed in 2010 by the National Disability Strategy, which set out a 10 year national plan for implementing the obligations under the UNCRPD and improving life for Australians with disability, their families and carers.</w:t>
      </w:r>
    </w:p>
    <w:p w14:paraId="7D99B155" w14:textId="7B771DB5" w:rsidR="00162577" w:rsidRDefault="00162577" w:rsidP="00CE1216">
      <w:r>
        <w:t xml:space="preserve">In 2013, the Federal Government, together with the states, agreed to the introduction of a National Disability Insurance Scheme (NDIS). The NDIS will provide lifetime support to people with significant disability and give them choice and control over their access to specialist support services. The NDIS does not change the obligations of schools and the early childhood education and care sector towards people with disability. Transition to the NDIS in NSW commenced in 2016, with the NDIS to be fully in place in NSW by July 2018. The </w:t>
      </w:r>
      <w:r w:rsidR="004A0976">
        <w:t>department</w:t>
      </w:r>
      <w:r>
        <w:t xml:space="preserve"> is working with State and national agencies, staff and stakeholders to support this transition.</w:t>
      </w:r>
    </w:p>
    <w:p w14:paraId="08F219A7" w14:textId="6C6F83E1" w:rsidR="00162577" w:rsidRDefault="00162577" w:rsidP="00162577">
      <w:r>
        <w:t xml:space="preserve">In 2014, the NSW Parliament passed the </w:t>
      </w:r>
      <w:r w:rsidRPr="00430709">
        <w:rPr>
          <w:i/>
        </w:rPr>
        <w:t>Disability Inclusion Act</w:t>
      </w:r>
      <w:r w:rsidRPr="00430709">
        <w:t xml:space="preserve"> </w:t>
      </w:r>
      <w:r>
        <w:t>(the Act), demonstrating the NSW Government’s ongoing commitment to building an inclusive community. The Act provides the legislative framework for the development and implementation of a NSW Disability Inclusion Action Plan (the State Plan) to drive disability access and inclusion.</w:t>
      </w:r>
      <w:r w:rsidRPr="00653D93">
        <w:t xml:space="preserve"> </w:t>
      </w:r>
      <w:r>
        <w:t>The State Plan is based around four key focus areas, formulated in consultation with disability stakeholders and the Disability Council NSW:</w:t>
      </w:r>
    </w:p>
    <w:p w14:paraId="3998815B" w14:textId="77777777" w:rsidR="00162577" w:rsidRPr="00F379FC" w:rsidRDefault="00162577" w:rsidP="00F379FC">
      <w:pPr>
        <w:pStyle w:val="Numberbullets"/>
      </w:pPr>
      <w:r w:rsidRPr="00162577">
        <w:t xml:space="preserve">developing positive community </w:t>
      </w:r>
      <w:r w:rsidRPr="00F379FC">
        <w:t>attitudes and behaviours towards people with disability</w:t>
      </w:r>
    </w:p>
    <w:p w14:paraId="2AA7540E" w14:textId="77777777" w:rsidR="00162577" w:rsidRPr="00F379FC" w:rsidRDefault="00162577" w:rsidP="00F379FC">
      <w:pPr>
        <w:pStyle w:val="Numberbullets"/>
      </w:pPr>
      <w:r w:rsidRPr="00F379FC">
        <w:t>creating more liveable communities for people with disability</w:t>
      </w:r>
    </w:p>
    <w:p w14:paraId="70506850" w14:textId="77777777" w:rsidR="00162577" w:rsidRPr="00F379FC" w:rsidRDefault="00162577" w:rsidP="00F379FC">
      <w:pPr>
        <w:pStyle w:val="Numberbullets"/>
      </w:pPr>
      <w:r w:rsidRPr="00F379FC">
        <w:t>achieving a higher rate of meaningful employment participation by people with disability through inclusive employment practices</w:t>
      </w:r>
    </w:p>
    <w:p w14:paraId="57BEACFD" w14:textId="77777777" w:rsidR="00162577" w:rsidRPr="00F379FC" w:rsidRDefault="00162577" w:rsidP="00F379FC">
      <w:pPr>
        <w:pStyle w:val="Numberbullets"/>
      </w:pPr>
      <w:r w:rsidRPr="00F379FC">
        <w:t>achieving more equitable access to mainstream services for people with disability through better systems and processes</w:t>
      </w:r>
    </w:p>
    <w:p w14:paraId="60213B1E" w14:textId="77777777" w:rsidR="00CE1216" w:rsidRDefault="00162577" w:rsidP="00F379FC">
      <w:r>
        <w:t>The State Plan underpins the direction, focus and content of this Plan.</w:t>
      </w:r>
    </w:p>
    <w:p w14:paraId="251E6DC3" w14:textId="3FF73988" w:rsidR="00A02266" w:rsidRPr="00A514C6" w:rsidRDefault="00A02266" w:rsidP="00CE1216">
      <w:pPr>
        <w:pStyle w:val="Heading1"/>
        <w:numPr>
          <w:ilvl w:val="0"/>
          <w:numId w:val="19"/>
        </w:numPr>
      </w:pPr>
      <w:bookmarkStart w:id="52" w:name="_Toc465428242"/>
      <w:r>
        <w:lastRenderedPageBreak/>
        <w:t>The NSW Department of Education</w:t>
      </w:r>
      <w:bookmarkEnd w:id="52"/>
    </w:p>
    <w:p w14:paraId="11355AA0" w14:textId="71A3CCDE" w:rsidR="00A02266" w:rsidRDefault="00A02266" w:rsidP="00A02266">
      <w:r w:rsidRPr="00121A53">
        <w:t xml:space="preserve">The NSW Department of Education is one of the largest organisations in Australia and employs in excess of 84,000 staff. </w:t>
      </w:r>
      <w:r>
        <w:t xml:space="preserve">The </w:t>
      </w:r>
      <w:r w:rsidR="004A0976">
        <w:t>department</w:t>
      </w:r>
      <w:r>
        <w:t>’s</w:t>
      </w:r>
      <w:r w:rsidRPr="00A514C6">
        <w:t xml:space="preserve"> vision is for a highly skilled, vibrant and inclusive NSW where all students are achieving their potential and contributing as informed citizens to our society, </w:t>
      </w:r>
      <w:r>
        <w:t xml:space="preserve">where all staff are valued for their skills and contributions </w:t>
      </w:r>
      <w:r w:rsidRPr="00A514C6">
        <w:t>and where Aboriginal people are determining their own futures</w:t>
      </w:r>
      <w:r>
        <w:t>.</w:t>
      </w:r>
      <w:r w:rsidRPr="004E20EB">
        <w:t xml:space="preserve"> </w:t>
      </w:r>
    </w:p>
    <w:p w14:paraId="46E256E9" w14:textId="504DFA62" w:rsidR="00A02266" w:rsidRDefault="00A02266" w:rsidP="00A02266">
      <w:r>
        <w:t xml:space="preserve">The Department of Education funds and delivers education services for NSW students from preschool to secondary school. The </w:t>
      </w:r>
      <w:r w:rsidR="004A0976">
        <w:t>department</w:t>
      </w:r>
      <w:r>
        <w:t xml:space="preserve"> also regulates the early childhood education and care sector including preschools, long day care centres and family day care and supports their inclusion of children with disability. Through Aboriginal Affairs, the </w:t>
      </w:r>
      <w:r w:rsidR="004A0976">
        <w:t>department</w:t>
      </w:r>
      <w:r>
        <w:t xml:space="preserve"> works with Aboriginal communities to promote social, economic and cultural wellbeing.</w:t>
      </w:r>
    </w:p>
    <w:p w14:paraId="742CF79E" w14:textId="1F40745E" w:rsidR="00A02266" w:rsidRDefault="004A0976" w:rsidP="00A02266">
      <w:r>
        <w:t>The d</w:t>
      </w:r>
      <w:r w:rsidR="00A02266">
        <w:t xml:space="preserve">epartment manages one of the </w:t>
      </w:r>
      <w:r w:rsidR="00B87461">
        <w:t>most extensive</w:t>
      </w:r>
      <w:r w:rsidR="00A02266">
        <w:t xml:space="preserve"> public education systems in the world. It delivers education to more than 780,000 school students each year through its network of over 2,200 public schools, representing around two-thirds of all school stu</w:t>
      </w:r>
      <w:r>
        <w:t>dents in NSW. In addition, the d</w:t>
      </w:r>
      <w:r w:rsidR="00A02266">
        <w:t xml:space="preserve">epartment provides funding support to over 400,000 students attending non-government schools. </w:t>
      </w:r>
    </w:p>
    <w:p w14:paraId="7C245378" w14:textId="3E4D7155" w:rsidR="00A02266" w:rsidRDefault="00A02266" w:rsidP="00A02266">
      <w:r>
        <w:t xml:space="preserve">Overall, the Department of Education is committed to improving the lives of people with disability, their families and carers through ongoing engagement, </w:t>
      </w:r>
      <w:r w:rsidR="004A0976">
        <w:t>consultation and advocacy. The d</w:t>
      </w:r>
      <w:r>
        <w:t xml:space="preserve">epartment provides leadership for supporting positive community understanding, attitudes and behaviours and embraces the diverse experiences of persons with disability. </w:t>
      </w:r>
    </w:p>
    <w:p w14:paraId="18A3122A" w14:textId="77777777" w:rsidR="00A02266" w:rsidRDefault="00A02266" w:rsidP="00A02266">
      <w:r>
        <w:t>Ongoing engagement with people with disability and their families and carers is an essential component of this Plan.</w:t>
      </w:r>
    </w:p>
    <w:p w14:paraId="7A685FEF" w14:textId="55E8B18E" w:rsidR="00A02266" w:rsidRDefault="00A02266" w:rsidP="00CE1216">
      <w:r>
        <w:lastRenderedPageBreak/>
        <w:t xml:space="preserve">This Plan builds on the significant </w:t>
      </w:r>
      <w:r w:rsidR="004A0976">
        <w:t>initiatives implemented by the d</w:t>
      </w:r>
      <w:r>
        <w:t xml:space="preserve">epartment under its previous </w:t>
      </w:r>
      <w:r w:rsidRPr="00A02266">
        <w:rPr>
          <w:i/>
        </w:rPr>
        <w:t>Disability Action Plan 2011-2015</w:t>
      </w:r>
      <w:r>
        <w:t>. Some of these achievements included:</w:t>
      </w:r>
    </w:p>
    <w:p w14:paraId="24CEFE6F" w14:textId="77777777" w:rsidR="0062177F" w:rsidRDefault="0062177F" w:rsidP="0062177F">
      <w:pPr>
        <w:pStyle w:val="Indentbullet"/>
      </w:pPr>
      <w:r>
        <w:t>implementing Every Student, Every School, an ongoing initiative that continues to strengthen support for students whose learning is impacted by disability through a range of activities including increased professional learning for teachers</w:t>
      </w:r>
    </w:p>
    <w:p w14:paraId="3403A0F9" w14:textId="40ACF280" w:rsidR="0062177F" w:rsidRDefault="004A0976" w:rsidP="0062177F">
      <w:pPr>
        <w:pStyle w:val="Indentbullet"/>
      </w:pPr>
      <w:r>
        <w:t>implementing the d</w:t>
      </w:r>
      <w:r w:rsidR="0062177F">
        <w:t>epartment’s Access Review Tool to identify and prioritise projects in schools to meet the access needs of students and staff with disability</w:t>
      </w:r>
    </w:p>
    <w:p w14:paraId="0A433BBA" w14:textId="77777777" w:rsidR="0062177F" w:rsidRDefault="0062177F" w:rsidP="0062177F">
      <w:pPr>
        <w:pStyle w:val="Indentbullet"/>
      </w:pPr>
      <w:r>
        <w:t>continuing to be a major sponsor of the NSW Don’t DIS my ABILITY campaign</w:t>
      </w:r>
    </w:p>
    <w:p w14:paraId="5057006F" w14:textId="77777777" w:rsidR="0062177F" w:rsidRDefault="0062177F" w:rsidP="0062177F">
      <w:pPr>
        <w:pStyle w:val="Indentbullet"/>
      </w:pPr>
      <w:r>
        <w:t>establishing the Disability Employee network, providing a forum for consultation and feedback on organisational strategies and policies that may affect employees with disability.</w:t>
      </w:r>
    </w:p>
    <w:p w14:paraId="02DECDC7" w14:textId="7CD04426" w:rsidR="00AE16AE" w:rsidRPr="00E15780" w:rsidRDefault="00AE16AE" w:rsidP="00AE16AE">
      <w:pPr>
        <w:pStyle w:val="Heading1"/>
        <w:numPr>
          <w:ilvl w:val="0"/>
          <w:numId w:val="19"/>
        </w:numPr>
      </w:pPr>
      <w:bookmarkStart w:id="53" w:name="_Toc465428243"/>
      <w:r>
        <w:t>Legislative</w:t>
      </w:r>
      <w:r w:rsidRPr="00E15780">
        <w:t xml:space="preserve"> </w:t>
      </w:r>
      <w:r>
        <w:t xml:space="preserve">and policy </w:t>
      </w:r>
      <w:r w:rsidRPr="00E15780">
        <w:t>context</w:t>
      </w:r>
      <w:bookmarkEnd w:id="53"/>
    </w:p>
    <w:p w14:paraId="7E8D0658" w14:textId="338A5D15" w:rsidR="00A02266" w:rsidRDefault="00AE16AE" w:rsidP="00AE16AE">
      <w:r>
        <w:t>The Department of Education operates within a context of a wide range of legal and policy obligations and these have informed the development of this Plan. The obligations include:</w:t>
      </w:r>
    </w:p>
    <w:p w14:paraId="3E2771C0" w14:textId="77777777" w:rsidR="003D14E7" w:rsidRDefault="003D14E7" w:rsidP="003D14E7">
      <w:pPr>
        <w:pStyle w:val="Indentbullet"/>
      </w:pPr>
      <w:r>
        <w:t>United Nations Convention on the Rights of Persons with Disabilities 2008 (UNCRPD)</w:t>
      </w:r>
    </w:p>
    <w:p w14:paraId="0A43B103" w14:textId="77777777" w:rsidR="003D14E7" w:rsidRDefault="003D14E7" w:rsidP="003D14E7">
      <w:pPr>
        <w:pStyle w:val="Indentbullet"/>
      </w:pPr>
      <w:r>
        <w:t>National Disability Strategy 2010 – 2020</w:t>
      </w:r>
    </w:p>
    <w:p w14:paraId="61EA86E5" w14:textId="77777777" w:rsidR="003D14E7" w:rsidRDefault="003D14E7" w:rsidP="003D14E7">
      <w:pPr>
        <w:pStyle w:val="Indentbullet"/>
      </w:pPr>
      <w:r>
        <w:t xml:space="preserve">NSW National Disability Strategy: NSW Implementation Plan 2012 – 2014 </w:t>
      </w:r>
    </w:p>
    <w:p w14:paraId="7D45F1FA" w14:textId="77777777" w:rsidR="003D14E7" w:rsidRPr="004D12B8" w:rsidRDefault="003D14E7" w:rsidP="003D14E7">
      <w:pPr>
        <w:pStyle w:val="Indentbullet"/>
        <w:rPr>
          <w:i/>
        </w:rPr>
      </w:pPr>
      <w:r w:rsidRPr="004D12B8">
        <w:rPr>
          <w:i/>
        </w:rPr>
        <w:t>Disability Inclusion Act 2014</w:t>
      </w:r>
      <w:r>
        <w:rPr>
          <w:i/>
        </w:rPr>
        <w:t xml:space="preserve"> </w:t>
      </w:r>
      <w:r w:rsidRPr="00205BF3">
        <w:t>(NSW)</w:t>
      </w:r>
    </w:p>
    <w:p w14:paraId="7F610E82" w14:textId="77777777" w:rsidR="003D14E7" w:rsidRDefault="003D14E7" w:rsidP="003D14E7">
      <w:pPr>
        <w:pStyle w:val="Indentbullet"/>
      </w:pPr>
      <w:r>
        <w:t>NSW Disability Inclusion Plan 2015</w:t>
      </w:r>
    </w:p>
    <w:p w14:paraId="497699D2" w14:textId="77777777" w:rsidR="003D14E7" w:rsidRDefault="003D14E7" w:rsidP="003D14E7">
      <w:pPr>
        <w:pStyle w:val="Indentbullet"/>
      </w:pPr>
      <w:r w:rsidRPr="004D12B8">
        <w:rPr>
          <w:i/>
        </w:rPr>
        <w:lastRenderedPageBreak/>
        <w:t>Disability Discrimination Act 1992</w:t>
      </w:r>
      <w:r>
        <w:t xml:space="preserve"> (Cth) and related Disability Standards for Education (2005) and Access to Premises – Buildings (2010)</w:t>
      </w:r>
    </w:p>
    <w:p w14:paraId="65F7EC39" w14:textId="77777777" w:rsidR="003D14E7" w:rsidRPr="004D12B8" w:rsidRDefault="003D14E7" w:rsidP="003D14E7">
      <w:pPr>
        <w:pStyle w:val="Indentbullet"/>
        <w:rPr>
          <w:i/>
        </w:rPr>
      </w:pPr>
      <w:r w:rsidRPr="004D12B8">
        <w:rPr>
          <w:i/>
        </w:rPr>
        <w:t>National Disability Insurance Scheme Act 2013</w:t>
      </w:r>
    </w:p>
    <w:p w14:paraId="732E25DD" w14:textId="77777777" w:rsidR="003D14E7" w:rsidRPr="004D12B8" w:rsidRDefault="003D14E7" w:rsidP="003D14E7">
      <w:pPr>
        <w:pStyle w:val="Indentbullet"/>
        <w:rPr>
          <w:i/>
        </w:rPr>
      </w:pPr>
      <w:r w:rsidRPr="004D12B8">
        <w:rPr>
          <w:i/>
        </w:rPr>
        <w:t xml:space="preserve">Education Act 1990 </w:t>
      </w:r>
      <w:r w:rsidRPr="004D12B8">
        <w:t>(NSW)</w:t>
      </w:r>
    </w:p>
    <w:p w14:paraId="465D0170" w14:textId="4C6F8359" w:rsidR="00AE16AE" w:rsidRDefault="003D14E7" w:rsidP="003D14E7">
      <w:pPr>
        <w:pStyle w:val="Indentbullet"/>
      </w:pPr>
      <w:r w:rsidRPr="004D12B8">
        <w:rPr>
          <w:i/>
        </w:rPr>
        <w:t>Education and Care Services National Law</w:t>
      </w:r>
    </w:p>
    <w:p w14:paraId="74775A15" w14:textId="21C7C540" w:rsidR="003D14E7" w:rsidRDefault="003D14E7" w:rsidP="003D14E7">
      <w:r>
        <w:t>A range of existing Department of Education resources have also informed the development of this plan and support its implementation. These include:</w:t>
      </w:r>
    </w:p>
    <w:p w14:paraId="7D0F9326" w14:textId="77777777" w:rsidR="003D14E7" w:rsidRDefault="003D14E7" w:rsidP="003D14E7">
      <w:pPr>
        <w:pStyle w:val="Indentbullet"/>
      </w:pPr>
      <w:r>
        <w:t>Workforce Diversity Policy</w:t>
      </w:r>
    </w:p>
    <w:p w14:paraId="598D1675" w14:textId="77777777" w:rsidR="003D14E7" w:rsidRDefault="003D14E7" w:rsidP="003D14E7">
      <w:pPr>
        <w:pStyle w:val="Indentbullet"/>
      </w:pPr>
      <w:r>
        <w:t>Workforce Diversity Plan 2012 - 2017</w:t>
      </w:r>
    </w:p>
    <w:p w14:paraId="14A377E0" w14:textId="77777777" w:rsidR="003D14E7" w:rsidRDefault="003D14E7" w:rsidP="003D14E7">
      <w:pPr>
        <w:pStyle w:val="Indentbullet"/>
      </w:pPr>
      <w:r>
        <w:t>Aboriginal Human Resources Development Plan 2012-2017</w:t>
      </w:r>
    </w:p>
    <w:p w14:paraId="5E3A7908" w14:textId="77777777" w:rsidR="003D14E7" w:rsidRDefault="003D14E7" w:rsidP="003D14E7">
      <w:pPr>
        <w:pStyle w:val="Indentbullet"/>
      </w:pPr>
      <w:r>
        <w:t>People with Disabilities – Statement of Commitment (Policy)</w:t>
      </w:r>
    </w:p>
    <w:p w14:paraId="04420BA4" w14:textId="77777777" w:rsidR="003D14E7" w:rsidRDefault="003D14E7" w:rsidP="003D14E7">
      <w:pPr>
        <w:pStyle w:val="Indentbullet"/>
      </w:pPr>
      <w:r>
        <w:t>Assisting Students with Learning Difficulties (Policy)</w:t>
      </w:r>
    </w:p>
    <w:p w14:paraId="74C53CFC" w14:textId="77777777" w:rsidR="003D14E7" w:rsidRDefault="003D14E7" w:rsidP="003D14E7">
      <w:pPr>
        <w:pStyle w:val="Indentbullet"/>
      </w:pPr>
      <w:r>
        <w:t>Public Schools NSW – Strategic Directions – Creating Futures Together 2015-2017</w:t>
      </w:r>
    </w:p>
    <w:p w14:paraId="4DC18868" w14:textId="77777777" w:rsidR="003D14E7" w:rsidRDefault="003D14E7" w:rsidP="003D14E7">
      <w:pPr>
        <w:pStyle w:val="Indentbullet"/>
      </w:pPr>
      <w:r>
        <w:t>Wellbeing Framework for Schools 2016</w:t>
      </w:r>
    </w:p>
    <w:p w14:paraId="133D8136" w14:textId="77777777" w:rsidR="003D14E7" w:rsidRDefault="003D14E7" w:rsidP="003D14E7">
      <w:pPr>
        <w:pStyle w:val="Indentbullet"/>
      </w:pPr>
      <w:r>
        <w:t>School Excellence Framework</w:t>
      </w:r>
    </w:p>
    <w:p w14:paraId="5541C5D8" w14:textId="0F059205" w:rsidR="003D14E7" w:rsidRPr="00E15780" w:rsidRDefault="003D14E7" w:rsidP="003D14E7">
      <w:pPr>
        <w:pStyle w:val="Heading1"/>
        <w:numPr>
          <w:ilvl w:val="0"/>
          <w:numId w:val="19"/>
        </w:numPr>
      </w:pPr>
      <w:bookmarkStart w:id="54" w:name="_Toc465428244"/>
      <w:r>
        <w:t>Key areas for action</w:t>
      </w:r>
      <w:bookmarkEnd w:id="54"/>
    </w:p>
    <w:p w14:paraId="1442212C" w14:textId="49C7D65D" w:rsidR="003D14E7" w:rsidRDefault="004A0976" w:rsidP="00631EB1">
      <w:r>
        <w:t>The d</w:t>
      </w:r>
      <w:r w:rsidR="003D14E7">
        <w:t xml:space="preserve">epartment’s </w:t>
      </w:r>
      <w:r w:rsidR="003D14E7" w:rsidRPr="009D55A9">
        <w:rPr>
          <w:i/>
        </w:rPr>
        <w:t>Disability Inclusion Action Plan 2016-2020</w:t>
      </w:r>
      <w:r w:rsidR="003D14E7">
        <w:t xml:space="preserve"> incorporates outcomes and actions that align with the State Plan and support the implementation of important national and state priorities and initiatives. This includes:</w:t>
      </w:r>
    </w:p>
    <w:p w14:paraId="47FF5F03" w14:textId="76AA8564" w:rsidR="003D14E7" w:rsidRDefault="003D14E7" w:rsidP="00631EB1">
      <w:pPr>
        <w:pStyle w:val="Indentbullet"/>
      </w:pPr>
      <w:r>
        <w:t>Supporting the successful transition of people with disability to the National Disability Insurance Scheme in NSW by July 2018 and its intersection</w:t>
      </w:r>
      <w:r w:rsidR="004A0976">
        <w:t xml:space="preserve"> with services provided by the d</w:t>
      </w:r>
      <w:r>
        <w:t>epartment.</w:t>
      </w:r>
    </w:p>
    <w:p w14:paraId="2AECE19D" w14:textId="77777777" w:rsidR="003D14E7" w:rsidRDefault="003D14E7" w:rsidP="00631EB1">
      <w:pPr>
        <w:pStyle w:val="Indentbullet"/>
      </w:pPr>
      <w:r>
        <w:t xml:space="preserve">Improving service delivery to students with disability in public schools in response to the recommendations of the NSW Audit </w:t>
      </w:r>
      <w:r>
        <w:lastRenderedPageBreak/>
        <w:t xml:space="preserve">Office in its Performance Audit entitled </w:t>
      </w:r>
      <w:r>
        <w:rPr>
          <w:i/>
        </w:rPr>
        <w:t>Supporting Students with Disability in NSW Public Schools.</w:t>
      </w:r>
      <w:r>
        <w:rPr>
          <w:rStyle w:val="FootnoteReference"/>
        </w:rPr>
        <w:footnoteReference w:id="1"/>
      </w:r>
    </w:p>
    <w:p w14:paraId="5C98109C" w14:textId="77777777" w:rsidR="003D14E7" w:rsidRDefault="003D14E7" w:rsidP="00631EB1">
      <w:pPr>
        <w:pStyle w:val="Indentbullet"/>
      </w:pPr>
      <w:r>
        <w:t xml:space="preserve">Fostering an inclusive workplace in which employees with disability are supported to succeed </w:t>
      </w:r>
    </w:p>
    <w:p w14:paraId="61BAC5C3" w14:textId="50C222F0" w:rsidR="003D14E7" w:rsidRDefault="003D14E7" w:rsidP="00631EB1">
      <w:pPr>
        <w:pStyle w:val="Indentbullet"/>
      </w:pPr>
      <w:r>
        <w:t>Focusing on the development of accessible and clear communications to help inform the community and shape community attitudes</w:t>
      </w:r>
    </w:p>
    <w:p w14:paraId="383440F2" w14:textId="47AC591B" w:rsidR="00631EB1" w:rsidRPr="00631EB1" w:rsidRDefault="00631EB1" w:rsidP="00631EB1">
      <w:pPr>
        <w:pStyle w:val="Indentbullet"/>
      </w:pPr>
      <w:r w:rsidRPr="00631EB1">
        <w:t>A commitment to increasing the number of children with disability accessing a quality preschool education program in the year before full-time school, and supporting inclusive practices in the early childhood education and care sector.</w:t>
      </w:r>
    </w:p>
    <w:p w14:paraId="13715764" w14:textId="6A165663" w:rsidR="00631EB1" w:rsidRPr="00F47BFF" w:rsidRDefault="00631EB1" w:rsidP="00631EB1">
      <w:pPr>
        <w:pStyle w:val="Heading1"/>
        <w:numPr>
          <w:ilvl w:val="0"/>
          <w:numId w:val="19"/>
        </w:numPr>
      </w:pPr>
      <w:bookmarkStart w:id="55" w:name="_Toc465428245"/>
      <w:r>
        <w:t>C</w:t>
      </w:r>
      <w:r w:rsidRPr="00F47BFF">
        <w:t>onsultation</w:t>
      </w:r>
      <w:bookmarkEnd w:id="55"/>
    </w:p>
    <w:p w14:paraId="4AE2A686" w14:textId="07E89AEF" w:rsidR="00631EB1" w:rsidRDefault="004A0976" w:rsidP="00631EB1">
      <w:r>
        <w:t>The d</w:t>
      </w:r>
      <w:r w:rsidR="00631EB1">
        <w:t xml:space="preserve">epartment’s Disability Employee Network has contributed to the development of this plan and plays an important role in advising, supporting and monitoring its implementation. </w:t>
      </w:r>
    </w:p>
    <w:p w14:paraId="741B31BA" w14:textId="06CB20D1" w:rsidR="00631EB1" w:rsidRDefault="00631EB1" w:rsidP="00631EB1">
      <w:r w:rsidRPr="0062430A">
        <w:t xml:space="preserve">The </w:t>
      </w:r>
      <w:r w:rsidR="004A0976">
        <w:t>d</w:t>
      </w:r>
      <w:r w:rsidRPr="0062430A">
        <w:t xml:space="preserve">epartment </w:t>
      </w:r>
      <w:r>
        <w:t xml:space="preserve">has </w:t>
      </w:r>
      <w:r w:rsidRPr="0062430A">
        <w:t>also utilised feedback from a wide range of parent, community and education stakeholders about its services in the development of this Plan</w:t>
      </w:r>
      <w:r>
        <w:t>.</w:t>
      </w:r>
    </w:p>
    <w:p w14:paraId="39E34ECE" w14:textId="524F9E9C" w:rsidR="00631EB1" w:rsidRDefault="00631EB1" w:rsidP="00631EB1">
      <w:r>
        <w:t>A consultation draft of this Plan was provided directly to a range of external peak and representative groups for feedback, including the following:</w:t>
      </w:r>
    </w:p>
    <w:p w14:paraId="2AB6F16D" w14:textId="77777777" w:rsidR="00631EB1" w:rsidRDefault="00631EB1" w:rsidP="00631EB1">
      <w:pPr>
        <w:pStyle w:val="Indentbullet"/>
      </w:pPr>
      <w:r>
        <w:t>Disability Council NSW</w:t>
      </w:r>
    </w:p>
    <w:p w14:paraId="47589938" w14:textId="77777777" w:rsidR="00631EB1" w:rsidRDefault="00631EB1" w:rsidP="00631EB1">
      <w:pPr>
        <w:pStyle w:val="Indentbullet"/>
      </w:pPr>
      <w:r>
        <w:t>Federation of Parents and Citizens Associations of NSW</w:t>
      </w:r>
    </w:p>
    <w:p w14:paraId="2CFAE325" w14:textId="77777777" w:rsidR="00631EB1" w:rsidRDefault="00631EB1" w:rsidP="00631EB1">
      <w:pPr>
        <w:pStyle w:val="Indentbullet"/>
      </w:pPr>
      <w:r>
        <w:t xml:space="preserve">People with Disabilities Australia </w:t>
      </w:r>
    </w:p>
    <w:p w14:paraId="2FE8C833" w14:textId="77777777" w:rsidR="00631EB1" w:rsidRDefault="00631EB1" w:rsidP="00631EB1">
      <w:pPr>
        <w:pStyle w:val="Indentbullet"/>
      </w:pPr>
      <w:r>
        <w:t>Children and Young People with Disability Australia</w:t>
      </w:r>
    </w:p>
    <w:p w14:paraId="10552A7E" w14:textId="77777777" w:rsidR="00631EB1" w:rsidRDefault="00631EB1" w:rsidP="00631EB1">
      <w:pPr>
        <w:pStyle w:val="Indentbullet"/>
      </w:pPr>
      <w:r>
        <w:lastRenderedPageBreak/>
        <w:t>NSW Primary Principals Association</w:t>
      </w:r>
    </w:p>
    <w:p w14:paraId="2E4BCEB5" w14:textId="77777777" w:rsidR="00631EB1" w:rsidRDefault="00631EB1" w:rsidP="00631EB1">
      <w:pPr>
        <w:pStyle w:val="Indentbullet"/>
      </w:pPr>
      <w:r>
        <w:t>NSW Secondary Principals Association</w:t>
      </w:r>
    </w:p>
    <w:p w14:paraId="2D45D2AB" w14:textId="77777777" w:rsidR="00631EB1" w:rsidRDefault="00631EB1" w:rsidP="00631EB1">
      <w:pPr>
        <w:pStyle w:val="Indentbullet"/>
      </w:pPr>
      <w:r>
        <w:t>National Disability Services</w:t>
      </w:r>
    </w:p>
    <w:p w14:paraId="6AAFA696" w14:textId="77777777" w:rsidR="00631EB1" w:rsidRDefault="00631EB1" w:rsidP="00631EB1">
      <w:pPr>
        <w:pStyle w:val="Indentbullet"/>
      </w:pPr>
      <w:r>
        <w:t xml:space="preserve">Family Advocacy </w:t>
      </w:r>
    </w:p>
    <w:p w14:paraId="3B9B6FFF" w14:textId="77777777" w:rsidR="00631EB1" w:rsidRDefault="00631EB1" w:rsidP="00631EB1">
      <w:r>
        <w:t>Feedback on the consultation draft was also received from non-government disability organisations, t</w:t>
      </w:r>
      <w:r w:rsidRPr="0062430A">
        <w:t xml:space="preserve">he early childhood education and care sector </w:t>
      </w:r>
      <w:r>
        <w:t xml:space="preserve">and individuals with disability, their representatives and advocates. </w:t>
      </w:r>
    </w:p>
    <w:p w14:paraId="55245BC2" w14:textId="0A14A199" w:rsidR="00631EB1" w:rsidRDefault="00631EB1" w:rsidP="00631EB1">
      <w:r>
        <w:t>Ongoing engagement and feedback with a wide range of groups and individuals with an interest in matters impacting people with disability, in addition to any emerging priorities and issues impacting peo</w:t>
      </w:r>
      <w:r w:rsidR="004A0976">
        <w:t>ple with disability who access d</w:t>
      </w:r>
      <w:r>
        <w:t xml:space="preserve">epartment services, </w:t>
      </w:r>
      <w:r w:rsidRPr="009D1795">
        <w:t xml:space="preserve">will continue to </w:t>
      </w:r>
      <w:r>
        <w:t>inform adjustments to the P</w:t>
      </w:r>
      <w:r w:rsidRPr="009D1795">
        <w:t>lan as required.</w:t>
      </w:r>
    </w:p>
    <w:p w14:paraId="368584FD" w14:textId="29237908" w:rsidR="00631EB1" w:rsidRPr="00B55318" w:rsidRDefault="00631EB1" w:rsidP="00631EB1">
      <w:pPr>
        <w:pStyle w:val="Heading1"/>
        <w:numPr>
          <w:ilvl w:val="0"/>
          <w:numId w:val="19"/>
        </w:numPr>
      </w:pPr>
      <w:bookmarkStart w:id="56" w:name="_Toc465428246"/>
      <w:r>
        <w:t>Key</w:t>
      </w:r>
      <w:r w:rsidRPr="00B55318">
        <w:t xml:space="preserve"> outcomes</w:t>
      </w:r>
      <w:bookmarkEnd w:id="56"/>
    </w:p>
    <w:p w14:paraId="77AC5E9F" w14:textId="46411054" w:rsidR="00631EB1" w:rsidRDefault="00631EB1" w:rsidP="00631EB1">
      <w:r w:rsidRPr="00BF15FD">
        <w:t>The Plan is structured in alignment with specific outcomes for each focus area</w:t>
      </w:r>
      <w:r>
        <w:t xml:space="preserve"> identified in the State Plan</w:t>
      </w:r>
      <w:r w:rsidRPr="00BF15FD">
        <w:t xml:space="preserve">. Outcomes are linked with detailed actions included in the </w:t>
      </w:r>
      <w:r>
        <w:t>following table.</w:t>
      </w:r>
    </w:p>
    <w:p w14:paraId="13F82E15" w14:textId="77777777" w:rsidR="00631EB1" w:rsidRPr="00631EB1" w:rsidRDefault="00631EB1" w:rsidP="00242C5C">
      <w:pPr>
        <w:pStyle w:val="Heading3"/>
        <w:ind w:left="1302" w:firstLine="0"/>
      </w:pPr>
      <w:bookmarkStart w:id="57" w:name="_Toc465428247"/>
      <w:r w:rsidRPr="00631EB1">
        <w:t>Focus Area 1: Developing positive community attitudes and behaviours towards people with disability</w:t>
      </w:r>
      <w:bookmarkEnd w:id="57"/>
    </w:p>
    <w:p w14:paraId="7CB842DE" w14:textId="37ACDCFA" w:rsidR="00631EB1" w:rsidRPr="0080095C" w:rsidRDefault="00E505DC" w:rsidP="0080095C">
      <w:pPr>
        <w:pStyle w:val="ListParagraph"/>
      </w:pPr>
      <w:r>
        <w:t>1.1</w:t>
      </w:r>
      <w:r>
        <w:tab/>
      </w:r>
      <w:r w:rsidR="00631EB1" w:rsidRPr="0080095C">
        <w:t>Key organisational strategies promote and support disability awareness and inclusion</w:t>
      </w:r>
    </w:p>
    <w:p w14:paraId="43EA48F7" w14:textId="7DA6396F" w:rsidR="00631EB1" w:rsidRPr="0080095C" w:rsidRDefault="00E505DC" w:rsidP="0080095C">
      <w:pPr>
        <w:pStyle w:val="ListParagraph"/>
      </w:pPr>
      <w:r>
        <w:t>1.2</w:t>
      </w:r>
      <w:r>
        <w:tab/>
      </w:r>
      <w:r w:rsidR="00631EB1" w:rsidRPr="0080095C">
        <w:t>Increased employee awareness and acceptance of the rights of people with disability, and improved inclusive practices</w:t>
      </w:r>
    </w:p>
    <w:p w14:paraId="0DFE1169" w14:textId="6CF656A0" w:rsidR="00631EB1" w:rsidRPr="0080095C" w:rsidRDefault="00E505DC" w:rsidP="0080095C">
      <w:pPr>
        <w:pStyle w:val="ListParagraph"/>
      </w:pPr>
      <w:r>
        <w:t>1.3</w:t>
      </w:r>
      <w:r>
        <w:tab/>
      </w:r>
      <w:r w:rsidR="00631EB1" w:rsidRPr="0080095C">
        <w:t>Identification of additional workforce related actions to support positive changes in community attitudes and behaviour</w:t>
      </w:r>
    </w:p>
    <w:p w14:paraId="66EEAF46" w14:textId="41662958" w:rsidR="00631EB1" w:rsidRPr="0080095C" w:rsidRDefault="00E505DC" w:rsidP="0080095C">
      <w:pPr>
        <w:pStyle w:val="ListParagraph"/>
      </w:pPr>
      <w:r>
        <w:lastRenderedPageBreak/>
        <w:t>1.4</w:t>
      </w:r>
      <w:r>
        <w:tab/>
      </w:r>
      <w:r w:rsidR="00631EB1" w:rsidRPr="0080095C">
        <w:t>Staff and stakeholders are informed and understand the role and purpose of the National Disability Insurance Scheme (NDIS)</w:t>
      </w:r>
    </w:p>
    <w:p w14:paraId="55D43238" w14:textId="77777777" w:rsidR="001C0B95" w:rsidRPr="001C0B95" w:rsidRDefault="001C0B95" w:rsidP="00E26542">
      <w:pPr>
        <w:pStyle w:val="Heading3"/>
        <w:ind w:left="1302" w:firstLine="2"/>
      </w:pPr>
      <w:bookmarkStart w:id="58" w:name="_Toc465428248"/>
      <w:r w:rsidRPr="001C0B95">
        <w:t>Focus Area 2: Creating more liveable communities for people with disability</w:t>
      </w:r>
      <w:bookmarkEnd w:id="58"/>
    </w:p>
    <w:p w14:paraId="0C18F38F" w14:textId="77777777" w:rsidR="001C0B95" w:rsidRDefault="001C0B95" w:rsidP="001C0B95">
      <w:pPr>
        <w:pStyle w:val="ListParagraph"/>
      </w:pPr>
      <w:r>
        <w:t>2.1</w:t>
      </w:r>
      <w:r>
        <w:tab/>
      </w:r>
      <w:r w:rsidRPr="00CF570C">
        <w:t xml:space="preserve">Improved attraction, retention and career development for people with disability </w:t>
      </w:r>
    </w:p>
    <w:p w14:paraId="34447EFB" w14:textId="77777777" w:rsidR="001C0B95" w:rsidRDefault="001C0B95" w:rsidP="001C0B95">
      <w:pPr>
        <w:pStyle w:val="ListParagraph"/>
      </w:pPr>
      <w:r>
        <w:t>2.2</w:t>
      </w:r>
      <w:r>
        <w:tab/>
        <w:t>Department buildings are accessible</w:t>
      </w:r>
    </w:p>
    <w:p w14:paraId="42C82858" w14:textId="77777777" w:rsidR="001C0B95" w:rsidRDefault="001C0B95" w:rsidP="001C0B95">
      <w:pPr>
        <w:pStyle w:val="ListParagraph"/>
      </w:pPr>
      <w:r>
        <w:t>2.3</w:t>
      </w:r>
      <w:r>
        <w:tab/>
        <w:t>School communities are supported to address the wellbeing of students with disability and their carers.</w:t>
      </w:r>
    </w:p>
    <w:p w14:paraId="19EBB3F2" w14:textId="7C468873" w:rsidR="00944F11" w:rsidRPr="00944F11" w:rsidRDefault="00944F11" w:rsidP="00242C5C">
      <w:pPr>
        <w:pStyle w:val="Heading3"/>
        <w:ind w:left="1316" w:firstLine="0"/>
      </w:pPr>
      <w:bookmarkStart w:id="59" w:name="_Toc465428249"/>
      <w:r w:rsidRPr="00944F11">
        <w:t>Focus Area 3: Achieving a higher rate of meaningful employment participation by people with disability through inclusive employment practices</w:t>
      </w:r>
      <w:bookmarkEnd w:id="59"/>
    </w:p>
    <w:p w14:paraId="0ADBA072" w14:textId="30E9A6BC" w:rsidR="00944F11" w:rsidRDefault="00944F11" w:rsidP="00944F11">
      <w:pPr>
        <w:pStyle w:val="ListParagraph"/>
      </w:pPr>
      <w:r>
        <w:t>3.1</w:t>
      </w:r>
      <w:r>
        <w:tab/>
        <w:t>Improved recruitment experience for people with disability</w:t>
      </w:r>
    </w:p>
    <w:p w14:paraId="26A6E8AB" w14:textId="77777777" w:rsidR="00944F11" w:rsidRDefault="00944F11" w:rsidP="00944F11">
      <w:pPr>
        <w:pStyle w:val="ListParagraph"/>
      </w:pPr>
      <w:r>
        <w:t>3.2</w:t>
      </w:r>
      <w:r>
        <w:tab/>
        <w:t xml:space="preserve">Increased opportunities for people with disability to enter the workforce </w:t>
      </w:r>
    </w:p>
    <w:p w14:paraId="6C38A4E3" w14:textId="77777777" w:rsidR="00944F11" w:rsidRDefault="00944F11" w:rsidP="00944F11">
      <w:pPr>
        <w:pStyle w:val="ListParagraph"/>
      </w:pPr>
      <w:r>
        <w:t>3.3</w:t>
      </w:r>
      <w:r>
        <w:tab/>
        <w:t>Improved engagement and support for people with disability in the workforce</w:t>
      </w:r>
    </w:p>
    <w:p w14:paraId="541A7E37" w14:textId="77777777" w:rsidR="00944F11" w:rsidRDefault="00944F11" w:rsidP="00944F11">
      <w:pPr>
        <w:pStyle w:val="ListParagraph"/>
      </w:pPr>
      <w:r>
        <w:t>3.4</w:t>
      </w:r>
      <w:r>
        <w:tab/>
        <w:t>Improved accessibility of services and systems supporting employees with disability</w:t>
      </w:r>
    </w:p>
    <w:p w14:paraId="1768F773" w14:textId="77777777" w:rsidR="00944F11" w:rsidRDefault="00944F11" w:rsidP="00944F11">
      <w:pPr>
        <w:pStyle w:val="ListParagraph"/>
      </w:pPr>
      <w:r>
        <w:t>3.5</w:t>
      </w:r>
      <w:r>
        <w:tab/>
      </w:r>
      <w:r w:rsidRPr="00CF570C">
        <w:t>School students with complex needs are supported in planning for post school employment pathways</w:t>
      </w:r>
    </w:p>
    <w:p w14:paraId="0F4DECB4" w14:textId="77777777" w:rsidR="00CC14E8" w:rsidRPr="00BF15FD" w:rsidRDefault="00CC14E8" w:rsidP="00242C5C">
      <w:pPr>
        <w:pStyle w:val="Heading3"/>
        <w:ind w:left="1302" w:firstLine="0"/>
      </w:pPr>
      <w:bookmarkStart w:id="60" w:name="_Toc465428250"/>
      <w:r w:rsidRPr="00BF15FD">
        <w:t xml:space="preserve">Focus Area 4: </w:t>
      </w:r>
      <w:r>
        <w:t>Achieving more equitable a</w:t>
      </w:r>
      <w:r w:rsidRPr="00BF15FD">
        <w:t>ccess to mainstream services</w:t>
      </w:r>
      <w:r>
        <w:t xml:space="preserve"> for people with disability</w:t>
      </w:r>
      <w:r w:rsidRPr="00BF15FD">
        <w:t xml:space="preserve"> through better systems and processes</w:t>
      </w:r>
      <w:bookmarkEnd w:id="60"/>
    </w:p>
    <w:p w14:paraId="7207831D" w14:textId="5550A133" w:rsidR="00CC14E8" w:rsidRDefault="00CC14E8" w:rsidP="00CC14E8">
      <w:pPr>
        <w:pStyle w:val="ListParagraph"/>
      </w:pPr>
      <w:r>
        <w:t>4.1</w:t>
      </w:r>
      <w:r>
        <w:tab/>
        <w:t>A new strat</w:t>
      </w:r>
      <w:r w:rsidR="004A0976">
        <w:t>egic policy that underpins the d</w:t>
      </w:r>
      <w:r>
        <w:t>epartment’s commitments to people with disability</w:t>
      </w:r>
    </w:p>
    <w:p w14:paraId="253DF416" w14:textId="02363860" w:rsidR="00CC14E8" w:rsidRDefault="00CC14E8" w:rsidP="00CC14E8">
      <w:pPr>
        <w:pStyle w:val="ListParagraph"/>
      </w:pPr>
      <w:r>
        <w:lastRenderedPageBreak/>
        <w:t>4.2</w:t>
      </w:r>
      <w:r>
        <w:tab/>
      </w:r>
      <w:r w:rsidRPr="00CF570C">
        <w:t xml:space="preserve">Improved </w:t>
      </w:r>
      <w:r>
        <w:t xml:space="preserve">access to </w:t>
      </w:r>
      <w:r w:rsidR="004A0976">
        <w:t>information of d</w:t>
      </w:r>
      <w:r w:rsidRPr="00CF570C">
        <w:t>epartment programs and services supporting people with disability</w:t>
      </w:r>
    </w:p>
    <w:p w14:paraId="54C9AFE8" w14:textId="77777777" w:rsidR="00CC14E8" w:rsidRDefault="00CC14E8" w:rsidP="00CC14E8">
      <w:pPr>
        <w:pStyle w:val="ListParagraph"/>
      </w:pPr>
      <w:r>
        <w:t>4.3</w:t>
      </w:r>
      <w:r>
        <w:tab/>
      </w:r>
      <w:r w:rsidRPr="00CF570C">
        <w:t>Improved teacher knowledge and skills in recognising and responding to the individualised learning and support needs of students whose disability impacts their learning</w:t>
      </w:r>
    </w:p>
    <w:p w14:paraId="586E2ECC" w14:textId="77777777" w:rsidR="00CC14E8" w:rsidRDefault="00CC14E8" w:rsidP="00CC14E8">
      <w:pPr>
        <w:pStyle w:val="ListParagraph"/>
      </w:pPr>
      <w:r>
        <w:t>4.4</w:t>
      </w:r>
      <w:r>
        <w:tab/>
      </w:r>
      <w:r w:rsidRPr="00CF570C">
        <w:t xml:space="preserve">Improved </w:t>
      </w:r>
      <w:r>
        <w:t>school planning for students with disability</w:t>
      </w:r>
    </w:p>
    <w:p w14:paraId="160627F2" w14:textId="77777777" w:rsidR="00CC14E8" w:rsidRDefault="00CC14E8" w:rsidP="00CC14E8">
      <w:pPr>
        <w:pStyle w:val="ListParagraph"/>
      </w:pPr>
      <w:r>
        <w:t>4.5</w:t>
      </w:r>
      <w:r>
        <w:tab/>
        <w:t>Improved processes for accessing additional resources for students with disability</w:t>
      </w:r>
    </w:p>
    <w:p w14:paraId="2BAC81B1" w14:textId="05372E9B" w:rsidR="00631EB1" w:rsidRDefault="00CC14E8" w:rsidP="00FA75A1">
      <w:pPr>
        <w:pStyle w:val="ListParagraph"/>
        <w:spacing w:after="0"/>
      </w:pPr>
      <w:r>
        <w:t>4.6</w:t>
      </w:r>
      <w:r>
        <w:tab/>
        <w:t>Increased number of children with disability in quality preschool programs (these children will primarily be in the year before school or disadvantaged three year olds).</w:t>
      </w:r>
    </w:p>
    <w:p w14:paraId="2816BF90" w14:textId="5546EDBB" w:rsidR="00CC14E8" w:rsidRDefault="00CC14E8" w:rsidP="00FA75A1">
      <w:pPr>
        <w:pStyle w:val="Heading1"/>
        <w:spacing w:before="400"/>
        <w:ind w:left="1276" w:hanging="709"/>
      </w:pPr>
      <w:bookmarkStart w:id="61" w:name="_Toc465428251"/>
      <w:r>
        <w:t>7.</w:t>
      </w:r>
      <w:r>
        <w:tab/>
      </w:r>
      <w:r w:rsidRPr="00CC14E8">
        <w:t>Governance</w:t>
      </w:r>
      <w:r>
        <w:t xml:space="preserve">, </w:t>
      </w:r>
      <w:r w:rsidRPr="00CC14E8">
        <w:t>monitoring</w:t>
      </w:r>
      <w:r w:rsidRPr="00BF15FD">
        <w:t xml:space="preserve"> and reporting</w:t>
      </w:r>
      <w:bookmarkEnd w:id="61"/>
    </w:p>
    <w:p w14:paraId="64DAFBE8" w14:textId="52A260EF" w:rsidR="00242C5C" w:rsidRDefault="00242C5C" w:rsidP="00211E44">
      <w:r>
        <w:t>Implementation of this Plan is monitored by a Project Control Group comprised of s</w:t>
      </w:r>
      <w:r w:rsidR="004A0976">
        <w:t>enior officers from across the d</w:t>
      </w:r>
      <w:r>
        <w:t>epartment and chaired by the Deputy Secretary, School Operations and Performance.</w:t>
      </w:r>
    </w:p>
    <w:p w14:paraId="3FFEDAD5" w14:textId="0B84047E" w:rsidR="00242C5C" w:rsidRDefault="004A0976" w:rsidP="00242C5C">
      <w:r>
        <w:t>Each business area of the d</w:t>
      </w:r>
      <w:r w:rsidR="00242C5C">
        <w:t>epartment is responsible for implementation of actions in the Plan and for internal progress reporting requirements.</w:t>
      </w:r>
    </w:p>
    <w:p w14:paraId="2F1DF845" w14:textId="6BCF29C5" w:rsidR="00242C5C" w:rsidRPr="009A328F" w:rsidRDefault="004A0976" w:rsidP="00242C5C">
      <w:r>
        <w:t>Progress against the d</w:t>
      </w:r>
      <w:r w:rsidR="00242C5C">
        <w:t>epartment’s Disability Inclusion Action Plan will be publically reported each year as part of the Department of Education Annual Report.</w:t>
      </w:r>
    </w:p>
    <w:p w14:paraId="732A15E1" w14:textId="4EBCBBF6" w:rsidR="00211E44" w:rsidRDefault="00211E44" w:rsidP="00FA75A1">
      <w:pPr>
        <w:pStyle w:val="Heading1"/>
        <w:numPr>
          <w:ilvl w:val="0"/>
          <w:numId w:val="36"/>
        </w:numPr>
        <w:spacing w:before="400"/>
        <w:ind w:left="1276" w:hanging="709"/>
      </w:pPr>
      <w:bookmarkStart w:id="62" w:name="_Toc465428252"/>
      <w:r>
        <w:t>Feedback</w:t>
      </w:r>
      <w:bookmarkEnd w:id="62"/>
    </w:p>
    <w:p w14:paraId="09E9775E" w14:textId="77777777" w:rsidR="006F5CD4" w:rsidRDefault="000B4B57" w:rsidP="006F5CD4">
      <w:pPr>
        <w:tabs>
          <w:tab w:val="right" w:pos="9638"/>
        </w:tabs>
        <w:spacing w:after="0"/>
        <w:ind w:right="-1"/>
      </w:pPr>
      <w:r>
        <w:t>The Department of Education is committed to continuous improvement. Ongoing feedback and comments are welcome on this Plan and on progress towards achieving the key outcomes in each of the focus areas through implementation of the actions set out in this Plan.</w:t>
      </w:r>
    </w:p>
    <w:p w14:paraId="2FC43B71" w14:textId="5C95140F" w:rsidR="00D90A94" w:rsidRDefault="00D90A94" w:rsidP="006F5CD4">
      <w:pPr>
        <w:tabs>
          <w:tab w:val="right" w:pos="9638"/>
        </w:tabs>
        <w:spacing w:before="0" w:after="0"/>
        <w:ind w:right="0"/>
      </w:pPr>
      <w:r>
        <w:t xml:space="preserve">Feedback can be provided in writing to: </w:t>
      </w:r>
      <w:hyperlink r:id="rId8" w:history="1">
        <w:r w:rsidRPr="00F5750C">
          <w:rPr>
            <w:rStyle w:val="Hyperlink"/>
          </w:rPr>
          <w:t>Disability.Support@det.nsw.edu.au</w:t>
        </w:r>
      </w:hyperlink>
    </w:p>
    <w:p w14:paraId="4D1B41E1" w14:textId="487BDD4F" w:rsidR="00686DC7" w:rsidRDefault="00686DC7" w:rsidP="00D90A94">
      <w:pPr>
        <w:ind w:left="0"/>
        <w:sectPr w:rsidR="00686DC7" w:rsidSect="00062BE3">
          <w:headerReference w:type="default" r:id="rId9"/>
          <w:footerReference w:type="default" r:id="rId10"/>
          <w:pgSz w:w="11906" w:h="16838"/>
          <w:pgMar w:top="2803" w:right="1134" w:bottom="851" w:left="1134" w:header="1276" w:footer="709" w:gutter="0"/>
          <w:pgNumType w:start="1"/>
          <w:cols w:space="708"/>
          <w:docGrid w:linePitch="360"/>
        </w:sectPr>
      </w:pPr>
    </w:p>
    <w:tbl>
      <w:tblPr>
        <w:tblStyle w:val="TableGrid"/>
        <w:tblW w:w="14301" w:type="dxa"/>
        <w:tblInd w:w="108" w:type="dxa"/>
        <w:tblLook w:val="04A0" w:firstRow="1" w:lastRow="0" w:firstColumn="1" w:lastColumn="0" w:noHBand="0" w:noVBand="1"/>
      </w:tblPr>
      <w:tblGrid>
        <w:gridCol w:w="3261"/>
        <w:gridCol w:w="4101"/>
        <w:gridCol w:w="2148"/>
        <w:gridCol w:w="1757"/>
        <w:gridCol w:w="3034"/>
      </w:tblGrid>
      <w:tr w:rsidR="00686DC7" w14:paraId="1E9B7928" w14:textId="77777777" w:rsidTr="008271BE">
        <w:trPr>
          <w:tblHeader/>
        </w:trPr>
        <w:tc>
          <w:tcPr>
            <w:tcW w:w="14301" w:type="dxa"/>
            <w:gridSpan w:val="5"/>
            <w:shd w:val="clear" w:color="auto" w:fill="auto"/>
            <w:vAlign w:val="center"/>
          </w:tcPr>
          <w:p w14:paraId="4531B28C" w14:textId="610106A1" w:rsidR="00686DC7" w:rsidRPr="0008531A" w:rsidRDefault="003F5EE8" w:rsidP="00167396">
            <w:pPr>
              <w:pStyle w:val="Table"/>
              <w:spacing w:after="40"/>
              <w:rPr>
                <w:b/>
                <w:sz w:val="24"/>
                <w:szCs w:val="24"/>
              </w:rPr>
            </w:pPr>
            <w:bookmarkStart w:id="63" w:name="_Toc465428253"/>
            <w:r w:rsidRPr="003F5EE8">
              <w:rPr>
                <w:rStyle w:val="Heading3Char"/>
              </w:rPr>
              <w:lastRenderedPageBreak/>
              <w:t xml:space="preserve">Table </w:t>
            </w:r>
            <w:r w:rsidR="00686DC7" w:rsidRPr="003F5EE8">
              <w:rPr>
                <w:rStyle w:val="Heading3Char"/>
              </w:rPr>
              <w:t>Focus Area 1</w:t>
            </w:r>
            <w:bookmarkEnd w:id="63"/>
            <w:r w:rsidR="00686DC7" w:rsidRPr="0008531A">
              <w:rPr>
                <w:b/>
                <w:sz w:val="24"/>
                <w:szCs w:val="24"/>
              </w:rPr>
              <w:t>: Developing positive community attitudes and behaviours towards people with disability</w:t>
            </w:r>
          </w:p>
        </w:tc>
      </w:tr>
      <w:tr w:rsidR="002C141E" w14:paraId="62F34C4B" w14:textId="77777777" w:rsidTr="008271BE">
        <w:trPr>
          <w:tblHeader/>
        </w:trPr>
        <w:tc>
          <w:tcPr>
            <w:tcW w:w="3261" w:type="dxa"/>
          </w:tcPr>
          <w:p w14:paraId="4D83B445" w14:textId="618D1BBD" w:rsidR="00686DC7" w:rsidRPr="00FC11A6" w:rsidRDefault="00686DC7" w:rsidP="00EB6A3B">
            <w:pPr>
              <w:pStyle w:val="Table"/>
              <w:rPr>
                <w:b/>
              </w:rPr>
            </w:pPr>
            <w:r w:rsidRPr="00FC11A6">
              <w:rPr>
                <w:b/>
              </w:rPr>
              <w:t>Outcome</w:t>
            </w:r>
          </w:p>
        </w:tc>
        <w:tc>
          <w:tcPr>
            <w:tcW w:w="4101" w:type="dxa"/>
          </w:tcPr>
          <w:p w14:paraId="50A79282" w14:textId="5CAF7AF4" w:rsidR="00686DC7" w:rsidRPr="00FC11A6" w:rsidRDefault="00686DC7" w:rsidP="00EB6A3B">
            <w:pPr>
              <w:pStyle w:val="Table"/>
              <w:rPr>
                <w:b/>
              </w:rPr>
            </w:pPr>
            <w:r w:rsidRPr="00FC11A6">
              <w:rPr>
                <w:b/>
              </w:rPr>
              <w:t>Action</w:t>
            </w:r>
          </w:p>
        </w:tc>
        <w:tc>
          <w:tcPr>
            <w:tcW w:w="2148" w:type="dxa"/>
          </w:tcPr>
          <w:p w14:paraId="47AC5E17" w14:textId="066DEC38" w:rsidR="00686DC7" w:rsidRPr="00FC11A6" w:rsidRDefault="00686DC7" w:rsidP="00EB6A3B">
            <w:pPr>
              <w:pStyle w:val="Table"/>
              <w:rPr>
                <w:b/>
              </w:rPr>
            </w:pPr>
            <w:r w:rsidRPr="00FC11A6">
              <w:rPr>
                <w:b/>
              </w:rPr>
              <w:t>Targeted Area</w:t>
            </w:r>
          </w:p>
        </w:tc>
        <w:tc>
          <w:tcPr>
            <w:tcW w:w="1757" w:type="dxa"/>
          </w:tcPr>
          <w:p w14:paraId="3AA28288" w14:textId="0FEFAC8C" w:rsidR="00686DC7" w:rsidRPr="00FC11A6" w:rsidRDefault="00686DC7" w:rsidP="00EB6A3B">
            <w:pPr>
              <w:pStyle w:val="Table"/>
              <w:rPr>
                <w:b/>
              </w:rPr>
            </w:pPr>
            <w:r w:rsidRPr="00FC11A6">
              <w:rPr>
                <w:b/>
              </w:rPr>
              <w:t>Timeframe</w:t>
            </w:r>
          </w:p>
        </w:tc>
        <w:tc>
          <w:tcPr>
            <w:tcW w:w="3034" w:type="dxa"/>
          </w:tcPr>
          <w:p w14:paraId="07765DA6" w14:textId="40874055" w:rsidR="00686DC7" w:rsidRPr="00FC11A6" w:rsidRDefault="00686DC7" w:rsidP="00EB6A3B">
            <w:pPr>
              <w:pStyle w:val="Table"/>
              <w:rPr>
                <w:b/>
              </w:rPr>
            </w:pPr>
            <w:r w:rsidRPr="00FC11A6">
              <w:rPr>
                <w:b/>
              </w:rPr>
              <w:t>Responsibility</w:t>
            </w:r>
          </w:p>
        </w:tc>
      </w:tr>
      <w:tr w:rsidR="002C141E" w14:paraId="5F0C75CB" w14:textId="77777777" w:rsidTr="008271BE">
        <w:tc>
          <w:tcPr>
            <w:tcW w:w="3261" w:type="dxa"/>
          </w:tcPr>
          <w:p w14:paraId="2AC2D2C8" w14:textId="66AF2D6A" w:rsidR="00686DC7" w:rsidRPr="00E50CC7" w:rsidRDefault="00686DC7" w:rsidP="00E50CC7">
            <w:pPr>
              <w:pStyle w:val="Table"/>
            </w:pPr>
            <w:r w:rsidRPr="00E50CC7">
              <w:t>1.1 Key organisational strategies promote and support disability awareness and inclusive practices</w:t>
            </w:r>
          </w:p>
        </w:tc>
        <w:tc>
          <w:tcPr>
            <w:tcW w:w="4101" w:type="dxa"/>
          </w:tcPr>
          <w:p w14:paraId="0F1D0DF6" w14:textId="31B7513D" w:rsidR="00686DC7" w:rsidRPr="005373DD" w:rsidRDefault="00EB6A3B" w:rsidP="00E50CC7">
            <w:pPr>
              <w:pStyle w:val="Table"/>
              <w:rPr>
                <w:color w:val="000000" w:themeColor="text1"/>
              </w:rPr>
            </w:pPr>
            <w:r w:rsidRPr="005373DD">
              <w:rPr>
                <w:color w:val="000000" w:themeColor="text1"/>
              </w:rPr>
              <w:t>1.1.1 Establish an executive disability champion role for employees</w:t>
            </w:r>
          </w:p>
        </w:tc>
        <w:tc>
          <w:tcPr>
            <w:tcW w:w="2148" w:type="dxa"/>
          </w:tcPr>
          <w:p w14:paraId="68AD5EE5" w14:textId="72986102" w:rsidR="00686DC7" w:rsidRPr="005373DD" w:rsidRDefault="00EB6A3B" w:rsidP="00E50CC7">
            <w:pPr>
              <w:pStyle w:val="Table"/>
              <w:rPr>
                <w:color w:val="000000" w:themeColor="text1"/>
              </w:rPr>
            </w:pPr>
            <w:r w:rsidRPr="005373DD">
              <w:rPr>
                <w:color w:val="000000" w:themeColor="text1"/>
              </w:rPr>
              <w:t>Senior Executives</w:t>
            </w:r>
          </w:p>
        </w:tc>
        <w:tc>
          <w:tcPr>
            <w:tcW w:w="1757" w:type="dxa"/>
          </w:tcPr>
          <w:p w14:paraId="5E1E70CC" w14:textId="3A5534F2" w:rsidR="00686DC7" w:rsidRPr="005373DD" w:rsidRDefault="00014D94" w:rsidP="00E50CC7">
            <w:pPr>
              <w:pStyle w:val="Table"/>
              <w:rPr>
                <w:color w:val="000000" w:themeColor="text1"/>
              </w:rPr>
            </w:pPr>
            <w:r w:rsidRPr="005373DD">
              <w:rPr>
                <w:color w:val="000000" w:themeColor="text1"/>
              </w:rPr>
              <w:t xml:space="preserve"> April 20</w:t>
            </w:r>
            <w:r w:rsidR="00873CAA" w:rsidRPr="005373DD">
              <w:rPr>
                <w:color w:val="000000" w:themeColor="text1"/>
              </w:rPr>
              <w:t>1</w:t>
            </w:r>
            <w:r w:rsidRPr="005373DD">
              <w:rPr>
                <w:color w:val="000000" w:themeColor="text1"/>
              </w:rPr>
              <w:t>8</w:t>
            </w:r>
          </w:p>
        </w:tc>
        <w:tc>
          <w:tcPr>
            <w:tcW w:w="3034" w:type="dxa"/>
          </w:tcPr>
          <w:p w14:paraId="50DA3ABE" w14:textId="0F9B9219" w:rsidR="00686DC7" w:rsidRPr="005373DD" w:rsidRDefault="00EB6A3B" w:rsidP="00E50CC7">
            <w:pPr>
              <w:pStyle w:val="Table"/>
              <w:rPr>
                <w:color w:val="000000" w:themeColor="text1"/>
              </w:rPr>
            </w:pPr>
            <w:r w:rsidRPr="005373DD">
              <w:rPr>
                <w:color w:val="000000" w:themeColor="text1"/>
              </w:rPr>
              <w:t>Human Resources Directorate (Strategy &amp; Governance)</w:t>
            </w:r>
          </w:p>
        </w:tc>
      </w:tr>
      <w:tr w:rsidR="00686DC7" w14:paraId="051C4E62" w14:textId="77777777" w:rsidTr="008271BE">
        <w:tc>
          <w:tcPr>
            <w:tcW w:w="3261" w:type="dxa"/>
          </w:tcPr>
          <w:p w14:paraId="21DDEFF5" w14:textId="4D04573A" w:rsidR="00686DC7" w:rsidRPr="00E50CC7" w:rsidRDefault="00EB6A3B" w:rsidP="00E50CC7">
            <w:pPr>
              <w:pStyle w:val="Table"/>
            </w:pPr>
            <w:r w:rsidRPr="00E50CC7">
              <w:t>1.1 Key organisational strategies promote and support disability awareness and inclusive practices</w:t>
            </w:r>
          </w:p>
        </w:tc>
        <w:tc>
          <w:tcPr>
            <w:tcW w:w="4101" w:type="dxa"/>
          </w:tcPr>
          <w:p w14:paraId="5A4B3D54" w14:textId="1B66B0CD" w:rsidR="00686DC7" w:rsidRPr="005373DD" w:rsidRDefault="00EB6A3B" w:rsidP="00E50CC7">
            <w:pPr>
              <w:pStyle w:val="Table"/>
              <w:rPr>
                <w:color w:val="000000" w:themeColor="text1"/>
              </w:rPr>
            </w:pPr>
            <w:r w:rsidRPr="005373DD">
              <w:rPr>
                <w:color w:val="000000" w:themeColor="text1"/>
              </w:rPr>
              <w:t>1.1.2 Promote the Human Rights Commission learning and development resource ‘Upholding the Rights of People with Disability in Policy and Project Work’ to departmental employees who work in policy and project officer roles</w:t>
            </w:r>
          </w:p>
        </w:tc>
        <w:tc>
          <w:tcPr>
            <w:tcW w:w="2148" w:type="dxa"/>
          </w:tcPr>
          <w:p w14:paraId="137CA99E" w14:textId="5B40EEF7" w:rsidR="00686DC7" w:rsidRPr="005373DD" w:rsidRDefault="00EB6A3B" w:rsidP="00E50CC7">
            <w:pPr>
              <w:pStyle w:val="Table"/>
              <w:rPr>
                <w:color w:val="000000" w:themeColor="text1"/>
              </w:rPr>
            </w:pPr>
            <w:r w:rsidRPr="005373DD">
              <w:rPr>
                <w:color w:val="000000" w:themeColor="text1"/>
              </w:rPr>
              <w:t>Departmental employees who work in policy and project officer roles</w:t>
            </w:r>
          </w:p>
        </w:tc>
        <w:tc>
          <w:tcPr>
            <w:tcW w:w="1757" w:type="dxa"/>
          </w:tcPr>
          <w:p w14:paraId="3083CDAB" w14:textId="2F33C5F3" w:rsidR="00686DC7" w:rsidRPr="005373DD" w:rsidRDefault="00EB6A3B" w:rsidP="00E50CC7">
            <w:pPr>
              <w:pStyle w:val="Table"/>
              <w:rPr>
                <w:color w:val="000000" w:themeColor="text1"/>
              </w:rPr>
            </w:pPr>
            <w:r w:rsidRPr="005373DD">
              <w:rPr>
                <w:color w:val="000000" w:themeColor="text1"/>
              </w:rPr>
              <w:t>On-going</w:t>
            </w:r>
          </w:p>
        </w:tc>
        <w:tc>
          <w:tcPr>
            <w:tcW w:w="3034" w:type="dxa"/>
          </w:tcPr>
          <w:p w14:paraId="4B75E699" w14:textId="1D2839A2" w:rsidR="00686DC7" w:rsidRPr="005373DD" w:rsidRDefault="00EB6A3B" w:rsidP="00E50CC7">
            <w:pPr>
              <w:pStyle w:val="Table"/>
              <w:rPr>
                <w:color w:val="000000" w:themeColor="text1"/>
              </w:rPr>
            </w:pPr>
            <w:r w:rsidRPr="005373DD">
              <w:rPr>
                <w:color w:val="000000" w:themeColor="text1"/>
              </w:rPr>
              <w:t>Human Resources Directorate (Talent Management – Corporate Talent)</w:t>
            </w:r>
          </w:p>
        </w:tc>
      </w:tr>
      <w:tr w:rsidR="00686DC7" w14:paraId="53967E07" w14:textId="77777777" w:rsidTr="008271BE">
        <w:tc>
          <w:tcPr>
            <w:tcW w:w="3261" w:type="dxa"/>
          </w:tcPr>
          <w:p w14:paraId="707C9145" w14:textId="3A93386B" w:rsidR="00686DC7" w:rsidRPr="00E50CC7" w:rsidRDefault="00EB6A3B" w:rsidP="00E50CC7">
            <w:pPr>
              <w:pStyle w:val="Table"/>
            </w:pPr>
            <w:r w:rsidRPr="00E50CC7">
              <w:t>1.1 Key organisational strategies promote and support disability awareness and inclusive practices</w:t>
            </w:r>
          </w:p>
        </w:tc>
        <w:tc>
          <w:tcPr>
            <w:tcW w:w="4101" w:type="dxa"/>
          </w:tcPr>
          <w:p w14:paraId="75DE047E" w14:textId="6032AF51" w:rsidR="00686DC7" w:rsidRPr="005373DD" w:rsidRDefault="00EB6A3B" w:rsidP="00E50CC7">
            <w:pPr>
              <w:pStyle w:val="Table"/>
              <w:rPr>
                <w:color w:val="000000" w:themeColor="text1"/>
              </w:rPr>
            </w:pPr>
            <w:r w:rsidRPr="005373DD">
              <w:rPr>
                <w:color w:val="000000" w:themeColor="text1"/>
              </w:rPr>
              <w:t>1.1.3 Publish positive stories about Departmental initiatives and employees with disability through the Department’s web content and publications</w:t>
            </w:r>
          </w:p>
        </w:tc>
        <w:tc>
          <w:tcPr>
            <w:tcW w:w="2148" w:type="dxa"/>
          </w:tcPr>
          <w:p w14:paraId="615F3C59" w14:textId="78146CA4" w:rsidR="00686DC7" w:rsidRPr="005373DD" w:rsidRDefault="00EB6A3B" w:rsidP="00E50CC7">
            <w:pPr>
              <w:pStyle w:val="Table"/>
              <w:rPr>
                <w:color w:val="000000" w:themeColor="text1"/>
              </w:rPr>
            </w:pPr>
            <w:r w:rsidRPr="005373DD">
              <w:rPr>
                <w:color w:val="000000" w:themeColor="text1"/>
              </w:rPr>
              <w:t>All employees</w:t>
            </w:r>
          </w:p>
        </w:tc>
        <w:tc>
          <w:tcPr>
            <w:tcW w:w="1757" w:type="dxa"/>
          </w:tcPr>
          <w:p w14:paraId="1D9B15CD" w14:textId="60849E3F" w:rsidR="00686DC7" w:rsidRPr="005373DD" w:rsidRDefault="00014D94" w:rsidP="00E50CC7">
            <w:pPr>
              <w:pStyle w:val="Table"/>
              <w:rPr>
                <w:color w:val="000000" w:themeColor="text1"/>
              </w:rPr>
            </w:pPr>
            <w:r w:rsidRPr="005373DD">
              <w:rPr>
                <w:color w:val="000000" w:themeColor="text1"/>
              </w:rPr>
              <w:t xml:space="preserve"> July 2018</w:t>
            </w:r>
          </w:p>
        </w:tc>
        <w:tc>
          <w:tcPr>
            <w:tcW w:w="3034" w:type="dxa"/>
          </w:tcPr>
          <w:p w14:paraId="05136FB8" w14:textId="77777777" w:rsidR="00EB6A3B" w:rsidRPr="005373DD" w:rsidRDefault="00EB6A3B" w:rsidP="00E50CC7">
            <w:pPr>
              <w:pStyle w:val="Table"/>
              <w:rPr>
                <w:color w:val="000000" w:themeColor="text1"/>
              </w:rPr>
            </w:pPr>
            <w:r w:rsidRPr="005373DD">
              <w:rPr>
                <w:color w:val="000000" w:themeColor="text1"/>
              </w:rPr>
              <w:t>Human Resources Directorate (Strategy &amp; Governance)</w:t>
            </w:r>
          </w:p>
          <w:p w14:paraId="61A0096D" w14:textId="55B19B44" w:rsidR="00686DC7" w:rsidRPr="005373DD" w:rsidRDefault="00EB6A3B" w:rsidP="00E50CC7">
            <w:pPr>
              <w:pStyle w:val="Table"/>
              <w:rPr>
                <w:color w:val="000000" w:themeColor="text1"/>
              </w:rPr>
            </w:pPr>
            <w:r w:rsidRPr="005373DD">
              <w:rPr>
                <w:color w:val="000000" w:themeColor="text1"/>
              </w:rPr>
              <w:t>Communications and Engagement</w:t>
            </w:r>
          </w:p>
        </w:tc>
      </w:tr>
      <w:tr w:rsidR="00EB6A3B" w14:paraId="0C568EE0" w14:textId="77777777" w:rsidTr="008271BE">
        <w:tc>
          <w:tcPr>
            <w:tcW w:w="3261" w:type="dxa"/>
          </w:tcPr>
          <w:p w14:paraId="610AC333" w14:textId="6FB3E6E9" w:rsidR="00EB6A3B" w:rsidRPr="00E50CC7" w:rsidRDefault="00EB6A3B" w:rsidP="00E50CC7">
            <w:pPr>
              <w:pStyle w:val="Table"/>
            </w:pPr>
            <w:r w:rsidRPr="00E50CC7">
              <w:t>1.2 Increased employee awareness and acceptance of the rights of people with disability, and improved inclusive practices</w:t>
            </w:r>
          </w:p>
        </w:tc>
        <w:tc>
          <w:tcPr>
            <w:tcW w:w="4101" w:type="dxa"/>
          </w:tcPr>
          <w:p w14:paraId="74EF7249" w14:textId="345A2260" w:rsidR="00EB6A3B" w:rsidRPr="005373DD" w:rsidRDefault="00EB6A3B" w:rsidP="00E50CC7">
            <w:pPr>
              <w:pStyle w:val="Table"/>
              <w:rPr>
                <w:color w:val="000000" w:themeColor="text1"/>
              </w:rPr>
            </w:pPr>
            <w:r w:rsidRPr="005373DD">
              <w:rPr>
                <w:color w:val="000000" w:themeColor="text1"/>
              </w:rPr>
              <w:t xml:space="preserve">1.2.1 Promote opportunities for staff to participate in activities and campaigns which foster and celebrate disability inclusion and culture and recognise achievements, through the Don’t Dis my ABILITY campaign and </w:t>
            </w:r>
            <w:r w:rsidRPr="005373DD">
              <w:rPr>
                <w:color w:val="000000" w:themeColor="text1"/>
              </w:rPr>
              <w:lastRenderedPageBreak/>
              <w:t>International Day of People with Disability</w:t>
            </w:r>
          </w:p>
        </w:tc>
        <w:tc>
          <w:tcPr>
            <w:tcW w:w="2148" w:type="dxa"/>
          </w:tcPr>
          <w:p w14:paraId="210056E7" w14:textId="102437C7" w:rsidR="00EB6A3B" w:rsidRPr="005373DD" w:rsidRDefault="00EB6A3B" w:rsidP="00E50CC7">
            <w:pPr>
              <w:pStyle w:val="Table"/>
              <w:rPr>
                <w:color w:val="000000" w:themeColor="text1"/>
              </w:rPr>
            </w:pPr>
            <w:r w:rsidRPr="005373DD">
              <w:rPr>
                <w:color w:val="000000" w:themeColor="text1"/>
              </w:rPr>
              <w:lastRenderedPageBreak/>
              <w:t>All employees</w:t>
            </w:r>
          </w:p>
        </w:tc>
        <w:tc>
          <w:tcPr>
            <w:tcW w:w="1757" w:type="dxa"/>
          </w:tcPr>
          <w:p w14:paraId="2512A37A" w14:textId="5AB7B84B" w:rsidR="00EB6A3B" w:rsidRPr="005373DD" w:rsidRDefault="00014D94" w:rsidP="00E50CC7">
            <w:pPr>
              <w:pStyle w:val="Table"/>
              <w:rPr>
                <w:color w:val="000000" w:themeColor="text1"/>
              </w:rPr>
            </w:pPr>
            <w:r w:rsidRPr="005373DD">
              <w:rPr>
                <w:color w:val="000000" w:themeColor="text1"/>
              </w:rPr>
              <w:t xml:space="preserve"> April 2018</w:t>
            </w:r>
          </w:p>
        </w:tc>
        <w:tc>
          <w:tcPr>
            <w:tcW w:w="3034" w:type="dxa"/>
          </w:tcPr>
          <w:p w14:paraId="79D42557" w14:textId="77777777" w:rsidR="00EB6A3B" w:rsidRPr="005373DD" w:rsidRDefault="00EB6A3B" w:rsidP="00E50CC7">
            <w:pPr>
              <w:pStyle w:val="Table"/>
              <w:rPr>
                <w:color w:val="000000" w:themeColor="text1"/>
              </w:rPr>
            </w:pPr>
            <w:r w:rsidRPr="005373DD">
              <w:rPr>
                <w:color w:val="000000" w:themeColor="text1"/>
              </w:rPr>
              <w:t>Human Resources Directorate (Strategy &amp; Governance)</w:t>
            </w:r>
          </w:p>
          <w:p w14:paraId="571644B4" w14:textId="5AA97FD4" w:rsidR="00EB6A3B" w:rsidRPr="005373DD" w:rsidRDefault="00EB6A3B" w:rsidP="00E50CC7">
            <w:pPr>
              <w:pStyle w:val="Table"/>
              <w:rPr>
                <w:color w:val="000000" w:themeColor="text1"/>
              </w:rPr>
            </w:pPr>
            <w:r w:rsidRPr="005373DD">
              <w:rPr>
                <w:color w:val="000000" w:themeColor="text1"/>
              </w:rPr>
              <w:t>Communications and Engagement</w:t>
            </w:r>
          </w:p>
        </w:tc>
      </w:tr>
      <w:tr w:rsidR="00E41151" w14:paraId="61698767" w14:textId="77777777" w:rsidTr="008271BE">
        <w:tc>
          <w:tcPr>
            <w:tcW w:w="3261" w:type="dxa"/>
          </w:tcPr>
          <w:p w14:paraId="2B89580D" w14:textId="3A9A12F0" w:rsidR="00E41151" w:rsidRPr="00E50CC7" w:rsidRDefault="009702AE" w:rsidP="00E50CC7">
            <w:pPr>
              <w:pStyle w:val="Table"/>
            </w:pPr>
            <w:r w:rsidRPr="00E50CC7">
              <w:t>1.2 Increased employee awareness and acceptance of the rights of people with disability, and improved inclusive practices</w:t>
            </w:r>
          </w:p>
        </w:tc>
        <w:tc>
          <w:tcPr>
            <w:tcW w:w="4101" w:type="dxa"/>
          </w:tcPr>
          <w:p w14:paraId="4F03C2C3" w14:textId="593C0C05" w:rsidR="00E41151" w:rsidRPr="005373DD" w:rsidRDefault="00E41151" w:rsidP="00E50CC7">
            <w:pPr>
              <w:pStyle w:val="Table"/>
              <w:rPr>
                <w:color w:val="000000" w:themeColor="text1"/>
              </w:rPr>
            </w:pPr>
            <w:r w:rsidRPr="005373DD">
              <w:rPr>
                <w:color w:val="000000" w:themeColor="text1"/>
              </w:rPr>
              <w:t xml:space="preserve">1.2.2 Encourage more staff to complete elearning modules on the </w:t>
            </w:r>
            <w:r w:rsidRPr="005373DD">
              <w:rPr>
                <w:i/>
                <w:color w:val="000000" w:themeColor="text1"/>
              </w:rPr>
              <w:t>Disability Discrimination Act 1992</w:t>
            </w:r>
            <w:r w:rsidRPr="005373DD">
              <w:rPr>
                <w:color w:val="000000" w:themeColor="text1"/>
              </w:rPr>
              <w:t xml:space="preserve"> and </w:t>
            </w:r>
            <w:r w:rsidRPr="005373DD">
              <w:rPr>
                <w:i/>
                <w:color w:val="000000" w:themeColor="text1"/>
              </w:rPr>
              <w:t>Disability Standards for Education 2005</w:t>
            </w:r>
            <w:r w:rsidRPr="005373DD">
              <w:rPr>
                <w:color w:val="000000" w:themeColor="text1"/>
              </w:rPr>
              <w:t xml:space="preserve"> about their obligations to students with disability and their parents and carers</w:t>
            </w:r>
          </w:p>
        </w:tc>
        <w:tc>
          <w:tcPr>
            <w:tcW w:w="2148" w:type="dxa"/>
          </w:tcPr>
          <w:p w14:paraId="5E539D16" w14:textId="6A8A7F17" w:rsidR="00E41151" w:rsidRPr="005373DD" w:rsidRDefault="00E41151" w:rsidP="00E50CC7">
            <w:pPr>
              <w:pStyle w:val="Table"/>
              <w:rPr>
                <w:color w:val="000000" w:themeColor="text1"/>
              </w:rPr>
            </w:pPr>
            <w:r w:rsidRPr="005373DD">
              <w:rPr>
                <w:color w:val="000000" w:themeColor="text1"/>
              </w:rPr>
              <w:t>Schools</w:t>
            </w:r>
          </w:p>
        </w:tc>
        <w:tc>
          <w:tcPr>
            <w:tcW w:w="1757" w:type="dxa"/>
          </w:tcPr>
          <w:p w14:paraId="48BE448F" w14:textId="55CC9EA8" w:rsidR="00E41151" w:rsidRPr="005373DD" w:rsidRDefault="00E41151" w:rsidP="00E50CC7">
            <w:pPr>
              <w:pStyle w:val="Table"/>
              <w:rPr>
                <w:color w:val="000000" w:themeColor="text1"/>
              </w:rPr>
            </w:pPr>
            <w:r w:rsidRPr="005373DD">
              <w:rPr>
                <w:color w:val="000000" w:themeColor="text1"/>
              </w:rPr>
              <w:t>On-going</w:t>
            </w:r>
          </w:p>
        </w:tc>
        <w:tc>
          <w:tcPr>
            <w:tcW w:w="3034" w:type="dxa"/>
          </w:tcPr>
          <w:p w14:paraId="46590D8C" w14:textId="47BD3D82" w:rsidR="00E41151" w:rsidRPr="005373DD" w:rsidRDefault="00E41151" w:rsidP="00E50CC7">
            <w:pPr>
              <w:pStyle w:val="Table"/>
              <w:rPr>
                <w:color w:val="000000" w:themeColor="text1"/>
              </w:rPr>
            </w:pPr>
            <w:r w:rsidRPr="005373DD">
              <w:rPr>
                <w:color w:val="000000" w:themeColor="text1"/>
              </w:rPr>
              <w:t>Learning and Wellbeing, Schools Operations and Performance</w:t>
            </w:r>
          </w:p>
        </w:tc>
      </w:tr>
      <w:tr w:rsidR="00E41151" w14:paraId="3027B893" w14:textId="77777777" w:rsidTr="008271BE">
        <w:tc>
          <w:tcPr>
            <w:tcW w:w="3261" w:type="dxa"/>
          </w:tcPr>
          <w:p w14:paraId="517341C0" w14:textId="43D54E70" w:rsidR="00E41151" w:rsidRPr="00E50CC7" w:rsidRDefault="009702AE" w:rsidP="00E50CC7">
            <w:pPr>
              <w:pStyle w:val="Table"/>
            </w:pPr>
            <w:r w:rsidRPr="00E50CC7">
              <w:t>1.2 Increased employee awareness and acceptance of the rights of people with disability, and improved inclusive practices</w:t>
            </w:r>
          </w:p>
        </w:tc>
        <w:tc>
          <w:tcPr>
            <w:tcW w:w="4101" w:type="dxa"/>
          </w:tcPr>
          <w:p w14:paraId="4DAE4C8C" w14:textId="29106367" w:rsidR="00E41151" w:rsidRPr="005373DD" w:rsidRDefault="00FC11A6" w:rsidP="00E50CC7">
            <w:pPr>
              <w:pStyle w:val="Table"/>
              <w:rPr>
                <w:color w:val="000000" w:themeColor="text1"/>
              </w:rPr>
            </w:pPr>
            <w:r w:rsidRPr="005373DD">
              <w:rPr>
                <w:color w:val="000000" w:themeColor="text1"/>
              </w:rPr>
              <w:t>1.2.3 Build disability awareness training into the employee induction program for corporate employees</w:t>
            </w:r>
          </w:p>
        </w:tc>
        <w:tc>
          <w:tcPr>
            <w:tcW w:w="2148" w:type="dxa"/>
          </w:tcPr>
          <w:p w14:paraId="32BB82FB" w14:textId="5C539A21" w:rsidR="00E41151" w:rsidRPr="005373DD" w:rsidRDefault="00FC11A6" w:rsidP="00E50CC7">
            <w:pPr>
              <w:pStyle w:val="Table"/>
              <w:rPr>
                <w:color w:val="000000" w:themeColor="text1"/>
              </w:rPr>
            </w:pPr>
            <w:r w:rsidRPr="005373DD">
              <w:rPr>
                <w:color w:val="000000" w:themeColor="text1"/>
              </w:rPr>
              <w:t>All corporate employees</w:t>
            </w:r>
          </w:p>
        </w:tc>
        <w:tc>
          <w:tcPr>
            <w:tcW w:w="1757" w:type="dxa"/>
          </w:tcPr>
          <w:p w14:paraId="5E9CB524" w14:textId="5525F42E" w:rsidR="00E41151" w:rsidRPr="005373DD" w:rsidRDefault="00404BC7" w:rsidP="00E50CC7">
            <w:pPr>
              <w:pStyle w:val="Table"/>
              <w:rPr>
                <w:color w:val="000000" w:themeColor="text1"/>
              </w:rPr>
            </w:pPr>
            <w:r w:rsidRPr="005373DD">
              <w:rPr>
                <w:color w:val="000000" w:themeColor="text1"/>
              </w:rPr>
              <w:t xml:space="preserve"> June 2019</w:t>
            </w:r>
          </w:p>
        </w:tc>
        <w:tc>
          <w:tcPr>
            <w:tcW w:w="3034" w:type="dxa"/>
          </w:tcPr>
          <w:p w14:paraId="3CDE1DBD" w14:textId="1EB1D3AF" w:rsidR="00E41151" w:rsidRPr="005373DD" w:rsidRDefault="00FC11A6" w:rsidP="00E50CC7">
            <w:pPr>
              <w:pStyle w:val="Table"/>
              <w:rPr>
                <w:color w:val="000000" w:themeColor="text1"/>
              </w:rPr>
            </w:pPr>
            <w:r w:rsidRPr="005373DD">
              <w:rPr>
                <w:color w:val="000000" w:themeColor="text1"/>
              </w:rPr>
              <w:t>Human Resources Directorate (Talent Management – Learning Design &amp; Evaluation)</w:t>
            </w:r>
          </w:p>
        </w:tc>
      </w:tr>
      <w:tr w:rsidR="00E41151" w14:paraId="7ED4D4DB" w14:textId="77777777" w:rsidTr="008271BE">
        <w:tc>
          <w:tcPr>
            <w:tcW w:w="3261" w:type="dxa"/>
          </w:tcPr>
          <w:p w14:paraId="24FE8815" w14:textId="692F02F0" w:rsidR="00E41151" w:rsidRPr="00E50CC7" w:rsidRDefault="009702AE" w:rsidP="00E50CC7">
            <w:pPr>
              <w:pStyle w:val="Table"/>
            </w:pPr>
            <w:r w:rsidRPr="00E50CC7">
              <w:t>1.2 Increased employee awareness and acceptance of the rights of people with disability, and improved inclusive practices</w:t>
            </w:r>
          </w:p>
        </w:tc>
        <w:tc>
          <w:tcPr>
            <w:tcW w:w="4101" w:type="dxa"/>
          </w:tcPr>
          <w:p w14:paraId="53B742C1" w14:textId="3F557044" w:rsidR="00E41151" w:rsidRPr="005373DD" w:rsidRDefault="00FC11A6" w:rsidP="00E50CC7">
            <w:pPr>
              <w:pStyle w:val="Table"/>
              <w:rPr>
                <w:color w:val="000000" w:themeColor="text1"/>
              </w:rPr>
            </w:pPr>
            <w:r w:rsidRPr="005373DD">
              <w:rPr>
                <w:color w:val="000000" w:themeColor="text1"/>
              </w:rPr>
              <w:t>1.2.4 Build disability awareness training into the manager induction program for corporate employees</w:t>
            </w:r>
          </w:p>
        </w:tc>
        <w:tc>
          <w:tcPr>
            <w:tcW w:w="2148" w:type="dxa"/>
          </w:tcPr>
          <w:p w14:paraId="3888B7A3" w14:textId="6A54F88D" w:rsidR="00E41151" w:rsidRPr="005373DD" w:rsidRDefault="00FC11A6" w:rsidP="00E50CC7">
            <w:pPr>
              <w:pStyle w:val="Table"/>
              <w:rPr>
                <w:color w:val="000000" w:themeColor="text1"/>
              </w:rPr>
            </w:pPr>
            <w:r w:rsidRPr="005373DD">
              <w:rPr>
                <w:color w:val="000000" w:themeColor="text1"/>
              </w:rPr>
              <w:t>All corporate managers</w:t>
            </w:r>
          </w:p>
        </w:tc>
        <w:tc>
          <w:tcPr>
            <w:tcW w:w="1757" w:type="dxa"/>
          </w:tcPr>
          <w:p w14:paraId="6FF9B3AA" w14:textId="2C1567DF" w:rsidR="00E41151" w:rsidRPr="005373DD" w:rsidRDefault="00BD49D0" w:rsidP="00E50CC7">
            <w:pPr>
              <w:pStyle w:val="Table"/>
              <w:rPr>
                <w:color w:val="000000" w:themeColor="text1"/>
              </w:rPr>
            </w:pPr>
            <w:r w:rsidRPr="005373DD">
              <w:rPr>
                <w:color w:val="000000" w:themeColor="text1"/>
              </w:rPr>
              <w:t xml:space="preserve"> June 2018</w:t>
            </w:r>
          </w:p>
        </w:tc>
        <w:tc>
          <w:tcPr>
            <w:tcW w:w="3034" w:type="dxa"/>
          </w:tcPr>
          <w:p w14:paraId="330B5549" w14:textId="77777777" w:rsidR="009D71BA" w:rsidRPr="005373DD" w:rsidRDefault="009D71BA" w:rsidP="00E50CC7">
            <w:pPr>
              <w:pStyle w:val="Table"/>
              <w:rPr>
                <w:color w:val="000000" w:themeColor="text1"/>
              </w:rPr>
            </w:pPr>
            <w:r w:rsidRPr="005373DD">
              <w:rPr>
                <w:color w:val="000000" w:themeColor="text1"/>
              </w:rPr>
              <w:t>Human Resources Directorate</w:t>
            </w:r>
          </w:p>
          <w:p w14:paraId="596E7D96" w14:textId="54D3AE0E" w:rsidR="00E41151" w:rsidRPr="005373DD" w:rsidRDefault="00FC11A6" w:rsidP="00E50CC7">
            <w:pPr>
              <w:pStyle w:val="Table"/>
              <w:rPr>
                <w:color w:val="000000" w:themeColor="text1"/>
              </w:rPr>
            </w:pPr>
            <w:r w:rsidRPr="005373DD">
              <w:rPr>
                <w:color w:val="000000" w:themeColor="text1"/>
              </w:rPr>
              <w:t>(Talent Management – Learning Design &amp; Evaluation)</w:t>
            </w:r>
          </w:p>
        </w:tc>
      </w:tr>
      <w:tr w:rsidR="00E41151" w14:paraId="3D506D55" w14:textId="77777777" w:rsidTr="008271BE">
        <w:tc>
          <w:tcPr>
            <w:tcW w:w="3261" w:type="dxa"/>
          </w:tcPr>
          <w:p w14:paraId="790B460B" w14:textId="537AB16A" w:rsidR="00E41151" w:rsidRPr="00E50CC7" w:rsidRDefault="00FC11A6" w:rsidP="00E50CC7">
            <w:pPr>
              <w:pStyle w:val="Table"/>
            </w:pPr>
            <w:r w:rsidRPr="00E50CC7">
              <w:t xml:space="preserve">1.3 Identification of additional workforce related actions to support positive changes in </w:t>
            </w:r>
            <w:r w:rsidRPr="00E50CC7">
              <w:lastRenderedPageBreak/>
              <w:t>community attitudes and behaviour</w:t>
            </w:r>
          </w:p>
        </w:tc>
        <w:tc>
          <w:tcPr>
            <w:tcW w:w="4101" w:type="dxa"/>
          </w:tcPr>
          <w:p w14:paraId="408B0A3C" w14:textId="4572F66D" w:rsidR="00E41151" w:rsidRPr="005373DD" w:rsidRDefault="00FC11A6" w:rsidP="00E50CC7">
            <w:pPr>
              <w:pStyle w:val="Table"/>
              <w:rPr>
                <w:color w:val="000000" w:themeColor="text1"/>
              </w:rPr>
            </w:pPr>
            <w:r w:rsidRPr="005373DD">
              <w:rPr>
                <w:color w:val="000000" w:themeColor="text1"/>
              </w:rPr>
              <w:lastRenderedPageBreak/>
              <w:t xml:space="preserve">1.3.1 Consult with staff and external disability stakeholders to develop </w:t>
            </w:r>
            <w:r w:rsidRPr="005373DD">
              <w:rPr>
                <w:color w:val="000000" w:themeColor="text1"/>
              </w:rPr>
              <w:lastRenderedPageBreak/>
              <w:t>further actions which foster positive community attitudes and behaviour</w:t>
            </w:r>
          </w:p>
        </w:tc>
        <w:tc>
          <w:tcPr>
            <w:tcW w:w="2148" w:type="dxa"/>
          </w:tcPr>
          <w:p w14:paraId="31146B67" w14:textId="5E91A0BA" w:rsidR="00E41151" w:rsidRPr="005373DD" w:rsidRDefault="00FC11A6" w:rsidP="00E50CC7">
            <w:pPr>
              <w:pStyle w:val="Table"/>
              <w:rPr>
                <w:color w:val="000000" w:themeColor="text1"/>
              </w:rPr>
            </w:pPr>
            <w:r w:rsidRPr="005373DD">
              <w:rPr>
                <w:color w:val="000000" w:themeColor="text1"/>
              </w:rPr>
              <w:lastRenderedPageBreak/>
              <w:t xml:space="preserve">Relevant business units and </w:t>
            </w:r>
            <w:r w:rsidRPr="005373DD">
              <w:rPr>
                <w:color w:val="000000" w:themeColor="text1"/>
              </w:rPr>
              <w:lastRenderedPageBreak/>
              <w:t>Disability Employee</w:t>
            </w:r>
          </w:p>
        </w:tc>
        <w:tc>
          <w:tcPr>
            <w:tcW w:w="1757" w:type="dxa"/>
          </w:tcPr>
          <w:p w14:paraId="77690C75" w14:textId="4C3EA3B6" w:rsidR="00E41151" w:rsidRPr="005373DD" w:rsidRDefault="006A6775" w:rsidP="00E50CC7">
            <w:pPr>
              <w:pStyle w:val="Table"/>
              <w:rPr>
                <w:color w:val="000000" w:themeColor="text1"/>
              </w:rPr>
            </w:pPr>
            <w:r w:rsidRPr="005373DD">
              <w:rPr>
                <w:color w:val="000000" w:themeColor="text1"/>
              </w:rPr>
              <w:lastRenderedPageBreak/>
              <w:t xml:space="preserve"> June 2018</w:t>
            </w:r>
          </w:p>
        </w:tc>
        <w:tc>
          <w:tcPr>
            <w:tcW w:w="3034" w:type="dxa"/>
          </w:tcPr>
          <w:p w14:paraId="4BB12335" w14:textId="77777777" w:rsidR="00FC11A6" w:rsidRPr="005373DD" w:rsidRDefault="00FC11A6" w:rsidP="00AB0F99">
            <w:pPr>
              <w:pStyle w:val="Table"/>
              <w:spacing w:before="20" w:after="80"/>
              <w:rPr>
                <w:color w:val="000000" w:themeColor="text1"/>
              </w:rPr>
            </w:pPr>
            <w:r w:rsidRPr="005373DD">
              <w:rPr>
                <w:color w:val="000000" w:themeColor="text1"/>
              </w:rPr>
              <w:t>Human Resources Directorate (Strategy &amp; Governance)</w:t>
            </w:r>
          </w:p>
          <w:p w14:paraId="140FCDA2" w14:textId="65A092A6" w:rsidR="00E41151" w:rsidRPr="005373DD" w:rsidRDefault="00FC11A6" w:rsidP="00AB0F99">
            <w:pPr>
              <w:pStyle w:val="Table"/>
              <w:spacing w:before="20" w:after="80"/>
              <w:rPr>
                <w:color w:val="000000" w:themeColor="text1"/>
              </w:rPr>
            </w:pPr>
            <w:r w:rsidRPr="005373DD">
              <w:rPr>
                <w:color w:val="000000" w:themeColor="text1"/>
              </w:rPr>
              <w:lastRenderedPageBreak/>
              <w:t>Work Health &amp; Safety Directorate</w:t>
            </w:r>
          </w:p>
        </w:tc>
      </w:tr>
      <w:tr w:rsidR="00FC11A6" w14:paraId="15B1DBBD" w14:textId="77777777" w:rsidTr="008271BE">
        <w:tc>
          <w:tcPr>
            <w:tcW w:w="3261" w:type="dxa"/>
          </w:tcPr>
          <w:p w14:paraId="1421B26A" w14:textId="148DEF3F" w:rsidR="00FC11A6" w:rsidRPr="00E50CC7" w:rsidRDefault="00FC11A6" w:rsidP="00E50CC7">
            <w:pPr>
              <w:pStyle w:val="Table"/>
            </w:pPr>
            <w:r w:rsidRPr="00E50CC7">
              <w:lastRenderedPageBreak/>
              <w:t>1.4 Increased student awareness and acceptance of the rights of people with disability</w:t>
            </w:r>
          </w:p>
        </w:tc>
        <w:tc>
          <w:tcPr>
            <w:tcW w:w="4101" w:type="dxa"/>
          </w:tcPr>
          <w:p w14:paraId="6BC64BD2" w14:textId="1F8E2CA8" w:rsidR="00FC11A6" w:rsidRPr="00E50CC7" w:rsidRDefault="00FC11A6" w:rsidP="00E50CC7">
            <w:pPr>
              <w:pStyle w:val="Table"/>
            </w:pPr>
            <w:r w:rsidRPr="00E50CC7">
              <w:t>1.4.1 Encourage and support students with disability to participate in Student Representative Councils and in the annual Secretary for a Day program</w:t>
            </w:r>
          </w:p>
        </w:tc>
        <w:tc>
          <w:tcPr>
            <w:tcW w:w="2148" w:type="dxa"/>
          </w:tcPr>
          <w:p w14:paraId="3157A3C9" w14:textId="6E881F8C" w:rsidR="00FC11A6" w:rsidRPr="00E50CC7" w:rsidRDefault="00FC11A6" w:rsidP="00E50CC7">
            <w:pPr>
              <w:pStyle w:val="Table"/>
            </w:pPr>
            <w:r w:rsidRPr="00E50CC7">
              <w:t>Schools</w:t>
            </w:r>
          </w:p>
        </w:tc>
        <w:tc>
          <w:tcPr>
            <w:tcW w:w="1757" w:type="dxa"/>
          </w:tcPr>
          <w:p w14:paraId="0A333076" w14:textId="17E7F370" w:rsidR="00FC11A6" w:rsidRPr="00E50CC7" w:rsidRDefault="00FC11A6" w:rsidP="00E50CC7">
            <w:pPr>
              <w:pStyle w:val="Table"/>
            </w:pPr>
            <w:r w:rsidRPr="00E50CC7">
              <w:t>August 2017</w:t>
            </w:r>
          </w:p>
        </w:tc>
        <w:tc>
          <w:tcPr>
            <w:tcW w:w="3034" w:type="dxa"/>
          </w:tcPr>
          <w:p w14:paraId="68D6DB8F" w14:textId="076F713F" w:rsidR="00FC11A6" w:rsidRPr="00E50CC7" w:rsidRDefault="00FC11A6" w:rsidP="00AB0F99">
            <w:pPr>
              <w:pStyle w:val="Table"/>
              <w:spacing w:before="20" w:after="80"/>
            </w:pPr>
            <w:r w:rsidRPr="00E50CC7">
              <w:t>Learning and Wellbeing</w:t>
            </w:r>
          </w:p>
        </w:tc>
      </w:tr>
      <w:tr w:rsidR="00FC11A6" w14:paraId="4987FE35" w14:textId="77777777" w:rsidTr="008271BE">
        <w:tc>
          <w:tcPr>
            <w:tcW w:w="3261" w:type="dxa"/>
          </w:tcPr>
          <w:p w14:paraId="193D7EC2" w14:textId="40AC74BE" w:rsidR="00FC11A6" w:rsidRPr="00E50CC7" w:rsidRDefault="00FC11A6" w:rsidP="00E50CC7">
            <w:pPr>
              <w:pStyle w:val="Table"/>
            </w:pPr>
            <w:r w:rsidRPr="00E50CC7">
              <w:t>1.5 Staff and stakeholders are informed and understand the role and purpose of the National Disability Insurance Scheme (NDIS)</w:t>
            </w:r>
          </w:p>
        </w:tc>
        <w:tc>
          <w:tcPr>
            <w:tcW w:w="4101" w:type="dxa"/>
          </w:tcPr>
          <w:p w14:paraId="6734917F" w14:textId="1CF88143" w:rsidR="00FC11A6" w:rsidRPr="00AB0F99" w:rsidRDefault="00FC11A6" w:rsidP="00E50CC7">
            <w:pPr>
              <w:pStyle w:val="Table"/>
              <w:rPr>
                <w:spacing w:val="0"/>
              </w:rPr>
            </w:pPr>
            <w:r w:rsidRPr="00AB0F99">
              <w:rPr>
                <w:spacing w:val="0"/>
              </w:rPr>
              <w:t>1.5.1 Establish and maintain a website presence that provides information about the NDIS for schools and early childhood education and care providers to support their understanding of the NDIS</w:t>
            </w:r>
          </w:p>
        </w:tc>
        <w:tc>
          <w:tcPr>
            <w:tcW w:w="2148" w:type="dxa"/>
          </w:tcPr>
          <w:p w14:paraId="27B4E7E6" w14:textId="77777777" w:rsidR="00FC11A6" w:rsidRPr="00E50CC7" w:rsidRDefault="00FC11A6" w:rsidP="00E50CC7">
            <w:pPr>
              <w:pStyle w:val="Table"/>
            </w:pPr>
            <w:r w:rsidRPr="00E50CC7">
              <w:t>Schools</w:t>
            </w:r>
          </w:p>
          <w:p w14:paraId="66BE97BE" w14:textId="623118CD" w:rsidR="00FC11A6" w:rsidRPr="00E50CC7" w:rsidRDefault="00FC11A6" w:rsidP="00E50CC7">
            <w:pPr>
              <w:pStyle w:val="Table"/>
            </w:pPr>
            <w:r w:rsidRPr="00E50CC7">
              <w:t>Early Childhood Education and Care</w:t>
            </w:r>
          </w:p>
        </w:tc>
        <w:tc>
          <w:tcPr>
            <w:tcW w:w="1757" w:type="dxa"/>
          </w:tcPr>
          <w:p w14:paraId="38D02F5D" w14:textId="6BD2A3D6" w:rsidR="00FC11A6" w:rsidRPr="00E50CC7" w:rsidRDefault="00FC11A6" w:rsidP="00E50CC7">
            <w:pPr>
              <w:pStyle w:val="Table"/>
            </w:pPr>
            <w:r w:rsidRPr="00E50CC7">
              <w:t>January 2017</w:t>
            </w:r>
          </w:p>
        </w:tc>
        <w:tc>
          <w:tcPr>
            <w:tcW w:w="3034" w:type="dxa"/>
          </w:tcPr>
          <w:p w14:paraId="75011766" w14:textId="77777777" w:rsidR="00FC11A6" w:rsidRPr="00E50CC7" w:rsidRDefault="00FC11A6" w:rsidP="00AB0F99">
            <w:pPr>
              <w:pStyle w:val="Table"/>
              <w:spacing w:before="20" w:after="80"/>
            </w:pPr>
            <w:r w:rsidRPr="00E50CC7">
              <w:t>Learning and Wellbeing</w:t>
            </w:r>
          </w:p>
          <w:p w14:paraId="45EBAA40" w14:textId="77777777" w:rsidR="00FC11A6" w:rsidRPr="00E50CC7" w:rsidRDefault="00FC11A6" w:rsidP="00AB0F99">
            <w:pPr>
              <w:pStyle w:val="Table"/>
              <w:spacing w:before="20" w:after="80"/>
            </w:pPr>
            <w:r w:rsidRPr="00E50CC7">
              <w:t>Early Childhood Education and Care</w:t>
            </w:r>
          </w:p>
          <w:p w14:paraId="25B5C65F" w14:textId="7CEF3F60" w:rsidR="00FC11A6" w:rsidRPr="00E50CC7" w:rsidRDefault="00FC11A6" w:rsidP="00AB0F99">
            <w:pPr>
              <w:pStyle w:val="Table"/>
              <w:spacing w:before="20" w:after="80"/>
            </w:pPr>
            <w:r w:rsidRPr="00E50CC7">
              <w:t>Communications and Engagement</w:t>
            </w:r>
          </w:p>
        </w:tc>
      </w:tr>
      <w:tr w:rsidR="00FC11A6" w14:paraId="61DD5D7C" w14:textId="77777777" w:rsidTr="008271BE">
        <w:tc>
          <w:tcPr>
            <w:tcW w:w="3261" w:type="dxa"/>
          </w:tcPr>
          <w:p w14:paraId="0AFAF686" w14:textId="0BF61A6D" w:rsidR="00FC11A6" w:rsidRPr="00E50CC7" w:rsidRDefault="009702AE" w:rsidP="00E50CC7">
            <w:pPr>
              <w:pStyle w:val="Table"/>
            </w:pPr>
            <w:r w:rsidRPr="00E50CC7">
              <w:t>1.5 Staff and stakeholders are informed and understand the role and purpose of the National Disability Insurance Scheme (NDIS)</w:t>
            </w:r>
          </w:p>
        </w:tc>
        <w:tc>
          <w:tcPr>
            <w:tcW w:w="4101" w:type="dxa"/>
          </w:tcPr>
          <w:p w14:paraId="58D0373D" w14:textId="739B944D" w:rsidR="00FC11A6" w:rsidRPr="00E50CC7" w:rsidRDefault="00FC11A6" w:rsidP="00E50CC7">
            <w:pPr>
              <w:pStyle w:val="Table"/>
            </w:pPr>
            <w:r w:rsidRPr="00E50CC7">
              <w:t>1.5.2 Deliver professional development sessions to staff across School Operations and Performance to support their engagement with NDIS participants.</w:t>
            </w:r>
          </w:p>
        </w:tc>
        <w:tc>
          <w:tcPr>
            <w:tcW w:w="2148" w:type="dxa"/>
          </w:tcPr>
          <w:p w14:paraId="46E400B7" w14:textId="59051818" w:rsidR="00FC11A6" w:rsidRPr="00E50CC7" w:rsidRDefault="00FC11A6" w:rsidP="00E50CC7">
            <w:pPr>
              <w:pStyle w:val="Table"/>
            </w:pPr>
            <w:r w:rsidRPr="00E50CC7">
              <w:t>School Staff</w:t>
            </w:r>
          </w:p>
        </w:tc>
        <w:tc>
          <w:tcPr>
            <w:tcW w:w="1757" w:type="dxa"/>
          </w:tcPr>
          <w:p w14:paraId="33FC595A" w14:textId="1569E990" w:rsidR="00FC11A6" w:rsidRPr="00E50CC7" w:rsidRDefault="00FC11A6" w:rsidP="00E50CC7">
            <w:pPr>
              <w:pStyle w:val="Table"/>
            </w:pPr>
            <w:r w:rsidRPr="00E50CC7">
              <w:t>July 2018</w:t>
            </w:r>
          </w:p>
        </w:tc>
        <w:tc>
          <w:tcPr>
            <w:tcW w:w="3034" w:type="dxa"/>
          </w:tcPr>
          <w:p w14:paraId="72FCA89C" w14:textId="47F5C35A" w:rsidR="00FC11A6" w:rsidRPr="00E50CC7" w:rsidRDefault="00FC11A6" w:rsidP="00AB0F99">
            <w:pPr>
              <w:pStyle w:val="Table"/>
              <w:spacing w:before="20" w:after="80"/>
            </w:pPr>
            <w:r w:rsidRPr="00E50CC7">
              <w:t>School Operations and Performance</w:t>
            </w:r>
          </w:p>
        </w:tc>
      </w:tr>
      <w:tr w:rsidR="00FC11A6" w14:paraId="6C1AAC81" w14:textId="77777777" w:rsidTr="008271BE">
        <w:tc>
          <w:tcPr>
            <w:tcW w:w="3261" w:type="dxa"/>
          </w:tcPr>
          <w:p w14:paraId="501C718D" w14:textId="7B607633" w:rsidR="00FC11A6" w:rsidRPr="00E50CC7" w:rsidRDefault="009702AE" w:rsidP="00E50CC7">
            <w:pPr>
              <w:pStyle w:val="Table"/>
            </w:pPr>
            <w:r w:rsidRPr="00E50CC7">
              <w:t>1.5 Staff and stakeholders are informed and understand the role and purpose of the National Disability Insurance Scheme (NDIS)</w:t>
            </w:r>
          </w:p>
        </w:tc>
        <w:tc>
          <w:tcPr>
            <w:tcW w:w="4101" w:type="dxa"/>
          </w:tcPr>
          <w:p w14:paraId="6E3CFB9F" w14:textId="462326C6" w:rsidR="00FC11A6" w:rsidRPr="00E50CC7" w:rsidRDefault="00FC11A6" w:rsidP="00E50CC7">
            <w:pPr>
              <w:pStyle w:val="Table"/>
            </w:pPr>
            <w:r w:rsidRPr="00E50CC7">
              <w:t>1.5.3 Provide information to the early childhood sector about the NDIS and the delivery of NDIS supports in an early childhood setting.</w:t>
            </w:r>
          </w:p>
        </w:tc>
        <w:tc>
          <w:tcPr>
            <w:tcW w:w="2148" w:type="dxa"/>
          </w:tcPr>
          <w:p w14:paraId="348DF4F4" w14:textId="44C76424" w:rsidR="00FC11A6" w:rsidRPr="00E50CC7" w:rsidRDefault="00FC11A6" w:rsidP="00E50CC7">
            <w:pPr>
              <w:pStyle w:val="Table"/>
            </w:pPr>
            <w:r w:rsidRPr="00E50CC7">
              <w:t>Early Childhood education and care sector</w:t>
            </w:r>
          </w:p>
        </w:tc>
        <w:tc>
          <w:tcPr>
            <w:tcW w:w="1757" w:type="dxa"/>
          </w:tcPr>
          <w:p w14:paraId="44FB0796" w14:textId="7464344F" w:rsidR="00FC11A6" w:rsidRPr="00E50CC7" w:rsidRDefault="00FC11A6" w:rsidP="00E50CC7">
            <w:pPr>
              <w:pStyle w:val="Table"/>
            </w:pPr>
            <w:r w:rsidRPr="00E50CC7">
              <w:t>July 2018</w:t>
            </w:r>
          </w:p>
        </w:tc>
        <w:tc>
          <w:tcPr>
            <w:tcW w:w="3034" w:type="dxa"/>
          </w:tcPr>
          <w:p w14:paraId="5F3911CA" w14:textId="77777777" w:rsidR="00FC11A6" w:rsidRPr="00E50CC7" w:rsidRDefault="00FC11A6" w:rsidP="00AB0F99">
            <w:pPr>
              <w:pStyle w:val="Table"/>
              <w:spacing w:before="20" w:after="80"/>
            </w:pPr>
            <w:r w:rsidRPr="00E50CC7">
              <w:t>Early Childhood Education and Care</w:t>
            </w:r>
          </w:p>
          <w:p w14:paraId="6D5EE240" w14:textId="2B6C5B96" w:rsidR="00FC11A6" w:rsidRPr="00E50CC7" w:rsidRDefault="00FC11A6" w:rsidP="00AB0F99">
            <w:pPr>
              <w:pStyle w:val="Table"/>
              <w:spacing w:before="20" w:after="80"/>
            </w:pPr>
            <w:r w:rsidRPr="00E50CC7">
              <w:t>Communications and Engagement</w:t>
            </w:r>
          </w:p>
        </w:tc>
      </w:tr>
    </w:tbl>
    <w:p w14:paraId="7CDE1B5E" w14:textId="77777777" w:rsidR="00F548E5" w:rsidRPr="00AB0F99" w:rsidRDefault="00F548E5" w:rsidP="00AB0F99">
      <w:pPr>
        <w:spacing w:before="0" w:after="0" w:line="240" w:lineRule="auto"/>
        <w:ind w:left="0" w:right="0"/>
        <w:rPr>
          <w:sz w:val="4"/>
          <w:szCs w:val="4"/>
        </w:rPr>
      </w:pPr>
      <w:r w:rsidRPr="00AB0F99">
        <w:rPr>
          <w:sz w:val="4"/>
          <w:szCs w:val="4"/>
        </w:rPr>
        <w:br w:type="page"/>
      </w:r>
    </w:p>
    <w:tbl>
      <w:tblPr>
        <w:tblStyle w:val="TableGrid"/>
        <w:tblW w:w="14301" w:type="dxa"/>
        <w:tblInd w:w="108" w:type="dxa"/>
        <w:tblLook w:val="04A0" w:firstRow="1" w:lastRow="0" w:firstColumn="1" w:lastColumn="0" w:noHBand="0" w:noVBand="1"/>
      </w:tblPr>
      <w:tblGrid>
        <w:gridCol w:w="3261"/>
        <w:gridCol w:w="4101"/>
        <w:gridCol w:w="2148"/>
        <w:gridCol w:w="1757"/>
        <w:gridCol w:w="3034"/>
      </w:tblGrid>
      <w:tr w:rsidR="00F548E5" w:rsidRPr="00FC11A6" w14:paraId="300A0CDE" w14:textId="77777777" w:rsidTr="008271BE">
        <w:trPr>
          <w:tblHeader/>
        </w:trPr>
        <w:tc>
          <w:tcPr>
            <w:tcW w:w="14301" w:type="dxa"/>
            <w:gridSpan w:val="5"/>
            <w:shd w:val="clear" w:color="auto" w:fill="auto"/>
            <w:vAlign w:val="center"/>
          </w:tcPr>
          <w:p w14:paraId="1F378585" w14:textId="4AC95AC9" w:rsidR="00F548E5" w:rsidRPr="0008531A" w:rsidRDefault="003F5EE8" w:rsidP="00167396">
            <w:pPr>
              <w:pStyle w:val="Table"/>
              <w:spacing w:after="40"/>
              <w:rPr>
                <w:b/>
                <w:sz w:val="24"/>
                <w:szCs w:val="24"/>
              </w:rPr>
            </w:pPr>
            <w:bookmarkStart w:id="64" w:name="_Toc465428254"/>
            <w:r w:rsidRPr="003F5EE8">
              <w:rPr>
                <w:rStyle w:val="Heading3Char"/>
              </w:rPr>
              <w:lastRenderedPageBreak/>
              <w:t xml:space="preserve">Table </w:t>
            </w:r>
            <w:r>
              <w:rPr>
                <w:rStyle w:val="Heading3Char"/>
              </w:rPr>
              <w:t>Focus Area 2</w:t>
            </w:r>
            <w:bookmarkEnd w:id="64"/>
            <w:r w:rsidR="00F548E5" w:rsidRPr="0008531A">
              <w:rPr>
                <w:b/>
                <w:bCs/>
                <w:iCs/>
                <w:sz w:val="24"/>
                <w:szCs w:val="24"/>
              </w:rPr>
              <w:t>: Creating more liveable communities for people with disability</w:t>
            </w:r>
          </w:p>
        </w:tc>
      </w:tr>
      <w:tr w:rsidR="00F548E5" w:rsidRPr="00FC11A6" w14:paraId="29BCE3D3" w14:textId="77777777" w:rsidTr="008271BE">
        <w:trPr>
          <w:tblHeader/>
        </w:trPr>
        <w:tc>
          <w:tcPr>
            <w:tcW w:w="3261" w:type="dxa"/>
          </w:tcPr>
          <w:p w14:paraId="0C9C7A6A" w14:textId="77777777" w:rsidR="00F548E5" w:rsidRPr="00FC11A6" w:rsidRDefault="00F548E5" w:rsidP="00677AFA">
            <w:pPr>
              <w:pStyle w:val="Table"/>
              <w:rPr>
                <w:b/>
              </w:rPr>
            </w:pPr>
            <w:r w:rsidRPr="00FC11A6">
              <w:rPr>
                <w:b/>
              </w:rPr>
              <w:t>Outcome</w:t>
            </w:r>
          </w:p>
        </w:tc>
        <w:tc>
          <w:tcPr>
            <w:tcW w:w="4101" w:type="dxa"/>
          </w:tcPr>
          <w:p w14:paraId="6A10FF36" w14:textId="77777777" w:rsidR="00F548E5" w:rsidRPr="00FC11A6" w:rsidRDefault="00F548E5" w:rsidP="00677AFA">
            <w:pPr>
              <w:pStyle w:val="Table"/>
              <w:rPr>
                <w:b/>
              </w:rPr>
            </w:pPr>
            <w:r w:rsidRPr="00FC11A6">
              <w:rPr>
                <w:b/>
              </w:rPr>
              <w:t>Action</w:t>
            </w:r>
          </w:p>
        </w:tc>
        <w:tc>
          <w:tcPr>
            <w:tcW w:w="2148" w:type="dxa"/>
          </w:tcPr>
          <w:p w14:paraId="291B9821" w14:textId="77777777" w:rsidR="00F548E5" w:rsidRPr="00FC11A6" w:rsidRDefault="00F548E5" w:rsidP="00677AFA">
            <w:pPr>
              <w:pStyle w:val="Table"/>
              <w:rPr>
                <w:b/>
              </w:rPr>
            </w:pPr>
            <w:r w:rsidRPr="00FC11A6">
              <w:rPr>
                <w:b/>
              </w:rPr>
              <w:t>Targeted Area</w:t>
            </w:r>
          </w:p>
        </w:tc>
        <w:tc>
          <w:tcPr>
            <w:tcW w:w="1757" w:type="dxa"/>
          </w:tcPr>
          <w:p w14:paraId="22A7F7D7" w14:textId="77777777" w:rsidR="00F548E5" w:rsidRPr="00FC11A6" w:rsidRDefault="00F548E5" w:rsidP="00677AFA">
            <w:pPr>
              <w:pStyle w:val="Table"/>
              <w:rPr>
                <w:b/>
              </w:rPr>
            </w:pPr>
            <w:r w:rsidRPr="00FC11A6">
              <w:rPr>
                <w:b/>
              </w:rPr>
              <w:t>Timeframe</w:t>
            </w:r>
          </w:p>
        </w:tc>
        <w:tc>
          <w:tcPr>
            <w:tcW w:w="3034" w:type="dxa"/>
          </w:tcPr>
          <w:p w14:paraId="20DBC262" w14:textId="77777777" w:rsidR="00F548E5" w:rsidRPr="00FC11A6" w:rsidRDefault="00F548E5" w:rsidP="00677AFA">
            <w:pPr>
              <w:pStyle w:val="Table"/>
              <w:rPr>
                <w:b/>
              </w:rPr>
            </w:pPr>
            <w:r w:rsidRPr="00FC11A6">
              <w:rPr>
                <w:b/>
              </w:rPr>
              <w:t>Responsibility</w:t>
            </w:r>
          </w:p>
        </w:tc>
      </w:tr>
      <w:tr w:rsidR="00F548E5" w:rsidRPr="00EB6A3B" w14:paraId="43946D1A" w14:textId="77777777" w:rsidTr="008271BE">
        <w:tc>
          <w:tcPr>
            <w:tcW w:w="3261" w:type="dxa"/>
          </w:tcPr>
          <w:p w14:paraId="4E7CCE4C" w14:textId="1D78B01C" w:rsidR="00F548E5" w:rsidRPr="00E50CC7" w:rsidRDefault="00F548E5" w:rsidP="00E50CC7">
            <w:pPr>
              <w:pStyle w:val="Table"/>
            </w:pPr>
            <w:r w:rsidRPr="00E50CC7">
              <w:t>2.1 Improved attraction, retention and career development for people with disability</w:t>
            </w:r>
          </w:p>
        </w:tc>
        <w:tc>
          <w:tcPr>
            <w:tcW w:w="4101" w:type="dxa"/>
          </w:tcPr>
          <w:p w14:paraId="25031FBD" w14:textId="2B0C57E6" w:rsidR="00F548E5" w:rsidRPr="00E50CC7" w:rsidRDefault="00F548E5" w:rsidP="00E50CC7">
            <w:pPr>
              <w:pStyle w:val="Table"/>
            </w:pPr>
            <w:r w:rsidRPr="00E50CC7">
              <w:t>2.1.1 Develop collaborative partnerships across government agencies, non-government organisations and the private sector with a view to strengthening employment outcomes for people with disability</w:t>
            </w:r>
          </w:p>
        </w:tc>
        <w:tc>
          <w:tcPr>
            <w:tcW w:w="2148" w:type="dxa"/>
          </w:tcPr>
          <w:p w14:paraId="03E55F3E" w14:textId="2AC47A71" w:rsidR="00F548E5" w:rsidRPr="005373DD" w:rsidRDefault="00F548E5" w:rsidP="00E50CC7">
            <w:pPr>
              <w:pStyle w:val="Table"/>
              <w:rPr>
                <w:color w:val="000000" w:themeColor="text1"/>
              </w:rPr>
            </w:pPr>
            <w:r w:rsidRPr="005373DD">
              <w:rPr>
                <w:color w:val="000000" w:themeColor="text1"/>
              </w:rPr>
              <w:t>Workforce Management Directorate, Family and Community Services, Public Service Commission</w:t>
            </w:r>
          </w:p>
        </w:tc>
        <w:tc>
          <w:tcPr>
            <w:tcW w:w="1757" w:type="dxa"/>
          </w:tcPr>
          <w:p w14:paraId="11838F3D" w14:textId="1A1B64D2" w:rsidR="00F548E5" w:rsidRPr="005373DD" w:rsidRDefault="00705577" w:rsidP="00E50CC7">
            <w:pPr>
              <w:pStyle w:val="Table"/>
              <w:rPr>
                <w:color w:val="000000" w:themeColor="text1"/>
              </w:rPr>
            </w:pPr>
            <w:r w:rsidRPr="005373DD">
              <w:rPr>
                <w:color w:val="000000" w:themeColor="text1"/>
              </w:rPr>
              <w:t xml:space="preserve"> June 2018</w:t>
            </w:r>
          </w:p>
        </w:tc>
        <w:tc>
          <w:tcPr>
            <w:tcW w:w="3034" w:type="dxa"/>
          </w:tcPr>
          <w:p w14:paraId="5FBEBBB2" w14:textId="77777777" w:rsidR="009D71BA" w:rsidRPr="005373DD" w:rsidRDefault="009D71BA" w:rsidP="00E50CC7">
            <w:pPr>
              <w:pStyle w:val="Table"/>
              <w:rPr>
                <w:color w:val="000000" w:themeColor="text1"/>
              </w:rPr>
            </w:pPr>
            <w:r w:rsidRPr="005373DD">
              <w:rPr>
                <w:color w:val="000000" w:themeColor="text1"/>
              </w:rPr>
              <w:t>Human Resources Directorate</w:t>
            </w:r>
          </w:p>
          <w:p w14:paraId="7F1AD619" w14:textId="33338218" w:rsidR="00F548E5" w:rsidRPr="005373DD" w:rsidRDefault="00F548E5" w:rsidP="00E50CC7">
            <w:pPr>
              <w:pStyle w:val="Table"/>
              <w:rPr>
                <w:color w:val="000000" w:themeColor="text1"/>
              </w:rPr>
            </w:pPr>
            <w:r w:rsidRPr="005373DD">
              <w:rPr>
                <w:color w:val="000000" w:themeColor="text1"/>
              </w:rPr>
              <w:t>(Strategy &amp; Governance)</w:t>
            </w:r>
          </w:p>
        </w:tc>
      </w:tr>
      <w:tr w:rsidR="00F548E5" w:rsidRPr="00EB6A3B" w14:paraId="1CEFB5EC" w14:textId="77777777" w:rsidTr="008271BE">
        <w:tc>
          <w:tcPr>
            <w:tcW w:w="3261" w:type="dxa"/>
          </w:tcPr>
          <w:p w14:paraId="302A4734" w14:textId="1D81FDAA" w:rsidR="00F548E5" w:rsidRPr="00E50CC7" w:rsidRDefault="009702AE" w:rsidP="00E50CC7">
            <w:pPr>
              <w:pStyle w:val="Table"/>
            </w:pPr>
            <w:r w:rsidRPr="00E50CC7">
              <w:t>2.1 Improved attraction, retention and career development for people with disability</w:t>
            </w:r>
          </w:p>
        </w:tc>
        <w:tc>
          <w:tcPr>
            <w:tcW w:w="4101" w:type="dxa"/>
          </w:tcPr>
          <w:p w14:paraId="60FA57AD" w14:textId="3A3E3444" w:rsidR="00F548E5" w:rsidRPr="00E50CC7" w:rsidRDefault="00F548E5" w:rsidP="00E50CC7">
            <w:pPr>
              <w:pStyle w:val="Table"/>
            </w:pPr>
            <w:r w:rsidRPr="00E50CC7">
              <w:t>2.1.2 Engage and support Australian Disability Enterprises through procurement activity</w:t>
            </w:r>
          </w:p>
        </w:tc>
        <w:tc>
          <w:tcPr>
            <w:tcW w:w="2148" w:type="dxa"/>
          </w:tcPr>
          <w:p w14:paraId="7F02741E" w14:textId="2E87F83B" w:rsidR="00F548E5" w:rsidRPr="00E50CC7" w:rsidRDefault="00F548E5" w:rsidP="00E50CC7">
            <w:pPr>
              <w:pStyle w:val="Table"/>
            </w:pPr>
            <w:r w:rsidRPr="00E50CC7">
              <w:t>Workforce Management Directorate, Family and Community Services, Public Service Commission</w:t>
            </w:r>
          </w:p>
        </w:tc>
        <w:tc>
          <w:tcPr>
            <w:tcW w:w="1757" w:type="dxa"/>
          </w:tcPr>
          <w:p w14:paraId="1C2D8ECC" w14:textId="7CE35B4F" w:rsidR="00F548E5" w:rsidRPr="00E50CC7" w:rsidRDefault="00F548E5" w:rsidP="00E50CC7">
            <w:pPr>
              <w:pStyle w:val="Table"/>
            </w:pPr>
            <w:r w:rsidRPr="00E50CC7">
              <w:t>December 2016</w:t>
            </w:r>
          </w:p>
        </w:tc>
        <w:tc>
          <w:tcPr>
            <w:tcW w:w="3034" w:type="dxa"/>
          </w:tcPr>
          <w:p w14:paraId="1ACBF12B" w14:textId="337C677E" w:rsidR="00F548E5" w:rsidRPr="00E50CC7" w:rsidRDefault="00F548E5" w:rsidP="00E50CC7">
            <w:pPr>
              <w:pStyle w:val="Table"/>
            </w:pPr>
            <w:r w:rsidRPr="00E50CC7">
              <w:t>Procurement Solutions Directorate</w:t>
            </w:r>
          </w:p>
        </w:tc>
      </w:tr>
      <w:tr w:rsidR="00F548E5" w:rsidRPr="00EB6A3B" w14:paraId="332EF38A" w14:textId="77777777" w:rsidTr="008271BE">
        <w:tc>
          <w:tcPr>
            <w:tcW w:w="3261" w:type="dxa"/>
          </w:tcPr>
          <w:p w14:paraId="3322D429" w14:textId="6C898CFB" w:rsidR="00F548E5" w:rsidRPr="00E50CC7" w:rsidRDefault="00F548E5" w:rsidP="00E50CC7">
            <w:pPr>
              <w:pStyle w:val="Table"/>
            </w:pPr>
            <w:r w:rsidRPr="00E50CC7">
              <w:t>2.2 Department buildings are accessible</w:t>
            </w:r>
          </w:p>
        </w:tc>
        <w:tc>
          <w:tcPr>
            <w:tcW w:w="4101" w:type="dxa"/>
          </w:tcPr>
          <w:p w14:paraId="5A31EFED" w14:textId="531C7AD9" w:rsidR="00F548E5" w:rsidRPr="00E50CC7" w:rsidRDefault="00F548E5" w:rsidP="00E50CC7">
            <w:pPr>
              <w:pStyle w:val="Table"/>
            </w:pPr>
            <w:r w:rsidRPr="00E50CC7">
              <w:t>2.2.1 Ensure new schools  have high levels of accessibility for people with disability</w:t>
            </w:r>
          </w:p>
        </w:tc>
        <w:tc>
          <w:tcPr>
            <w:tcW w:w="2148" w:type="dxa"/>
          </w:tcPr>
          <w:p w14:paraId="48CE386E" w14:textId="206B0B90" w:rsidR="00F548E5" w:rsidRPr="00E50CC7" w:rsidRDefault="00F548E5" w:rsidP="00E50CC7">
            <w:pPr>
              <w:pStyle w:val="Table"/>
            </w:pPr>
            <w:r w:rsidRPr="00E50CC7">
              <w:t>Assets</w:t>
            </w:r>
          </w:p>
        </w:tc>
        <w:tc>
          <w:tcPr>
            <w:tcW w:w="1757" w:type="dxa"/>
          </w:tcPr>
          <w:p w14:paraId="2A57ABEE" w14:textId="41B4E8A5" w:rsidR="00F548E5" w:rsidRPr="00E50CC7" w:rsidRDefault="00F548E5" w:rsidP="00E50CC7">
            <w:pPr>
              <w:pStyle w:val="Table"/>
            </w:pPr>
            <w:r w:rsidRPr="00E50CC7">
              <w:t>Ongoing</w:t>
            </w:r>
          </w:p>
        </w:tc>
        <w:tc>
          <w:tcPr>
            <w:tcW w:w="3034" w:type="dxa"/>
          </w:tcPr>
          <w:p w14:paraId="380F0491" w14:textId="592689A1" w:rsidR="00F548E5" w:rsidRPr="00E50CC7" w:rsidRDefault="00F548E5" w:rsidP="00E50CC7">
            <w:pPr>
              <w:pStyle w:val="Table"/>
            </w:pPr>
            <w:r w:rsidRPr="00E50CC7">
              <w:t>Asset Management Directorate</w:t>
            </w:r>
          </w:p>
        </w:tc>
      </w:tr>
      <w:tr w:rsidR="00F548E5" w:rsidRPr="00EB6A3B" w14:paraId="22F83B80" w14:textId="77777777" w:rsidTr="008271BE">
        <w:tc>
          <w:tcPr>
            <w:tcW w:w="3261" w:type="dxa"/>
          </w:tcPr>
          <w:p w14:paraId="47949524" w14:textId="77798A6D" w:rsidR="00F548E5" w:rsidRPr="00E50CC7" w:rsidRDefault="009702AE" w:rsidP="00E50CC7">
            <w:pPr>
              <w:pStyle w:val="Table"/>
            </w:pPr>
            <w:r w:rsidRPr="00E50CC7">
              <w:t>2.2 Department buildings are accessible</w:t>
            </w:r>
          </w:p>
        </w:tc>
        <w:tc>
          <w:tcPr>
            <w:tcW w:w="4101" w:type="dxa"/>
          </w:tcPr>
          <w:p w14:paraId="2A2A6D1B" w14:textId="280F5519" w:rsidR="00F548E5" w:rsidRPr="00E50CC7" w:rsidRDefault="00F548E5" w:rsidP="00E50CC7">
            <w:pPr>
              <w:pStyle w:val="Table"/>
            </w:pPr>
            <w:r w:rsidRPr="00E50CC7">
              <w:t>2.2.2 Upgrade existing school buildings to improve access for people with disabilities</w:t>
            </w:r>
          </w:p>
        </w:tc>
        <w:tc>
          <w:tcPr>
            <w:tcW w:w="2148" w:type="dxa"/>
          </w:tcPr>
          <w:p w14:paraId="38A87548" w14:textId="41305BA3" w:rsidR="00F548E5" w:rsidRPr="00E50CC7" w:rsidRDefault="00F548E5" w:rsidP="00E50CC7">
            <w:pPr>
              <w:pStyle w:val="Table"/>
            </w:pPr>
            <w:r w:rsidRPr="00E50CC7">
              <w:t>Assets</w:t>
            </w:r>
          </w:p>
        </w:tc>
        <w:tc>
          <w:tcPr>
            <w:tcW w:w="1757" w:type="dxa"/>
          </w:tcPr>
          <w:p w14:paraId="31A82825" w14:textId="4274593B" w:rsidR="00F548E5" w:rsidRPr="00E50CC7" w:rsidRDefault="00F548E5" w:rsidP="00E50CC7">
            <w:pPr>
              <w:pStyle w:val="Table"/>
            </w:pPr>
            <w:r w:rsidRPr="00E50CC7">
              <w:t>Ongoing</w:t>
            </w:r>
          </w:p>
        </w:tc>
        <w:tc>
          <w:tcPr>
            <w:tcW w:w="3034" w:type="dxa"/>
          </w:tcPr>
          <w:p w14:paraId="1B18D6E1" w14:textId="6D708D18" w:rsidR="00F548E5" w:rsidRPr="00E50CC7" w:rsidRDefault="00F548E5" w:rsidP="00E50CC7">
            <w:pPr>
              <w:pStyle w:val="Table"/>
            </w:pPr>
            <w:r w:rsidRPr="00E50CC7">
              <w:t>Asset Management Directorate</w:t>
            </w:r>
          </w:p>
        </w:tc>
      </w:tr>
      <w:tr w:rsidR="00F548E5" w:rsidRPr="00EB6A3B" w14:paraId="237AAFE0" w14:textId="77777777" w:rsidTr="008271BE">
        <w:tc>
          <w:tcPr>
            <w:tcW w:w="3261" w:type="dxa"/>
          </w:tcPr>
          <w:p w14:paraId="06F4C2B7" w14:textId="157089CB" w:rsidR="00F548E5" w:rsidRPr="00E50CC7" w:rsidRDefault="00F548E5" w:rsidP="00E50CC7">
            <w:pPr>
              <w:pStyle w:val="Table"/>
            </w:pPr>
            <w:r w:rsidRPr="00E50CC7">
              <w:lastRenderedPageBreak/>
              <w:t>2.3 School communities are supported to address the wellbeing of students wit</w:t>
            </w:r>
            <w:r w:rsidR="009D71BA">
              <w:t>h disability and their carers</w:t>
            </w:r>
          </w:p>
        </w:tc>
        <w:tc>
          <w:tcPr>
            <w:tcW w:w="4101" w:type="dxa"/>
          </w:tcPr>
          <w:p w14:paraId="76DEA797" w14:textId="0528AEB7" w:rsidR="00F548E5" w:rsidRPr="00E50CC7" w:rsidRDefault="00F548E5" w:rsidP="00E50CC7">
            <w:pPr>
              <w:pStyle w:val="Table"/>
            </w:pPr>
            <w:r w:rsidRPr="00E50CC7">
              <w:t>2.3.1 Implement the Wellbeing Framework for Schools which seeks to strengthen students’ cognitive, physical, social, emotional and spiritual development</w:t>
            </w:r>
          </w:p>
        </w:tc>
        <w:tc>
          <w:tcPr>
            <w:tcW w:w="2148" w:type="dxa"/>
          </w:tcPr>
          <w:p w14:paraId="56D04623" w14:textId="79544280" w:rsidR="00F548E5" w:rsidRPr="00E50CC7" w:rsidRDefault="00F548E5" w:rsidP="00E50CC7">
            <w:pPr>
              <w:pStyle w:val="Table"/>
            </w:pPr>
            <w:r w:rsidRPr="00E50CC7">
              <w:t>Schools</w:t>
            </w:r>
          </w:p>
        </w:tc>
        <w:tc>
          <w:tcPr>
            <w:tcW w:w="1757" w:type="dxa"/>
          </w:tcPr>
          <w:p w14:paraId="0F1F9757" w14:textId="6CD7DD5A" w:rsidR="00F548E5" w:rsidRPr="00E50CC7" w:rsidRDefault="00F548E5" w:rsidP="00E50CC7">
            <w:pPr>
              <w:pStyle w:val="Table"/>
            </w:pPr>
            <w:r w:rsidRPr="00E50CC7">
              <w:t>Ongoing</w:t>
            </w:r>
          </w:p>
        </w:tc>
        <w:tc>
          <w:tcPr>
            <w:tcW w:w="3034" w:type="dxa"/>
          </w:tcPr>
          <w:p w14:paraId="49FDAA4A" w14:textId="324DB3B1" w:rsidR="00F548E5" w:rsidRPr="00E50CC7" w:rsidRDefault="00F548E5" w:rsidP="00E50CC7">
            <w:pPr>
              <w:pStyle w:val="Table"/>
            </w:pPr>
            <w:r w:rsidRPr="00E50CC7">
              <w:t>Learning and Wellbeing</w:t>
            </w:r>
          </w:p>
        </w:tc>
      </w:tr>
      <w:tr w:rsidR="00F548E5" w:rsidRPr="00EB6A3B" w14:paraId="275EFAD6" w14:textId="77777777" w:rsidTr="008271BE">
        <w:tc>
          <w:tcPr>
            <w:tcW w:w="3261" w:type="dxa"/>
          </w:tcPr>
          <w:p w14:paraId="3116CFC7" w14:textId="389F76FA" w:rsidR="00F548E5" w:rsidRPr="00E50CC7" w:rsidRDefault="009702AE" w:rsidP="00E50CC7">
            <w:pPr>
              <w:pStyle w:val="Table"/>
            </w:pPr>
            <w:r w:rsidRPr="00E50CC7">
              <w:t>2.3 School communities are supported to address the wellbeing of students wit</w:t>
            </w:r>
            <w:r>
              <w:t>h disability and their carers</w:t>
            </w:r>
          </w:p>
        </w:tc>
        <w:tc>
          <w:tcPr>
            <w:tcW w:w="4101" w:type="dxa"/>
          </w:tcPr>
          <w:p w14:paraId="532DE0A1" w14:textId="3001AD69" w:rsidR="00F548E5" w:rsidRPr="00E50CC7" w:rsidRDefault="00F548E5" w:rsidP="00E50CC7">
            <w:pPr>
              <w:pStyle w:val="Table"/>
            </w:pPr>
            <w:r w:rsidRPr="00E50CC7">
              <w:t>2.3.2 Establish and consolidate the operation of 21 Networked Specialist Centres across NSW to assist public schools in supporting students with the most complex needs and their families through specia</w:t>
            </w:r>
            <w:r w:rsidR="00167396">
              <w:t>list services available within e</w:t>
            </w:r>
            <w:r w:rsidRPr="00E50CC7">
              <w:t>ducation and from external services as required</w:t>
            </w:r>
          </w:p>
        </w:tc>
        <w:tc>
          <w:tcPr>
            <w:tcW w:w="2148" w:type="dxa"/>
          </w:tcPr>
          <w:p w14:paraId="220F6A70" w14:textId="37C65555" w:rsidR="00F548E5" w:rsidRPr="00E50CC7" w:rsidRDefault="00F548E5" w:rsidP="00E50CC7">
            <w:pPr>
              <w:pStyle w:val="Table"/>
            </w:pPr>
            <w:r w:rsidRPr="00E50CC7">
              <w:t>Schools</w:t>
            </w:r>
          </w:p>
        </w:tc>
        <w:tc>
          <w:tcPr>
            <w:tcW w:w="1757" w:type="dxa"/>
          </w:tcPr>
          <w:p w14:paraId="44731E62" w14:textId="7FA58E45" w:rsidR="00F548E5" w:rsidRPr="00E50CC7" w:rsidRDefault="00F548E5" w:rsidP="00E50CC7">
            <w:pPr>
              <w:pStyle w:val="Table"/>
            </w:pPr>
            <w:r w:rsidRPr="00E50CC7">
              <w:t>December 2016</w:t>
            </w:r>
          </w:p>
        </w:tc>
        <w:tc>
          <w:tcPr>
            <w:tcW w:w="3034" w:type="dxa"/>
          </w:tcPr>
          <w:p w14:paraId="0F616B53" w14:textId="46B70DB1" w:rsidR="00F548E5" w:rsidRPr="00E50CC7" w:rsidRDefault="00F548E5" w:rsidP="00E50CC7">
            <w:pPr>
              <w:pStyle w:val="Table"/>
            </w:pPr>
            <w:r w:rsidRPr="00E50CC7">
              <w:t>Learning and Wellbeing</w:t>
            </w:r>
          </w:p>
        </w:tc>
      </w:tr>
    </w:tbl>
    <w:p w14:paraId="47CB56D8" w14:textId="77777777" w:rsidR="00F548E5" w:rsidRDefault="00F548E5" w:rsidP="00F548E5">
      <w:pPr>
        <w:rPr>
          <w:sz w:val="20"/>
        </w:rPr>
      </w:pPr>
      <w:r>
        <w:br w:type="page"/>
      </w:r>
    </w:p>
    <w:tbl>
      <w:tblPr>
        <w:tblStyle w:val="TableGrid"/>
        <w:tblW w:w="14301" w:type="dxa"/>
        <w:tblInd w:w="108" w:type="dxa"/>
        <w:tblLook w:val="04A0" w:firstRow="1" w:lastRow="0" w:firstColumn="1" w:lastColumn="0" w:noHBand="0" w:noVBand="1"/>
      </w:tblPr>
      <w:tblGrid>
        <w:gridCol w:w="3261"/>
        <w:gridCol w:w="4101"/>
        <w:gridCol w:w="2148"/>
        <w:gridCol w:w="1757"/>
        <w:gridCol w:w="3034"/>
      </w:tblGrid>
      <w:tr w:rsidR="00F548E5" w:rsidRPr="00FC11A6" w14:paraId="457E20EA" w14:textId="77777777" w:rsidTr="008271BE">
        <w:trPr>
          <w:tblHeader/>
        </w:trPr>
        <w:tc>
          <w:tcPr>
            <w:tcW w:w="14301" w:type="dxa"/>
            <w:gridSpan w:val="5"/>
            <w:shd w:val="clear" w:color="auto" w:fill="auto"/>
          </w:tcPr>
          <w:p w14:paraId="0396A680" w14:textId="09B8BD7F" w:rsidR="00F548E5" w:rsidRPr="0008531A" w:rsidRDefault="003F5EE8" w:rsidP="00167396">
            <w:pPr>
              <w:pStyle w:val="Table"/>
              <w:spacing w:after="40"/>
              <w:rPr>
                <w:b/>
                <w:sz w:val="24"/>
                <w:szCs w:val="24"/>
              </w:rPr>
            </w:pPr>
            <w:bookmarkStart w:id="65" w:name="_Toc465428255"/>
            <w:r w:rsidRPr="003F5EE8">
              <w:rPr>
                <w:rStyle w:val="Heading3Char"/>
              </w:rPr>
              <w:lastRenderedPageBreak/>
              <w:t xml:space="preserve">Table </w:t>
            </w:r>
            <w:r>
              <w:rPr>
                <w:rStyle w:val="Heading3Char"/>
              </w:rPr>
              <w:t>Focus Area 3</w:t>
            </w:r>
            <w:bookmarkEnd w:id="65"/>
            <w:r w:rsidR="00F548E5" w:rsidRPr="0008531A">
              <w:rPr>
                <w:b/>
                <w:sz w:val="24"/>
                <w:szCs w:val="24"/>
              </w:rPr>
              <w:t>: Achieving a higher rate of meaningful employment participation by people with disability through inclusive employment practices</w:t>
            </w:r>
          </w:p>
        </w:tc>
      </w:tr>
      <w:tr w:rsidR="00F548E5" w:rsidRPr="00FC11A6" w14:paraId="7DB7F89C" w14:textId="77777777" w:rsidTr="008271BE">
        <w:trPr>
          <w:tblHeader/>
        </w:trPr>
        <w:tc>
          <w:tcPr>
            <w:tcW w:w="3261" w:type="dxa"/>
          </w:tcPr>
          <w:p w14:paraId="12C1957D" w14:textId="77777777" w:rsidR="00F548E5" w:rsidRPr="00E50CC7" w:rsidRDefault="00F548E5" w:rsidP="00E50CC7">
            <w:pPr>
              <w:pStyle w:val="Table"/>
              <w:rPr>
                <w:b/>
              </w:rPr>
            </w:pPr>
            <w:r w:rsidRPr="00E50CC7">
              <w:rPr>
                <w:b/>
              </w:rPr>
              <w:t>Outcome</w:t>
            </w:r>
          </w:p>
        </w:tc>
        <w:tc>
          <w:tcPr>
            <w:tcW w:w="4101" w:type="dxa"/>
          </w:tcPr>
          <w:p w14:paraId="2790A624" w14:textId="77777777" w:rsidR="00F548E5" w:rsidRPr="00E50CC7" w:rsidRDefault="00F548E5" w:rsidP="00E50CC7">
            <w:pPr>
              <w:pStyle w:val="Table"/>
              <w:rPr>
                <w:b/>
              </w:rPr>
            </w:pPr>
            <w:r w:rsidRPr="00E50CC7">
              <w:rPr>
                <w:b/>
              </w:rPr>
              <w:t>Action</w:t>
            </w:r>
          </w:p>
        </w:tc>
        <w:tc>
          <w:tcPr>
            <w:tcW w:w="2148" w:type="dxa"/>
          </w:tcPr>
          <w:p w14:paraId="734282B9" w14:textId="77777777" w:rsidR="00F548E5" w:rsidRPr="00E50CC7" w:rsidRDefault="00F548E5" w:rsidP="00E50CC7">
            <w:pPr>
              <w:pStyle w:val="Table"/>
              <w:rPr>
                <w:b/>
              </w:rPr>
            </w:pPr>
            <w:r w:rsidRPr="00E50CC7">
              <w:rPr>
                <w:b/>
              </w:rPr>
              <w:t>Targeted Area</w:t>
            </w:r>
          </w:p>
        </w:tc>
        <w:tc>
          <w:tcPr>
            <w:tcW w:w="1757" w:type="dxa"/>
          </w:tcPr>
          <w:p w14:paraId="599DF6A1" w14:textId="77777777" w:rsidR="00F548E5" w:rsidRPr="00E50CC7" w:rsidRDefault="00F548E5" w:rsidP="00E50CC7">
            <w:pPr>
              <w:pStyle w:val="Table"/>
              <w:rPr>
                <w:b/>
              </w:rPr>
            </w:pPr>
            <w:r w:rsidRPr="00E50CC7">
              <w:rPr>
                <w:b/>
              </w:rPr>
              <w:t>Timeframe</w:t>
            </w:r>
          </w:p>
        </w:tc>
        <w:tc>
          <w:tcPr>
            <w:tcW w:w="3034" w:type="dxa"/>
          </w:tcPr>
          <w:p w14:paraId="1C0B6F42" w14:textId="77777777" w:rsidR="00F548E5" w:rsidRPr="00E50CC7" w:rsidRDefault="00F548E5" w:rsidP="00E50CC7">
            <w:pPr>
              <w:pStyle w:val="Table"/>
              <w:rPr>
                <w:b/>
              </w:rPr>
            </w:pPr>
            <w:r w:rsidRPr="00E50CC7">
              <w:rPr>
                <w:b/>
              </w:rPr>
              <w:t>Responsibility</w:t>
            </w:r>
          </w:p>
        </w:tc>
      </w:tr>
      <w:tr w:rsidR="00F548E5" w:rsidRPr="00F548E5" w14:paraId="047DE224" w14:textId="77777777" w:rsidTr="008271BE">
        <w:tc>
          <w:tcPr>
            <w:tcW w:w="3261" w:type="dxa"/>
          </w:tcPr>
          <w:p w14:paraId="15C97D5F" w14:textId="038CE888" w:rsidR="00F548E5" w:rsidRPr="00E50CC7" w:rsidRDefault="00F548E5" w:rsidP="00E50CC7">
            <w:pPr>
              <w:pStyle w:val="Table"/>
            </w:pPr>
            <w:r w:rsidRPr="00E50CC7">
              <w:t>3.1 Improved recruitment experience for people with disability</w:t>
            </w:r>
          </w:p>
        </w:tc>
        <w:tc>
          <w:tcPr>
            <w:tcW w:w="4101" w:type="dxa"/>
          </w:tcPr>
          <w:p w14:paraId="6DDB735C" w14:textId="4906D0C8" w:rsidR="00F548E5" w:rsidRPr="00E50CC7" w:rsidRDefault="00F548E5" w:rsidP="00E50CC7">
            <w:pPr>
              <w:pStyle w:val="Table"/>
            </w:pPr>
            <w:r w:rsidRPr="00E50CC7">
              <w:t>3.1.1 Review existing recruitment processes to ensure information and application processes are accessible</w:t>
            </w:r>
          </w:p>
        </w:tc>
        <w:tc>
          <w:tcPr>
            <w:tcW w:w="2148" w:type="dxa"/>
          </w:tcPr>
          <w:p w14:paraId="16E58610" w14:textId="6DE266CC" w:rsidR="00F548E5" w:rsidRPr="005373DD" w:rsidRDefault="00F548E5" w:rsidP="00E50CC7">
            <w:pPr>
              <w:pStyle w:val="Table"/>
              <w:rPr>
                <w:color w:val="000000" w:themeColor="text1"/>
              </w:rPr>
            </w:pPr>
            <w:r w:rsidRPr="005373DD">
              <w:rPr>
                <w:color w:val="000000" w:themeColor="text1"/>
              </w:rPr>
              <w:t>Recruitment and Employment</w:t>
            </w:r>
          </w:p>
        </w:tc>
        <w:tc>
          <w:tcPr>
            <w:tcW w:w="1757" w:type="dxa"/>
          </w:tcPr>
          <w:p w14:paraId="7E54CE07" w14:textId="27F78EC1" w:rsidR="00F548E5" w:rsidRPr="005373DD" w:rsidRDefault="00B3608F" w:rsidP="00E50CC7">
            <w:pPr>
              <w:pStyle w:val="Table"/>
              <w:rPr>
                <w:color w:val="000000" w:themeColor="text1"/>
              </w:rPr>
            </w:pPr>
            <w:r w:rsidRPr="005373DD">
              <w:rPr>
                <w:color w:val="000000" w:themeColor="text1"/>
              </w:rPr>
              <w:t xml:space="preserve"> June 2018</w:t>
            </w:r>
          </w:p>
        </w:tc>
        <w:tc>
          <w:tcPr>
            <w:tcW w:w="3034" w:type="dxa"/>
          </w:tcPr>
          <w:p w14:paraId="1670E7EB" w14:textId="5D0EDCAD" w:rsidR="00F548E5" w:rsidRPr="005373DD" w:rsidRDefault="00F73F92" w:rsidP="00E50CC7">
            <w:pPr>
              <w:pStyle w:val="Table"/>
              <w:rPr>
                <w:color w:val="000000" w:themeColor="text1"/>
              </w:rPr>
            </w:pPr>
            <w:r w:rsidRPr="005373DD">
              <w:rPr>
                <w:color w:val="000000" w:themeColor="text1"/>
              </w:rPr>
              <w:t>Human Resources Directorate (Recruitment &amp; Employment)</w:t>
            </w:r>
          </w:p>
        </w:tc>
      </w:tr>
      <w:tr w:rsidR="00F548E5" w:rsidRPr="00EB6A3B" w14:paraId="3C31A3F9" w14:textId="77777777" w:rsidTr="008271BE">
        <w:tc>
          <w:tcPr>
            <w:tcW w:w="3261" w:type="dxa"/>
          </w:tcPr>
          <w:p w14:paraId="6C59224B" w14:textId="25E36860" w:rsidR="00F548E5" w:rsidRPr="00E50CC7" w:rsidRDefault="00F73F92" w:rsidP="00E50CC7">
            <w:pPr>
              <w:pStyle w:val="Table"/>
            </w:pPr>
            <w:r w:rsidRPr="00E50CC7">
              <w:t>3.2 Increased opportunities for people with disability to enter the workforce</w:t>
            </w:r>
          </w:p>
        </w:tc>
        <w:tc>
          <w:tcPr>
            <w:tcW w:w="4101" w:type="dxa"/>
          </w:tcPr>
          <w:p w14:paraId="32857F53" w14:textId="6D903AFD" w:rsidR="00F548E5" w:rsidRPr="00E50CC7" w:rsidRDefault="00F73F92" w:rsidP="00E50CC7">
            <w:pPr>
              <w:pStyle w:val="Table"/>
            </w:pPr>
            <w:r w:rsidRPr="00E50CC7">
              <w:t>3.2.1 Consider opportunities for targeted recruitment for people with disability</w:t>
            </w:r>
          </w:p>
        </w:tc>
        <w:tc>
          <w:tcPr>
            <w:tcW w:w="2148" w:type="dxa"/>
          </w:tcPr>
          <w:p w14:paraId="4672522B" w14:textId="7616F0C8" w:rsidR="00F548E5" w:rsidRPr="005373DD" w:rsidRDefault="00F73F92" w:rsidP="00E50CC7">
            <w:pPr>
              <w:pStyle w:val="Table"/>
              <w:rPr>
                <w:color w:val="000000" w:themeColor="text1"/>
              </w:rPr>
            </w:pPr>
            <w:r w:rsidRPr="005373DD">
              <w:rPr>
                <w:color w:val="000000" w:themeColor="text1"/>
              </w:rPr>
              <w:t>All corporate business units</w:t>
            </w:r>
          </w:p>
        </w:tc>
        <w:tc>
          <w:tcPr>
            <w:tcW w:w="1757" w:type="dxa"/>
          </w:tcPr>
          <w:p w14:paraId="2AC70C3F" w14:textId="5F2C3A02" w:rsidR="00F548E5" w:rsidRPr="005373DD" w:rsidRDefault="00A942F1" w:rsidP="00E50CC7">
            <w:pPr>
              <w:pStyle w:val="Table"/>
              <w:rPr>
                <w:color w:val="000000" w:themeColor="text1"/>
              </w:rPr>
            </w:pPr>
            <w:r w:rsidRPr="005373DD">
              <w:rPr>
                <w:color w:val="000000" w:themeColor="text1"/>
              </w:rPr>
              <w:t xml:space="preserve"> June 2018</w:t>
            </w:r>
          </w:p>
        </w:tc>
        <w:tc>
          <w:tcPr>
            <w:tcW w:w="3034" w:type="dxa"/>
          </w:tcPr>
          <w:p w14:paraId="312D9173" w14:textId="2A55E499" w:rsidR="00F548E5" w:rsidRPr="005373DD" w:rsidRDefault="00F73F92" w:rsidP="00E50CC7">
            <w:pPr>
              <w:pStyle w:val="Table"/>
              <w:rPr>
                <w:color w:val="000000" w:themeColor="text1"/>
              </w:rPr>
            </w:pPr>
            <w:r w:rsidRPr="005373DD">
              <w:rPr>
                <w:color w:val="000000" w:themeColor="text1"/>
              </w:rPr>
              <w:t>Human Resources Directorate (Strategy &amp; Governance)</w:t>
            </w:r>
          </w:p>
        </w:tc>
      </w:tr>
      <w:tr w:rsidR="00F548E5" w:rsidRPr="00EB6A3B" w14:paraId="4907B443" w14:textId="77777777" w:rsidTr="008271BE">
        <w:tc>
          <w:tcPr>
            <w:tcW w:w="3261" w:type="dxa"/>
          </w:tcPr>
          <w:p w14:paraId="576C4DF7" w14:textId="27E2EDDC" w:rsidR="00F548E5" w:rsidRPr="00E50CC7" w:rsidRDefault="00F73F92" w:rsidP="00E50CC7">
            <w:pPr>
              <w:pStyle w:val="Table"/>
            </w:pPr>
            <w:r w:rsidRPr="00E50CC7">
              <w:t>3.3 Improved engagement and support for people with disability in the workforce</w:t>
            </w:r>
          </w:p>
        </w:tc>
        <w:tc>
          <w:tcPr>
            <w:tcW w:w="4101" w:type="dxa"/>
          </w:tcPr>
          <w:p w14:paraId="70F7D3A5" w14:textId="6530EBF1" w:rsidR="00F548E5" w:rsidRPr="00E50CC7" w:rsidRDefault="00F73F92" w:rsidP="00E50CC7">
            <w:pPr>
              <w:pStyle w:val="Table"/>
            </w:pPr>
            <w:r w:rsidRPr="00E50CC7">
              <w:t>3.3.1 Use the Disability Employee Network as a mechanism for improved engagement with the workforce on issues related to disability in the workplace.</w:t>
            </w:r>
          </w:p>
        </w:tc>
        <w:tc>
          <w:tcPr>
            <w:tcW w:w="2148" w:type="dxa"/>
          </w:tcPr>
          <w:p w14:paraId="6E7F55C1" w14:textId="669A7B18" w:rsidR="00F548E5" w:rsidRPr="005373DD" w:rsidRDefault="00F73F92" w:rsidP="00E50CC7">
            <w:pPr>
              <w:pStyle w:val="Table"/>
              <w:rPr>
                <w:color w:val="000000" w:themeColor="text1"/>
              </w:rPr>
            </w:pPr>
            <w:r w:rsidRPr="005373DD">
              <w:rPr>
                <w:color w:val="000000" w:themeColor="text1"/>
              </w:rPr>
              <w:t>All employees</w:t>
            </w:r>
          </w:p>
        </w:tc>
        <w:tc>
          <w:tcPr>
            <w:tcW w:w="1757" w:type="dxa"/>
          </w:tcPr>
          <w:p w14:paraId="2609ADD9" w14:textId="58CD988B" w:rsidR="00F548E5" w:rsidRPr="005373DD" w:rsidRDefault="00F73F92" w:rsidP="00E50CC7">
            <w:pPr>
              <w:pStyle w:val="Table"/>
              <w:rPr>
                <w:color w:val="000000" w:themeColor="text1"/>
              </w:rPr>
            </w:pPr>
            <w:r w:rsidRPr="005373DD">
              <w:rPr>
                <w:color w:val="000000" w:themeColor="text1"/>
              </w:rPr>
              <w:t>Ongoing</w:t>
            </w:r>
          </w:p>
        </w:tc>
        <w:tc>
          <w:tcPr>
            <w:tcW w:w="3034" w:type="dxa"/>
          </w:tcPr>
          <w:p w14:paraId="5C5F247D" w14:textId="0AAE6452" w:rsidR="00F548E5" w:rsidRPr="005373DD" w:rsidRDefault="00F73F92" w:rsidP="00E50CC7">
            <w:pPr>
              <w:pStyle w:val="Table"/>
              <w:rPr>
                <w:color w:val="000000" w:themeColor="text1"/>
              </w:rPr>
            </w:pPr>
            <w:r w:rsidRPr="005373DD">
              <w:rPr>
                <w:color w:val="000000" w:themeColor="text1"/>
              </w:rPr>
              <w:t>Human Resources Directorate (Talent Management)</w:t>
            </w:r>
          </w:p>
        </w:tc>
      </w:tr>
      <w:tr w:rsidR="00F548E5" w:rsidRPr="00824F24" w14:paraId="2240E647" w14:textId="77777777" w:rsidTr="008271BE">
        <w:tc>
          <w:tcPr>
            <w:tcW w:w="3261" w:type="dxa"/>
          </w:tcPr>
          <w:p w14:paraId="479B5AE9" w14:textId="66369536" w:rsidR="00F548E5" w:rsidRPr="00E50CC7" w:rsidRDefault="009702AE" w:rsidP="00E50CC7">
            <w:pPr>
              <w:pStyle w:val="Table"/>
            </w:pPr>
            <w:r w:rsidRPr="00E50CC7">
              <w:t>3.3 Improved engagement and support for people with disability in the workforce</w:t>
            </w:r>
          </w:p>
        </w:tc>
        <w:tc>
          <w:tcPr>
            <w:tcW w:w="4101" w:type="dxa"/>
          </w:tcPr>
          <w:p w14:paraId="2DFB7E0E" w14:textId="0F6B99C0" w:rsidR="00F548E5" w:rsidRPr="00E50CC7" w:rsidRDefault="00F73F92" w:rsidP="00E50CC7">
            <w:pPr>
              <w:pStyle w:val="Table"/>
            </w:pPr>
            <w:r w:rsidRPr="00E50CC7">
              <w:t>3.3.2 Promote leadership development for people with disabilities</w:t>
            </w:r>
          </w:p>
        </w:tc>
        <w:tc>
          <w:tcPr>
            <w:tcW w:w="2148" w:type="dxa"/>
          </w:tcPr>
          <w:p w14:paraId="241F97A9" w14:textId="4D9B69CB" w:rsidR="00F548E5" w:rsidRPr="005373DD" w:rsidRDefault="00F73F92" w:rsidP="00E50CC7">
            <w:pPr>
              <w:pStyle w:val="Table"/>
              <w:rPr>
                <w:color w:val="000000" w:themeColor="text1"/>
              </w:rPr>
            </w:pPr>
            <w:r w:rsidRPr="005373DD">
              <w:rPr>
                <w:color w:val="000000" w:themeColor="text1"/>
              </w:rPr>
              <w:t>All corporate business units</w:t>
            </w:r>
          </w:p>
        </w:tc>
        <w:tc>
          <w:tcPr>
            <w:tcW w:w="1757" w:type="dxa"/>
          </w:tcPr>
          <w:p w14:paraId="6B09E730" w14:textId="0BFE82FC" w:rsidR="00F548E5" w:rsidRPr="005373DD" w:rsidRDefault="001A378D" w:rsidP="00E50CC7">
            <w:pPr>
              <w:pStyle w:val="Table"/>
              <w:rPr>
                <w:color w:val="000000" w:themeColor="text1"/>
              </w:rPr>
            </w:pPr>
            <w:r w:rsidRPr="005373DD">
              <w:rPr>
                <w:color w:val="000000" w:themeColor="text1"/>
              </w:rPr>
              <w:t xml:space="preserve"> April 2018</w:t>
            </w:r>
          </w:p>
        </w:tc>
        <w:tc>
          <w:tcPr>
            <w:tcW w:w="3034" w:type="dxa"/>
          </w:tcPr>
          <w:p w14:paraId="75F71080" w14:textId="611FF80A" w:rsidR="00F548E5" w:rsidRPr="005373DD" w:rsidRDefault="00F73F92" w:rsidP="00E50CC7">
            <w:pPr>
              <w:pStyle w:val="Table"/>
              <w:rPr>
                <w:color w:val="000000" w:themeColor="text1"/>
              </w:rPr>
            </w:pPr>
            <w:r w:rsidRPr="005373DD">
              <w:rPr>
                <w:color w:val="000000" w:themeColor="text1"/>
              </w:rPr>
              <w:t>Human Resources Directorate (Strategy &amp; Governance)</w:t>
            </w:r>
          </w:p>
        </w:tc>
      </w:tr>
      <w:tr w:rsidR="00F73F92" w:rsidRPr="00824F24" w14:paraId="28D423D1" w14:textId="77777777" w:rsidTr="008271BE">
        <w:tc>
          <w:tcPr>
            <w:tcW w:w="3261" w:type="dxa"/>
          </w:tcPr>
          <w:p w14:paraId="118F1E68" w14:textId="570717C6" w:rsidR="00F73F92" w:rsidRPr="00E50CC7" w:rsidRDefault="009702AE" w:rsidP="00E50CC7">
            <w:pPr>
              <w:pStyle w:val="Table"/>
            </w:pPr>
            <w:r w:rsidRPr="00E50CC7">
              <w:t>3.3 Improved engagement and support for people with disability in the workforce</w:t>
            </w:r>
          </w:p>
        </w:tc>
        <w:tc>
          <w:tcPr>
            <w:tcW w:w="4101" w:type="dxa"/>
          </w:tcPr>
          <w:p w14:paraId="3A8E248B" w14:textId="6D6ECD7C" w:rsidR="00F73F92" w:rsidRPr="00E50CC7" w:rsidRDefault="00F73F92" w:rsidP="00E50CC7">
            <w:pPr>
              <w:pStyle w:val="Table"/>
            </w:pPr>
            <w:r w:rsidRPr="00E50CC7">
              <w:t>3.3.3 Support employees requiring reasonable adjustment due to disability, illness or related health conditions</w:t>
            </w:r>
          </w:p>
        </w:tc>
        <w:tc>
          <w:tcPr>
            <w:tcW w:w="2148" w:type="dxa"/>
          </w:tcPr>
          <w:p w14:paraId="7A1CBB24" w14:textId="0963CFD9" w:rsidR="00F73F92" w:rsidRPr="005373DD" w:rsidRDefault="00F73F92" w:rsidP="00E50CC7">
            <w:pPr>
              <w:pStyle w:val="Table"/>
              <w:rPr>
                <w:color w:val="000000" w:themeColor="text1"/>
              </w:rPr>
            </w:pPr>
            <w:r w:rsidRPr="005373DD">
              <w:rPr>
                <w:color w:val="000000" w:themeColor="text1"/>
              </w:rPr>
              <w:t>All employees</w:t>
            </w:r>
          </w:p>
        </w:tc>
        <w:tc>
          <w:tcPr>
            <w:tcW w:w="1757" w:type="dxa"/>
          </w:tcPr>
          <w:p w14:paraId="3B443B54" w14:textId="68B54185" w:rsidR="00F73F92" w:rsidRPr="005373DD" w:rsidRDefault="00F73F92" w:rsidP="00E50CC7">
            <w:pPr>
              <w:pStyle w:val="Table"/>
              <w:rPr>
                <w:color w:val="000000" w:themeColor="text1"/>
              </w:rPr>
            </w:pPr>
            <w:r w:rsidRPr="005373DD">
              <w:rPr>
                <w:color w:val="000000" w:themeColor="text1"/>
              </w:rPr>
              <w:t>September 2016</w:t>
            </w:r>
          </w:p>
        </w:tc>
        <w:tc>
          <w:tcPr>
            <w:tcW w:w="3034" w:type="dxa"/>
          </w:tcPr>
          <w:p w14:paraId="43A4EAE5" w14:textId="217C975D" w:rsidR="00F73F92" w:rsidRPr="005373DD" w:rsidRDefault="00F73F92" w:rsidP="00E50CC7">
            <w:pPr>
              <w:pStyle w:val="Table"/>
              <w:rPr>
                <w:color w:val="000000" w:themeColor="text1"/>
              </w:rPr>
            </w:pPr>
            <w:r w:rsidRPr="005373DD">
              <w:rPr>
                <w:color w:val="000000" w:themeColor="text1"/>
              </w:rPr>
              <w:t>Work Health &amp; Safety Directorate</w:t>
            </w:r>
          </w:p>
        </w:tc>
      </w:tr>
      <w:tr w:rsidR="00F73F92" w:rsidRPr="00824F24" w14:paraId="1B5145B7" w14:textId="77777777" w:rsidTr="008271BE">
        <w:tc>
          <w:tcPr>
            <w:tcW w:w="3261" w:type="dxa"/>
          </w:tcPr>
          <w:p w14:paraId="3E18FA8B" w14:textId="5F54E2CF" w:rsidR="00F73F92" w:rsidRPr="00E50CC7" w:rsidRDefault="00F73F92" w:rsidP="00E50CC7">
            <w:pPr>
              <w:pStyle w:val="Table"/>
            </w:pPr>
            <w:r w:rsidRPr="00E50CC7">
              <w:lastRenderedPageBreak/>
              <w:t>3.4 Improved accessibility of services and systems supporting employees with disability</w:t>
            </w:r>
          </w:p>
        </w:tc>
        <w:tc>
          <w:tcPr>
            <w:tcW w:w="4101" w:type="dxa"/>
          </w:tcPr>
          <w:p w14:paraId="5F508906" w14:textId="13EBE183" w:rsidR="00F73F92" w:rsidRPr="00E50CC7" w:rsidRDefault="00F73F92" w:rsidP="00E50CC7">
            <w:pPr>
              <w:pStyle w:val="Table"/>
            </w:pPr>
            <w:r w:rsidRPr="00E50CC7">
              <w:t>3.4.1 Increase opportunities for employee feedback and input in relation to accessibility of services and systems</w:t>
            </w:r>
          </w:p>
        </w:tc>
        <w:tc>
          <w:tcPr>
            <w:tcW w:w="2148" w:type="dxa"/>
          </w:tcPr>
          <w:p w14:paraId="2FA5A5EA" w14:textId="48A41D01" w:rsidR="00F73F92" w:rsidRPr="00E50CC7" w:rsidRDefault="00F73F92" w:rsidP="00E50CC7">
            <w:pPr>
              <w:pStyle w:val="Table"/>
            </w:pPr>
            <w:r w:rsidRPr="00E50CC7">
              <w:t>All employees</w:t>
            </w:r>
          </w:p>
        </w:tc>
        <w:tc>
          <w:tcPr>
            <w:tcW w:w="1757" w:type="dxa"/>
          </w:tcPr>
          <w:p w14:paraId="00DAC9B8" w14:textId="37E01C37" w:rsidR="00F73F92" w:rsidRPr="00E50CC7" w:rsidRDefault="00F73F92" w:rsidP="00E50CC7">
            <w:pPr>
              <w:pStyle w:val="Table"/>
            </w:pPr>
            <w:r w:rsidRPr="00E50CC7">
              <w:t>December 2016</w:t>
            </w:r>
          </w:p>
        </w:tc>
        <w:tc>
          <w:tcPr>
            <w:tcW w:w="3034" w:type="dxa"/>
          </w:tcPr>
          <w:p w14:paraId="647944CD" w14:textId="4A8E44B6" w:rsidR="00F73F92" w:rsidRPr="00E50CC7" w:rsidRDefault="00F73F92" w:rsidP="00E50CC7">
            <w:pPr>
              <w:pStyle w:val="Table"/>
            </w:pPr>
            <w:r w:rsidRPr="00E50CC7">
              <w:t>Information Technology Directorate, Communication &amp; Engagement</w:t>
            </w:r>
          </w:p>
        </w:tc>
      </w:tr>
      <w:tr w:rsidR="00F73F92" w:rsidRPr="00824F24" w14:paraId="10840E06" w14:textId="77777777" w:rsidTr="008271BE">
        <w:tc>
          <w:tcPr>
            <w:tcW w:w="3261" w:type="dxa"/>
          </w:tcPr>
          <w:p w14:paraId="16CFF4DE" w14:textId="6AAB4AA4" w:rsidR="00F73F92" w:rsidRPr="00E50CC7" w:rsidRDefault="00F73F92" w:rsidP="00E50CC7">
            <w:pPr>
              <w:pStyle w:val="Table"/>
            </w:pPr>
            <w:r w:rsidRPr="00E50CC7">
              <w:t>3.5 School students with complex needs are supported in planning for post school employment pathways</w:t>
            </w:r>
          </w:p>
        </w:tc>
        <w:tc>
          <w:tcPr>
            <w:tcW w:w="4101" w:type="dxa"/>
          </w:tcPr>
          <w:p w14:paraId="42F1936F" w14:textId="507C9FCB" w:rsidR="00F73F92" w:rsidRPr="00E50CC7" w:rsidRDefault="00F73F92" w:rsidP="00E50CC7">
            <w:pPr>
              <w:pStyle w:val="Table"/>
            </w:pPr>
            <w:r w:rsidRPr="00E50CC7">
              <w:t>3.5.1 Review processes for supporting transition of students with disability into post-school employment options in light of supports being provided through the National Disability Insurance Scheme</w:t>
            </w:r>
          </w:p>
        </w:tc>
        <w:tc>
          <w:tcPr>
            <w:tcW w:w="2148" w:type="dxa"/>
          </w:tcPr>
          <w:p w14:paraId="48B1D84C" w14:textId="094C680F" w:rsidR="00F73F92" w:rsidRPr="00E50CC7" w:rsidRDefault="00F73F92" w:rsidP="00E50CC7">
            <w:pPr>
              <w:pStyle w:val="Table"/>
            </w:pPr>
            <w:r w:rsidRPr="00E50CC7">
              <w:t>Schools</w:t>
            </w:r>
          </w:p>
        </w:tc>
        <w:tc>
          <w:tcPr>
            <w:tcW w:w="1757" w:type="dxa"/>
          </w:tcPr>
          <w:p w14:paraId="69C3C6AE" w14:textId="469C09F1" w:rsidR="00F73F92" w:rsidRPr="00E50CC7" w:rsidRDefault="00F73F92" w:rsidP="00E50CC7">
            <w:pPr>
              <w:pStyle w:val="Table"/>
            </w:pPr>
            <w:r w:rsidRPr="00E50CC7">
              <w:t>June 2017</w:t>
            </w:r>
          </w:p>
        </w:tc>
        <w:tc>
          <w:tcPr>
            <w:tcW w:w="3034" w:type="dxa"/>
          </w:tcPr>
          <w:p w14:paraId="16A9F0B5" w14:textId="419D6E45" w:rsidR="00F73F92" w:rsidRPr="00E50CC7" w:rsidRDefault="00F73F92" w:rsidP="00E50CC7">
            <w:pPr>
              <w:pStyle w:val="Table"/>
            </w:pPr>
            <w:r w:rsidRPr="00E50CC7">
              <w:t>Learning and Wellbeing, Schools Operations and Performance</w:t>
            </w:r>
          </w:p>
        </w:tc>
      </w:tr>
    </w:tbl>
    <w:p w14:paraId="76DE408B" w14:textId="77777777" w:rsidR="00F73F92" w:rsidRDefault="00F73F92" w:rsidP="00F73F92">
      <w:pPr>
        <w:rPr>
          <w:sz w:val="20"/>
        </w:rPr>
      </w:pPr>
      <w:r>
        <w:br w:type="page"/>
      </w:r>
    </w:p>
    <w:tbl>
      <w:tblPr>
        <w:tblStyle w:val="TableGrid"/>
        <w:tblW w:w="14301" w:type="dxa"/>
        <w:tblInd w:w="108" w:type="dxa"/>
        <w:tblLook w:val="04A0" w:firstRow="1" w:lastRow="0" w:firstColumn="1" w:lastColumn="0" w:noHBand="0" w:noVBand="1"/>
      </w:tblPr>
      <w:tblGrid>
        <w:gridCol w:w="3261"/>
        <w:gridCol w:w="4101"/>
        <w:gridCol w:w="2148"/>
        <w:gridCol w:w="1757"/>
        <w:gridCol w:w="3034"/>
      </w:tblGrid>
      <w:tr w:rsidR="00F73F92" w:rsidRPr="00FC11A6" w14:paraId="0A982601" w14:textId="77777777" w:rsidTr="008271BE">
        <w:trPr>
          <w:tblHeader/>
        </w:trPr>
        <w:tc>
          <w:tcPr>
            <w:tcW w:w="14301" w:type="dxa"/>
            <w:gridSpan w:val="5"/>
            <w:shd w:val="clear" w:color="auto" w:fill="auto"/>
            <w:vAlign w:val="center"/>
          </w:tcPr>
          <w:p w14:paraId="78630A89" w14:textId="7279375D" w:rsidR="00F73F92" w:rsidRPr="0008531A" w:rsidRDefault="003F5EE8" w:rsidP="00167396">
            <w:pPr>
              <w:pStyle w:val="Table"/>
              <w:spacing w:after="40"/>
              <w:rPr>
                <w:b/>
                <w:sz w:val="24"/>
                <w:szCs w:val="24"/>
              </w:rPr>
            </w:pPr>
            <w:bookmarkStart w:id="66" w:name="_Toc465428256"/>
            <w:r w:rsidRPr="003F5EE8">
              <w:rPr>
                <w:rStyle w:val="Heading3Char"/>
              </w:rPr>
              <w:lastRenderedPageBreak/>
              <w:t xml:space="preserve">Table </w:t>
            </w:r>
            <w:r>
              <w:rPr>
                <w:rStyle w:val="Heading3Char"/>
              </w:rPr>
              <w:t>Focus Area 4</w:t>
            </w:r>
            <w:bookmarkEnd w:id="66"/>
            <w:r w:rsidR="00F73F92" w:rsidRPr="0008531A">
              <w:rPr>
                <w:b/>
                <w:sz w:val="24"/>
                <w:szCs w:val="24"/>
              </w:rPr>
              <w:t>: Achieving more equitable access to mainstream services for people with disability through better systems and processes</w:t>
            </w:r>
          </w:p>
        </w:tc>
      </w:tr>
      <w:tr w:rsidR="00017980" w:rsidRPr="00FC11A6" w14:paraId="15DAB4E1" w14:textId="77777777" w:rsidTr="008271BE">
        <w:trPr>
          <w:tblHeader/>
        </w:trPr>
        <w:tc>
          <w:tcPr>
            <w:tcW w:w="3261" w:type="dxa"/>
          </w:tcPr>
          <w:p w14:paraId="09F6ADFD" w14:textId="77777777" w:rsidR="00F73F92" w:rsidRPr="00FC11A6" w:rsidRDefault="00F73F92" w:rsidP="00677AFA">
            <w:pPr>
              <w:pStyle w:val="Table"/>
              <w:rPr>
                <w:b/>
              </w:rPr>
            </w:pPr>
            <w:r w:rsidRPr="00FC11A6">
              <w:rPr>
                <w:b/>
              </w:rPr>
              <w:t>Outcome</w:t>
            </w:r>
          </w:p>
        </w:tc>
        <w:tc>
          <w:tcPr>
            <w:tcW w:w="4101" w:type="dxa"/>
          </w:tcPr>
          <w:p w14:paraId="577D6A2C" w14:textId="77777777" w:rsidR="00F73F92" w:rsidRPr="00FC11A6" w:rsidRDefault="00F73F92" w:rsidP="00677AFA">
            <w:pPr>
              <w:pStyle w:val="Table"/>
              <w:rPr>
                <w:b/>
              </w:rPr>
            </w:pPr>
            <w:r w:rsidRPr="00FC11A6">
              <w:rPr>
                <w:b/>
              </w:rPr>
              <w:t>Action</w:t>
            </w:r>
          </w:p>
        </w:tc>
        <w:tc>
          <w:tcPr>
            <w:tcW w:w="2148" w:type="dxa"/>
          </w:tcPr>
          <w:p w14:paraId="015EFAB9" w14:textId="77777777" w:rsidR="00F73F92" w:rsidRPr="00FC11A6" w:rsidRDefault="00F73F92" w:rsidP="00677AFA">
            <w:pPr>
              <w:pStyle w:val="Table"/>
              <w:rPr>
                <w:b/>
              </w:rPr>
            </w:pPr>
            <w:r w:rsidRPr="00FC11A6">
              <w:rPr>
                <w:b/>
              </w:rPr>
              <w:t>Targeted Area</w:t>
            </w:r>
          </w:p>
        </w:tc>
        <w:tc>
          <w:tcPr>
            <w:tcW w:w="1757" w:type="dxa"/>
          </w:tcPr>
          <w:p w14:paraId="33C52B6D" w14:textId="77777777" w:rsidR="00F73F92" w:rsidRPr="00FC11A6" w:rsidRDefault="00F73F92" w:rsidP="00677AFA">
            <w:pPr>
              <w:pStyle w:val="Table"/>
              <w:rPr>
                <w:b/>
              </w:rPr>
            </w:pPr>
            <w:r w:rsidRPr="00FC11A6">
              <w:rPr>
                <w:b/>
              </w:rPr>
              <w:t>Timeframe</w:t>
            </w:r>
          </w:p>
        </w:tc>
        <w:tc>
          <w:tcPr>
            <w:tcW w:w="3034" w:type="dxa"/>
          </w:tcPr>
          <w:p w14:paraId="2E1FD27C" w14:textId="77777777" w:rsidR="00F73F92" w:rsidRPr="00FC11A6" w:rsidRDefault="00F73F92" w:rsidP="00677AFA">
            <w:pPr>
              <w:pStyle w:val="Table"/>
              <w:rPr>
                <w:b/>
              </w:rPr>
            </w:pPr>
            <w:r w:rsidRPr="00FC11A6">
              <w:rPr>
                <w:b/>
              </w:rPr>
              <w:t>Responsibility</w:t>
            </w:r>
          </w:p>
        </w:tc>
      </w:tr>
      <w:tr w:rsidR="00017980" w:rsidRPr="00F548E5" w14:paraId="44CE25B7" w14:textId="77777777" w:rsidTr="008271BE">
        <w:tc>
          <w:tcPr>
            <w:tcW w:w="3261" w:type="dxa"/>
          </w:tcPr>
          <w:p w14:paraId="0259E50F" w14:textId="0AE91879" w:rsidR="00F73F92" w:rsidRPr="00E50CC7" w:rsidRDefault="00F73F92" w:rsidP="00E50CC7">
            <w:pPr>
              <w:pStyle w:val="Table"/>
            </w:pPr>
            <w:r w:rsidRPr="00E50CC7">
              <w:t>4.1 A new strategic policy that underpins the Department’s commitment to people with disability</w:t>
            </w:r>
          </w:p>
        </w:tc>
        <w:tc>
          <w:tcPr>
            <w:tcW w:w="4101" w:type="dxa"/>
          </w:tcPr>
          <w:p w14:paraId="4DB52CF4" w14:textId="29388ACE" w:rsidR="00F73F92" w:rsidRPr="00E50CC7" w:rsidRDefault="00F73F92" w:rsidP="00E50CC7">
            <w:pPr>
              <w:pStyle w:val="Table"/>
            </w:pPr>
            <w:r w:rsidRPr="00E50CC7">
              <w:t xml:space="preserve">4.1.1 Review and update the </w:t>
            </w:r>
            <w:r w:rsidRPr="009D71BA">
              <w:rPr>
                <w:i/>
              </w:rPr>
              <w:t>People with Disability – Statement of Commitment</w:t>
            </w:r>
            <w:r w:rsidRPr="00E50CC7">
              <w:t xml:space="preserve"> policy to reflect contemporary obligations, expectations and services of people with disability and inclusive practices, including their supporters and representatives</w:t>
            </w:r>
          </w:p>
        </w:tc>
        <w:tc>
          <w:tcPr>
            <w:tcW w:w="2148" w:type="dxa"/>
          </w:tcPr>
          <w:p w14:paraId="3A8A6D30" w14:textId="35D17C79" w:rsidR="00F73F92" w:rsidRPr="00E50CC7" w:rsidRDefault="00F73F92" w:rsidP="00E50CC7">
            <w:pPr>
              <w:pStyle w:val="Table"/>
            </w:pPr>
            <w:r w:rsidRPr="00E50CC7">
              <w:t>Schools, Educational Services and State Office</w:t>
            </w:r>
          </w:p>
        </w:tc>
        <w:tc>
          <w:tcPr>
            <w:tcW w:w="1757" w:type="dxa"/>
          </w:tcPr>
          <w:p w14:paraId="6B8BA9BE" w14:textId="1987E2E5" w:rsidR="00F73F92" w:rsidRPr="00E50CC7" w:rsidRDefault="00F73F92" w:rsidP="00E50CC7">
            <w:pPr>
              <w:pStyle w:val="Table"/>
            </w:pPr>
            <w:r w:rsidRPr="00E50CC7">
              <w:t>June 2017</w:t>
            </w:r>
          </w:p>
        </w:tc>
        <w:tc>
          <w:tcPr>
            <w:tcW w:w="3034" w:type="dxa"/>
          </w:tcPr>
          <w:p w14:paraId="67FBE006" w14:textId="3E33E965" w:rsidR="00F73F92" w:rsidRPr="00E50CC7" w:rsidRDefault="00F73F92" w:rsidP="00E50CC7">
            <w:pPr>
              <w:pStyle w:val="Table"/>
            </w:pPr>
            <w:r w:rsidRPr="00E50CC7">
              <w:t>Learning and Wellbeing, Schools Operations and Performance</w:t>
            </w:r>
          </w:p>
        </w:tc>
      </w:tr>
      <w:tr w:rsidR="00017980" w:rsidRPr="00EB6A3B" w14:paraId="06BA447A" w14:textId="77777777" w:rsidTr="008271BE">
        <w:tc>
          <w:tcPr>
            <w:tcW w:w="3261" w:type="dxa"/>
          </w:tcPr>
          <w:p w14:paraId="3389A7A9" w14:textId="37CCB3BF" w:rsidR="00F73F92" w:rsidRPr="00E50CC7" w:rsidRDefault="00F73F92" w:rsidP="00E50CC7">
            <w:pPr>
              <w:pStyle w:val="Table"/>
            </w:pPr>
            <w:r w:rsidRPr="00E50CC7">
              <w:t>4.2 Improved access to information on Departmental programs and services supporting people with disability</w:t>
            </w:r>
          </w:p>
        </w:tc>
        <w:tc>
          <w:tcPr>
            <w:tcW w:w="4101" w:type="dxa"/>
          </w:tcPr>
          <w:p w14:paraId="42F1D17D" w14:textId="766A4ED2" w:rsidR="00F73F92" w:rsidRPr="00E50CC7" w:rsidRDefault="00F73F92" w:rsidP="00E50CC7">
            <w:pPr>
              <w:pStyle w:val="Table"/>
            </w:pPr>
            <w:r w:rsidRPr="00E50CC7">
              <w:t>4.2.1 Improve the Department’s website information about support provided in NSW public schools for students whose learning is impacted by disability</w:t>
            </w:r>
          </w:p>
        </w:tc>
        <w:tc>
          <w:tcPr>
            <w:tcW w:w="2148" w:type="dxa"/>
          </w:tcPr>
          <w:p w14:paraId="51FE931B" w14:textId="2D9F1ABA" w:rsidR="00F73F92" w:rsidRPr="00E50CC7" w:rsidRDefault="00F73F92" w:rsidP="00E50CC7">
            <w:pPr>
              <w:pStyle w:val="Table"/>
            </w:pPr>
            <w:r w:rsidRPr="00E50CC7">
              <w:t>Schools</w:t>
            </w:r>
          </w:p>
        </w:tc>
        <w:tc>
          <w:tcPr>
            <w:tcW w:w="1757" w:type="dxa"/>
          </w:tcPr>
          <w:p w14:paraId="2E5E65D3" w14:textId="3C984598" w:rsidR="00F73F92" w:rsidRPr="00E50CC7" w:rsidRDefault="00F73F92" w:rsidP="00E50CC7">
            <w:pPr>
              <w:pStyle w:val="Table"/>
            </w:pPr>
            <w:r w:rsidRPr="00E50CC7">
              <w:t>December 2016</w:t>
            </w:r>
          </w:p>
        </w:tc>
        <w:tc>
          <w:tcPr>
            <w:tcW w:w="3034" w:type="dxa"/>
          </w:tcPr>
          <w:p w14:paraId="76752285" w14:textId="3EB3B002" w:rsidR="00F73F92" w:rsidRPr="00E50CC7" w:rsidRDefault="00F73F92" w:rsidP="00E50CC7">
            <w:pPr>
              <w:pStyle w:val="Table"/>
            </w:pPr>
            <w:r w:rsidRPr="00E50CC7">
              <w:t>Learning and Wellbeing, Schools Operations and Performance</w:t>
            </w:r>
          </w:p>
        </w:tc>
      </w:tr>
      <w:tr w:rsidR="00017980" w:rsidRPr="00EB6A3B" w14:paraId="2A0EE7E0" w14:textId="77777777" w:rsidTr="008271BE">
        <w:tc>
          <w:tcPr>
            <w:tcW w:w="3261" w:type="dxa"/>
          </w:tcPr>
          <w:p w14:paraId="32E1AF0C" w14:textId="2C553E49" w:rsidR="00F73F92" w:rsidRPr="00E50CC7" w:rsidRDefault="009702AE" w:rsidP="00E50CC7">
            <w:pPr>
              <w:pStyle w:val="Table"/>
            </w:pPr>
            <w:r w:rsidRPr="00E50CC7">
              <w:t>4.2 Improved access to information on Departmental programs and services supporting people with disability</w:t>
            </w:r>
          </w:p>
        </w:tc>
        <w:tc>
          <w:tcPr>
            <w:tcW w:w="4101" w:type="dxa"/>
          </w:tcPr>
          <w:p w14:paraId="17053814" w14:textId="7551B750" w:rsidR="00F73F92" w:rsidRPr="00E50CC7" w:rsidRDefault="00F73F92" w:rsidP="00E50CC7">
            <w:pPr>
              <w:pStyle w:val="Table"/>
            </w:pPr>
            <w:r w:rsidRPr="00E50CC7">
              <w:t>4.2.2 Review guidance for school website content to see if information on supporting students with disability on these websites can be improved</w:t>
            </w:r>
          </w:p>
        </w:tc>
        <w:tc>
          <w:tcPr>
            <w:tcW w:w="2148" w:type="dxa"/>
          </w:tcPr>
          <w:p w14:paraId="3E450D24" w14:textId="140597AC" w:rsidR="00F73F92" w:rsidRPr="00E50CC7" w:rsidRDefault="00F73F92" w:rsidP="00E50CC7">
            <w:pPr>
              <w:pStyle w:val="Table"/>
            </w:pPr>
            <w:r w:rsidRPr="00E50CC7">
              <w:t>Schools</w:t>
            </w:r>
          </w:p>
        </w:tc>
        <w:tc>
          <w:tcPr>
            <w:tcW w:w="1757" w:type="dxa"/>
          </w:tcPr>
          <w:p w14:paraId="7A15E88E" w14:textId="53DEF8B4" w:rsidR="00F73F92" w:rsidRPr="00E50CC7" w:rsidRDefault="00F73F92" w:rsidP="00E50CC7">
            <w:pPr>
              <w:pStyle w:val="Table"/>
            </w:pPr>
            <w:r w:rsidRPr="00E50CC7">
              <w:t>December 2016</w:t>
            </w:r>
          </w:p>
        </w:tc>
        <w:tc>
          <w:tcPr>
            <w:tcW w:w="3034" w:type="dxa"/>
          </w:tcPr>
          <w:p w14:paraId="35877E8E" w14:textId="759C4876" w:rsidR="00F73F92" w:rsidRPr="00E50CC7" w:rsidRDefault="00F73F92" w:rsidP="00E50CC7">
            <w:pPr>
              <w:pStyle w:val="Table"/>
            </w:pPr>
            <w:r w:rsidRPr="00E50CC7">
              <w:t>Learning and Wellbeing, Schools Operations and Performance</w:t>
            </w:r>
          </w:p>
        </w:tc>
      </w:tr>
      <w:tr w:rsidR="00017980" w:rsidRPr="00824F24" w14:paraId="5D6DB2D1" w14:textId="77777777" w:rsidTr="008271BE">
        <w:tc>
          <w:tcPr>
            <w:tcW w:w="3261" w:type="dxa"/>
          </w:tcPr>
          <w:p w14:paraId="18E2517F" w14:textId="5D432E6A" w:rsidR="00F73F92" w:rsidRPr="00E50CC7" w:rsidRDefault="009702AE" w:rsidP="00E50CC7">
            <w:pPr>
              <w:pStyle w:val="Table"/>
            </w:pPr>
            <w:r w:rsidRPr="00E50CC7">
              <w:t xml:space="preserve">4.2 Improved access to information on Departmental programs and services </w:t>
            </w:r>
            <w:r w:rsidRPr="00E50CC7">
              <w:lastRenderedPageBreak/>
              <w:t>supporting people with disability</w:t>
            </w:r>
          </w:p>
        </w:tc>
        <w:tc>
          <w:tcPr>
            <w:tcW w:w="4101" w:type="dxa"/>
          </w:tcPr>
          <w:p w14:paraId="3D5D35CD" w14:textId="0509ED93" w:rsidR="00F73F92" w:rsidRPr="00E50CC7" w:rsidRDefault="00F73F92" w:rsidP="00E50CC7">
            <w:pPr>
              <w:pStyle w:val="Table"/>
            </w:pPr>
            <w:r w:rsidRPr="00E50CC7">
              <w:lastRenderedPageBreak/>
              <w:t>4.2.3 Ensure all new Department web content complies with WCAG 2.0 Level AA accessibility standards and develop a plan to make old content accessible</w:t>
            </w:r>
          </w:p>
        </w:tc>
        <w:tc>
          <w:tcPr>
            <w:tcW w:w="2148" w:type="dxa"/>
          </w:tcPr>
          <w:p w14:paraId="3BE5C9F2" w14:textId="6DD64DB0" w:rsidR="00F73F92" w:rsidRPr="00E50CC7" w:rsidRDefault="00F73F92" w:rsidP="00E50CC7">
            <w:pPr>
              <w:pStyle w:val="Table"/>
            </w:pPr>
            <w:r w:rsidRPr="00E50CC7">
              <w:t>All employees</w:t>
            </w:r>
          </w:p>
        </w:tc>
        <w:tc>
          <w:tcPr>
            <w:tcW w:w="1757" w:type="dxa"/>
          </w:tcPr>
          <w:p w14:paraId="798125E6" w14:textId="140869DD" w:rsidR="00F73F92" w:rsidRPr="00E50CC7" w:rsidRDefault="00F73F92" w:rsidP="00E50CC7">
            <w:pPr>
              <w:pStyle w:val="Table"/>
            </w:pPr>
            <w:r w:rsidRPr="00E50CC7">
              <w:t>December 2020</w:t>
            </w:r>
          </w:p>
        </w:tc>
        <w:tc>
          <w:tcPr>
            <w:tcW w:w="3034" w:type="dxa"/>
          </w:tcPr>
          <w:p w14:paraId="096EC439" w14:textId="77777777" w:rsidR="004274F4" w:rsidRPr="00824F24" w:rsidRDefault="004274F4" w:rsidP="004274F4">
            <w:pPr>
              <w:pStyle w:val="Table"/>
            </w:pPr>
            <w:r w:rsidRPr="00824F24">
              <w:t>Communication and Engagement Directorate</w:t>
            </w:r>
          </w:p>
          <w:p w14:paraId="6A97D25A" w14:textId="796A849D" w:rsidR="00F73F92" w:rsidRPr="00E50CC7" w:rsidRDefault="004274F4" w:rsidP="004274F4">
            <w:pPr>
              <w:pStyle w:val="Table"/>
            </w:pPr>
            <w:r w:rsidRPr="00824F24">
              <w:rPr>
                <w:szCs w:val="20"/>
              </w:rPr>
              <w:lastRenderedPageBreak/>
              <w:t>All staff who update web content</w:t>
            </w:r>
          </w:p>
        </w:tc>
      </w:tr>
      <w:tr w:rsidR="009D71BA" w:rsidRPr="00824F24" w14:paraId="21D123B7" w14:textId="77777777" w:rsidTr="008271BE">
        <w:tc>
          <w:tcPr>
            <w:tcW w:w="3261" w:type="dxa"/>
          </w:tcPr>
          <w:p w14:paraId="025C5098" w14:textId="755885AD" w:rsidR="009D71BA" w:rsidRPr="00E50CC7" w:rsidRDefault="009702AE" w:rsidP="00E50CC7">
            <w:pPr>
              <w:pStyle w:val="Table"/>
            </w:pPr>
            <w:r w:rsidRPr="00E50CC7">
              <w:lastRenderedPageBreak/>
              <w:t>4.2 Improved access to information on Departmental programs and services supporting people with disability</w:t>
            </w:r>
          </w:p>
        </w:tc>
        <w:tc>
          <w:tcPr>
            <w:tcW w:w="4101" w:type="dxa"/>
          </w:tcPr>
          <w:p w14:paraId="2A8C7C89" w14:textId="79540DE4" w:rsidR="009D71BA" w:rsidRPr="00E50CC7" w:rsidRDefault="009D71BA" w:rsidP="00E50CC7">
            <w:pPr>
              <w:pStyle w:val="Table"/>
            </w:pPr>
            <w:r w:rsidRPr="00824F24">
              <w:rPr>
                <w:szCs w:val="20"/>
              </w:rPr>
              <w:t xml:space="preserve">4.2.4 Provide training for staff responsible for creating web content to ensure it meets WCAG 2.0 </w:t>
            </w:r>
            <w:r>
              <w:rPr>
                <w:szCs w:val="20"/>
              </w:rPr>
              <w:t xml:space="preserve">Level </w:t>
            </w:r>
            <w:r w:rsidRPr="00824F24">
              <w:rPr>
                <w:szCs w:val="20"/>
              </w:rPr>
              <w:t>AA accessibility standards</w:t>
            </w:r>
          </w:p>
        </w:tc>
        <w:tc>
          <w:tcPr>
            <w:tcW w:w="2148" w:type="dxa"/>
          </w:tcPr>
          <w:p w14:paraId="6A9258C7" w14:textId="07B39B96" w:rsidR="009D71BA" w:rsidRPr="00E50CC7" w:rsidRDefault="009D71BA" w:rsidP="00E50CC7">
            <w:pPr>
              <w:pStyle w:val="Table"/>
            </w:pPr>
            <w:r w:rsidRPr="00E50CC7">
              <w:t>All employees</w:t>
            </w:r>
          </w:p>
        </w:tc>
        <w:tc>
          <w:tcPr>
            <w:tcW w:w="1757" w:type="dxa"/>
          </w:tcPr>
          <w:p w14:paraId="0B64C64E" w14:textId="335DA55F" w:rsidR="009D71BA" w:rsidRPr="00E50CC7" w:rsidRDefault="009D71BA" w:rsidP="00E50CC7">
            <w:pPr>
              <w:pStyle w:val="Table"/>
            </w:pPr>
            <w:r w:rsidRPr="00E50CC7">
              <w:t>December 2020</w:t>
            </w:r>
          </w:p>
        </w:tc>
        <w:tc>
          <w:tcPr>
            <w:tcW w:w="3034" w:type="dxa"/>
          </w:tcPr>
          <w:p w14:paraId="3418430D" w14:textId="0AAB4248" w:rsidR="009D71BA" w:rsidRPr="00E50CC7" w:rsidRDefault="009D71BA" w:rsidP="00E50CC7">
            <w:pPr>
              <w:pStyle w:val="Table"/>
            </w:pPr>
            <w:r w:rsidRPr="00E50CC7">
              <w:t>Communication and Engagement Directorate</w:t>
            </w:r>
          </w:p>
        </w:tc>
      </w:tr>
      <w:tr w:rsidR="00017980" w:rsidRPr="00824F24" w14:paraId="40EB2B50" w14:textId="77777777" w:rsidTr="008271BE">
        <w:tc>
          <w:tcPr>
            <w:tcW w:w="3261" w:type="dxa"/>
          </w:tcPr>
          <w:p w14:paraId="5471D9E3" w14:textId="1C9A83D1" w:rsidR="00F73F92" w:rsidRPr="00E50CC7" w:rsidRDefault="00F73F92" w:rsidP="00E50CC7">
            <w:pPr>
              <w:pStyle w:val="Table"/>
            </w:pPr>
            <w:r w:rsidRPr="00E50CC7">
              <w:t>4.3 Improved teacher knowledge and skills in recognising and responding to the individualised learning and support needs of students whose disability impacts their learning</w:t>
            </w:r>
          </w:p>
        </w:tc>
        <w:tc>
          <w:tcPr>
            <w:tcW w:w="4101" w:type="dxa"/>
          </w:tcPr>
          <w:p w14:paraId="2EC0AAC3" w14:textId="3F0D4B19" w:rsidR="00F73F92" w:rsidRPr="00E50CC7" w:rsidRDefault="00F73F92" w:rsidP="00E50CC7">
            <w:pPr>
              <w:pStyle w:val="Table"/>
            </w:pPr>
            <w:r w:rsidRPr="00E50CC7">
              <w:t>4.3.1 Encourage learning and support teachers to take up professional learning opportunities to help them to improve their knowledge and skills in supporting students with disability.</w:t>
            </w:r>
          </w:p>
        </w:tc>
        <w:tc>
          <w:tcPr>
            <w:tcW w:w="2148" w:type="dxa"/>
          </w:tcPr>
          <w:p w14:paraId="3063D7C1" w14:textId="332F7CC2" w:rsidR="00F73F92" w:rsidRPr="00E50CC7" w:rsidRDefault="00F73F92" w:rsidP="00E50CC7">
            <w:pPr>
              <w:pStyle w:val="Table"/>
            </w:pPr>
            <w:r w:rsidRPr="00E50CC7">
              <w:t>Schools</w:t>
            </w:r>
          </w:p>
        </w:tc>
        <w:tc>
          <w:tcPr>
            <w:tcW w:w="1757" w:type="dxa"/>
          </w:tcPr>
          <w:p w14:paraId="0158C396" w14:textId="7478155F" w:rsidR="00F73F92" w:rsidRPr="00E50CC7" w:rsidRDefault="00F73F92" w:rsidP="00E50CC7">
            <w:pPr>
              <w:pStyle w:val="Table"/>
            </w:pPr>
            <w:r w:rsidRPr="00E50CC7">
              <w:t>December 2017</w:t>
            </w:r>
          </w:p>
        </w:tc>
        <w:tc>
          <w:tcPr>
            <w:tcW w:w="3034" w:type="dxa"/>
          </w:tcPr>
          <w:p w14:paraId="4553F502" w14:textId="5815A815" w:rsidR="00F73F92" w:rsidRPr="00E50CC7" w:rsidRDefault="00F73F92" w:rsidP="00E50CC7">
            <w:pPr>
              <w:pStyle w:val="Table"/>
            </w:pPr>
            <w:r w:rsidRPr="00E50CC7">
              <w:t>Learning and Wellbeing, Schools Operations and Performance</w:t>
            </w:r>
          </w:p>
        </w:tc>
      </w:tr>
      <w:tr w:rsidR="00F73F92" w:rsidRPr="00824F24" w14:paraId="0F6D72A2" w14:textId="77777777" w:rsidTr="008271BE">
        <w:tc>
          <w:tcPr>
            <w:tcW w:w="3261" w:type="dxa"/>
          </w:tcPr>
          <w:p w14:paraId="2DC87397" w14:textId="7880D3A6" w:rsidR="00F73F92" w:rsidRPr="00E50CC7" w:rsidRDefault="009702AE" w:rsidP="00E50CC7">
            <w:pPr>
              <w:pStyle w:val="Table"/>
            </w:pPr>
            <w:r w:rsidRPr="00E50CC7">
              <w:t>4.3 Improved teacher knowledge and skills in recognising and responding to the individualised learning and support needs of students whose disability impacts their learning</w:t>
            </w:r>
          </w:p>
        </w:tc>
        <w:tc>
          <w:tcPr>
            <w:tcW w:w="4101" w:type="dxa"/>
          </w:tcPr>
          <w:p w14:paraId="7E073B8C" w14:textId="1EF45992" w:rsidR="00F73F92" w:rsidRPr="00E50CC7" w:rsidRDefault="00F73F92" w:rsidP="00E50CC7">
            <w:pPr>
              <w:pStyle w:val="Table"/>
            </w:pPr>
            <w:r w:rsidRPr="00E50CC7">
              <w:t>4.3.2 Further develop and promote professional learning options for teachers in personalising learning and support for students whose learning is impacted by disability</w:t>
            </w:r>
          </w:p>
        </w:tc>
        <w:tc>
          <w:tcPr>
            <w:tcW w:w="2148" w:type="dxa"/>
          </w:tcPr>
          <w:p w14:paraId="768465F0" w14:textId="16B91701" w:rsidR="00F73F92" w:rsidRPr="00E50CC7" w:rsidRDefault="00F73F92" w:rsidP="00E50CC7">
            <w:pPr>
              <w:pStyle w:val="Table"/>
            </w:pPr>
            <w:r w:rsidRPr="00E50CC7">
              <w:t>Schools</w:t>
            </w:r>
          </w:p>
        </w:tc>
        <w:tc>
          <w:tcPr>
            <w:tcW w:w="1757" w:type="dxa"/>
          </w:tcPr>
          <w:p w14:paraId="5047A099" w14:textId="1C80A963" w:rsidR="00F73F92" w:rsidRPr="00E50CC7" w:rsidRDefault="00F73F92" w:rsidP="00E50CC7">
            <w:pPr>
              <w:pStyle w:val="Table"/>
            </w:pPr>
            <w:r w:rsidRPr="00E50CC7">
              <w:t>Ongoing</w:t>
            </w:r>
          </w:p>
        </w:tc>
        <w:tc>
          <w:tcPr>
            <w:tcW w:w="3034" w:type="dxa"/>
          </w:tcPr>
          <w:p w14:paraId="66E8E386" w14:textId="190D5BF7" w:rsidR="00F73F92" w:rsidRPr="00E50CC7" w:rsidRDefault="00F73F92" w:rsidP="00E50CC7">
            <w:pPr>
              <w:pStyle w:val="Table"/>
            </w:pPr>
            <w:r w:rsidRPr="00E50CC7">
              <w:t>Learning and Wellbeing, Schools Operations and Performance</w:t>
            </w:r>
          </w:p>
        </w:tc>
      </w:tr>
      <w:tr w:rsidR="00F73F92" w:rsidRPr="00824F24" w14:paraId="5D7B1204" w14:textId="77777777" w:rsidTr="008271BE">
        <w:tc>
          <w:tcPr>
            <w:tcW w:w="3261" w:type="dxa"/>
          </w:tcPr>
          <w:p w14:paraId="5B8CC727" w14:textId="01448590" w:rsidR="00F73F92" w:rsidRPr="00E50CC7" w:rsidRDefault="009702AE" w:rsidP="00E50CC7">
            <w:pPr>
              <w:pStyle w:val="Table"/>
            </w:pPr>
            <w:r w:rsidRPr="00E50CC7">
              <w:lastRenderedPageBreak/>
              <w:t>4.3 Improved teacher knowledge and skills in recognising and responding to the individualised learning and support needs of students whose disability impacts their learning</w:t>
            </w:r>
          </w:p>
        </w:tc>
        <w:tc>
          <w:tcPr>
            <w:tcW w:w="4101" w:type="dxa"/>
          </w:tcPr>
          <w:p w14:paraId="42C11210" w14:textId="1E4D5F4F" w:rsidR="00F73F92" w:rsidRPr="00E50CC7" w:rsidRDefault="00E50CC7" w:rsidP="00E50CC7">
            <w:pPr>
              <w:pStyle w:val="Table"/>
            </w:pPr>
            <w:r w:rsidRPr="00E50CC7">
              <w:t>4.3.3 Work with Australian Government to implement recommendations for school education from the Commonwealth Review of the Disability Standards for Education</w:t>
            </w:r>
          </w:p>
        </w:tc>
        <w:tc>
          <w:tcPr>
            <w:tcW w:w="2148" w:type="dxa"/>
          </w:tcPr>
          <w:p w14:paraId="03DEC310" w14:textId="43CF184C" w:rsidR="00F73F92" w:rsidRPr="00E50CC7" w:rsidRDefault="00E50CC7" w:rsidP="00E50CC7">
            <w:pPr>
              <w:pStyle w:val="Table"/>
            </w:pPr>
            <w:r w:rsidRPr="00E50CC7">
              <w:t>Schools</w:t>
            </w:r>
          </w:p>
        </w:tc>
        <w:tc>
          <w:tcPr>
            <w:tcW w:w="1757" w:type="dxa"/>
          </w:tcPr>
          <w:p w14:paraId="13EDE8B9" w14:textId="7AE3FF7C" w:rsidR="00F73F92" w:rsidRPr="00E50CC7" w:rsidRDefault="00E50CC7" w:rsidP="00E50CC7">
            <w:pPr>
              <w:pStyle w:val="Table"/>
            </w:pPr>
            <w:r w:rsidRPr="00E50CC7">
              <w:t>Schools</w:t>
            </w:r>
          </w:p>
        </w:tc>
        <w:tc>
          <w:tcPr>
            <w:tcW w:w="3034" w:type="dxa"/>
          </w:tcPr>
          <w:p w14:paraId="2905C59E" w14:textId="5441B207" w:rsidR="00F73F92" w:rsidRPr="00E50CC7" w:rsidRDefault="00E50CC7" w:rsidP="00E50CC7">
            <w:pPr>
              <w:pStyle w:val="Table"/>
            </w:pPr>
            <w:r w:rsidRPr="00E50CC7">
              <w:t>Learning and Wellbeing, Schools Operations and Performance</w:t>
            </w:r>
          </w:p>
        </w:tc>
      </w:tr>
      <w:tr w:rsidR="00E50CC7" w:rsidRPr="00824F24" w14:paraId="573D8237" w14:textId="77777777" w:rsidTr="008271BE">
        <w:tc>
          <w:tcPr>
            <w:tcW w:w="3261" w:type="dxa"/>
          </w:tcPr>
          <w:p w14:paraId="0DDA70ED" w14:textId="3CC49B56" w:rsidR="00E50CC7" w:rsidRPr="00E50CC7" w:rsidRDefault="009702AE" w:rsidP="00E50CC7">
            <w:pPr>
              <w:pStyle w:val="Table"/>
            </w:pPr>
            <w:r w:rsidRPr="00E50CC7">
              <w:t>4.3 Improved teacher knowledge and skills in recognising and responding to the individualised learning and support needs of students whose disability impacts their learning</w:t>
            </w:r>
          </w:p>
        </w:tc>
        <w:tc>
          <w:tcPr>
            <w:tcW w:w="4101" w:type="dxa"/>
          </w:tcPr>
          <w:p w14:paraId="102ADE23" w14:textId="138983BE" w:rsidR="00E50CC7" w:rsidRPr="00E50CC7" w:rsidRDefault="00E50CC7" w:rsidP="00E50CC7">
            <w:pPr>
              <w:pStyle w:val="Table"/>
            </w:pPr>
            <w:r w:rsidRPr="00E50CC7">
              <w:t>4.3.4 Develop materials that support schools to align personalised learning and support with supports being provided by the NDIS</w:t>
            </w:r>
          </w:p>
        </w:tc>
        <w:tc>
          <w:tcPr>
            <w:tcW w:w="2148" w:type="dxa"/>
          </w:tcPr>
          <w:p w14:paraId="5798945E" w14:textId="6981CFCA" w:rsidR="00E50CC7" w:rsidRPr="00E50CC7" w:rsidRDefault="00E50CC7" w:rsidP="00E50CC7">
            <w:pPr>
              <w:pStyle w:val="Table"/>
            </w:pPr>
            <w:r w:rsidRPr="00E50CC7">
              <w:t>Schools</w:t>
            </w:r>
          </w:p>
        </w:tc>
        <w:tc>
          <w:tcPr>
            <w:tcW w:w="1757" w:type="dxa"/>
          </w:tcPr>
          <w:p w14:paraId="1380C812" w14:textId="770FD49F" w:rsidR="00E50CC7" w:rsidRPr="00E50CC7" w:rsidRDefault="00E50CC7" w:rsidP="00E50CC7">
            <w:pPr>
              <w:pStyle w:val="Table"/>
            </w:pPr>
            <w:r w:rsidRPr="00E50CC7">
              <w:t>December 2017</w:t>
            </w:r>
          </w:p>
        </w:tc>
        <w:tc>
          <w:tcPr>
            <w:tcW w:w="3034" w:type="dxa"/>
          </w:tcPr>
          <w:p w14:paraId="4E881FEC" w14:textId="27C403E4" w:rsidR="00E50CC7" w:rsidRPr="00E50CC7" w:rsidRDefault="00E50CC7" w:rsidP="00E50CC7">
            <w:pPr>
              <w:pStyle w:val="Table"/>
            </w:pPr>
            <w:r w:rsidRPr="00E50CC7">
              <w:t>Learning and Wellbeing, Schools Operations and Performance</w:t>
            </w:r>
          </w:p>
        </w:tc>
      </w:tr>
      <w:tr w:rsidR="00E50CC7" w:rsidRPr="00824F24" w14:paraId="03B7BCAF" w14:textId="77777777" w:rsidTr="008271BE">
        <w:tc>
          <w:tcPr>
            <w:tcW w:w="3261" w:type="dxa"/>
          </w:tcPr>
          <w:p w14:paraId="72A1BA72" w14:textId="5D880AA8" w:rsidR="00E50CC7" w:rsidRPr="00E50CC7" w:rsidRDefault="009702AE" w:rsidP="00E50CC7">
            <w:pPr>
              <w:pStyle w:val="Table"/>
            </w:pPr>
            <w:r w:rsidRPr="00E50CC7">
              <w:t>4.3 Improved teacher knowledge and skills in recognising and responding to the individualised learning and support needs of students whose disability impacts their learning</w:t>
            </w:r>
          </w:p>
        </w:tc>
        <w:tc>
          <w:tcPr>
            <w:tcW w:w="4101" w:type="dxa"/>
          </w:tcPr>
          <w:p w14:paraId="417AA631" w14:textId="2AAA92F9" w:rsidR="00E50CC7" w:rsidRPr="00E50CC7" w:rsidRDefault="00E50CC7" w:rsidP="00E50CC7">
            <w:pPr>
              <w:pStyle w:val="Table"/>
            </w:pPr>
            <w:r w:rsidRPr="00E50CC7">
              <w:t>4.3.5 Develop additional guidance for school staff in working with students with disability in areas such as use of assistive technology, effective use of learning and support teachers and working with external service providers</w:t>
            </w:r>
          </w:p>
        </w:tc>
        <w:tc>
          <w:tcPr>
            <w:tcW w:w="2148" w:type="dxa"/>
          </w:tcPr>
          <w:p w14:paraId="19468C88" w14:textId="7826EDD7" w:rsidR="00E50CC7" w:rsidRPr="00E50CC7" w:rsidRDefault="00E50CC7" w:rsidP="00E50CC7">
            <w:pPr>
              <w:pStyle w:val="Table"/>
            </w:pPr>
            <w:r w:rsidRPr="00E50CC7">
              <w:t>Schools</w:t>
            </w:r>
          </w:p>
        </w:tc>
        <w:tc>
          <w:tcPr>
            <w:tcW w:w="1757" w:type="dxa"/>
          </w:tcPr>
          <w:p w14:paraId="4289F202" w14:textId="3C8A437F" w:rsidR="00E50CC7" w:rsidRPr="00E50CC7" w:rsidRDefault="00E50CC7" w:rsidP="00E50CC7">
            <w:pPr>
              <w:pStyle w:val="Table"/>
            </w:pPr>
            <w:r w:rsidRPr="00E50CC7">
              <w:t>July 2017</w:t>
            </w:r>
          </w:p>
        </w:tc>
        <w:tc>
          <w:tcPr>
            <w:tcW w:w="3034" w:type="dxa"/>
          </w:tcPr>
          <w:p w14:paraId="4115FDD5" w14:textId="739874DA" w:rsidR="00E50CC7" w:rsidRPr="00E50CC7" w:rsidRDefault="00E50CC7" w:rsidP="00E50CC7">
            <w:pPr>
              <w:pStyle w:val="Table"/>
            </w:pPr>
            <w:r w:rsidRPr="00E50CC7">
              <w:t>Learning and Wellbeing, School Operations and Performance</w:t>
            </w:r>
          </w:p>
        </w:tc>
      </w:tr>
      <w:tr w:rsidR="00E50CC7" w:rsidRPr="00824F24" w14:paraId="277F3095" w14:textId="77777777" w:rsidTr="008271BE">
        <w:tc>
          <w:tcPr>
            <w:tcW w:w="3261" w:type="dxa"/>
          </w:tcPr>
          <w:p w14:paraId="062FB43C" w14:textId="4046D294" w:rsidR="00E50CC7" w:rsidRPr="00E50CC7" w:rsidRDefault="00E50CC7" w:rsidP="00E50CC7">
            <w:pPr>
              <w:pStyle w:val="Table"/>
            </w:pPr>
            <w:r w:rsidRPr="00E50CC7">
              <w:lastRenderedPageBreak/>
              <w:t>4.4 Improved school planning for students for disability</w:t>
            </w:r>
          </w:p>
        </w:tc>
        <w:tc>
          <w:tcPr>
            <w:tcW w:w="4101" w:type="dxa"/>
          </w:tcPr>
          <w:p w14:paraId="6F221BB7" w14:textId="624E4A08" w:rsidR="00E50CC7" w:rsidRPr="00E50CC7" w:rsidRDefault="00E50CC7" w:rsidP="00E50CC7">
            <w:pPr>
              <w:pStyle w:val="Table"/>
            </w:pPr>
            <w:r w:rsidRPr="00E50CC7">
              <w:t>4.4.1 Explore how the School Excellence Framework can be used to monitor and report on the overall performance of schools in learning outcomes for students with disability</w:t>
            </w:r>
          </w:p>
        </w:tc>
        <w:tc>
          <w:tcPr>
            <w:tcW w:w="2148" w:type="dxa"/>
          </w:tcPr>
          <w:p w14:paraId="0A8E24FC" w14:textId="340D17A8" w:rsidR="00E50CC7" w:rsidRPr="00E50CC7" w:rsidRDefault="00E50CC7" w:rsidP="00E50CC7">
            <w:pPr>
              <w:pStyle w:val="Table"/>
            </w:pPr>
            <w:r w:rsidRPr="00E50CC7">
              <w:t>Schools</w:t>
            </w:r>
          </w:p>
        </w:tc>
        <w:tc>
          <w:tcPr>
            <w:tcW w:w="1757" w:type="dxa"/>
          </w:tcPr>
          <w:p w14:paraId="0A2D816F" w14:textId="4953357B" w:rsidR="00E50CC7" w:rsidRPr="00E50CC7" w:rsidRDefault="00E50CC7" w:rsidP="00E50CC7">
            <w:pPr>
              <w:pStyle w:val="Table"/>
            </w:pPr>
            <w:r w:rsidRPr="00E50CC7">
              <w:t>December 2017</w:t>
            </w:r>
          </w:p>
        </w:tc>
        <w:tc>
          <w:tcPr>
            <w:tcW w:w="3034" w:type="dxa"/>
          </w:tcPr>
          <w:p w14:paraId="266E37A0" w14:textId="77777777" w:rsidR="00E50CC7" w:rsidRPr="00E50CC7" w:rsidRDefault="00E50CC7" w:rsidP="00E50CC7">
            <w:pPr>
              <w:pStyle w:val="Table"/>
            </w:pPr>
            <w:r w:rsidRPr="00E50CC7">
              <w:t>Leadership and High Performance</w:t>
            </w:r>
          </w:p>
          <w:p w14:paraId="0ECB4769" w14:textId="6D58BCE7" w:rsidR="00E50CC7" w:rsidRPr="00E50CC7" w:rsidRDefault="00E50CC7" w:rsidP="00E50CC7">
            <w:pPr>
              <w:pStyle w:val="Table"/>
            </w:pPr>
            <w:r w:rsidRPr="00E50CC7">
              <w:t>Schools Operations and Performance</w:t>
            </w:r>
          </w:p>
        </w:tc>
      </w:tr>
      <w:tr w:rsidR="00E50CC7" w:rsidRPr="00824F24" w14:paraId="33222734" w14:textId="77777777" w:rsidTr="008271BE">
        <w:tc>
          <w:tcPr>
            <w:tcW w:w="3261" w:type="dxa"/>
          </w:tcPr>
          <w:p w14:paraId="229F5D14" w14:textId="0E00356F" w:rsidR="00E50CC7" w:rsidRPr="00E50CC7" w:rsidRDefault="009702AE" w:rsidP="00E50CC7">
            <w:pPr>
              <w:pStyle w:val="Table"/>
            </w:pPr>
            <w:r w:rsidRPr="00E50CC7">
              <w:t>4.4 Improved school planning for students for disability</w:t>
            </w:r>
          </w:p>
        </w:tc>
        <w:tc>
          <w:tcPr>
            <w:tcW w:w="4101" w:type="dxa"/>
          </w:tcPr>
          <w:p w14:paraId="56C289C0" w14:textId="486B994C" w:rsidR="00E50CC7" w:rsidRPr="00E50CC7" w:rsidRDefault="00E50CC7" w:rsidP="00E50CC7">
            <w:pPr>
              <w:pStyle w:val="Table"/>
            </w:pPr>
            <w:r w:rsidRPr="00E50CC7">
              <w:t>4.4.2 Develop additional support for school teams around national data collection processes, such as consultation and gathering of evidence, to achieve consistency and analysis of data to inform school planning</w:t>
            </w:r>
          </w:p>
        </w:tc>
        <w:tc>
          <w:tcPr>
            <w:tcW w:w="2148" w:type="dxa"/>
          </w:tcPr>
          <w:p w14:paraId="002B8184" w14:textId="401167AB" w:rsidR="00E50CC7" w:rsidRPr="00E50CC7" w:rsidRDefault="00E50CC7" w:rsidP="00E50CC7">
            <w:pPr>
              <w:pStyle w:val="Table"/>
            </w:pPr>
            <w:r w:rsidRPr="00E50CC7">
              <w:t>Schools</w:t>
            </w:r>
          </w:p>
        </w:tc>
        <w:tc>
          <w:tcPr>
            <w:tcW w:w="1757" w:type="dxa"/>
          </w:tcPr>
          <w:p w14:paraId="2014549C" w14:textId="38E24B85" w:rsidR="00E50CC7" w:rsidRPr="00E50CC7" w:rsidRDefault="00E50CC7" w:rsidP="00E50CC7">
            <w:pPr>
              <w:pStyle w:val="Table"/>
            </w:pPr>
            <w:r w:rsidRPr="00E50CC7">
              <w:t>July 2017</w:t>
            </w:r>
          </w:p>
        </w:tc>
        <w:tc>
          <w:tcPr>
            <w:tcW w:w="3034" w:type="dxa"/>
          </w:tcPr>
          <w:p w14:paraId="46FEAC3B" w14:textId="695A9D6D" w:rsidR="00E50CC7" w:rsidRPr="00E50CC7" w:rsidRDefault="00E50CC7" w:rsidP="00E50CC7">
            <w:pPr>
              <w:pStyle w:val="Table"/>
            </w:pPr>
            <w:r w:rsidRPr="00E50CC7">
              <w:t>Learning and Wellbeing, Schools Operations and Performance</w:t>
            </w:r>
          </w:p>
        </w:tc>
      </w:tr>
      <w:tr w:rsidR="00E50CC7" w:rsidRPr="00824F24" w14:paraId="69F4CCBE" w14:textId="77777777" w:rsidTr="008271BE">
        <w:tc>
          <w:tcPr>
            <w:tcW w:w="3261" w:type="dxa"/>
          </w:tcPr>
          <w:p w14:paraId="6540CAC2" w14:textId="6F5F93CD" w:rsidR="00E50CC7" w:rsidRPr="00E50CC7" w:rsidRDefault="00E50CC7" w:rsidP="00E50CC7">
            <w:pPr>
              <w:pStyle w:val="Table"/>
            </w:pPr>
            <w:r w:rsidRPr="00E50CC7">
              <w:t>4.5 Improved processes for accessing additional resources for students with disability</w:t>
            </w:r>
          </w:p>
        </w:tc>
        <w:tc>
          <w:tcPr>
            <w:tcW w:w="4101" w:type="dxa"/>
          </w:tcPr>
          <w:p w14:paraId="01AF5AD5" w14:textId="44754D5B" w:rsidR="008271BE" w:rsidRPr="00E50CC7" w:rsidRDefault="00E50CC7" w:rsidP="008271BE">
            <w:pPr>
              <w:pStyle w:val="Table"/>
            </w:pPr>
            <w:r w:rsidRPr="00E50CC7">
              <w:t>4.5.1 Work with stakeholder representatives to  streamline processes related to planning for targeted specialist support provisions, including support classes funding support for students with disability in regular classes, and access for students to targeted specialist provisions</w:t>
            </w:r>
          </w:p>
        </w:tc>
        <w:tc>
          <w:tcPr>
            <w:tcW w:w="2148" w:type="dxa"/>
          </w:tcPr>
          <w:p w14:paraId="3F3C5580" w14:textId="58A04F58" w:rsidR="00E50CC7" w:rsidRPr="00E50CC7" w:rsidRDefault="00E50CC7" w:rsidP="00E50CC7">
            <w:pPr>
              <w:pStyle w:val="Table"/>
            </w:pPr>
            <w:r w:rsidRPr="00E50CC7">
              <w:t>Schools</w:t>
            </w:r>
          </w:p>
        </w:tc>
        <w:tc>
          <w:tcPr>
            <w:tcW w:w="1757" w:type="dxa"/>
          </w:tcPr>
          <w:p w14:paraId="08A8EB38" w14:textId="1F688BC8" w:rsidR="00E50CC7" w:rsidRPr="00E50CC7" w:rsidRDefault="00E50CC7" w:rsidP="00E50CC7">
            <w:pPr>
              <w:pStyle w:val="Table"/>
            </w:pPr>
            <w:r w:rsidRPr="00E50CC7">
              <w:t>July 2017</w:t>
            </w:r>
          </w:p>
        </w:tc>
        <w:tc>
          <w:tcPr>
            <w:tcW w:w="3034" w:type="dxa"/>
          </w:tcPr>
          <w:p w14:paraId="5354740C" w14:textId="09CB0A66" w:rsidR="00E50CC7" w:rsidRPr="00E50CC7" w:rsidRDefault="00E50CC7" w:rsidP="00E50CC7">
            <w:pPr>
              <w:pStyle w:val="Table"/>
            </w:pPr>
            <w:r w:rsidRPr="00E50CC7">
              <w:t>Learning and Wellbeing, Schools Operations and Performance</w:t>
            </w:r>
          </w:p>
        </w:tc>
      </w:tr>
      <w:tr w:rsidR="00E50CC7" w:rsidRPr="00824F24" w14:paraId="54B13157" w14:textId="77777777" w:rsidTr="008271BE">
        <w:tc>
          <w:tcPr>
            <w:tcW w:w="3261" w:type="dxa"/>
          </w:tcPr>
          <w:p w14:paraId="12701692" w14:textId="2CBEBD69" w:rsidR="00E50CC7" w:rsidRPr="00E50CC7" w:rsidRDefault="00E50CC7" w:rsidP="00E50CC7">
            <w:pPr>
              <w:pStyle w:val="Table"/>
            </w:pPr>
            <w:r w:rsidRPr="00E50CC7">
              <w:lastRenderedPageBreak/>
              <w:t>4.6 Improved complaint handling processes that meet the needs of  people with disability</w:t>
            </w:r>
          </w:p>
        </w:tc>
        <w:tc>
          <w:tcPr>
            <w:tcW w:w="4101" w:type="dxa"/>
          </w:tcPr>
          <w:p w14:paraId="711E9728" w14:textId="3047F0E8" w:rsidR="00E50CC7" w:rsidRPr="00E50CC7" w:rsidRDefault="00E50CC7" w:rsidP="00E50CC7">
            <w:pPr>
              <w:pStyle w:val="Table"/>
            </w:pPr>
            <w:r w:rsidRPr="00E50CC7">
              <w:t>4.6.1 Develop a revised complaint handling policy and procedure that address the needs of people with disability through enhanced accessibility, focusing on prompt local resolution and capturing data about complaint issues and complaint handling</w:t>
            </w:r>
          </w:p>
        </w:tc>
        <w:tc>
          <w:tcPr>
            <w:tcW w:w="2148" w:type="dxa"/>
          </w:tcPr>
          <w:p w14:paraId="3D99DB9B" w14:textId="101ADDB8" w:rsidR="00E50CC7" w:rsidRPr="00E50CC7" w:rsidRDefault="00E50CC7" w:rsidP="00E50CC7">
            <w:pPr>
              <w:pStyle w:val="Table"/>
            </w:pPr>
            <w:r w:rsidRPr="00E50CC7">
              <w:t>Corporate Services Schools</w:t>
            </w:r>
          </w:p>
        </w:tc>
        <w:tc>
          <w:tcPr>
            <w:tcW w:w="1757" w:type="dxa"/>
          </w:tcPr>
          <w:p w14:paraId="528AAFBC" w14:textId="501FD14E" w:rsidR="00E50CC7" w:rsidRPr="00E50CC7" w:rsidRDefault="00E50CC7" w:rsidP="00E50CC7">
            <w:pPr>
              <w:pStyle w:val="Table"/>
            </w:pPr>
            <w:r w:rsidRPr="00E50CC7">
              <w:t>February 2017</w:t>
            </w:r>
          </w:p>
        </w:tc>
        <w:tc>
          <w:tcPr>
            <w:tcW w:w="3034" w:type="dxa"/>
          </w:tcPr>
          <w:p w14:paraId="2D84A4C0" w14:textId="6B18CC86" w:rsidR="00E50CC7" w:rsidRPr="00E50CC7" w:rsidRDefault="00E50CC7" w:rsidP="00E50CC7">
            <w:pPr>
              <w:pStyle w:val="Table"/>
            </w:pPr>
            <w:r w:rsidRPr="00E50CC7">
              <w:t>Employee Performance and Conduct</w:t>
            </w:r>
          </w:p>
        </w:tc>
      </w:tr>
      <w:tr w:rsidR="00E50CC7" w:rsidRPr="00824F24" w14:paraId="074A024E" w14:textId="77777777" w:rsidTr="008271BE">
        <w:tc>
          <w:tcPr>
            <w:tcW w:w="3261" w:type="dxa"/>
          </w:tcPr>
          <w:p w14:paraId="58AE5D9C" w14:textId="10DBE24F" w:rsidR="00E50CC7" w:rsidRPr="00E50CC7" w:rsidRDefault="00E50CC7" w:rsidP="00E50CC7">
            <w:pPr>
              <w:pStyle w:val="Table"/>
            </w:pPr>
            <w:r w:rsidRPr="00E50CC7">
              <w:t>4.7 Increased number of children with disability in quality preschool programs (these children will primarily be in the year before school or disadvantaged three year olds)</w:t>
            </w:r>
          </w:p>
        </w:tc>
        <w:tc>
          <w:tcPr>
            <w:tcW w:w="4101" w:type="dxa"/>
          </w:tcPr>
          <w:p w14:paraId="344A0649" w14:textId="63CE5BAF" w:rsidR="00E50CC7" w:rsidRPr="00E50CC7" w:rsidRDefault="00E50CC7" w:rsidP="00E50CC7">
            <w:pPr>
              <w:pStyle w:val="Table"/>
            </w:pPr>
            <w:r w:rsidRPr="00E50CC7">
              <w:t>4.7.1 Review the current disability programs funded by Early Childhood Education and Care</w:t>
            </w:r>
          </w:p>
        </w:tc>
        <w:tc>
          <w:tcPr>
            <w:tcW w:w="2148" w:type="dxa"/>
          </w:tcPr>
          <w:p w14:paraId="16DFE57B" w14:textId="63168F7A" w:rsidR="00E50CC7" w:rsidRPr="00E50CC7" w:rsidRDefault="00E50CC7" w:rsidP="00E50CC7">
            <w:pPr>
              <w:pStyle w:val="Table"/>
            </w:pPr>
            <w:r w:rsidRPr="00E50CC7">
              <w:t>Early Childhood Education and Care</w:t>
            </w:r>
          </w:p>
        </w:tc>
        <w:tc>
          <w:tcPr>
            <w:tcW w:w="1757" w:type="dxa"/>
          </w:tcPr>
          <w:p w14:paraId="267353B0" w14:textId="5E88AA6A" w:rsidR="00E50CC7" w:rsidRPr="00E50CC7" w:rsidRDefault="00E50CC7" w:rsidP="00E50CC7">
            <w:pPr>
              <w:pStyle w:val="Table"/>
            </w:pPr>
            <w:r w:rsidRPr="00E50CC7">
              <w:t>December 2016</w:t>
            </w:r>
          </w:p>
        </w:tc>
        <w:tc>
          <w:tcPr>
            <w:tcW w:w="3034" w:type="dxa"/>
          </w:tcPr>
          <w:p w14:paraId="315E3CAA" w14:textId="3F1268E0" w:rsidR="00E50CC7" w:rsidRPr="00E50CC7" w:rsidRDefault="00E50CC7" w:rsidP="00E50CC7">
            <w:pPr>
              <w:pStyle w:val="Table"/>
            </w:pPr>
            <w:r w:rsidRPr="00E50CC7">
              <w:t>Early Childhood Education and Care</w:t>
            </w:r>
          </w:p>
        </w:tc>
      </w:tr>
      <w:tr w:rsidR="00E50CC7" w:rsidRPr="00824F24" w14:paraId="01067103" w14:textId="77777777" w:rsidTr="008271BE">
        <w:tc>
          <w:tcPr>
            <w:tcW w:w="3261" w:type="dxa"/>
          </w:tcPr>
          <w:p w14:paraId="7366ABE7" w14:textId="7D6A000B" w:rsidR="00E50CC7" w:rsidRPr="00E50CC7" w:rsidRDefault="009702AE" w:rsidP="00E50CC7">
            <w:pPr>
              <w:pStyle w:val="Table"/>
            </w:pPr>
            <w:r w:rsidRPr="00E50CC7">
              <w:t xml:space="preserve">4.7 Increased number of children with disability in quality preschool programs (these children will primarily be in the year before school </w:t>
            </w:r>
            <w:r w:rsidRPr="00E50CC7">
              <w:lastRenderedPageBreak/>
              <w:t>or disadvantaged three year olds)</w:t>
            </w:r>
          </w:p>
        </w:tc>
        <w:tc>
          <w:tcPr>
            <w:tcW w:w="4101" w:type="dxa"/>
          </w:tcPr>
          <w:p w14:paraId="44DDA9CA" w14:textId="4945C77B" w:rsidR="00E50CC7" w:rsidRPr="00E50CC7" w:rsidRDefault="00E50CC7" w:rsidP="00E50CC7">
            <w:pPr>
              <w:pStyle w:val="Table"/>
            </w:pPr>
            <w:r w:rsidRPr="00E50CC7">
              <w:lastRenderedPageBreak/>
              <w:t>4.6.2 Undertake consultation with key early childhood education and care sector including educators, parents and advocacy groups</w:t>
            </w:r>
          </w:p>
        </w:tc>
        <w:tc>
          <w:tcPr>
            <w:tcW w:w="2148" w:type="dxa"/>
          </w:tcPr>
          <w:p w14:paraId="06C78161" w14:textId="2786A1AC" w:rsidR="00E50CC7" w:rsidRPr="00E50CC7" w:rsidRDefault="00E50CC7" w:rsidP="00E50CC7">
            <w:pPr>
              <w:pStyle w:val="Table"/>
            </w:pPr>
            <w:r w:rsidRPr="00E50CC7">
              <w:t>Early Childhood Education and Care</w:t>
            </w:r>
          </w:p>
        </w:tc>
        <w:tc>
          <w:tcPr>
            <w:tcW w:w="1757" w:type="dxa"/>
          </w:tcPr>
          <w:p w14:paraId="2EBB154B" w14:textId="607BC9DE" w:rsidR="00E50CC7" w:rsidRPr="00E50CC7" w:rsidRDefault="00E50CC7" w:rsidP="00E50CC7">
            <w:pPr>
              <w:pStyle w:val="Table"/>
            </w:pPr>
            <w:r w:rsidRPr="00E50CC7">
              <w:t>July 2016</w:t>
            </w:r>
          </w:p>
        </w:tc>
        <w:tc>
          <w:tcPr>
            <w:tcW w:w="3034" w:type="dxa"/>
          </w:tcPr>
          <w:p w14:paraId="5A2CBAC8" w14:textId="3FE32D31" w:rsidR="00E50CC7" w:rsidRPr="00E50CC7" w:rsidRDefault="00E50CC7" w:rsidP="00E50CC7">
            <w:pPr>
              <w:pStyle w:val="Table"/>
            </w:pPr>
            <w:r w:rsidRPr="00E50CC7">
              <w:t>Early Childhood Education and Care</w:t>
            </w:r>
          </w:p>
        </w:tc>
      </w:tr>
      <w:bookmarkEnd w:id="49"/>
      <w:bookmarkEnd w:id="50"/>
    </w:tbl>
    <w:p w14:paraId="15C1BC59" w14:textId="57374DF8" w:rsidR="00686DC7" w:rsidRPr="0008531A" w:rsidRDefault="00686DC7" w:rsidP="008271BE">
      <w:pPr>
        <w:pStyle w:val="Table"/>
        <w:spacing w:before="0" w:after="0" w:line="240" w:lineRule="auto"/>
        <w:ind w:left="0"/>
        <w:rPr>
          <w:sz w:val="4"/>
          <w:szCs w:val="4"/>
        </w:rPr>
      </w:pPr>
    </w:p>
    <w:sectPr w:rsidR="00686DC7" w:rsidRPr="0008531A" w:rsidSect="00D90A94">
      <w:pgSz w:w="16838" w:h="11906" w:orient="landscape"/>
      <w:pgMar w:top="2553" w:right="1103" w:bottom="1134" w:left="1418" w:header="993" w:footer="709" w:gutter="0"/>
      <w:pgNumType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E4DC15" w14:textId="77777777" w:rsidR="006C1B4A" w:rsidRDefault="006C1B4A" w:rsidP="00630916">
      <w:pPr>
        <w:spacing w:after="0" w:line="240" w:lineRule="auto"/>
      </w:pPr>
      <w:r>
        <w:separator/>
      </w:r>
    </w:p>
  </w:endnote>
  <w:endnote w:type="continuationSeparator" w:id="0">
    <w:p w14:paraId="0EEA9511" w14:textId="77777777" w:rsidR="006C1B4A" w:rsidRDefault="006C1B4A" w:rsidP="00630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9801706"/>
      <w:docPartObj>
        <w:docPartGallery w:val="Page Numbers (Bottom of Page)"/>
        <w:docPartUnique/>
      </w:docPartObj>
    </w:sdtPr>
    <w:sdtEndPr>
      <w:rPr>
        <w:noProof/>
      </w:rPr>
    </w:sdtEndPr>
    <w:sdtContent>
      <w:p w14:paraId="68EF6A97" w14:textId="77777777" w:rsidR="004B73AD" w:rsidRDefault="004B73AD" w:rsidP="004B73AD">
        <w:pPr>
          <w:spacing w:line="240" w:lineRule="exact"/>
          <w:ind w:right="-1"/>
          <w:jc w:val="right"/>
        </w:pPr>
        <w:r w:rsidRPr="004B73AD">
          <w:rPr>
            <w:sz w:val="18"/>
            <w:szCs w:val="18"/>
          </w:rPr>
          <w:fldChar w:fldCharType="begin"/>
        </w:r>
        <w:r w:rsidRPr="004B73AD">
          <w:rPr>
            <w:sz w:val="18"/>
            <w:szCs w:val="18"/>
          </w:rPr>
          <w:instrText xml:space="preserve"> PAGE   \* MERGEFORMAT </w:instrText>
        </w:r>
        <w:r w:rsidRPr="004B73AD">
          <w:rPr>
            <w:sz w:val="18"/>
            <w:szCs w:val="18"/>
          </w:rPr>
          <w:fldChar w:fldCharType="separate"/>
        </w:r>
        <w:r w:rsidR="00A61CE0">
          <w:rPr>
            <w:noProof/>
            <w:sz w:val="18"/>
            <w:szCs w:val="18"/>
          </w:rPr>
          <w:t>2</w:t>
        </w:r>
        <w:r w:rsidRPr="004B73AD">
          <w:rPr>
            <w:noProof/>
            <w:sz w:val="18"/>
            <w:szCs w:val="18"/>
          </w:rPr>
          <w:fldChar w:fldCharType="end"/>
        </w:r>
      </w:p>
    </w:sdtContent>
  </w:sdt>
  <w:p w14:paraId="441B198D" w14:textId="38D3863C" w:rsidR="00842357" w:rsidRPr="00100B54" w:rsidRDefault="004B73AD" w:rsidP="00F548E5">
    <w:pPr>
      <w:pBdr>
        <w:top w:val="single" w:sz="4" w:space="4" w:color="auto"/>
      </w:pBdr>
      <w:spacing w:before="40" w:after="40" w:line="240" w:lineRule="exact"/>
      <w:ind w:left="567" w:right="0" w:hanging="567"/>
      <w:rPr>
        <w:rFonts w:eastAsiaTheme="majorEastAsia"/>
        <w:sz w:val="18"/>
        <w:szCs w:val="18"/>
      </w:rPr>
    </w:pPr>
    <w:r>
      <w:rPr>
        <w:rFonts w:eastAsiaTheme="majorEastAsia"/>
        <w:sz w:val="18"/>
        <w:szCs w:val="18"/>
      </w:rPr>
      <w:t>NSW Department of Education – Disability Inclusion Action Plan 2016 –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6261AD" w14:textId="77777777" w:rsidR="006C1B4A" w:rsidRDefault="006C1B4A" w:rsidP="00630916">
      <w:pPr>
        <w:spacing w:after="0" w:line="240" w:lineRule="auto"/>
      </w:pPr>
      <w:r>
        <w:separator/>
      </w:r>
    </w:p>
  </w:footnote>
  <w:footnote w:type="continuationSeparator" w:id="0">
    <w:p w14:paraId="4B6269C6" w14:textId="77777777" w:rsidR="006C1B4A" w:rsidRDefault="006C1B4A" w:rsidP="00630916">
      <w:pPr>
        <w:spacing w:after="0" w:line="240" w:lineRule="auto"/>
      </w:pPr>
      <w:r>
        <w:continuationSeparator/>
      </w:r>
    </w:p>
  </w:footnote>
  <w:footnote w:id="1">
    <w:p w14:paraId="42C32B1A" w14:textId="77777777" w:rsidR="00842357" w:rsidRPr="00631EB1" w:rsidRDefault="00842357" w:rsidP="00631EB1">
      <w:pPr>
        <w:pStyle w:val="FootnoteText"/>
        <w:ind w:left="1302" w:firstLine="14"/>
        <w:rPr>
          <w:rFonts w:ascii="Arial" w:hAnsi="Arial" w:cs="Arial"/>
        </w:rPr>
      </w:pPr>
      <w:r w:rsidRPr="00631EB1">
        <w:rPr>
          <w:rStyle w:val="FootnoteReference"/>
          <w:rFonts w:ascii="Arial" w:hAnsi="Arial" w:cs="Arial"/>
        </w:rPr>
        <w:footnoteRef/>
      </w:r>
      <w:r w:rsidRPr="00631EB1">
        <w:rPr>
          <w:rFonts w:ascii="Arial" w:hAnsi="Arial" w:cs="Arial"/>
        </w:rPr>
        <w:t xml:space="preserve"> The Plan includes actions that are directly in response to recommendations from the Performance Audit.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DDC3C8" w14:textId="47E48E02" w:rsidR="00842357" w:rsidRDefault="00842357" w:rsidP="00CE1216">
    <w:pPr>
      <w:tabs>
        <w:tab w:val="right" w:pos="9214"/>
      </w:tabs>
      <w:spacing w:before="0" w:after="0" w:line="240" w:lineRule="auto"/>
      <w:ind w:left="567" w:hanging="283"/>
    </w:pPr>
    <w:r>
      <w:rPr>
        <w:noProof/>
      </w:rPr>
      <w:drawing>
        <wp:inline distT="0" distB="0" distL="0" distR="0" wp14:anchorId="2628BB72" wp14:editId="03ABBA4B">
          <wp:extent cx="1542415" cy="548640"/>
          <wp:effectExtent l="0" t="0" r="635" b="3810"/>
          <wp:docPr id="21" name="Picture 21" title="Department of Education NS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2415" cy="54864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5"/>
    <w:multiLevelType w:val="multilevel"/>
    <w:tmpl w:val="00000888"/>
    <w:lvl w:ilvl="0">
      <w:start w:val="1"/>
      <w:numFmt w:val="decimal"/>
      <w:lvlText w:val="%1."/>
      <w:lvlJc w:val="left"/>
      <w:pPr>
        <w:ind w:left="735" w:hanging="267"/>
      </w:pPr>
      <w:rPr>
        <w:rFonts w:ascii="Arial" w:hAnsi="Arial" w:cs="Arial"/>
        <w:b/>
        <w:bCs/>
        <w:w w:val="107"/>
        <w:sz w:val="23"/>
        <w:szCs w:val="23"/>
      </w:rPr>
    </w:lvl>
    <w:lvl w:ilvl="1">
      <w:numFmt w:val="bullet"/>
      <w:lvlText w:val="•"/>
      <w:lvlJc w:val="left"/>
      <w:pPr>
        <w:ind w:left="788" w:hanging="360"/>
      </w:pPr>
      <w:rPr>
        <w:rFonts w:ascii="Arial" w:hAnsi="Arial" w:cs="Arial"/>
        <w:b w:val="0"/>
        <w:bCs w:val="0"/>
        <w:w w:val="137"/>
        <w:sz w:val="23"/>
        <w:szCs w:val="23"/>
      </w:rPr>
    </w:lvl>
    <w:lvl w:ilvl="2">
      <w:numFmt w:val="bullet"/>
      <w:lvlText w:val="•"/>
      <w:lvlJc w:val="left"/>
      <w:pPr>
        <w:ind w:left="849" w:hanging="353"/>
      </w:pPr>
      <w:rPr>
        <w:rFonts w:ascii="Arial" w:hAnsi="Arial" w:cs="Arial"/>
        <w:b w:val="0"/>
        <w:bCs w:val="0"/>
        <w:w w:val="156"/>
        <w:sz w:val="22"/>
        <w:szCs w:val="22"/>
      </w:rPr>
    </w:lvl>
    <w:lvl w:ilvl="3">
      <w:numFmt w:val="bullet"/>
      <w:lvlText w:val="•"/>
      <w:lvlJc w:val="left"/>
      <w:pPr>
        <w:ind w:left="849" w:hanging="353"/>
      </w:pPr>
    </w:lvl>
    <w:lvl w:ilvl="4">
      <w:numFmt w:val="bullet"/>
      <w:lvlText w:val="•"/>
      <w:lvlJc w:val="left"/>
      <w:pPr>
        <w:ind w:left="1448" w:hanging="353"/>
      </w:pPr>
    </w:lvl>
    <w:lvl w:ilvl="5">
      <w:numFmt w:val="bullet"/>
      <w:lvlText w:val="•"/>
      <w:lvlJc w:val="left"/>
      <w:pPr>
        <w:ind w:left="1464" w:hanging="353"/>
      </w:pPr>
    </w:lvl>
    <w:lvl w:ilvl="6">
      <w:numFmt w:val="bullet"/>
      <w:lvlText w:val="•"/>
      <w:lvlJc w:val="left"/>
      <w:pPr>
        <w:ind w:left="3020" w:hanging="353"/>
      </w:pPr>
    </w:lvl>
    <w:lvl w:ilvl="7">
      <w:numFmt w:val="bullet"/>
      <w:lvlText w:val="•"/>
      <w:lvlJc w:val="left"/>
      <w:pPr>
        <w:ind w:left="4577" w:hanging="353"/>
      </w:pPr>
    </w:lvl>
    <w:lvl w:ilvl="8">
      <w:numFmt w:val="bullet"/>
      <w:lvlText w:val="•"/>
      <w:lvlJc w:val="left"/>
      <w:pPr>
        <w:ind w:left="6134" w:hanging="353"/>
      </w:pPr>
    </w:lvl>
  </w:abstractNum>
  <w:abstractNum w:abstractNumId="1" w15:restartNumberingAfterBreak="0">
    <w:nsid w:val="07DA556D"/>
    <w:multiLevelType w:val="hybridMultilevel"/>
    <w:tmpl w:val="E134468E"/>
    <w:lvl w:ilvl="0" w:tplc="730026D4">
      <w:start w:val="1"/>
      <w:numFmt w:val="decimal"/>
      <w:pStyle w:val="Numberbullets"/>
      <w:lvlText w:val="%1."/>
      <w:lvlJc w:val="left"/>
      <w:pPr>
        <w:ind w:left="2421" w:hanging="360"/>
      </w:pPr>
      <w:rPr>
        <w:rFonts w:hint="default"/>
      </w:rPr>
    </w:lvl>
    <w:lvl w:ilvl="1" w:tplc="0C090019" w:tentative="1">
      <w:start w:val="1"/>
      <w:numFmt w:val="lowerLetter"/>
      <w:lvlText w:val="%2."/>
      <w:lvlJc w:val="left"/>
      <w:pPr>
        <w:ind w:left="3141" w:hanging="360"/>
      </w:pPr>
    </w:lvl>
    <w:lvl w:ilvl="2" w:tplc="0C09001B" w:tentative="1">
      <w:start w:val="1"/>
      <w:numFmt w:val="lowerRoman"/>
      <w:lvlText w:val="%3."/>
      <w:lvlJc w:val="right"/>
      <w:pPr>
        <w:ind w:left="3861" w:hanging="180"/>
      </w:pPr>
    </w:lvl>
    <w:lvl w:ilvl="3" w:tplc="0C09000F" w:tentative="1">
      <w:start w:val="1"/>
      <w:numFmt w:val="decimal"/>
      <w:lvlText w:val="%4."/>
      <w:lvlJc w:val="left"/>
      <w:pPr>
        <w:ind w:left="4581" w:hanging="360"/>
      </w:pPr>
    </w:lvl>
    <w:lvl w:ilvl="4" w:tplc="0C090019" w:tentative="1">
      <w:start w:val="1"/>
      <w:numFmt w:val="lowerLetter"/>
      <w:lvlText w:val="%5."/>
      <w:lvlJc w:val="left"/>
      <w:pPr>
        <w:ind w:left="5301" w:hanging="360"/>
      </w:pPr>
    </w:lvl>
    <w:lvl w:ilvl="5" w:tplc="0C09001B" w:tentative="1">
      <w:start w:val="1"/>
      <w:numFmt w:val="lowerRoman"/>
      <w:lvlText w:val="%6."/>
      <w:lvlJc w:val="right"/>
      <w:pPr>
        <w:ind w:left="6021" w:hanging="180"/>
      </w:pPr>
    </w:lvl>
    <w:lvl w:ilvl="6" w:tplc="0C09000F" w:tentative="1">
      <w:start w:val="1"/>
      <w:numFmt w:val="decimal"/>
      <w:lvlText w:val="%7."/>
      <w:lvlJc w:val="left"/>
      <w:pPr>
        <w:ind w:left="6741" w:hanging="360"/>
      </w:pPr>
    </w:lvl>
    <w:lvl w:ilvl="7" w:tplc="0C090019" w:tentative="1">
      <w:start w:val="1"/>
      <w:numFmt w:val="lowerLetter"/>
      <w:lvlText w:val="%8."/>
      <w:lvlJc w:val="left"/>
      <w:pPr>
        <w:ind w:left="7461" w:hanging="360"/>
      </w:pPr>
    </w:lvl>
    <w:lvl w:ilvl="8" w:tplc="0C09001B" w:tentative="1">
      <w:start w:val="1"/>
      <w:numFmt w:val="lowerRoman"/>
      <w:lvlText w:val="%9."/>
      <w:lvlJc w:val="right"/>
      <w:pPr>
        <w:ind w:left="8181" w:hanging="180"/>
      </w:pPr>
    </w:lvl>
  </w:abstractNum>
  <w:abstractNum w:abstractNumId="2" w15:restartNumberingAfterBreak="0">
    <w:nsid w:val="0FA02929"/>
    <w:multiLevelType w:val="hybridMultilevel"/>
    <w:tmpl w:val="AC9C6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FB84704"/>
    <w:multiLevelType w:val="hybridMultilevel"/>
    <w:tmpl w:val="3DFE994A"/>
    <w:lvl w:ilvl="0" w:tplc="2F0643E6">
      <w:start w:val="1"/>
      <w:numFmt w:val="decimal"/>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4" w15:restartNumberingAfterBreak="0">
    <w:nsid w:val="1268659C"/>
    <w:multiLevelType w:val="multilevel"/>
    <w:tmpl w:val="5DE48E1A"/>
    <w:lvl w:ilvl="0">
      <w:start w:val="1"/>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3CF150E"/>
    <w:multiLevelType w:val="hybridMultilevel"/>
    <w:tmpl w:val="5DC4C4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7F41779"/>
    <w:multiLevelType w:val="hybridMultilevel"/>
    <w:tmpl w:val="4710A79E"/>
    <w:lvl w:ilvl="0" w:tplc="BC6632BE">
      <w:start w:val="1"/>
      <w:numFmt w:val="decimal"/>
      <w:lvlText w:val="%1."/>
      <w:lvlJc w:val="left"/>
      <w:pPr>
        <w:ind w:left="2024" w:hanging="360"/>
      </w:pPr>
      <w:rPr>
        <w:rFonts w:hint="default"/>
      </w:rPr>
    </w:lvl>
    <w:lvl w:ilvl="1" w:tplc="0C090019" w:tentative="1">
      <w:start w:val="1"/>
      <w:numFmt w:val="lowerLetter"/>
      <w:lvlText w:val="%2."/>
      <w:lvlJc w:val="left"/>
      <w:pPr>
        <w:ind w:left="2744" w:hanging="360"/>
      </w:pPr>
    </w:lvl>
    <w:lvl w:ilvl="2" w:tplc="0C09001B" w:tentative="1">
      <w:start w:val="1"/>
      <w:numFmt w:val="lowerRoman"/>
      <w:lvlText w:val="%3."/>
      <w:lvlJc w:val="right"/>
      <w:pPr>
        <w:ind w:left="3464" w:hanging="180"/>
      </w:pPr>
    </w:lvl>
    <w:lvl w:ilvl="3" w:tplc="0C09000F" w:tentative="1">
      <w:start w:val="1"/>
      <w:numFmt w:val="decimal"/>
      <w:lvlText w:val="%4."/>
      <w:lvlJc w:val="left"/>
      <w:pPr>
        <w:ind w:left="4184" w:hanging="360"/>
      </w:pPr>
    </w:lvl>
    <w:lvl w:ilvl="4" w:tplc="0C090019" w:tentative="1">
      <w:start w:val="1"/>
      <w:numFmt w:val="lowerLetter"/>
      <w:lvlText w:val="%5."/>
      <w:lvlJc w:val="left"/>
      <w:pPr>
        <w:ind w:left="4904" w:hanging="360"/>
      </w:pPr>
    </w:lvl>
    <w:lvl w:ilvl="5" w:tplc="0C09001B" w:tentative="1">
      <w:start w:val="1"/>
      <w:numFmt w:val="lowerRoman"/>
      <w:lvlText w:val="%6."/>
      <w:lvlJc w:val="right"/>
      <w:pPr>
        <w:ind w:left="5624" w:hanging="180"/>
      </w:pPr>
    </w:lvl>
    <w:lvl w:ilvl="6" w:tplc="0C09000F" w:tentative="1">
      <w:start w:val="1"/>
      <w:numFmt w:val="decimal"/>
      <w:lvlText w:val="%7."/>
      <w:lvlJc w:val="left"/>
      <w:pPr>
        <w:ind w:left="6344" w:hanging="360"/>
      </w:pPr>
    </w:lvl>
    <w:lvl w:ilvl="7" w:tplc="0C090019" w:tentative="1">
      <w:start w:val="1"/>
      <w:numFmt w:val="lowerLetter"/>
      <w:lvlText w:val="%8."/>
      <w:lvlJc w:val="left"/>
      <w:pPr>
        <w:ind w:left="7064" w:hanging="360"/>
      </w:pPr>
    </w:lvl>
    <w:lvl w:ilvl="8" w:tplc="0C09001B" w:tentative="1">
      <w:start w:val="1"/>
      <w:numFmt w:val="lowerRoman"/>
      <w:lvlText w:val="%9."/>
      <w:lvlJc w:val="right"/>
      <w:pPr>
        <w:ind w:left="7784" w:hanging="180"/>
      </w:pPr>
    </w:lvl>
  </w:abstractNum>
  <w:abstractNum w:abstractNumId="7" w15:restartNumberingAfterBreak="0">
    <w:nsid w:val="19E5134E"/>
    <w:multiLevelType w:val="hybridMultilevel"/>
    <w:tmpl w:val="1312F9EC"/>
    <w:lvl w:ilvl="0" w:tplc="FE7EC71C">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1F5736A"/>
    <w:multiLevelType w:val="hybridMultilevel"/>
    <w:tmpl w:val="D660A854"/>
    <w:lvl w:ilvl="0" w:tplc="08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7C26EF2"/>
    <w:multiLevelType w:val="hybridMultilevel"/>
    <w:tmpl w:val="1B22703C"/>
    <w:lvl w:ilvl="0" w:tplc="9418FF64">
      <w:start w:val="1"/>
      <w:numFmt w:val="bullet"/>
      <w:pStyle w:val="Dashbullets"/>
      <w:lvlText w:val=""/>
      <w:lvlJc w:val="left"/>
      <w:pPr>
        <w:ind w:left="2024" w:hanging="360"/>
      </w:pPr>
      <w:rPr>
        <w:rFonts w:ascii="Symbol" w:hAnsi="Symbol" w:hint="default"/>
      </w:rPr>
    </w:lvl>
    <w:lvl w:ilvl="1" w:tplc="0C090003" w:tentative="1">
      <w:start w:val="1"/>
      <w:numFmt w:val="bullet"/>
      <w:lvlText w:val="o"/>
      <w:lvlJc w:val="left"/>
      <w:pPr>
        <w:ind w:left="2744" w:hanging="360"/>
      </w:pPr>
      <w:rPr>
        <w:rFonts w:ascii="Courier New" w:hAnsi="Courier New" w:cs="Courier New" w:hint="default"/>
      </w:rPr>
    </w:lvl>
    <w:lvl w:ilvl="2" w:tplc="0C090005" w:tentative="1">
      <w:start w:val="1"/>
      <w:numFmt w:val="bullet"/>
      <w:lvlText w:val=""/>
      <w:lvlJc w:val="left"/>
      <w:pPr>
        <w:ind w:left="3464" w:hanging="360"/>
      </w:pPr>
      <w:rPr>
        <w:rFonts w:ascii="Wingdings" w:hAnsi="Wingdings" w:hint="default"/>
      </w:rPr>
    </w:lvl>
    <w:lvl w:ilvl="3" w:tplc="0C090001" w:tentative="1">
      <w:start w:val="1"/>
      <w:numFmt w:val="bullet"/>
      <w:lvlText w:val=""/>
      <w:lvlJc w:val="left"/>
      <w:pPr>
        <w:ind w:left="4184" w:hanging="360"/>
      </w:pPr>
      <w:rPr>
        <w:rFonts w:ascii="Symbol" w:hAnsi="Symbol" w:hint="default"/>
      </w:rPr>
    </w:lvl>
    <w:lvl w:ilvl="4" w:tplc="0C090003" w:tentative="1">
      <w:start w:val="1"/>
      <w:numFmt w:val="bullet"/>
      <w:lvlText w:val="o"/>
      <w:lvlJc w:val="left"/>
      <w:pPr>
        <w:ind w:left="4904" w:hanging="360"/>
      </w:pPr>
      <w:rPr>
        <w:rFonts w:ascii="Courier New" w:hAnsi="Courier New" w:cs="Courier New" w:hint="default"/>
      </w:rPr>
    </w:lvl>
    <w:lvl w:ilvl="5" w:tplc="0C090005" w:tentative="1">
      <w:start w:val="1"/>
      <w:numFmt w:val="bullet"/>
      <w:lvlText w:val=""/>
      <w:lvlJc w:val="left"/>
      <w:pPr>
        <w:ind w:left="5624" w:hanging="360"/>
      </w:pPr>
      <w:rPr>
        <w:rFonts w:ascii="Wingdings" w:hAnsi="Wingdings" w:hint="default"/>
      </w:rPr>
    </w:lvl>
    <w:lvl w:ilvl="6" w:tplc="0C090001" w:tentative="1">
      <w:start w:val="1"/>
      <w:numFmt w:val="bullet"/>
      <w:lvlText w:val=""/>
      <w:lvlJc w:val="left"/>
      <w:pPr>
        <w:ind w:left="6344" w:hanging="360"/>
      </w:pPr>
      <w:rPr>
        <w:rFonts w:ascii="Symbol" w:hAnsi="Symbol" w:hint="default"/>
      </w:rPr>
    </w:lvl>
    <w:lvl w:ilvl="7" w:tplc="0C090003" w:tentative="1">
      <w:start w:val="1"/>
      <w:numFmt w:val="bullet"/>
      <w:lvlText w:val="o"/>
      <w:lvlJc w:val="left"/>
      <w:pPr>
        <w:ind w:left="7064" w:hanging="360"/>
      </w:pPr>
      <w:rPr>
        <w:rFonts w:ascii="Courier New" w:hAnsi="Courier New" w:cs="Courier New" w:hint="default"/>
      </w:rPr>
    </w:lvl>
    <w:lvl w:ilvl="8" w:tplc="0C090005" w:tentative="1">
      <w:start w:val="1"/>
      <w:numFmt w:val="bullet"/>
      <w:lvlText w:val=""/>
      <w:lvlJc w:val="left"/>
      <w:pPr>
        <w:ind w:left="7784" w:hanging="360"/>
      </w:pPr>
      <w:rPr>
        <w:rFonts w:ascii="Wingdings" w:hAnsi="Wingdings" w:hint="default"/>
      </w:rPr>
    </w:lvl>
  </w:abstractNum>
  <w:abstractNum w:abstractNumId="10" w15:restartNumberingAfterBreak="0">
    <w:nsid w:val="288E0188"/>
    <w:multiLevelType w:val="hybridMultilevel"/>
    <w:tmpl w:val="F7C840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8FF7E44"/>
    <w:multiLevelType w:val="multilevel"/>
    <w:tmpl w:val="7892DD7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31875588"/>
    <w:multiLevelType w:val="multilevel"/>
    <w:tmpl w:val="644E781A"/>
    <w:lvl w:ilvl="0">
      <w:start w:val="1"/>
      <w:numFmt w:val="none"/>
      <w:lvlText w:val="3.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3.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79937F4"/>
    <w:multiLevelType w:val="multilevel"/>
    <w:tmpl w:val="9DA4342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B96378"/>
    <w:multiLevelType w:val="hybridMultilevel"/>
    <w:tmpl w:val="786C27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8DC2187"/>
    <w:multiLevelType w:val="hybridMultilevel"/>
    <w:tmpl w:val="FAE860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9830CC2"/>
    <w:multiLevelType w:val="hybridMultilevel"/>
    <w:tmpl w:val="1A741934"/>
    <w:lvl w:ilvl="0" w:tplc="FF26DC04">
      <w:start w:val="8"/>
      <w:numFmt w:val="decimal"/>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7" w15:restartNumberingAfterBreak="0">
    <w:nsid w:val="3A286201"/>
    <w:multiLevelType w:val="hybridMultilevel"/>
    <w:tmpl w:val="9F783FF8"/>
    <w:lvl w:ilvl="0" w:tplc="C5307A54">
      <w:start w:val="1"/>
      <w:numFmt w:val="decimal"/>
      <w:lvlText w:val="%1."/>
      <w:lvlJc w:val="left"/>
      <w:pPr>
        <w:ind w:left="1495" w:hanging="360"/>
      </w:pPr>
      <w:rPr>
        <w:rFonts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A5B027C"/>
    <w:multiLevelType w:val="multilevel"/>
    <w:tmpl w:val="DF009D8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3C2C1C79"/>
    <w:multiLevelType w:val="multilevel"/>
    <w:tmpl w:val="5DE48E1A"/>
    <w:lvl w:ilvl="0">
      <w:start w:val="1"/>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DEF30B4"/>
    <w:multiLevelType w:val="hybridMultilevel"/>
    <w:tmpl w:val="97B43910"/>
    <w:lvl w:ilvl="0" w:tplc="D8385906">
      <w:start w:val="1"/>
      <w:numFmt w:val="decimal"/>
      <w:lvlText w:val="%1."/>
      <w:lvlJc w:val="left"/>
      <w:pPr>
        <w:ind w:left="1664" w:hanging="360"/>
      </w:pPr>
      <w:rPr>
        <w:rFonts w:hint="default"/>
      </w:rPr>
    </w:lvl>
    <w:lvl w:ilvl="1" w:tplc="0C090019" w:tentative="1">
      <w:start w:val="1"/>
      <w:numFmt w:val="lowerLetter"/>
      <w:lvlText w:val="%2."/>
      <w:lvlJc w:val="left"/>
      <w:pPr>
        <w:ind w:left="2384" w:hanging="360"/>
      </w:pPr>
    </w:lvl>
    <w:lvl w:ilvl="2" w:tplc="0C09001B" w:tentative="1">
      <w:start w:val="1"/>
      <w:numFmt w:val="lowerRoman"/>
      <w:lvlText w:val="%3."/>
      <w:lvlJc w:val="right"/>
      <w:pPr>
        <w:ind w:left="3104" w:hanging="180"/>
      </w:pPr>
    </w:lvl>
    <w:lvl w:ilvl="3" w:tplc="0C09000F" w:tentative="1">
      <w:start w:val="1"/>
      <w:numFmt w:val="decimal"/>
      <w:lvlText w:val="%4."/>
      <w:lvlJc w:val="left"/>
      <w:pPr>
        <w:ind w:left="3824" w:hanging="360"/>
      </w:pPr>
    </w:lvl>
    <w:lvl w:ilvl="4" w:tplc="0C090019" w:tentative="1">
      <w:start w:val="1"/>
      <w:numFmt w:val="lowerLetter"/>
      <w:lvlText w:val="%5."/>
      <w:lvlJc w:val="left"/>
      <w:pPr>
        <w:ind w:left="4544" w:hanging="360"/>
      </w:pPr>
    </w:lvl>
    <w:lvl w:ilvl="5" w:tplc="0C09001B" w:tentative="1">
      <w:start w:val="1"/>
      <w:numFmt w:val="lowerRoman"/>
      <w:lvlText w:val="%6."/>
      <w:lvlJc w:val="right"/>
      <w:pPr>
        <w:ind w:left="5264" w:hanging="180"/>
      </w:pPr>
    </w:lvl>
    <w:lvl w:ilvl="6" w:tplc="0C09000F" w:tentative="1">
      <w:start w:val="1"/>
      <w:numFmt w:val="decimal"/>
      <w:lvlText w:val="%7."/>
      <w:lvlJc w:val="left"/>
      <w:pPr>
        <w:ind w:left="5984" w:hanging="360"/>
      </w:pPr>
    </w:lvl>
    <w:lvl w:ilvl="7" w:tplc="0C090019" w:tentative="1">
      <w:start w:val="1"/>
      <w:numFmt w:val="lowerLetter"/>
      <w:lvlText w:val="%8."/>
      <w:lvlJc w:val="left"/>
      <w:pPr>
        <w:ind w:left="6704" w:hanging="360"/>
      </w:pPr>
    </w:lvl>
    <w:lvl w:ilvl="8" w:tplc="0C09001B" w:tentative="1">
      <w:start w:val="1"/>
      <w:numFmt w:val="lowerRoman"/>
      <w:lvlText w:val="%9."/>
      <w:lvlJc w:val="right"/>
      <w:pPr>
        <w:ind w:left="7424" w:hanging="180"/>
      </w:pPr>
    </w:lvl>
  </w:abstractNum>
  <w:abstractNum w:abstractNumId="21" w15:restartNumberingAfterBreak="0">
    <w:nsid w:val="422D6C40"/>
    <w:multiLevelType w:val="hybridMultilevel"/>
    <w:tmpl w:val="3DCAE230"/>
    <w:lvl w:ilvl="0" w:tplc="2228A396">
      <w:start w:val="1"/>
      <w:numFmt w:val="decimal"/>
      <w:lvlText w:val="%1."/>
      <w:lvlJc w:val="left"/>
      <w:pPr>
        <w:ind w:left="1664" w:hanging="360"/>
      </w:pPr>
      <w:rPr>
        <w:rFonts w:hint="default"/>
      </w:rPr>
    </w:lvl>
    <w:lvl w:ilvl="1" w:tplc="0C090019" w:tentative="1">
      <w:start w:val="1"/>
      <w:numFmt w:val="lowerLetter"/>
      <w:lvlText w:val="%2."/>
      <w:lvlJc w:val="left"/>
      <w:pPr>
        <w:ind w:left="2384" w:hanging="360"/>
      </w:pPr>
    </w:lvl>
    <w:lvl w:ilvl="2" w:tplc="0C09001B" w:tentative="1">
      <w:start w:val="1"/>
      <w:numFmt w:val="lowerRoman"/>
      <w:lvlText w:val="%3."/>
      <w:lvlJc w:val="right"/>
      <w:pPr>
        <w:ind w:left="3104" w:hanging="180"/>
      </w:pPr>
    </w:lvl>
    <w:lvl w:ilvl="3" w:tplc="0C09000F" w:tentative="1">
      <w:start w:val="1"/>
      <w:numFmt w:val="decimal"/>
      <w:lvlText w:val="%4."/>
      <w:lvlJc w:val="left"/>
      <w:pPr>
        <w:ind w:left="3824" w:hanging="360"/>
      </w:pPr>
    </w:lvl>
    <w:lvl w:ilvl="4" w:tplc="0C090019" w:tentative="1">
      <w:start w:val="1"/>
      <w:numFmt w:val="lowerLetter"/>
      <w:lvlText w:val="%5."/>
      <w:lvlJc w:val="left"/>
      <w:pPr>
        <w:ind w:left="4544" w:hanging="360"/>
      </w:pPr>
    </w:lvl>
    <w:lvl w:ilvl="5" w:tplc="0C09001B" w:tentative="1">
      <w:start w:val="1"/>
      <w:numFmt w:val="lowerRoman"/>
      <w:lvlText w:val="%6."/>
      <w:lvlJc w:val="right"/>
      <w:pPr>
        <w:ind w:left="5264" w:hanging="180"/>
      </w:pPr>
    </w:lvl>
    <w:lvl w:ilvl="6" w:tplc="0C09000F" w:tentative="1">
      <w:start w:val="1"/>
      <w:numFmt w:val="decimal"/>
      <w:lvlText w:val="%7."/>
      <w:lvlJc w:val="left"/>
      <w:pPr>
        <w:ind w:left="5984" w:hanging="360"/>
      </w:pPr>
    </w:lvl>
    <w:lvl w:ilvl="7" w:tplc="0C090019" w:tentative="1">
      <w:start w:val="1"/>
      <w:numFmt w:val="lowerLetter"/>
      <w:lvlText w:val="%8."/>
      <w:lvlJc w:val="left"/>
      <w:pPr>
        <w:ind w:left="6704" w:hanging="360"/>
      </w:pPr>
    </w:lvl>
    <w:lvl w:ilvl="8" w:tplc="0C09001B" w:tentative="1">
      <w:start w:val="1"/>
      <w:numFmt w:val="lowerRoman"/>
      <w:lvlText w:val="%9."/>
      <w:lvlJc w:val="right"/>
      <w:pPr>
        <w:ind w:left="7424" w:hanging="180"/>
      </w:pPr>
    </w:lvl>
  </w:abstractNum>
  <w:abstractNum w:abstractNumId="22" w15:restartNumberingAfterBreak="0">
    <w:nsid w:val="43A020C0"/>
    <w:multiLevelType w:val="multilevel"/>
    <w:tmpl w:val="52620F92"/>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47067228"/>
    <w:multiLevelType w:val="hybridMultilevel"/>
    <w:tmpl w:val="6B0625B2"/>
    <w:lvl w:ilvl="0" w:tplc="E0C21456">
      <w:start w:val="1"/>
      <w:numFmt w:val="decimal"/>
      <w:lvlText w:val="%1."/>
      <w:lvlJc w:val="left"/>
      <w:pPr>
        <w:ind w:left="1495" w:hanging="360"/>
      </w:pPr>
      <w:rPr>
        <w:rFonts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9191934"/>
    <w:multiLevelType w:val="hybridMultilevel"/>
    <w:tmpl w:val="DDA48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CB54D5"/>
    <w:multiLevelType w:val="hybridMultilevel"/>
    <w:tmpl w:val="6A1666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8EC23F0"/>
    <w:multiLevelType w:val="hybridMultilevel"/>
    <w:tmpl w:val="C17C3B54"/>
    <w:lvl w:ilvl="0" w:tplc="BC6632BE">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1BF1B24"/>
    <w:multiLevelType w:val="hybridMultilevel"/>
    <w:tmpl w:val="B22A958C"/>
    <w:lvl w:ilvl="0" w:tplc="94F034A2">
      <w:start w:val="1"/>
      <w:numFmt w:val="bullet"/>
      <w:pStyle w:val="Indent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1D27CF7"/>
    <w:multiLevelType w:val="multilevel"/>
    <w:tmpl w:val="946A204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6F6344F"/>
    <w:multiLevelType w:val="multilevel"/>
    <w:tmpl w:val="E1AC2EAA"/>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6C5849FF"/>
    <w:multiLevelType w:val="multilevel"/>
    <w:tmpl w:val="DEC0EBAC"/>
    <w:lvl w:ilvl="0">
      <w:start w:val="1"/>
      <w:numFmt w:val="decimal"/>
      <w:lvlText w:val="%1"/>
      <w:lvlJc w:val="left"/>
      <w:pPr>
        <w:ind w:left="574" w:hanging="432"/>
      </w:pPr>
      <w:rPr>
        <w:rFonts w:hint="default"/>
        <w:b w:val="0"/>
        <w:bCs w:val="0"/>
        <w:i w:val="0"/>
        <w:iCs w:val="0"/>
        <w:caps w:val="0"/>
        <w:smallCaps w:val="0"/>
        <w:strike w:val="0"/>
        <w:dstrike w:val="0"/>
        <w:noProof w:val="0"/>
        <w:vanish w:val="0"/>
        <w:color w:val="000000"/>
        <w:spacing w:val="0"/>
        <w:kern w:val="0"/>
        <w:position w:val="0"/>
        <w:sz w:val="32"/>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lvlText w:val="4.2."/>
      <w:lvlJc w:val="left"/>
      <w:pPr>
        <w:ind w:left="576" w:hanging="576"/>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15:restartNumberingAfterBreak="0">
    <w:nsid w:val="72A746DD"/>
    <w:multiLevelType w:val="multilevel"/>
    <w:tmpl w:val="96D617E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7DF27E91"/>
    <w:multiLevelType w:val="hybridMultilevel"/>
    <w:tmpl w:val="CA944CDE"/>
    <w:lvl w:ilvl="0" w:tplc="20C8FB06">
      <w:start w:val="1"/>
      <w:numFmt w:val="bullet"/>
      <w:lvlText w:val=""/>
      <w:lvlJc w:val="left"/>
      <w:pPr>
        <w:ind w:left="720" w:hanging="360"/>
      </w:pPr>
      <w:rPr>
        <w:rFonts w:ascii="Symbol" w:eastAsia="Calibr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7"/>
  </w:num>
  <w:num w:numId="2">
    <w:abstractNumId w:val="17"/>
  </w:num>
  <w:num w:numId="3">
    <w:abstractNumId w:val="24"/>
  </w:num>
  <w:num w:numId="4">
    <w:abstractNumId w:val="17"/>
    <w:lvlOverride w:ilvl="0">
      <w:startOverride w:val="1"/>
    </w:lvlOverride>
  </w:num>
  <w:num w:numId="5">
    <w:abstractNumId w:val="17"/>
    <w:lvlOverride w:ilvl="0">
      <w:startOverride w:val="1"/>
    </w:lvlOverride>
  </w:num>
  <w:num w:numId="6">
    <w:abstractNumId w:val="17"/>
    <w:lvlOverride w:ilvl="0">
      <w:startOverride w:val="1"/>
    </w:lvlOverride>
  </w:num>
  <w:num w:numId="7">
    <w:abstractNumId w:val="13"/>
  </w:num>
  <w:num w:numId="8">
    <w:abstractNumId w:val="32"/>
  </w:num>
  <w:num w:numId="9">
    <w:abstractNumId w:val="7"/>
  </w:num>
  <w:num w:numId="10">
    <w:abstractNumId w:val="0"/>
  </w:num>
  <w:num w:numId="11">
    <w:abstractNumId w:val="9"/>
  </w:num>
  <w:num w:numId="12">
    <w:abstractNumId w:val="20"/>
  </w:num>
  <w:num w:numId="13">
    <w:abstractNumId w:val="21"/>
  </w:num>
  <w:num w:numId="14">
    <w:abstractNumId w:val="6"/>
  </w:num>
  <w:num w:numId="15">
    <w:abstractNumId w:val="26"/>
  </w:num>
  <w:num w:numId="16">
    <w:abstractNumId w:val="17"/>
    <w:lvlOverride w:ilvl="0">
      <w:startOverride w:val="1"/>
    </w:lvlOverride>
  </w:num>
  <w:num w:numId="17">
    <w:abstractNumId w:val="15"/>
  </w:num>
  <w:num w:numId="18">
    <w:abstractNumId w:val="25"/>
  </w:num>
  <w:num w:numId="19">
    <w:abstractNumId w:val="3"/>
  </w:num>
  <w:num w:numId="20">
    <w:abstractNumId w:val="8"/>
  </w:num>
  <w:num w:numId="21">
    <w:abstractNumId w:val="10"/>
  </w:num>
  <w:num w:numId="22">
    <w:abstractNumId w:val="5"/>
  </w:num>
  <w:num w:numId="23">
    <w:abstractNumId w:val="2"/>
  </w:num>
  <w:num w:numId="24">
    <w:abstractNumId w:val="14"/>
  </w:num>
  <w:num w:numId="25">
    <w:abstractNumId w:val="28"/>
  </w:num>
  <w:num w:numId="26">
    <w:abstractNumId w:val="23"/>
  </w:num>
  <w:num w:numId="27">
    <w:abstractNumId w:val="19"/>
  </w:num>
  <w:num w:numId="28">
    <w:abstractNumId w:val="12"/>
  </w:num>
  <w:num w:numId="29">
    <w:abstractNumId w:val="22"/>
  </w:num>
  <w:num w:numId="30">
    <w:abstractNumId w:val="4"/>
  </w:num>
  <w:num w:numId="31">
    <w:abstractNumId w:val="18"/>
  </w:num>
  <w:num w:numId="32">
    <w:abstractNumId w:val="11"/>
  </w:num>
  <w:num w:numId="33">
    <w:abstractNumId w:val="31"/>
  </w:num>
  <w:num w:numId="34">
    <w:abstractNumId w:val="29"/>
  </w:num>
  <w:num w:numId="35">
    <w:abstractNumId w:val="30"/>
  </w:num>
  <w:num w:numId="36">
    <w:abstractNumId w:val="16"/>
  </w:num>
  <w:num w:numId="3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916"/>
    <w:rsid w:val="0000281F"/>
    <w:rsid w:val="00014D94"/>
    <w:rsid w:val="00017980"/>
    <w:rsid w:val="00025681"/>
    <w:rsid w:val="00026744"/>
    <w:rsid w:val="00027D0D"/>
    <w:rsid w:val="0003330B"/>
    <w:rsid w:val="00041189"/>
    <w:rsid w:val="000413DE"/>
    <w:rsid w:val="00041AA2"/>
    <w:rsid w:val="0004786E"/>
    <w:rsid w:val="00061EA3"/>
    <w:rsid w:val="00062BE3"/>
    <w:rsid w:val="00063303"/>
    <w:rsid w:val="00075429"/>
    <w:rsid w:val="000820C4"/>
    <w:rsid w:val="0008531A"/>
    <w:rsid w:val="00092E87"/>
    <w:rsid w:val="000949AF"/>
    <w:rsid w:val="000A24AD"/>
    <w:rsid w:val="000A6D00"/>
    <w:rsid w:val="000A761C"/>
    <w:rsid w:val="000B4B57"/>
    <w:rsid w:val="000B6AC0"/>
    <w:rsid w:val="000C1451"/>
    <w:rsid w:val="000C528D"/>
    <w:rsid w:val="000D3597"/>
    <w:rsid w:val="000E0AAD"/>
    <w:rsid w:val="000E1E77"/>
    <w:rsid w:val="00100A74"/>
    <w:rsid w:val="00100B54"/>
    <w:rsid w:val="00100FDC"/>
    <w:rsid w:val="00102F36"/>
    <w:rsid w:val="00107146"/>
    <w:rsid w:val="00120135"/>
    <w:rsid w:val="001221A8"/>
    <w:rsid w:val="001233E0"/>
    <w:rsid w:val="00145EF1"/>
    <w:rsid w:val="00162477"/>
    <w:rsid w:val="00162577"/>
    <w:rsid w:val="00167396"/>
    <w:rsid w:val="00171553"/>
    <w:rsid w:val="00180F1E"/>
    <w:rsid w:val="00183353"/>
    <w:rsid w:val="00192CB7"/>
    <w:rsid w:val="001940C7"/>
    <w:rsid w:val="00196DA9"/>
    <w:rsid w:val="0019745C"/>
    <w:rsid w:val="001A378D"/>
    <w:rsid w:val="001A5F7F"/>
    <w:rsid w:val="001B4DED"/>
    <w:rsid w:val="001C0A6A"/>
    <w:rsid w:val="001C0B95"/>
    <w:rsid w:val="001C7EB2"/>
    <w:rsid w:val="001D462E"/>
    <w:rsid w:val="001E17F9"/>
    <w:rsid w:val="001E75E0"/>
    <w:rsid w:val="001F13BB"/>
    <w:rsid w:val="001F5DB7"/>
    <w:rsid w:val="00200687"/>
    <w:rsid w:val="002020EB"/>
    <w:rsid w:val="0020242B"/>
    <w:rsid w:val="00211E44"/>
    <w:rsid w:val="002201A1"/>
    <w:rsid w:val="002209A5"/>
    <w:rsid w:val="002211BB"/>
    <w:rsid w:val="0023259E"/>
    <w:rsid w:val="002406D5"/>
    <w:rsid w:val="00242C5C"/>
    <w:rsid w:val="00245330"/>
    <w:rsid w:val="00254F3B"/>
    <w:rsid w:val="002600FE"/>
    <w:rsid w:val="00264CE2"/>
    <w:rsid w:val="00273948"/>
    <w:rsid w:val="00285EB7"/>
    <w:rsid w:val="00287AD3"/>
    <w:rsid w:val="0029593A"/>
    <w:rsid w:val="00296987"/>
    <w:rsid w:val="002A0315"/>
    <w:rsid w:val="002C03E2"/>
    <w:rsid w:val="002C069F"/>
    <w:rsid w:val="002C141E"/>
    <w:rsid w:val="002C4288"/>
    <w:rsid w:val="002C639A"/>
    <w:rsid w:val="002D0F63"/>
    <w:rsid w:val="002D1C8F"/>
    <w:rsid w:val="002D6097"/>
    <w:rsid w:val="002D731F"/>
    <w:rsid w:val="002E057F"/>
    <w:rsid w:val="002E2436"/>
    <w:rsid w:val="002F0246"/>
    <w:rsid w:val="002F395A"/>
    <w:rsid w:val="002F47D4"/>
    <w:rsid w:val="002F7EEE"/>
    <w:rsid w:val="00310F4A"/>
    <w:rsid w:val="00314A29"/>
    <w:rsid w:val="00314CF3"/>
    <w:rsid w:val="0031739B"/>
    <w:rsid w:val="003237CF"/>
    <w:rsid w:val="0033439A"/>
    <w:rsid w:val="00335067"/>
    <w:rsid w:val="0033533A"/>
    <w:rsid w:val="003435B9"/>
    <w:rsid w:val="0034673D"/>
    <w:rsid w:val="00346F19"/>
    <w:rsid w:val="0035478D"/>
    <w:rsid w:val="00356960"/>
    <w:rsid w:val="00363819"/>
    <w:rsid w:val="003716C0"/>
    <w:rsid w:val="003739F4"/>
    <w:rsid w:val="00381753"/>
    <w:rsid w:val="003818D0"/>
    <w:rsid w:val="00390D70"/>
    <w:rsid w:val="0039668B"/>
    <w:rsid w:val="003B331D"/>
    <w:rsid w:val="003C1B34"/>
    <w:rsid w:val="003C295A"/>
    <w:rsid w:val="003C6053"/>
    <w:rsid w:val="003D062B"/>
    <w:rsid w:val="003D14E7"/>
    <w:rsid w:val="003D4CBB"/>
    <w:rsid w:val="003D6499"/>
    <w:rsid w:val="003D65CB"/>
    <w:rsid w:val="003D7FAE"/>
    <w:rsid w:val="003F3FC4"/>
    <w:rsid w:val="003F5B44"/>
    <w:rsid w:val="003F5EE8"/>
    <w:rsid w:val="0040091A"/>
    <w:rsid w:val="00404BC7"/>
    <w:rsid w:val="004063C6"/>
    <w:rsid w:val="00407F70"/>
    <w:rsid w:val="004262D7"/>
    <w:rsid w:val="004274F4"/>
    <w:rsid w:val="00430FD0"/>
    <w:rsid w:val="00432518"/>
    <w:rsid w:val="00432D2F"/>
    <w:rsid w:val="0043335F"/>
    <w:rsid w:val="00442772"/>
    <w:rsid w:val="00454698"/>
    <w:rsid w:val="00461155"/>
    <w:rsid w:val="00462102"/>
    <w:rsid w:val="00464A8C"/>
    <w:rsid w:val="0046597C"/>
    <w:rsid w:val="00466792"/>
    <w:rsid w:val="00476E77"/>
    <w:rsid w:val="00477F90"/>
    <w:rsid w:val="00483F05"/>
    <w:rsid w:val="0048567B"/>
    <w:rsid w:val="0048798F"/>
    <w:rsid w:val="00492CF9"/>
    <w:rsid w:val="00495E71"/>
    <w:rsid w:val="004A0976"/>
    <w:rsid w:val="004B10BE"/>
    <w:rsid w:val="004B316C"/>
    <w:rsid w:val="004B4F40"/>
    <w:rsid w:val="004B73AD"/>
    <w:rsid w:val="004C125D"/>
    <w:rsid w:val="004C52B6"/>
    <w:rsid w:val="004D00E0"/>
    <w:rsid w:val="004D0F00"/>
    <w:rsid w:val="004E37DD"/>
    <w:rsid w:val="004F0D75"/>
    <w:rsid w:val="004F534F"/>
    <w:rsid w:val="00507D58"/>
    <w:rsid w:val="00511D4E"/>
    <w:rsid w:val="00512C90"/>
    <w:rsid w:val="005373DD"/>
    <w:rsid w:val="00545125"/>
    <w:rsid w:val="005458A6"/>
    <w:rsid w:val="00550ADB"/>
    <w:rsid w:val="00551AE8"/>
    <w:rsid w:val="0056076E"/>
    <w:rsid w:val="005617E5"/>
    <w:rsid w:val="005642B8"/>
    <w:rsid w:val="005678CA"/>
    <w:rsid w:val="00572CD7"/>
    <w:rsid w:val="00572EBB"/>
    <w:rsid w:val="00583C7F"/>
    <w:rsid w:val="00596A55"/>
    <w:rsid w:val="005A2764"/>
    <w:rsid w:val="005B340B"/>
    <w:rsid w:val="005B47B8"/>
    <w:rsid w:val="005C08B2"/>
    <w:rsid w:val="005C5224"/>
    <w:rsid w:val="005E12FD"/>
    <w:rsid w:val="005F5AEA"/>
    <w:rsid w:val="005F721E"/>
    <w:rsid w:val="006006A9"/>
    <w:rsid w:val="00601E93"/>
    <w:rsid w:val="0062177F"/>
    <w:rsid w:val="00624C5F"/>
    <w:rsid w:val="00626DE2"/>
    <w:rsid w:val="00630916"/>
    <w:rsid w:val="00631EB1"/>
    <w:rsid w:val="0064108F"/>
    <w:rsid w:val="006424D5"/>
    <w:rsid w:val="0064751E"/>
    <w:rsid w:val="00670C66"/>
    <w:rsid w:val="006761B5"/>
    <w:rsid w:val="00681BE4"/>
    <w:rsid w:val="00682454"/>
    <w:rsid w:val="006833D0"/>
    <w:rsid w:val="00683E2F"/>
    <w:rsid w:val="006853F7"/>
    <w:rsid w:val="00686DC7"/>
    <w:rsid w:val="006915EC"/>
    <w:rsid w:val="006940E8"/>
    <w:rsid w:val="006A6775"/>
    <w:rsid w:val="006B3CB8"/>
    <w:rsid w:val="006B7539"/>
    <w:rsid w:val="006C1B4A"/>
    <w:rsid w:val="006C7AE6"/>
    <w:rsid w:val="006E468D"/>
    <w:rsid w:val="006E7AD1"/>
    <w:rsid w:val="006F2388"/>
    <w:rsid w:val="006F5CD4"/>
    <w:rsid w:val="006F7051"/>
    <w:rsid w:val="00705577"/>
    <w:rsid w:val="007055E4"/>
    <w:rsid w:val="00711195"/>
    <w:rsid w:val="00715DA4"/>
    <w:rsid w:val="007177EC"/>
    <w:rsid w:val="00721CBD"/>
    <w:rsid w:val="00723CB1"/>
    <w:rsid w:val="00730275"/>
    <w:rsid w:val="00744CFB"/>
    <w:rsid w:val="00762727"/>
    <w:rsid w:val="007729E0"/>
    <w:rsid w:val="00777E16"/>
    <w:rsid w:val="00781F40"/>
    <w:rsid w:val="00793A2F"/>
    <w:rsid w:val="0079530F"/>
    <w:rsid w:val="007A1D75"/>
    <w:rsid w:val="007A5DFB"/>
    <w:rsid w:val="007B2370"/>
    <w:rsid w:val="007B3953"/>
    <w:rsid w:val="007B6A4C"/>
    <w:rsid w:val="007C06C5"/>
    <w:rsid w:val="007C5792"/>
    <w:rsid w:val="007D2F24"/>
    <w:rsid w:val="007D2FB2"/>
    <w:rsid w:val="007D3798"/>
    <w:rsid w:val="007E0328"/>
    <w:rsid w:val="007E1593"/>
    <w:rsid w:val="007E7F52"/>
    <w:rsid w:val="007F0596"/>
    <w:rsid w:val="0080095C"/>
    <w:rsid w:val="0080375A"/>
    <w:rsid w:val="00810E53"/>
    <w:rsid w:val="00821944"/>
    <w:rsid w:val="008271BE"/>
    <w:rsid w:val="00842357"/>
    <w:rsid w:val="008442C0"/>
    <w:rsid w:val="00854BE3"/>
    <w:rsid w:val="008603C8"/>
    <w:rsid w:val="00864D5E"/>
    <w:rsid w:val="00867567"/>
    <w:rsid w:val="00870F3F"/>
    <w:rsid w:val="00873CAA"/>
    <w:rsid w:val="00874DDC"/>
    <w:rsid w:val="00880FB7"/>
    <w:rsid w:val="00884B8F"/>
    <w:rsid w:val="008B4A2D"/>
    <w:rsid w:val="008B6453"/>
    <w:rsid w:val="008B6F0D"/>
    <w:rsid w:val="008B7127"/>
    <w:rsid w:val="008C09EC"/>
    <w:rsid w:val="008C598E"/>
    <w:rsid w:val="00905D39"/>
    <w:rsid w:val="00912D6D"/>
    <w:rsid w:val="00916BEE"/>
    <w:rsid w:val="00916FF9"/>
    <w:rsid w:val="00944F11"/>
    <w:rsid w:val="0095246D"/>
    <w:rsid w:val="00955B1D"/>
    <w:rsid w:val="00961C22"/>
    <w:rsid w:val="009702AE"/>
    <w:rsid w:val="0098449C"/>
    <w:rsid w:val="00985F05"/>
    <w:rsid w:val="0099125B"/>
    <w:rsid w:val="00991AAF"/>
    <w:rsid w:val="00995055"/>
    <w:rsid w:val="009A0EE0"/>
    <w:rsid w:val="009B126C"/>
    <w:rsid w:val="009B328E"/>
    <w:rsid w:val="009B3E08"/>
    <w:rsid w:val="009B5F50"/>
    <w:rsid w:val="009C1053"/>
    <w:rsid w:val="009D0704"/>
    <w:rsid w:val="009D71BA"/>
    <w:rsid w:val="009E3966"/>
    <w:rsid w:val="009E4350"/>
    <w:rsid w:val="009E62A2"/>
    <w:rsid w:val="009E6664"/>
    <w:rsid w:val="009E7C78"/>
    <w:rsid w:val="009F1512"/>
    <w:rsid w:val="00A00BC3"/>
    <w:rsid w:val="00A02266"/>
    <w:rsid w:val="00A03653"/>
    <w:rsid w:val="00A03783"/>
    <w:rsid w:val="00A06623"/>
    <w:rsid w:val="00A16AA7"/>
    <w:rsid w:val="00A22C68"/>
    <w:rsid w:val="00A269D6"/>
    <w:rsid w:val="00A319AA"/>
    <w:rsid w:val="00A36300"/>
    <w:rsid w:val="00A562A0"/>
    <w:rsid w:val="00A61CE0"/>
    <w:rsid w:val="00A7023F"/>
    <w:rsid w:val="00A75212"/>
    <w:rsid w:val="00A772F7"/>
    <w:rsid w:val="00A916FE"/>
    <w:rsid w:val="00A91EBB"/>
    <w:rsid w:val="00A942F1"/>
    <w:rsid w:val="00A949C1"/>
    <w:rsid w:val="00AA6BF5"/>
    <w:rsid w:val="00AB0F99"/>
    <w:rsid w:val="00AC10A1"/>
    <w:rsid w:val="00AC2DA0"/>
    <w:rsid w:val="00AC3C6E"/>
    <w:rsid w:val="00AC486B"/>
    <w:rsid w:val="00AC7840"/>
    <w:rsid w:val="00AD6EA3"/>
    <w:rsid w:val="00AD734F"/>
    <w:rsid w:val="00AE01C1"/>
    <w:rsid w:val="00AE1322"/>
    <w:rsid w:val="00AE16AE"/>
    <w:rsid w:val="00AE4ADA"/>
    <w:rsid w:val="00AF4B24"/>
    <w:rsid w:val="00AF7964"/>
    <w:rsid w:val="00B10B25"/>
    <w:rsid w:val="00B1522C"/>
    <w:rsid w:val="00B2186B"/>
    <w:rsid w:val="00B21E24"/>
    <w:rsid w:val="00B30C39"/>
    <w:rsid w:val="00B34964"/>
    <w:rsid w:val="00B3608F"/>
    <w:rsid w:val="00B374EF"/>
    <w:rsid w:val="00B52CD3"/>
    <w:rsid w:val="00B87461"/>
    <w:rsid w:val="00B93B9B"/>
    <w:rsid w:val="00B95D71"/>
    <w:rsid w:val="00B97069"/>
    <w:rsid w:val="00BA02F8"/>
    <w:rsid w:val="00BC38A3"/>
    <w:rsid w:val="00BC587D"/>
    <w:rsid w:val="00BC616D"/>
    <w:rsid w:val="00BD3368"/>
    <w:rsid w:val="00BD49D0"/>
    <w:rsid w:val="00BF0EAD"/>
    <w:rsid w:val="00BF63A2"/>
    <w:rsid w:val="00BF6D35"/>
    <w:rsid w:val="00C0553B"/>
    <w:rsid w:val="00C0583D"/>
    <w:rsid w:val="00C15A87"/>
    <w:rsid w:val="00C17D07"/>
    <w:rsid w:val="00C432FE"/>
    <w:rsid w:val="00C544A2"/>
    <w:rsid w:val="00C551B7"/>
    <w:rsid w:val="00C57D5F"/>
    <w:rsid w:val="00C6438F"/>
    <w:rsid w:val="00C6555A"/>
    <w:rsid w:val="00C72A78"/>
    <w:rsid w:val="00C746A0"/>
    <w:rsid w:val="00C753B0"/>
    <w:rsid w:val="00C8083D"/>
    <w:rsid w:val="00C826AE"/>
    <w:rsid w:val="00C827EB"/>
    <w:rsid w:val="00C83DDC"/>
    <w:rsid w:val="00C84130"/>
    <w:rsid w:val="00C87E0D"/>
    <w:rsid w:val="00C92357"/>
    <w:rsid w:val="00C92FE8"/>
    <w:rsid w:val="00CA1A13"/>
    <w:rsid w:val="00CB3D88"/>
    <w:rsid w:val="00CB70E4"/>
    <w:rsid w:val="00CC0360"/>
    <w:rsid w:val="00CC14E8"/>
    <w:rsid w:val="00CC2F79"/>
    <w:rsid w:val="00CC6D42"/>
    <w:rsid w:val="00CD455D"/>
    <w:rsid w:val="00CD6A81"/>
    <w:rsid w:val="00CD7982"/>
    <w:rsid w:val="00CE1216"/>
    <w:rsid w:val="00CE4AFB"/>
    <w:rsid w:val="00D03610"/>
    <w:rsid w:val="00D64BFD"/>
    <w:rsid w:val="00D74E14"/>
    <w:rsid w:val="00D74E65"/>
    <w:rsid w:val="00D81E61"/>
    <w:rsid w:val="00D90A94"/>
    <w:rsid w:val="00D90DFD"/>
    <w:rsid w:val="00D94F6B"/>
    <w:rsid w:val="00D978AA"/>
    <w:rsid w:val="00DA0851"/>
    <w:rsid w:val="00DB455D"/>
    <w:rsid w:val="00DB5113"/>
    <w:rsid w:val="00DB5E49"/>
    <w:rsid w:val="00DC2BFB"/>
    <w:rsid w:val="00DE1017"/>
    <w:rsid w:val="00DE4867"/>
    <w:rsid w:val="00DF5CF2"/>
    <w:rsid w:val="00DF6654"/>
    <w:rsid w:val="00E02032"/>
    <w:rsid w:val="00E0228F"/>
    <w:rsid w:val="00E10CCC"/>
    <w:rsid w:val="00E15E2A"/>
    <w:rsid w:val="00E25FDD"/>
    <w:rsid w:val="00E26542"/>
    <w:rsid w:val="00E26F56"/>
    <w:rsid w:val="00E32378"/>
    <w:rsid w:val="00E41151"/>
    <w:rsid w:val="00E43571"/>
    <w:rsid w:val="00E505DC"/>
    <w:rsid w:val="00E50CC7"/>
    <w:rsid w:val="00E54F2C"/>
    <w:rsid w:val="00E57618"/>
    <w:rsid w:val="00E73AFA"/>
    <w:rsid w:val="00E86D62"/>
    <w:rsid w:val="00E86F65"/>
    <w:rsid w:val="00E9191F"/>
    <w:rsid w:val="00EA2CE4"/>
    <w:rsid w:val="00EA5905"/>
    <w:rsid w:val="00EB0048"/>
    <w:rsid w:val="00EB3713"/>
    <w:rsid w:val="00EB3AC8"/>
    <w:rsid w:val="00EB4AB0"/>
    <w:rsid w:val="00EB6A3B"/>
    <w:rsid w:val="00EC720E"/>
    <w:rsid w:val="00ED012E"/>
    <w:rsid w:val="00ED34EB"/>
    <w:rsid w:val="00ED48B2"/>
    <w:rsid w:val="00ED5163"/>
    <w:rsid w:val="00EE1C42"/>
    <w:rsid w:val="00EE3A46"/>
    <w:rsid w:val="00EE70A2"/>
    <w:rsid w:val="00EF5B88"/>
    <w:rsid w:val="00EF6030"/>
    <w:rsid w:val="00F00CE5"/>
    <w:rsid w:val="00F15B88"/>
    <w:rsid w:val="00F15B93"/>
    <w:rsid w:val="00F15FEF"/>
    <w:rsid w:val="00F17DD2"/>
    <w:rsid w:val="00F35618"/>
    <w:rsid w:val="00F37307"/>
    <w:rsid w:val="00F379FC"/>
    <w:rsid w:val="00F4061C"/>
    <w:rsid w:val="00F419A1"/>
    <w:rsid w:val="00F42F33"/>
    <w:rsid w:val="00F531D5"/>
    <w:rsid w:val="00F5413C"/>
    <w:rsid w:val="00F548E5"/>
    <w:rsid w:val="00F57A06"/>
    <w:rsid w:val="00F67DBA"/>
    <w:rsid w:val="00F73B83"/>
    <w:rsid w:val="00F73F92"/>
    <w:rsid w:val="00F74FAF"/>
    <w:rsid w:val="00F752DB"/>
    <w:rsid w:val="00F76EFB"/>
    <w:rsid w:val="00F7712F"/>
    <w:rsid w:val="00FA75A1"/>
    <w:rsid w:val="00FB1368"/>
    <w:rsid w:val="00FC11A6"/>
    <w:rsid w:val="00FC78CE"/>
    <w:rsid w:val="00FD520D"/>
    <w:rsid w:val="00FE520F"/>
    <w:rsid w:val="00FF028D"/>
    <w:rsid w:val="00FF2B93"/>
    <w:rsid w:val="00FF6D6B"/>
  </w:rsids>
  <m:mathPr>
    <m:mathFont m:val="Cambria Math"/>
    <m:brkBin m:val="before"/>
    <m:brkBinSub m:val="--"/>
    <m:smallFrac m:val="0"/>
    <m:dispDef/>
    <m:lMargin m:val="0"/>
    <m:rMargin m:val="0"/>
    <m:defJc m:val="centerGroup"/>
    <m:wrapIndent m:val="1440"/>
    <m:intLim m:val="subSup"/>
    <m:naryLim m:val="undOvr"/>
  </m:mathPr>
  <w:themeFontLang w:val="en-AU" w:eastAsia="ja-JP" w:bidi="km-K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973DF67"/>
  <w15:docId w15:val="{E7810F21-5C21-47E2-8205-6E071A6CB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C09EC"/>
    <w:pPr>
      <w:spacing w:before="300" w:after="100" w:line="360" w:lineRule="exact"/>
      <w:ind w:left="1304" w:right="397"/>
    </w:pPr>
    <w:rPr>
      <w:rFonts w:ascii="Arial" w:eastAsia="Arial" w:hAnsi="Arial" w:cs="Arial"/>
      <w:spacing w:val="4"/>
      <w:sz w:val="24"/>
      <w:lang w:eastAsia="en-AU"/>
    </w:rPr>
  </w:style>
  <w:style w:type="paragraph" w:styleId="Heading1">
    <w:name w:val="heading 1"/>
    <w:basedOn w:val="Normal"/>
    <w:next w:val="Normal"/>
    <w:link w:val="Heading1Char"/>
    <w:uiPriority w:val="9"/>
    <w:qFormat/>
    <w:rsid w:val="00CC14E8"/>
    <w:pPr>
      <w:keepNext/>
      <w:keepLines/>
      <w:spacing w:before="480" w:after="360" w:line="640" w:lineRule="exact"/>
      <w:ind w:left="2024" w:right="0" w:hanging="720"/>
      <w:outlineLvl w:val="0"/>
    </w:pPr>
    <w:rPr>
      <w:rFonts w:eastAsiaTheme="majorEastAsia" w:cstheme="majorBidi"/>
      <w:bCs/>
      <w:color w:val="000000" w:themeColor="text1"/>
      <w:sz w:val="48"/>
      <w:szCs w:val="28"/>
    </w:rPr>
  </w:style>
  <w:style w:type="paragraph" w:styleId="Heading2">
    <w:name w:val="heading 2"/>
    <w:basedOn w:val="Normal"/>
    <w:next w:val="Normal"/>
    <w:link w:val="Heading2Char"/>
    <w:uiPriority w:val="9"/>
    <w:unhideWhenUsed/>
    <w:qFormat/>
    <w:rsid w:val="00CC14E8"/>
    <w:pPr>
      <w:keepNext/>
      <w:keepLines/>
      <w:spacing w:before="400" w:line="480" w:lineRule="exact"/>
      <w:ind w:left="2024" w:hanging="720"/>
      <w:outlineLvl w:val="1"/>
    </w:pPr>
    <w:rPr>
      <w:rFonts w:eastAsiaTheme="majorEastAsia" w:cstheme="majorBidi"/>
      <w:bCs/>
      <w:color w:val="000000" w:themeColor="text1"/>
      <w:sz w:val="36"/>
      <w:szCs w:val="26"/>
    </w:rPr>
  </w:style>
  <w:style w:type="paragraph" w:styleId="Heading3">
    <w:name w:val="heading 3"/>
    <w:basedOn w:val="Normal"/>
    <w:next w:val="Normal"/>
    <w:link w:val="Heading3Char"/>
    <w:uiPriority w:val="9"/>
    <w:unhideWhenUsed/>
    <w:qFormat/>
    <w:rsid w:val="00CC14E8"/>
    <w:pPr>
      <w:keepNext/>
      <w:keepLines/>
      <w:spacing w:after="0" w:line="340" w:lineRule="exact"/>
      <w:ind w:left="2024" w:hanging="720"/>
      <w:outlineLvl w:val="2"/>
    </w:pPr>
    <w:rPr>
      <w:rFonts w:eastAsiaTheme="majorEastAsia" w:cstheme="majorBidi"/>
      <w:bCs/>
      <w:i/>
      <w:sz w:val="28"/>
    </w:rPr>
  </w:style>
  <w:style w:type="paragraph" w:styleId="Heading4">
    <w:name w:val="heading 4"/>
    <w:basedOn w:val="Normal"/>
    <w:next w:val="Normal"/>
    <w:link w:val="Heading4Char"/>
    <w:uiPriority w:val="9"/>
    <w:unhideWhenUsed/>
    <w:qFormat/>
    <w:rsid w:val="001C0B95"/>
    <w:pPr>
      <w:keepNext/>
      <w:keepLines/>
      <w:spacing w:before="200" w:after="0"/>
      <w:ind w:left="0"/>
      <w:outlineLvl w:val="3"/>
    </w:pPr>
    <w:rPr>
      <w:rFonts w:eastAsiaTheme="majorEastAsia" w:cstheme="majorBidi"/>
      <w:b/>
      <w:bCs/>
      <w:i/>
      <w:iCs/>
      <w:sz w:val="26"/>
    </w:rPr>
  </w:style>
  <w:style w:type="paragraph" w:styleId="Heading5">
    <w:name w:val="heading 5"/>
    <w:basedOn w:val="Normal"/>
    <w:next w:val="Normal"/>
    <w:link w:val="Heading5Char"/>
    <w:uiPriority w:val="9"/>
    <w:semiHidden/>
    <w:unhideWhenUsed/>
    <w:qFormat/>
    <w:rsid w:val="001C0B95"/>
    <w:pPr>
      <w:keepNext/>
      <w:keepLines/>
      <w:spacing w:before="200" w:after="0"/>
      <w:ind w:left="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095C"/>
    <w:pPr>
      <w:keepNext/>
      <w:keepLines/>
      <w:numPr>
        <w:ilvl w:val="5"/>
        <w:numId w:val="3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0095C"/>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0095C"/>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0095C"/>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121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E1216"/>
    <w:rPr>
      <w:rFonts w:ascii="Arial" w:eastAsia="Arial" w:hAnsi="Arial" w:cs="Arial"/>
      <w:spacing w:val="4"/>
      <w:sz w:val="24"/>
      <w:lang w:eastAsia="en-AU"/>
    </w:rPr>
  </w:style>
  <w:style w:type="paragraph" w:styleId="Footer">
    <w:name w:val="footer"/>
    <w:basedOn w:val="Normal"/>
    <w:link w:val="FooterChar"/>
    <w:uiPriority w:val="99"/>
    <w:unhideWhenUsed/>
    <w:rsid w:val="00CE121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E1216"/>
    <w:rPr>
      <w:rFonts w:ascii="Arial" w:eastAsia="Arial" w:hAnsi="Arial" w:cs="Arial"/>
      <w:spacing w:val="4"/>
      <w:sz w:val="24"/>
      <w:lang w:eastAsia="en-AU"/>
    </w:rPr>
  </w:style>
  <w:style w:type="paragraph" w:styleId="BalloonText">
    <w:name w:val="Balloon Text"/>
    <w:basedOn w:val="Normal"/>
    <w:link w:val="BalloonTextChar"/>
    <w:uiPriority w:val="99"/>
    <w:semiHidden/>
    <w:unhideWhenUsed/>
    <w:rsid w:val="006309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916"/>
    <w:rPr>
      <w:rFonts w:ascii="Tahoma" w:hAnsi="Tahoma" w:cs="Tahoma"/>
      <w:sz w:val="16"/>
      <w:szCs w:val="16"/>
    </w:rPr>
  </w:style>
  <w:style w:type="paragraph" w:customStyle="1" w:styleId="Indentbullet">
    <w:name w:val="Indent bullet"/>
    <w:basedOn w:val="ListParagraph"/>
    <w:rsid w:val="00E505DC"/>
    <w:pPr>
      <w:numPr>
        <w:numId w:val="1"/>
      </w:numPr>
      <w:tabs>
        <w:tab w:val="num" w:pos="360"/>
      </w:tabs>
      <w:spacing w:before="200"/>
      <w:ind w:left="2058" w:hanging="357"/>
    </w:pPr>
  </w:style>
  <w:style w:type="paragraph" w:styleId="ListParagraph">
    <w:name w:val="List Paragraph"/>
    <w:basedOn w:val="Normal"/>
    <w:uiPriority w:val="34"/>
    <w:qFormat/>
    <w:rsid w:val="00E505DC"/>
    <w:pPr>
      <w:spacing w:line="380" w:lineRule="exact"/>
      <w:ind w:left="2155" w:right="510" w:hanging="851"/>
      <w:contextualSpacing/>
    </w:pPr>
  </w:style>
  <w:style w:type="character" w:customStyle="1" w:styleId="Heading1Char">
    <w:name w:val="Heading 1 Char"/>
    <w:basedOn w:val="DefaultParagraphFont"/>
    <w:link w:val="Heading1"/>
    <w:uiPriority w:val="9"/>
    <w:rsid w:val="00CC14E8"/>
    <w:rPr>
      <w:rFonts w:ascii="Arial" w:eastAsiaTheme="majorEastAsia" w:hAnsi="Arial" w:cstheme="majorBidi"/>
      <w:bCs/>
      <w:color w:val="000000" w:themeColor="text1"/>
      <w:spacing w:val="4"/>
      <w:sz w:val="48"/>
      <w:szCs w:val="28"/>
      <w:lang w:eastAsia="en-AU"/>
    </w:rPr>
  </w:style>
  <w:style w:type="character" w:customStyle="1" w:styleId="Heading2Char">
    <w:name w:val="Heading 2 Char"/>
    <w:basedOn w:val="DefaultParagraphFont"/>
    <w:link w:val="Heading2"/>
    <w:uiPriority w:val="9"/>
    <w:rsid w:val="00CC14E8"/>
    <w:rPr>
      <w:rFonts w:ascii="Arial" w:eastAsiaTheme="majorEastAsia" w:hAnsi="Arial" w:cstheme="majorBidi"/>
      <w:bCs/>
      <w:color w:val="000000" w:themeColor="text1"/>
      <w:spacing w:val="4"/>
      <w:sz w:val="36"/>
      <w:szCs w:val="26"/>
      <w:lang w:eastAsia="en-AU"/>
    </w:rPr>
  </w:style>
  <w:style w:type="paragraph" w:styleId="TOC3">
    <w:name w:val="toc 3"/>
    <w:basedOn w:val="Normal"/>
    <w:next w:val="Normal"/>
    <w:autoRedefine/>
    <w:uiPriority w:val="39"/>
    <w:unhideWhenUsed/>
    <w:rsid w:val="008C09EC"/>
    <w:pPr>
      <w:tabs>
        <w:tab w:val="right" w:pos="9072"/>
      </w:tabs>
      <w:spacing w:before="100"/>
      <w:ind w:left="1814" w:right="0"/>
    </w:pPr>
  </w:style>
  <w:style w:type="table" w:styleId="TableGrid">
    <w:name w:val="Table Grid"/>
    <w:basedOn w:val="TableNormal"/>
    <w:uiPriority w:val="59"/>
    <w:rsid w:val="006F2388"/>
    <w:pPr>
      <w:spacing w:after="0" w:line="240" w:lineRule="auto"/>
    </w:pPr>
    <w:rPr>
      <w:rFonts w:eastAsiaTheme="minorEastAsia"/>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C09EC"/>
    <w:pPr>
      <w:tabs>
        <w:tab w:val="left" w:pos="440"/>
        <w:tab w:val="left" w:pos="1540"/>
        <w:tab w:val="right" w:pos="9214"/>
      </w:tabs>
      <w:spacing w:before="100" w:after="60" w:line="380" w:lineRule="exact"/>
      <w:ind w:left="2024" w:right="737" w:hanging="720"/>
    </w:pPr>
  </w:style>
  <w:style w:type="paragraph" w:styleId="TOC2">
    <w:name w:val="toc 2"/>
    <w:basedOn w:val="Normal"/>
    <w:next w:val="Normal"/>
    <w:autoRedefine/>
    <w:uiPriority w:val="39"/>
    <w:unhideWhenUsed/>
    <w:rsid w:val="000E0AAD"/>
    <w:pPr>
      <w:tabs>
        <w:tab w:val="right" w:pos="9214"/>
      </w:tabs>
      <w:spacing w:before="100"/>
      <w:ind w:left="1469" w:right="-1"/>
    </w:pPr>
  </w:style>
  <w:style w:type="character" w:styleId="Hyperlink">
    <w:name w:val="Hyperlink"/>
    <w:basedOn w:val="DefaultParagraphFont"/>
    <w:uiPriority w:val="99"/>
    <w:unhideWhenUsed/>
    <w:rsid w:val="00DE1017"/>
    <w:rPr>
      <w:color w:val="0000FF" w:themeColor="hyperlink"/>
      <w:u w:val="single"/>
    </w:rPr>
  </w:style>
  <w:style w:type="table" w:customStyle="1" w:styleId="TableGrid4">
    <w:name w:val="Table Grid4"/>
    <w:basedOn w:val="TableNormal"/>
    <w:next w:val="TableGrid"/>
    <w:uiPriority w:val="59"/>
    <w:rsid w:val="005617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C14E8"/>
    <w:rPr>
      <w:rFonts w:ascii="Arial" w:eastAsiaTheme="majorEastAsia" w:hAnsi="Arial" w:cstheme="majorBidi"/>
      <w:bCs/>
      <w:i/>
      <w:spacing w:val="4"/>
      <w:sz w:val="28"/>
      <w:lang w:eastAsia="en-AU"/>
    </w:rPr>
  </w:style>
  <w:style w:type="character" w:styleId="FollowedHyperlink">
    <w:name w:val="FollowedHyperlink"/>
    <w:basedOn w:val="DefaultParagraphFont"/>
    <w:uiPriority w:val="99"/>
    <w:semiHidden/>
    <w:unhideWhenUsed/>
    <w:rsid w:val="00C17D07"/>
    <w:rPr>
      <w:color w:val="800080" w:themeColor="followedHyperlink"/>
      <w:u w:val="single"/>
    </w:rPr>
  </w:style>
  <w:style w:type="paragraph" w:customStyle="1" w:styleId="Dashbullets">
    <w:name w:val="Dash bullets"/>
    <w:basedOn w:val="ListParagraph"/>
    <w:rsid w:val="002F0246"/>
    <w:pPr>
      <w:numPr>
        <w:numId w:val="11"/>
      </w:numPr>
      <w:spacing w:before="100"/>
      <w:ind w:left="2018" w:hanging="357"/>
    </w:pPr>
  </w:style>
  <w:style w:type="character" w:customStyle="1" w:styleId="Heading4Char">
    <w:name w:val="Heading 4 Char"/>
    <w:basedOn w:val="DefaultParagraphFont"/>
    <w:link w:val="Heading4"/>
    <w:uiPriority w:val="9"/>
    <w:rsid w:val="003D4CBB"/>
    <w:rPr>
      <w:rFonts w:ascii="Arial" w:eastAsiaTheme="majorEastAsia" w:hAnsi="Arial" w:cstheme="majorBidi"/>
      <w:b/>
      <w:bCs/>
      <w:i/>
      <w:iCs/>
      <w:spacing w:val="4"/>
      <w:sz w:val="26"/>
      <w:lang w:eastAsia="en-AU"/>
    </w:rPr>
  </w:style>
  <w:style w:type="paragraph" w:styleId="FootnoteText">
    <w:name w:val="footnote text"/>
    <w:basedOn w:val="Normal"/>
    <w:link w:val="FootnoteTextChar"/>
    <w:uiPriority w:val="99"/>
    <w:semiHidden/>
    <w:unhideWhenUsed/>
    <w:rsid w:val="003D14E7"/>
    <w:pPr>
      <w:spacing w:before="0" w:after="0" w:line="240" w:lineRule="auto"/>
      <w:ind w:left="0" w:right="0"/>
    </w:pPr>
    <w:rPr>
      <w:rFonts w:asciiTheme="minorHAnsi" w:eastAsiaTheme="minorHAnsi" w:hAnsiTheme="minorHAnsi" w:cstheme="minorBidi"/>
      <w:spacing w:val="0"/>
      <w:sz w:val="20"/>
      <w:szCs w:val="20"/>
      <w:lang w:eastAsia="en-US"/>
    </w:rPr>
  </w:style>
  <w:style w:type="character" w:customStyle="1" w:styleId="FootnoteTextChar">
    <w:name w:val="Footnote Text Char"/>
    <w:basedOn w:val="DefaultParagraphFont"/>
    <w:link w:val="FootnoteText"/>
    <w:uiPriority w:val="99"/>
    <w:semiHidden/>
    <w:rsid w:val="003D14E7"/>
    <w:rPr>
      <w:sz w:val="20"/>
      <w:szCs w:val="20"/>
    </w:rPr>
  </w:style>
  <w:style w:type="character" w:styleId="FootnoteReference">
    <w:name w:val="footnote reference"/>
    <w:basedOn w:val="DefaultParagraphFont"/>
    <w:uiPriority w:val="99"/>
    <w:semiHidden/>
    <w:unhideWhenUsed/>
    <w:rsid w:val="003D14E7"/>
    <w:rPr>
      <w:vertAlign w:val="superscript"/>
    </w:rPr>
  </w:style>
  <w:style w:type="character" w:customStyle="1" w:styleId="Heading5Char">
    <w:name w:val="Heading 5 Char"/>
    <w:basedOn w:val="DefaultParagraphFont"/>
    <w:link w:val="Heading5"/>
    <w:uiPriority w:val="9"/>
    <w:semiHidden/>
    <w:rsid w:val="0080095C"/>
    <w:rPr>
      <w:rFonts w:asciiTheme="majorHAnsi" w:eastAsiaTheme="majorEastAsia" w:hAnsiTheme="majorHAnsi" w:cstheme="majorBidi"/>
      <w:color w:val="243F60" w:themeColor="accent1" w:themeShade="7F"/>
      <w:spacing w:val="4"/>
      <w:sz w:val="24"/>
      <w:lang w:eastAsia="en-AU"/>
    </w:rPr>
  </w:style>
  <w:style w:type="character" w:customStyle="1" w:styleId="Heading6Char">
    <w:name w:val="Heading 6 Char"/>
    <w:basedOn w:val="DefaultParagraphFont"/>
    <w:link w:val="Heading6"/>
    <w:uiPriority w:val="9"/>
    <w:semiHidden/>
    <w:rsid w:val="0080095C"/>
    <w:rPr>
      <w:rFonts w:asciiTheme="majorHAnsi" w:eastAsiaTheme="majorEastAsia" w:hAnsiTheme="majorHAnsi" w:cstheme="majorBidi"/>
      <w:i/>
      <w:iCs/>
      <w:color w:val="243F60" w:themeColor="accent1" w:themeShade="7F"/>
      <w:spacing w:val="4"/>
      <w:sz w:val="24"/>
      <w:lang w:eastAsia="en-AU"/>
    </w:rPr>
  </w:style>
  <w:style w:type="character" w:customStyle="1" w:styleId="Heading7Char">
    <w:name w:val="Heading 7 Char"/>
    <w:basedOn w:val="DefaultParagraphFont"/>
    <w:link w:val="Heading7"/>
    <w:uiPriority w:val="9"/>
    <w:semiHidden/>
    <w:rsid w:val="0080095C"/>
    <w:rPr>
      <w:rFonts w:asciiTheme="majorHAnsi" w:eastAsiaTheme="majorEastAsia" w:hAnsiTheme="majorHAnsi" w:cstheme="majorBidi"/>
      <w:i/>
      <w:iCs/>
      <w:color w:val="404040" w:themeColor="text1" w:themeTint="BF"/>
      <w:spacing w:val="4"/>
      <w:sz w:val="24"/>
      <w:lang w:eastAsia="en-AU"/>
    </w:rPr>
  </w:style>
  <w:style w:type="character" w:customStyle="1" w:styleId="Heading8Char">
    <w:name w:val="Heading 8 Char"/>
    <w:basedOn w:val="DefaultParagraphFont"/>
    <w:link w:val="Heading8"/>
    <w:uiPriority w:val="9"/>
    <w:semiHidden/>
    <w:rsid w:val="0080095C"/>
    <w:rPr>
      <w:rFonts w:asciiTheme="majorHAnsi" w:eastAsiaTheme="majorEastAsia" w:hAnsiTheme="majorHAnsi" w:cstheme="majorBidi"/>
      <w:color w:val="404040" w:themeColor="text1" w:themeTint="BF"/>
      <w:spacing w:val="4"/>
      <w:sz w:val="20"/>
      <w:szCs w:val="20"/>
      <w:lang w:eastAsia="en-AU"/>
    </w:rPr>
  </w:style>
  <w:style w:type="character" w:customStyle="1" w:styleId="Heading9Char">
    <w:name w:val="Heading 9 Char"/>
    <w:basedOn w:val="DefaultParagraphFont"/>
    <w:link w:val="Heading9"/>
    <w:uiPriority w:val="9"/>
    <w:semiHidden/>
    <w:rsid w:val="0080095C"/>
    <w:rPr>
      <w:rFonts w:asciiTheme="majorHAnsi" w:eastAsiaTheme="majorEastAsia" w:hAnsiTheme="majorHAnsi" w:cstheme="majorBidi"/>
      <w:i/>
      <w:iCs/>
      <w:color w:val="404040" w:themeColor="text1" w:themeTint="BF"/>
      <w:spacing w:val="4"/>
      <w:sz w:val="20"/>
      <w:szCs w:val="20"/>
      <w:lang w:eastAsia="en-AU"/>
    </w:rPr>
  </w:style>
  <w:style w:type="paragraph" w:customStyle="1" w:styleId="Numberbullets">
    <w:name w:val="Number bullets"/>
    <w:basedOn w:val="Indentbullet"/>
    <w:rsid w:val="00F379FC"/>
    <w:pPr>
      <w:numPr>
        <w:numId w:val="37"/>
      </w:numPr>
      <w:ind w:left="1661" w:right="0" w:hanging="357"/>
    </w:pPr>
  </w:style>
  <w:style w:type="paragraph" w:customStyle="1" w:styleId="Table">
    <w:name w:val="Table"/>
    <w:basedOn w:val="Normal"/>
    <w:rsid w:val="00FC11A6"/>
    <w:pPr>
      <w:spacing w:before="40" w:line="280" w:lineRule="exact"/>
      <w:ind w:left="113" w:right="113"/>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sability.Support@det.nsw.edu.a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B3C9BA-DAD4-45B9-BFEC-1AB1411B7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4554</Words>
  <Characters>25962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and Training</Company>
  <LinksUpToDate>false</LinksUpToDate>
  <CharactersWithSpaces>30456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Fiona</dc:creator>
  <cp:lastModifiedBy>Kim An Lim</cp:lastModifiedBy>
  <cp:revision>3</cp:revision>
  <cp:lastPrinted>2016-10-28T03:37:00Z</cp:lastPrinted>
  <dcterms:created xsi:type="dcterms:W3CDTF">2016-12-15T02:03:00Z</dcterms:created>
  <dcterms:modified xsi:type="dcterms:W3CDTF">2021-04-23T03:34:00Z</dcterms:modified>
</cp:coreProperties>
</file>