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59944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4pt;height:47.1pt;z-index:251624961" coordsize="1440180,598805" path="m,l1440180,,1440180,598805,,59880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07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6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완전탐색을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브루트포스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2100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2048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):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구현+브루트포스 문제이다.  NN 크기의 보드가 주어진다.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블록에 쓰여 있는 수는 2보다 크거나 같고 1024보다 작거나 같은 2의 제곱인데, 이동을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하면 블록은 합쳐진다. 최대 5번 이동시켜서 얻을 수 있는 가장 큰 블록을 출력하는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문제이다.  침착하게 구현만 하면 되는 문제였다.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2-2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14500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테트로미노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):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앞 문제와 같이 단순 구현+브루트포스 문제이다. NM크기의 보드가 주어지는데,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테트로미노가 놓인 칸에 쓰인 수들의 합의 최댓값을 출력하는 문제이다. ㅗ모양의 블록을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제외한 모든 블록은 깊이 3의 dfs로 나타 낼 수 있다는 특징을 이용해서 풀 수도 있다.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하지만 단순무식하게 좌표를 일일이 구해도 풀리는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사탕 게임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실버 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벽장문의 이동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(골드5)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암호 만들기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치킨 배달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5.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주사위 쌓기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골드5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브루트포스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를 공부하는 마지막 시간이었습니다. 다음 주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는 그리디가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주제입니다.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이번에는 공통 2문제가 조금 어려운 문제였습니다만, 스터디원들이 적극적으로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참여해주었습니다.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주도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스터디원들이 양질의 문제를 골라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주시고, 발표준비도 해오셔서 스터디를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원활하게 진행을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할 수 있었습니다.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앞으로 특이사항이 없으면 이렇게 스터디를 계속 진행을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할 것 같습니다. 앞으로도 열심히 하겠습니다.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B59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EEE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DE6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