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9753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  <w:lang w:val="en-US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2pt;height:47.0pt;z-index:251624961" coordsize="1438275,596900" path="m,l1438275,,1438275,596900,,59690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  <w:lang w:val="en-US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  <w:lang w:val="en-US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>2020</w:t>
      </w:r>
      <w:r>
        <w:rPr>
          <w:b w:val="1"/>
          <w:sz w:val="40"/>
          <w:szCs w:val="40"/>
          <w:rFonts w:asciiTheme="majorEastAsia" w:eastAsiaTheme="majorEastAsia" w:hAnsiTheme="majorEastAsia"/>
          <w:lang w:val="en-US"/>
        </w:rPr>
        <w:t xml:space="preserve">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  <w:lang w:val="en-US"/>
        </w:rPr>
        <w:t xml:space="preserve"> 자율 스터디 신청서</w:t>
      </w:r>
    </w:p>
    <w:p>
      <w:pPr>
        <w:rPr>
          <w:lang w:val="en-US"/>
        </w:rPr>
      </w:pPr>
    </w:p>
    <w:p>
      <w:pPr>
        <w:rPr>
          <w:lang w:val="en-US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784"/>
        <w:gridCol w:w="992"/>
        <w:gridCol w:w="311"/>
        <w:gridCol w:w="908"/>
        <w:gridCol w:w="379"/>
        <w:gridCol w:w="1287"/>
        <w:gridCol w:w="659"/>
        <w:gridCol w:w="1134"/>
        <w:gridCol w:w="425"/>
        <w:gridCol w:w="2784"/>
      </w:tblGrid>
      <w:tr>
        <w:trPr/>
        <w:tc>
          <w:tcPr>
            <w:tcW w:type="dxa" w:w="1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스터디명</w:t>
            </w:r>
          </w:p>
        </w:tc>
        <w:tc>
          <w:tcPr>
            <w:tcW w:type="dxa" w:w="8879"/>
            <w:vAlign w:val="top"/>
            <w:gridSpan w:val="9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BOOK++ //제가 좋아하는 언어인 C++를 모방해 보았습니다. </w:t>
            </w:r>
          </w:p>
        </w:tc>
      </w:tr>
      <w:tr>
        <w:trPr>
          <w:trHeight w:hRule="atleast" w:val="639"/>
        </w:trPr>
        <w:tc>
          <w:tcPr>
            <w:tcW w:type="dxa" w:w="1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주제</w:t>
            </w:r>
          </w:p>
        </w:tc>
        <w:tc>
          <w:tcPr>
            <w:tcW w:type="dxa" w:w="8879"/>
            <w:vAlign w:val="top"/>
            <w:gridSpan w:val="9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자연스럽게 영어 문서를 해석하는 능력을 높이기 위해 영어로 쓰인 원서나 pdf파일을 자유롭게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읽고 모여서 토론하는 스터디입니다.</w:t>
            </w:r>
          </w:p>
        </w:tc>
      </w:tr>
      <w:tr>
        <w:trPr>
          <w:trHeight w:hRule="atleast" w:val="397"/>
        </w:trPr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스터디장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성명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학부(학과)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학번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학년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연락처</w:t>
            </w: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>e-mail</w:t>
            </w:r>
          </w:p>
        </w:tc>
      </w:tr>
      <w:tr>
        <w:trPr>
          <w:trHeight w:hRule="atleast" w:val="397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박장성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자율전공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B935188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01092890578</w:t>
            </w: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888t@naver.com</w:t>
            </w:r>
          </w:p>
        </w:tc>
      </w:tr>
      <w:tr>
        <w:trPr/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구성원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이주현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경영학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B831207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01057514493</w:t>
            </w: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happysarah.lee@gmail.com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권예빈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컴공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B911011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01041593827</w:t>
            </w: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kimpika8541@naver.com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멘토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909"/>
        </w:trPr>
        <w:tc>
          <w:tcPr>
            <w:tcW w:type="dxa" w:w="1784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목표</w:t>
            </w:r>
          </w:p>
        </w:tc>
        <w:tc>
          <w:tcPr>
            <w:tcW w:type="dxa" w:w="8879"/>
            <w:vAlign w:val="top"/>
            <w:gridSpan w:val="9"/>
            <w:tcBorders>
              <w:bottom w:val="nil" w:color="auto"/>
            </w:tcBorders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BOOK++ 스터디에서 목표로 하는 것은 다음과 같습니다.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영어에 더 익숙해진다..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저희 과는 특히나 영어를 써야할 일이 더욱 많습니다. 코드를 짤 때는 물론이고, 모르는 것을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검색할 때에도 영어를 사용하는 일이 잦습니다. 하지만 평상시에 영어를 접하지 않다가 필요할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때에만 쓰자니 영어가 익숙해지는 느낌이 별로 들지 않았습니다. 이러한 불편함을 개선하고자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어떤 형태로든 매일 영어로 쓰여진 문장을 읽을 수 있는 기회를 만들어 보고 싶었습니다.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부담 최대한 줄이기.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하지만 시작을 한다고 해서 모두가 끝을 보는 게 아닙니다. 저만 해도 여러 번 영어 원서를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읽으려고 해보았습니다. 하지만 쌓이는 것은 읽다가 만 아까운 책 뿐이었습니다. 이유를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생각해보니 엄격한 기준으로 스스로를 너무 몰아 세웠던 것 같습니다. 따라서 저희 스터디에는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최소한의 규칙만 적용시킬 예정입니다.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미래를 준비한다.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 IT 분야는 영어를 잘할수록 유리한 분야입니다. 영어 원서를 읽음으로써 회화 능력이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향상되지는 않겠지만, 문서를 읽고 해석하는 능력은 늘어날 것입니다. 자연스럽게 BOOK++를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통해 영어에 익숙해지고, 전에는 부담스러웠던, 영어로 구글링하여 자료를 찾는 일이 자연스러워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지는 것, 이것이 이번 BOOK++스터디의 최종적인 목표입니다.</w:t>
            </w:r>
          </w:p>
        </w:tc>
      </w:tr>
      <w:tr>
        <w:trPr>
          <w:trHeight w:hRule="atleast" w:val="1517"/>
        </w:trPr>
        <w:tc>
          <w:tcPr>
            <w:tcW w:type="dxa" w:w="1784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학습방법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>(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활용 자료,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형태 등)</w:t>
            </w:r>
          </w:p>
        </w:tc>
        <w:tc>
          <w:tcPr>
            <w:tcW w:type="dxa" w:w="8879"/>
            <w:vAlign w:val="top"/>
            <w:gridSpan w:val="9"/>
            <w:tcBorders>
              <w:bottom w:val="single" w:color="auto" w:sz="4"/>
            </w:tcBorders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BOOK++ 스터디의 학습방법은 다음과 같습니다.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기본적으로는 읽을 거리를 통일한다.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기본적으로는 읽을 거리를 통일합니다. 하지만 모두의 관심사가 같을 수는 없습니다. 만약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자신이 관심없는 책으로 통일이 되면, 스터디에 흥미를 잃을 수 있습니다. 따라서 자신의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관심사에 따라 다른 책을 읽어도 전혀 상관없습니다. 분량도 중요하지 않습니다.  구글링을 통해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조사를 한 뒤, 영어 스터디에 자주 쓰이는 최소한의 양식을 만들어 보았습니다.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모르는 단어가 있으면 간단한 예문과 함께 소개하기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인상 깊었던 구절이 있으면 적어오기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읽었던 내용에 대해 자신의 생각 적어오기.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적다고 느낄 수 있으나, 말 그대로 부담을 줄이기 위한 최소 양식일 뿐입니다. 따라서 이 양식은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평소에 책을 틈틈히 읽으며 작성하면 될 것입니다.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만남은 디스코드를 통해서.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평일에 책을 읽고 모였을 때 서로의 파일을 공유하면서 토론을 합니다. 기본적으로 만남은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디스코드로 진행하기로 하였습니다.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수준은 대학교 교재 수준으로 통일한다.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기본적으로 스터디 참여자들이 대학생으로 구성되어 있기 때문에 부담없이 읽을 수 있는 가벼운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책으로 시작하여 대학 교재 수준의 책으로 끝낼 예정입니다. 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주 도서 : shape up, data structures and algorithm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부 도서 : why zombies cannot write significant source code, hacker &amp; painter 등등 개인이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원하는 대로.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377"/>
        </w:trPr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운영 계획</w:t>
            </w:r>
          </w:p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차수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 기간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학습주제 및 내용</w:t>
            </w:r>
          </w:p>
        </w:tc>
      </w:tr>
      <w:tr>
        <w:trPr>
          <w:trHeight w:hRule="atleast" w:val="200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ind w:firstLine="1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shape up 이라는 책의 핵심 단어인 six-week cycles, shaping the work,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making teams responsible, targetting risk이 의미하는 바를 생각하며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읽는다.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chapter 1 ~ chapter3 읽고 양식 채워오기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본격적으로 shaping챕터를 통해 shaping이 뭔지 무슨 뜻인지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유의하며 읽는다.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chapter 4 ~ chapter7 읽고 양식 채워오기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betting 챕터를 통해 betting이 무슨 뜻인지 파악한다.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chapter 8 ~ chapter11 읽고 양식 채워오기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4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building 챕터를 통해 building이 무슨 뜻인지 파악한다.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chapter 12 ~ chapter15 읽고 양식 채워오기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5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ind w:firstLine="1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Data Structures and Algorithms Made Easy_ Data Structures and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Algorithmic Puzzles ( PDFDrive.com ) 이론보다는 문제 풀이에 집중하는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책이다. 한글로는 알고 있는 단어들이 영어로는 어떻게 쓰이는지 파악할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수 있다.</w:t>
            </w:r>
          </w:p>
          <w:p>
            <w:pPr>
              <w:jc w:val="both"/>
              <w:ind w:firstLine="100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introduction ~ recursion and backtracking. 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6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linked list ~ queue 선형 자료구조에 대해 공부한다.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7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rPr>
                <w:b w:val="0"/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b w:val="0"/>
                <w:sz w:val="20"/>
                <w:szCs w:val="20"/>
                <w:rFonts w:asciiTheme="minorEastAsia" w:hAnsiTheme="minorEastAsia"/>
                <w:lang w:eastAsia="ko-KR"/>
              </w:rPr>
              <w:t xml:space="preserve">trees ~ priority queues and heaps 각종 트리와 우선순위 큐와 힙을 </w:t>
            </w:r>
            <w:r>
              <w:rPr>
                <w:b w:val="0"/>
                <w:sz w:val="20"/>
                <w:szCs w:val="20"/>
                <w:rFonts w:asciiTheme="minorEastAsia" w:hAnsiTheme="minorEastAsia"/>
                <w:lang w:eastAsia="ko-KR"/>
              </w:rPr>
              <w:t>비교해본다.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disjoint sets adt ~ graph algorithms 유니온파인드의 응용과 MST와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SPA에 대해 공부한다.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9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sorting ~ searching 각종 sort와 searching에 대해 공부한다.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10</w:t>
            </w:r>
          </w:p>
        </w:tc>
        <w:tc>
          <w:tcPr>
            <w:tcW w:type="dxa" w:w="121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1주</w:t>
            </w:r>
          </w:p>
        </w:tc>
        <w:tc>
          <w:tcPr>
            <w:tcW w:type="dxa" w:w="6668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selection algorithm ~ hashing 선택정렬과 해싱에 대해 알아본다.</w:t>
            </w:r>
          </w:p>
        </w:tc>
      </w:tr>
      <w:tr>
        <w:trPr>
          <w:trHeight w:hRule="atleast" w:val="746"/>
        </w:trPr>
        <w:tc>
          <w:tcPr>
            <w:tcW w:type="dxa" w:w="10663"/>
            <w:vAlign w:val="top"/>
            <w:gridSpan w:val="10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위와 같이 자율 스터디를 신청하며,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의무사항을 준수하여 충분한 성과를 거두도록 하겠습니다.</w:t>
            </w:r>
          </w:p>
        </w:tc>
      </w:tr>
      <w:tr>
        <w:trPr>
          <w:trHeight w:hRule="atleast" w:val="268"/>
        </w:trPr>
        <w:tc>
          <w:tcPr>
            <w:tcW w:type="dxa" w:w="7454"/>
            <w:vAlign w:val="top"/>
            <w:gridSpan w:val="8"/>
            <w:tcBorders>
              <w:bottom w:val="nil" w:color="auto"/>
              <w:right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3209"/>
            <w:vAlign w:val="top"/>
            <w:gridSpan w:val="2"/>
            <w:tcBorders>
              <w:bottom w:val="nil" w:color="auto"/>
              <w:left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2020년    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9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월   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20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 일 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                         </w:t>
            </w:r>
          </w:p>
        </w:tc>
      </w:tr>
      <w:tr>
        <w:trPr>
          <w:trHeight w:hRule="atleast" w:val="268"/>
        </w:trPr>
        <w:tc>
          <w:tcPr>
            <w:tcW w:type="dxa" w:w="7454"/>
            <w:vAlign w:val="top"/>
            <w:gridSpan w:val="8"/>
            <w:tcBorders>
              <w:bottom w:val="single" w:color="auto" w:sz="4"/>
              <w:right w:val="nil" w:color="auto"/>
              <w:top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스터디장</w:t>
            </w:r>
          </w:p>
        </w:tc>
        <w:tc>
          <w:tcPr>
            <w:tcW w:type="dxa" w:w="3209"/>
            <w:vAlign w:val="top"/>
            <w:gridSpan w:val="2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박장성 </w:t>
            </w:r>
          </w:p>
        </w:tc>
      </w:tr>
    </w:tbl>
    <w:p>
      <w:pPr>
        <w:pStyle w:val="PO1"/>
        <w:rPr>
          <w:rStyle w:val="PO1"/>
        </w:rPr>
      </w:pP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3</Pages>
  <Paragraphs>1</Paragraphs>
  <Words>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9.102.51.41307</cp:version>
  <dcterms:modified xsi:type="dcterms:W3CDTF">2020-09-04T13:36:00Z</dcterms:modified>
</cp:coreProperties>
</file>