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5994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4pt;height:47.1pt;z-index:251624962" coordsize="1440180,598805" path="m,l1440180,,1440180,598805,,59880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2020.10.11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Betting과 Shape의 차이점이 뭔지 생각하며 읽는다.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part 3의 building의 내용을 예측해본다.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betting part를 어떻게 실제로 적용할 수 있을까 생각해본다.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both"/>
              <w:ind w:firstLine="1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part2에서는 betting에 대해서 알아보았다. part1의 shape과 part3의 buiding을 잇는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파트인 만큼 shape과 비교하면서 읽는 데 중점을 두었다.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챕터 7 bets not backlogs에서는 이제 pitch다음의 과정, 드디어bets에 관해 설명을 한다.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backlogs는 과거에 논한 적이 있는, 지금은 we all know we’ll never have time for인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tasks들이다. backlogs들은 old ideas prevents everyone from moving forward이기 때문에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backlogs가 아닌 just a few well-shaped, risk-reduced options에 집중을 해야한다.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또 pitch가 좋았지만 betting하는 데 실패했으면 anyone who wants to advocate for it 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lobbies for it six weeks later해야한다. 즉 6주가 지난 다음에, 이번 사이클 후에 다시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pitch를 해야한다. 그리고 shape과 bet을 합쳐서 6주가 아니라 각각 6주라는 것도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상기시켜준다.</w:t>
            </w:r>
          </w:p>
          <w:p>
            <w:pPr>
              <w:pStyle w:val="PO7"/>
              <w:rPr>
                <w:rStyle w:val="PO7"/>
                <w:sz w:val="20"/>
                <w:szCs w:val="20"/>
              </w:rPr>
            </w:pPr>
            <w:r>
              <w:rPr>
                <w:rStyle w:val="PO7"/>
                <w:sz w:val="20"/>
                <w:szCs w:val="20"/>
              </w:rPr>
              <w:t xml:space="preserve">챕터 8 the betting table에서는 betting table과 bet의 의미를 설명한다. betting table은 </w:t>
            </w:r>
            <w:r>
              <w:rPr>
                <w:rStyle w:val="PO7"/>
                <w:sz w:val="20"/>
                <w:szCs w:val="20"/>
              </w:rPr>
              <w:t xml:space="preserve">6주의 사이클이 끝난 뒤 2주간의 cool-down기간에 열리는데, stakeholders들이 모여서 다음 </w:t>
            </w:r>
            <w:r>
              <w:rPr>
                <w:rStyle w:val="PO7"/>
                <w:sz w:val="20"/>
                <w:szCs w:val="20"/>
              </w:rPr>
              <w:t xml:space="preserve">6주 동안에 뭘 할 지 논하는 meeting이다. stakeholders이란 c-level, 즉 the highest people </w:t>
            </w:r>
            <w:r>
              <w:rPr>
                <w:rStyle w:val="PO7"/>
                <w:sz w:val="20"/>
                <w:szCs w:val="20"/>
              </w:rPr>
              <w:t xml:space="preserve">in the company들이다. bet은 1. payout이 있다. 그저 기대감에 차서 잘되었으면 좋겠다가 </w:t>
            </w:r>
            <w:r>
              <w:rPr>
                <w:rStyle w:val="PO7"/>
                <w:sz w:val="20"/>
                <w:szCs w:val="20"/>
              </w:rPr>
              <w:t xml:space="preserve">아니라, 의도적으로 work을 into a six-week box로 shape해야 한다. 6주후에 성과를 내기 </w:t>
            </w:r>
            <w:r>
              <w:rPr>
                <w:rStyle w:val="PO7"/>
                <w:sz w:val="20"/>
                <w:szCs w:val="20"/>
              </w:rPr>
              <w:t xml:space="preserve">위해서. 고로 pitch에서 specific payout(치뤄야할 대가)를 명확히 해야한다. 또한 bets are </w:t>
            </w:r>
            <w:r>
              <w:rPr>
                <w:rStyle w:val="PO7"/>
                <w:sz w:val="20"/>
                <w:szCs w:val="20"/>
              </w:rPr>
              <w:t xml:space="preserve">commitments 즉 6주 계획을 bet했으면, team에게 6주를 온전히 맡기는 것이다. 일일히 </w:t>
            </w:r>
            <w:r>
              <w:rPr>
                <w:rStyle w:val="PO7"/>
                <w:sz w:val="20"/>
                <w:szCs w:val="20"/>
              </w:rPr>
              <w:t xml:space="preserve">간섭하지 않는다. 그저 6주 후의 bigger movement of progress를 기다린다.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챕터 9 place your bets에서는 bet 방법이 existing products인지 new products인지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여부에 따라 방법이 나뉜다고 한다. 전자의 경우에는 standard shape up process를 따른다.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shape 하고, bet 하고 build하라고 팀한테 준다. 그리고 6주 후에 결과를 보면 된다. new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products의 경우에는 다르다. R&amp;D모드, Production 모드, Clean up 모드가 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betting 단계를 요약하면 pitch가 잘 되었는지 확인하고, 6주라는 시간과 예산을 투자할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만한 가치가 있는지 파악하는 작업이다. bet이 성사되면 이런 식으로 올린단다.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376930" cy="2752725"/>
                  <wp:effectExtent l="0" t="0" r="0" b="0"/>
                  <wp:docPr id="11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/AppData/Roaming/PolarisOffice/ETemp/3200_8304112/fImage91235199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27533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“우리 이거에 bet할 거에요. 그리고 이런 친구들이(프로그래머, 디자이너) 6주 동안 작업에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참여할 겁니다”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이번에 만남 방법을 디스코드에서 카카오톡 채팅으로 바꾸어 보았는데, 디스코드로 진행할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때보다 훨씬 소통이 원활하게 이루어졌다. 아마 다음부터는 채팅을 통해서 이루어 질 것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같다. 이번 주까지 해서 세 개의 파트 중에 2개를 읽었다. 이제 마지막 파트를 남겨두고 있는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상황에서, 일주일에 읽는 분량이라던가, 기말고사에 쉬는 기간을 논의해보는 시간을 가졌다.</w:t>
            </w:r>
          </w:p>
          <w:p>
            <w:pPr>
              <w:jc w:val="both"/>
              <w:ind w:firstLine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shape up이라는 책이 비즈니스 관련 책이다 보니까, 학생으로서 학교에서 써먹을만한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내용을 다루고 있지 않다는 공통된 의견이 있었는데, 그럼에도 불구하고 책에 녹아있는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flexible spirit은 본받을 만한 것은 분명하다. 1주차보다 2주차가, 2주차보다는 3주차가 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체계가 잡혀있다는 느낌이 든다. 그만큼 스터디원들이 멋진 스터디장이 이끄는 대로 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따라와주기 때문에 가능한 일이다. 사실 스터디장이 이끌지도 않는다. 스터디원이 이끄는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스터디인 것이다.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4주차에는 part3과 part1, 2의 차이점이 뭔지, building 파트에서는 무엇을 얻어갈 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있을지 이야기해보는 것으로 약속을 하며 만남을 끝맺었다.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EE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56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325B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12351996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9.102.57.42013</cp:version>
  <dcterms:modified xsi:type="dcterms:W3CDTF">2020-09-04T13:38:00Z</dcterms:modified>
</cp:coreProperties>
</file>