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9817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3pt;height:47.0pt;z-index:251624961" coordsize="1438910,597535" path="m,l1438910,,1438910,597535,,59753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>202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>-</w:t>
      </w:r>
      <w:r>
        <w:rPr>
          <w:b w:val="1"/>
          <w:sz w:val="40"/>
          <w:szCs w:val="40"/>
          <w:rFonts w:asciiTheme="majorEastAsia" w:eastAsiaTheme="majorEastAsia" w:hAnsiTheme="majorEastAsia"/>
          <w:lang w:eastAsia="ko-KR"/>
        </w:rPr>
        <w:t>1</w:t>
      </w: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높은산 Git은골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210410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김기선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정재영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스터디 소유의 깃허브 레포지토리(https://github.com/kimchist/NPS_GTG)를 만든다.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깃허브 원격 저장소와 소통하는 법(push/ clone/ pull)을 배운다.</w:t>
            </w:r>
          </w:p>
          <w:p>
            <w:pPr>
              <w:pStyle w:val="PO1"/>
              <w:jc w:val="both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책에서 설명하는 워크플로를 깃러닝브랜치 사이트를 통해 구현해본다.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높은산 Git은골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토요일 9시에 웹엑스에서 만난다. 지금은 만나서 토론하는 시간보다는 각자 공부에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투자하는 시간이 더 많은 초반 시기이다. 가면 갈수록 웹엑스보다는 서로 화면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공유를 할 수 있는 플랫폼에서 진행할 예정이다. 이번 시간에는 서로 공부한 내용을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공유하고, 깃허브 공동 레포지토리를 만들어 보는 등 학습을 진행하고, 언제 모임을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스킵할지(시험기간) 정했다. 다들 잘 참여했다. 좋은 시작이다.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1. push/ clone/ pull을 통해 원격 저장소와 소통하기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깃을 통해 로컬 레포지토리를 다루는 법을 배운다. 그 후, 깃허브에 저장되어 있는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원격 저장소와 소통하는 법을 배워야 한다. 그래야 다른 사람과 일을 할 수 있다.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이를 위해서 우선, git remote 명령어를 통해 깃허브 저장소와 연동하는 법을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배웠다. 그 후, 자주 쓰이는 대표적 명령어 push, clone, pull의 사용법을 배웠다.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push는 repo-&gt;remote, pull과 clone은 remote-&gt;workspace의 방향으로 실행된다.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이도 이론만 해서는 의미가 없기에 git bash/깃크라켄/소스트리 등 깃프로그램을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통해 실습해 보았다.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2. Branch early, branch often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깃은 브랜치이고 브랜치는 곧 깃이다. 위는 브랜치의 신조이다. 다른 CVCS와는 달리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깃에서는 브랜치가 매우 가볍고, 브랜치 사이를 신속하게 이동할 수 있다. 브랜치는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곧 깃의 최고의 장점이다. 따라서 브랜치를 이해하고, 사용할 줄 아는 능력은 능히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중요하다고 할 수 있다. 브랜치에 어떤 정보가 담겨있는지(커밋 객체), 브랜치 생성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방법과 브랜치 사이를 자유자재로 이동하는 법을 배웠다. 또한 merge와 충돌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관리에 대해서도 가볍게 배웠고, 브랜치 워크플로와 리모트 브랜치에 대해 배웠다.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3. 브랜치 워크플로 파악하기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브랜치를 더욱 이해하기 위하여 워크플로에 대해 배웠다. 책에 매우 설명이 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되어있다. 읽기만 하는 것은 의미가 없다고 판단하여, 깃러닝브랜치 사이트에서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구현하는 것을 과제로 설정하였다. 특히 3-way merge를 이용하는 롱러닝 브랜치와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토픽마다 브랜치를 생성하는 토픽 브랜치에 대해 배웠는데, 이는 배우는 입장에서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보아도 매우 중요한 지식이라는 것이 느껴졌다. 과제는 별첨하겠다.</w:t>
            </w: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wordWrap w:val="1"/>
            </w:pPr>
          </w:p>
          <w:p>
            <w:pPr>
              <w:pStyle w:val="PO1"/>
              <w:jc w:val="center"/>
              <w:spacing w:lineRule="auto" w:line="180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그 외에도, 높은산 Git은골의 프라이빗 레포지토리를 만든 뒤, 모든 멤버를 초대하고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다음 주부터는 각자 깃허브를 통하여 각자 분량의 보고서를 깃허브로 작성하기로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하였다. 다음 목표는 관심있는 분야의 오픈소스 프로젝트를 찾은 뒤, 스터디에서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실습한 내용을 바탕으로 PR연습도 하고, 어떻게 하면 컨트리뷰트를 할 수 있을지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생각해보는 것이다. 이를 통해 깃허브의 핵심 기능에 한층 가까워지는 효과가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>기대된다.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tcMar>
              <w:left w:w="102" w:type="dxa"/>
              <w:right w:w="102" w:type="dxa"/>
            </w:tcMar>
            <w:vAlign w:val="center"/>
            <w:gridSpan w:val="6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jc w:val="center"/>
              <w:spacing w:lineRule="auto" w:line="221" w:before="0" w:after="0"/>
              <w:pageBreakBefore w:val="0"/>
              <w:ind w:left="0" w:right="0" w:firstLine="0"/>
              <w:rPr>
                <w:sz w:val="20"/>
                <w:szCs w:val="20"/>
                <w:rFonts w:asciiTheme="minorEastAsia" w:hAnsiTheme="minorEastAsia" w:hint="eastAsia"/>
              </w:rPr>
              <w:wordWrap w:val="1"/>
            </w:pP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깃과 깃허브의 공부는 실습이 전부이다. 그러기 위해서 지금 열심히 이론을 공부하고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있는 것이다. 이번 주에서 배웠던 내용 중, 특히 기억에 남는 것은 워크플로이다.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이론적으로만 배웠던 브랜치가 어떻게 실무에서 쓰이는지 아는 과정은 굉장히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신선하게 다가왔다. 나도 깃을 쓸 때에는 이제 브랜치를 만들고 볼 것이다. 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안되면 삭제하면 그만이기 때문이다. 또한, 이번 주에 깃 GUI인 gitkraken을 처음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접했는데 가히 혁명적이었다. gitbash로 CLI만 써보다가 GUI를 쓰니 이해가 잘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되었다. 앞으로 양쪽 번갈아가면서 써야겠다. 그럼에도 불구하고 CLI를 통해야만 깃 </w:t>
            </w:r>
            <w:r>
              <w:rPr>
                <w:spacing w:val="0"/>
                <w:shadow w:val="0"/>
                <w:color w:val="000000"/>
                <w:sz w:val="20"/>
                <w:szCs w:val="20"/>
                <w:rFonts w:ascii="맑은 고딕" w:eastAsia="맑은 고딕" w:hAnsi="맑은 고딕" w:cs="맑은 고딕"/>
              </w:rPr>
              <w:t xml:space="preserve">명령어에 익숙해질 수 있기 때문이다. 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795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DED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9.102.76.43786</cp:version>
  <dcterms:modified xsi:type="dcterms:W3CDTF">2020-09-04T13:38:00Z</dcterms:modified>
</cp:coreProperties>
</file>