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10"/>
        <w:gridCol w:w="3397"/>
        <w:gridCol w:w="1519"/>
        <w:gridCol w:w="3557"/>
      </w:tblGrid>
      <w:tr>
        <w:trPr>
          <w:jc w:val="center"/>
          <w:trHeight w:val="576" w:hRule="atLeast"/>
        </w:trPr>
        <w:tc>
          <w:tcPr>
            <w:tcW w:w="9983" w:type="dxa"/>
            <w:gridSpan w:val="4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a8"/>
              <w:jc w:val="center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48"/>
                <w:szCs w:val="48"/>
              </w:rPr>
              <w:t>프로젝트 작업 지시서</w:t>
            </w:r>
          </w:p>
        </w:tc>
      </w:tr>
      <w:tr>
        <w:trPr>
          <w:jc w:val="center"/>
          <w:trHeight w:val="993" w:hRule="atLeast"/>
        </w:trPr>
        <w:tc>
          <w:tcPr>
            <w:tcW w:w="1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  <w:r>
              <w:rPr>
                <w:rStyle w:val="a9"/>
              </w:rPr>
              <w:t>작업명</w:t>
            </w:r>
          </w:p>
        </w:tc>
        <w:tc>
          <w:tcPr>
            <w:tcW w:w="8473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  <w:rPr>
                <w:lang w:eastAsia="ko-KR"/>
              </w:rPr>
            </w:pPr>
            <w:r>
              <w:rPr>
                <w:b/>
                <w:bCs/>
              </w:rPr>
              <w:t xml:space="preserve">CI/CD 파이프라인 구축 및 </w:t>
            </w:r>
            <w:r>
              <w:rPr>
                <w:b/>
                <w:bCs/>
                <w:rtl w:val="off"/>
              </w:rPr>
              <w:t xml:space="preserve">코드 </w:t>
            </w:r>
            <w:r>
              <w:rPr>
                <w:b/>
                <w:bCs/>
              </w:rPr>
              <w:t>배포</w:t>
            </w:r>
            <w:r>
              <w:rPr/>
              <w:t/>
            </w:r>
          </w:p>
        </w:tc>
      </w:tr>
      <w:tr>
        <w:trPr>
          <w:jc w:val="center"/>
          <w:trHeight w:val="992" w:hRule="atLeast"/>
        </w:trPr>
        <w:tc>
          <w:tcPr>
            <w:tcW w:w="1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  <w:r>
              <w:rPr>
                <w:rStyle w:val="a9"/>
              </w:rPr>
              <w:t>작업일자</w:t>
            </w:r>
          </w:p>
        </w:tc>
        <w:tc>
          <w:tcPr>
            <w:tcW w:w="339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vAlign w:val="center"/>
          </w:tcPr>
          <w:p>
            <w:pPr>
              <w:pStyle w:val="-0"/>
              <w:ind w:left="0" w:firstLine="0"/>
              <w:wordWrap/>
              <w:jc w:val="center"/>
              <w:rPr>
                <w:rFonts w:ascii="맑은 고딕" w:eastAsia="맑은 고딕" w:cs="맑은 고딕"/>
                <w:w w:val="100"/>
                <w:sz w:val="20"/>
                <w:szCs w:val="20"/>
                <w:spacing w:val="0"/>
              </w:rPr>
            </w:pPr>
            <w:r>
              <w:rPr>
                <w:rFonts w:ascii="맑은 고딕" w:eastAsia="맑은 고딕" w:cs="맑은 고딕"/>
                <w:w w:val="100"/>
                <w:sz w:val="20"/>
                <w:szCs w:val="20"/>
                <w:spacing w:val="0"/>
              </w:rPr>
              <w:t>2024.</w:t>
            </w:r>
            <w:r>
              <w:rPr>
                <w:rFonts w:ascii="맑은 고딕" w:eastAsia="맑은 고딕" w:cs="맑은 고딕"/>
                <w:w w:val="100"/>
                <w:sz w:val="20"/>
                <w:szCs w:val="20"/>
                <w:spacing w:val="0"/>
                <w:rtl w:val="off"/>
              </w:rPr>
              <w:t>11.11</w:t>
            </w:r>
          </w:p>
        </w:tc>
        <w:tc>
          <w:tcPr>
            <w:tcW w:w="151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  <w:r>
              <w:rPr>
                <w:rStyle w:val="a9"/>
              </w:rPr>
              <w:t>작업완료</w:t>
            </w:r>
          </w:p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  <w:r>
              <w:rPr>
                <w:rStyle w:val="a9"/>
              </w:rPr>
              <w:t>예정일자</w:t>
            </w:r>
          </w:p>
        </w:tc>
        <w:tc>
          <w:tcPr>
            <w:tcW w:w="35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</w:pPr>
            <w:r>
              <w:t>2024.</w:t>
            </w:r>
            <w:r>
              <w:rPr>
                <w:rtl w:val="off"/>
              </w:rPr>
              <w:t>11.18</w:t>
            </w:r>
          </w:p>
        </w:tc>
      </w:tr>
      <w:tr>
        <w:trPr>
          <w:jc w:val="center"/>
          <w:trHeight w:val="993" w:hRule="atLeast"/>
        </w:trPr>
        <w:tc>
          <w:tcPr>
            <w:tcW w:w="1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  <w:r>
              <w:rPr>
                <w:rStyle w:val="a9"/>
              </w:rPr>
              <w:t>지시자</w:t>
            </w:r>
          </w:p>
        </w:tc>
        <w:tc>
          <w:tcPr>
            <w:tcW w:w="339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전기원 </w:t>
            </w:r>
          </w:p>
        </w:tc>
        <w:tc>
          <w:tcPr>
            <w:tcW w:w="151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  <w:r>
              <w:rPr>
                <w:rStyle w:val="a9"/>
              </w:rPr>
              <w:t>작업담당자</w:t>
            </w:r>
          </w:p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  <w:r>
              <w:rPr>
                <w:rStyle w:val="a9"/>
              </w:rPr>
              <w:t>(팀 대표)</w:t>
            </w:r>
          </w:p>
        </w:tc>
        <w:tc>
          <w:tcPr>
            <w:tcW w:w="35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vAlign w:val="center"/>
          </w:tcPr>
          <w:p>
            <w:pPr>
              <w:wordWrap/>
              <w:jc w:val="center"/>
              <w:spacing w:line="336" w:lineRule="auto"/>
              <w:textAlignment w:val="baseline"/>
              <w:rPr>
                <w:lang w:eastAsia="ko-KR"/>
                <w:rFonts w:ascii="맑은 고딕" w:eastAsia="굴림" w:hAnsi="굴림" w:cs="굴림" w:hint="eastAsia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color w:val="000000"/>
                <w:sz w:val="20"/>
                <w:szCs w:val="20"/>
                <w:rtl w:val="off"/>
              </w:rPr>
              <w:t>김강록</w:t>
            </w:r>
          </w:p>
        </w:tc>
      </w:tr>
      <w:tr>
        <w:trPr>
          <w:jc w:val="center"/>
          <w:trHeight w:val="260" w:hRule="atLeast"/>
        </w:trPr>
        <w:tc>
          <w:tcPr>
            <w:tcW w:w="1510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  <w:tl2br w:val="nil"/>
              <w:tr2bl w:val="nil"/>
            </w:tcBorders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</w:p>
        </w:tc>
        <w:tc>
          <w:tcPr>
            <w:tcW w:w="8473" w:type="dxa"/>
            <w:gridSpan w:val="3"/>
            <w:tcBorders>
              <w:top w:val="single" w:sz="2" w:space="0" w:color="999999"/>
              <w:left w:val="nil"/>
              <w:bottom w:val="single" w:sz="2" w:space="0" w:color="999999"/>
              <w:right w:val="nil"/>
              <w:tl2br w:val="nil"/>
              <w:tr2bl w:val="nil"/>
            </w:tcBorders>
            <w:vAlign w:val="center"/>
          </w:tcPr>
          <w:p>
            <w:pPr>
              <w:pStyle w:val="a8"/>
              <w:spacing w:line="240" w:lineRule="auto"/>
            </w:pPr>
          </w:p>
        </w:tc>
      </w:tr>
      <w:tr>
        <w:trPr>
          <w:jc w:val="center"/>
          <w:trHeight w:val="5225" w:hRule="atLeast"/>
        </w:trPr>
        <w:tc>
          <w:tcPr>
            <w:tcW w:w="1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  <w:r>
              <w:rPr>
                <w:rStyle w:val="a9"/>
              </w:rPr>
              <w:t>작업내역</w:t>
            </w:r>
          </w:p>
        </w:tc>
        <w:tc>
          <w:tcPr>
            <w:tcW w:w="8473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vAlign w:val="center"/>
          </w:tcPr>
          <w:p>
            <w:pPr>
              <w:pStyle w:val="a8"/>
              <w:spacing w:line="240" w:lineRule="auto"/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rtl w:val="off"/>
              </w:rPr>
              <w:t>팀장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rtl w:val="off"/>
              </w:rPr>
              <w:t xml:space="preserve"> : 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</w:rPr>
              <w:t>김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rtl w:val="off"/>
              </w:rPr>
              <w:t>강록</w:t>
            </w:r>
          </w:p>
          <w:p>
            <w:pPr>
              <w:pStyle w:val="a8"/>
              <w:spacing w:line="240" w:lineRule="auto"/>
              <w:rPr>
                <w:lang w:eastAsia="ko-KR"/>
                <w:rFonts w:hint="eastAsia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</w:rPr>
              <w:t xml:space="preserve">팀원 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</w:rPr>
              <w:t xml:space="preserve">: 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</w:rPr>
              <w:t>김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rtl w:val="off"/>
              </w:rPr>
              <w:t xml:space="preserve">도이 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</w:rPr>
              <w:t xml:space="preserve">, 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</w:rPr>
              <w:t>박기범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</w:rPr>
              <w:t xml:space="preserve"> ,</w:t>
            </w: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rtl w:val="off"/>
              </w:rPr>
              <w:t xml:space="preserve"> 황유성</w:t>
            </w: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1. 목적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효율적이고 자동화된 배포 프로세스를 구현하여 애플리케이션 변경 사항을 빠르고 안정적으로 배포합니다.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2. 작업 범위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Docker를 활용한 컨테이너 이미지 생성 및 관리.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Kubernetes 클러스터 환경에서 서비스 배포.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Jenkins 및 ArgoCD를 사용한 CI/CD 파이프라인 구축.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3. 작업 내역</w:t>
            </w: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1) Docker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애플리케이션 코드를 기반으로 Dockerfile 작성 및 최적화.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멀티스테이지 빌드를 활용한 경량 이미지 생성.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생성된 Docker 이미지를 Amazon ECR(GCP Artifact Registry)에 푸시.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2) Kubernetes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EKS 및 GKE 클러스터 생성 및 구성.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Kubernetes 매니페스트 파일 작성(Deployment, Service, ConfigMap, Secret 등).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Helm 차트를 사용한 배포 자동화.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오토스케일링(HPA, VPA) 설정을 통한 리소스 최적화.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3) Jenkins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CI/CD 파이프라인 설계 및 구축: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코드 커밋 시 Jenkins로 트리거 설정.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Maven/Gradle을 사용한 애플리케이션 빌드 및 테스트.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Docker 이미지를 빌드하고 레지스트리에 업로드하는 단계 구현.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Jenkins Pipeline을 사용하여 배포 자동화.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4) ArgoCD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ArgoCD 설치 및 Kubernetes 클러스터와 연동.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GitOps 방식의 선언적 배포 관리.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Git Repository 변경 사항 감지 및 자동 배포.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Kubernetes 매니페스트 변경 사항의 지속적인 동기화 및 롤백 설정.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5) 테스트 및 검증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CI/CD 파이프라인 전체 프로세스 테스트.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Kubernetes 클러스터 내 애플리케이션 정상 동작 확인.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배포 속도 및 안정성 개선을 위한 로그 분석 및 모니터링.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4. 주요 산출물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Dockerfile 및 Helm 차트.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Kubernetes 매니페스트 파일(Deployment, Service 등)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Jenkins Pipeline 스크립트(Jenkinsfile)</w:t>
            </w:r>
          </w:p>
          <w:p>
            <w:pPr>
              <w:rPr>
                <w:rFonts w:ascii="맑은 고딕" w:eastAsia="맑은 고딕" w:hAnsi="맑은 고딕" w:cs="맑은 고딕" w:hint="default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ArgoCD 연동 Git Repository 및 구성 파일(Application manifest).</w:t>
            </w:r>
          </w:p>
          <w:p>
            <w:pPr>
              <w:pStyle w:val="a8"/>
              <w:spacing w:line="240" w:lineRule="auto"/>
              <w:rPr>
                <w:lang w:eastAsia="ko-KR"/>
                <w:rFonts w:hint="eastAsia"/>
              </w:rPr>
            </w:pPr>
          </w:p>
        </w:tc>
      </w:tr>
      <w:tr>
        <w:trPr>
          <w:jc w:val="center"/>
          <w:trHeight w:val="5195" w:hRule="atLeast"/>
        </w:trPr>
        <w:tc>
          <w:tcPr>
            <w:tcW w:w="1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  <w:r>
              <w:rPr>
                <w:rStyle w:val="a9"/>
              </w:rPr>
              <w:t>세부내역</w:t>
            </w:r>
          </w:p>
        </w:tc>
        <w:tc>
          <w:tcPr>
            <w:tcW w:w="8473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vAlign w:val="center"/>
          </w:tcPr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  <w:t xml:space="preserve">1. 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Jenkins를 활용한 CI/CD 파이프라인 구축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코드 커밋 시 GitHub Webhook을 통해 Jenkin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  <w:t>1.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s 파이프라인 자동 트리거 설정.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CI 단계에서 코드 빌드 및 테스트, Docker 이미지 빌드 및 ECR/GCR 업로드 자동화.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CD 단계에서 Kubernetes 클러스터로의 애플리케이션 배포를 자동화.</w:t>
            </w:r>
          </w:p>
          <w:p>
            <w:pPr>
              <w:rPr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Jenkins 플러그인(Docker, Kubernetes) 설정을 통해 워크플로우 최적화.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  <w:t>2.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ArgoCD를 활용한 GitOps 방식 배포 관리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ArgoCD 설치 및 Kubernetes 클러스터와 연동하여 Git Repository 기반으로 배포 자동화.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Git Repository와 Kubernetes 상태를 실시간으로 동기화하여 선언적 배포 관리.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변경 사항 자동 감지 및 동기화, 실패 시 자동 롤백 설정으로 안정성 강화.</w:t>
            </w:r>
          </w:p>
          <w:p>
            <w:pPr>
              <w:rPr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ArgoCD 대시보드를 활용한 배포 상태 및 애플리케이션 헬스 모니터링.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  <w:p>
            <w:pPr>
              <w:rPr>
                <w:rFonts w:ascii="맑은 고딕" w:eastAsia="맑은 고딕" w:hAnsi="맑은 고딕" w:cs="맑은 고딕" w:hint="default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  <w:rtl w:val="off"/>
              </w:rPr>
              <w:t xml:space="preserve">3. 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통합 테스트 및 모니터링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Docker 컨테이너 및 Kubernetes 배포 환경에서 애플리케이션 정상 동작 검증.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CI/CD 파이프라인의 자동화 프로세스 테스트로 안정성과 배포 속도 최적화.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Kubernetes Pod, Service, Load Balancer 상태 확인 및 로깅 도구 활용(Log Monitoring).</w:t>
            </w:r>
          </w:p>
          <w:p>
            <w:pPr>
              <w:pStyle w:val="a8"/>
              <w:spacing w:line="240" w:lineRule="auto"/>
              <w:rPr>
                <w:lang w:eastAsia="ko-KR"/>
                <w:rFonts w:eastAsia="SimSun" w:hint="eastAsia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배포 성능 테스트 및 문제 발생 시 원인 분석 및 재배포 수행.</w:t>
            </w:r>
          </w:p>
        </w:tc>
      </w:tr>
      <w:tr>
        <w:trPr>
          <w:jc w:val="center"/>
          <w:trHeight w:val="5195" w:hRule="atLeast"/>
        </w:trPr>
        <w:tc>
          <w:tcPr>
            <w:tcW w:w="1510" w:type="dxa"/>
            <w:tcBorders>
              <w:top w:val="single" w:sz="2" w:space="0" w:color="999999"/>
              <w:left w:val="single" w:sz="2" w:space="0" w:color="999999"/>
              <w:bottom w:val="single" w:sz="2" w:space="0" w:color="666666"/>
              <w:right w:val="single" w:sz="2" w:space="0" w:color="999999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a8"/>
              <w:wordWrap/>
              <w:jc w:val="center"/>
              <w:spacing w:line="240" w:lineRule="auto"/>
              <w:rPr>
                <w:b/>
                <w:bCs/>
              </w:rPr>
            </w:pPr>
          </w:p>
        </w:tc>
        <w:tc>
          <w:tcPr>
            <w:tcW w:w="8473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666666"/>
              <w:right w:val="single" w:sz="2" w:space="0" w:color="999999"/>
              <w:tl2br w:val="nil"/>
              <w:tr2bl w:val="nil"/>
            </w:tcBorders>
            <w:vAlign w:val="center"/>
          </w:tcPr>
          <w:p>
            <w:pPr>
              <w:pStyle w:val="a8"/>
            </w:pPr>
          </w:p>
        </w:tc>
      </w:tr>
    </w:tbl>
    <w:p>
      <w:pPr>
        <w:rPr>
          <w:sz w:val="2"/>
        </w:rPr>
      </w:pPr>
    </w:p>
    <w:p>
      <w:pPr>
        <w:pStyle w:val="a8"/>
        <w:ind w:left="100"/>
        <w:wordWrap/>
        <w:jc w:val="center"/>
        <w:rPr>
          <w:sz w:val="26"/>
          <w:szCs w:val="26"/>
        </w:rPr>
      </w:pPr>
    </w:p>
    <w:sectPr>
      <w:pgSz w:w="11905" w:h="16837"/>
      <w:pgMar w:top="1267" w:right="850" w:bottom="937" w:left="850" w:header="700" w:footer="637" w:gutter="0"/>
      <w:cols w:space="720"/>
      <w:docGrid w:linePitch="360"/>
      <w:endnotePr>
        <w:numFmt w:val="decimal"/>
      </w:endnotePr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tru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true"/>
    <w:sig w:usb0="B00002AF" w:usb1="69D77CFB" w:usb2="00000030" w:usb3="00000001" w:csb0="4008009F" w:csb1="DFD70000"/>
  </w:font>
  <w:font w:name="SimSun">
    <w:panose1 w:val="02010600030101010101"/>
    <w:family w:val="auto"/>
    <w:charset w:val="86"/>
    <w:notTrueType w:val="true"/>
    <w:sig w:usb0="00000203" w:usb1="288F0000" w:usb2="00000006" w:usb3="00000001" w:csb0="00040001" w:csb1="00000001"/>
  </w:font>
  <w:font w:name="Arial Unicode MS">
    <w:panose1 w:val="020B0604020202020204"/>
    <w:family w:val="swiss"/>
    <w:charset w:val="80"/>
    <w:notTrueType w:val="true"/>
    <w:sig w:usb0="FFFFFFFF" w:usb1="E9FFFFFF" w:usb2="0000003F" w:usb3="00000001" w:csb0="603F01FF" w:csb1="FFFF0000"/>
  </w:font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  <w:font w:name="휴먼명조">
    <w:panose1 w:val="02010504000101010101"/>
    <w:family w:val="roman"/>
    <w:charset w:val="86"/>
    <w:notTrueType w:val="true"/>
    <w:sig w:usb0="800002A7" w:usb1="11D77CFB" w:usb2="00000010" w:usb3="00000001" w:csb0="0008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zh-CN" w:bidi="ar-SA"/>
        <w:rFonts w:asciiTheme="minorHAnsi" w:eastAsiaTheme="minorEastAsia" w:hAnsiTheme="minorHAnsi" w:cstheme="minorBidi"/>
        <w:sz w:val="22"/>
        <w:szCs w:val="22"/>
      </w:rPr>
      <w:rPr>
        <w:rFonts w:asciiTheme="minorHAnsi" w:eastAsiaTheme="minorEastAsia" w:hAnsiTheme="minorHAnsi" w:cstheme="minorBidi"/>
      </w:rPr>
    </w:rPrDefault>
    <w:pPrDefault>
      <w:pPr/>
    </w:pPrDefault>
  </w:docDefault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styleId="a9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customStyle="1" w:styleId="a8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af7">
    <w:name w:val="머리말"/>
    <w:qFormat/>
    <w:pPr>
      <w:autoSpaceDE w:val="off"/>
      <w:autoSpaceDN w:val="off"/>
      <w:widowControl w:val="off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-0">
    <w:name w:val="○과정/과목명-제목"/>
    <w:qFormat/>
    <w:pPr>
      <w:ind w:left="396" w:hanging="196"/>
      <w:autoSpaceDE w:val="off"/>
      <w:autoSpaceDN w:val="off"/>
      <w:widowControl w:val="off"/>
      <w:wordWrap w:val="off"/>
      <w:jc w:val="both"/>
      <w:spacing w:line="249" w:lineRule="auto"/>
    </w:pPr>
    <w:rPr>
      <w:rFonts w:ascii="휴먼명조" w:eastAsia="휴먼명조" w:hAnsi="Arial Unicode MS" w:cs="휴먼명조"/>
      <w:color w:val="000000"/>
      <w:w w:val="95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워크북 목차</dc:title>
  <dc:subject/>
  <dc:creator>Administrator</dc:creator>
  <cp:keywords/>
  <dc:description/>
  <cp:lastModifiedBy>USER</cp:lastModifiedBy>
  <cp:revision>1</cp:revision>
  <dcterms:created xsi:type="dcterms:W3CDTF">2024-10-21T02:45:00Z</dcterms:created>
  <dcterms:modified xsi:type="dcterms:W3CDTF">2024-12-07T10:07:31Z</dcterms:modified>
</cp:coreProperties>
</file>