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2E3EFB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1749425" cy="1367790"/>
            <wp:effectExtent l="0" t="0" r="0" b="0"/>
            <wp:docPr id="1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Junho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EA09AA">
              <w:rPr>
                <w:rFonts w:ascii="Arial" w:hAnsi="Arial" w:cs="Arial"/>
                <w:color w:val="000000"/>
              </w:rPr>
              <w:t>5</w:t>
            </w:r>
            <w:r w:rsidR="00F066FF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7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EA09A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 w:rsidR="00F42AAE"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 w:rsidR="00F42AAE">
        <w:rPr>
          <w:noProof/>
        </w:rPr>
      </w:r>
      <w:r w:rsidR="00F42AAE">
        <w:rPr>
          <w:noProof/>
        </w:rPr>
        <w:fldChar w:fldCharType="separate"/>
      </w:r>
      <w:r w:rsidR="00F42AAE">
        <w:rPr>
          <w:noProof/>
        </w:rPr>
        <w:t>5</w:t>
      </w:r>
      <w:r w:rsidR="00F42AAE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0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bookmarkStart w:id="3" w:name="_GoBack"/>
      <w:bookmarkEnd w:id="3"/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>30, houve a primeira reunião na escola, cujo foco foi apresentar o K-Ágora e outros projetos do K-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</w:t>
      </w:r>
      <w:proofErr w:type="gramStart"/>
      <w:r>
        <w:rPr>
          <w:rStyle w:val="Forte"/>
          <w:rFonts w:ascii="Arial" w:hAnsi="Arial" w:cs="Arial"/>
          <w:b w:val="0"/>
          <w:bCs w:val="0"/>
          <w:color w:val="000000"/>
        </w:rPr>
        <w:t xml:space="preserve">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proofErr w:type="gram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endereços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Potencializar  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1:30h,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170424D0" wp14:editId="1504F61D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5DC6AEF9" wp14:editId="2A3374AE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757" w:rsidRDefault="00962757">
      <w:r>
        <w:separator/>
      </w:r>
    </w:p>
  </w:endnote>
  <w:endnote w:type="continuationSeparator" w:id="0">
    <w:p w:rsidR="00962757" w:rsidRDefault="0096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B35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09AA">
      <w:rPr>
        <w:noProof/>
      </w:rPr>
      <w:t>5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757" w:rsidRDefault="00962757">
      <w:r>
        <w:separator/>
      </w:r>
    </w:p>
  </w:footnote>
  <w:footnote w:type="continuationSeparator" w:id="0">
    <w:p w:rsidR="00962757" w:rsidRDefault="00962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5629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18</cp:revision>
  <cp:lastPrinted>2016-07-20T16:35:00Z</cp:lastPrinted>
  <dcterms:created xsi:type="dcterms:W3CDTF">2016-07-20T15:41:00Z</dcterms:created>
  <dcterms:modified xsi:type="dcterms:W3CDTF">2016-07-25T21:14:00Z</dcterms:modified>
</cp:coreProperties>
</file>