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E1926F" w14:textId="2E077501" w:rsidR="00B04C24" w:rsidRPr="00097432" w:rsidRDefault="00062CE1" w:rsidP="0046747F">
      <w:pPr>
        <w:pStyle w:val="Heading2"/>
      </w:pPr>
      <w:r w:rsidRPr="00097432">
        <w:rPr>
          <w:rFonts w:hint="eastAsia"/>
        </w:rPr>
        <w:t>Title</w:t>
      </w:r>
    </w:p>
    <w:p w14:paraId="0E31A7A9" w14:textId="26B44B65" w:rsidR="00686B3F" w:rsidRPr="00097432" w:rsidRDefault="00686B3F" w:rsidP="00F57F15">
      <w:bookmarkStart w:id="0" w:name="_Hlk207826528"/>
      <w:r w:rsidRPr="00097432">
        <w:t xml:space="preserve">Impact of cholera outbreak response </w:t>
      </w:r>
      <w:r w:rsidR="004870F7" w:rsidRPr="00097432">
        <w:t>immunization</w:t>
      </w:r>
      <w:r w:rsidRPr="00097432">
        <w:t>: Insights from modeling outbreak</w:t>
      </w:r>
      <w:r w:rsidR="00136FB6" w:rsidRPr="00097432">
        <w:t xml:space="preserve">s </w:t>
      </w:r>
      <w:r w:rsidR="00B72C4A" w:rsidRPr="00097432">
        <w:t>in</w:t>
      </w:r>
      <w:r w:rsidRPr="00097432">
        <w:t xml:space="preserve"> sub-Saharan Africa, 2010-202</w:t>
      </w:r>
      <w:r w:rsidR="00AC4336" w:rsidRPr="00097432">
        <w:rPr>
          <w:rFonts w:hint="eastAsia"/>
        </w:rPr>
        <w:t>0</w:t>
      </w:r>
      <w:r w:rsidR="00B04C24" w:rsidRPr="00097432">
        <w:t>.</w:t>
      </w:r>
    </w:p>
    <w:bookmarkEnd w:id="0"/>
    <w:p w14:paraId="069CE2D0" w14:textId="77777777" w:rsidR="00B04C24" w:rsidRPr="00097432" w:rsidRDefault="00B04C24" w:rsidP="00F57F15"/>
    <w:p w14:paraId="660EBB00" w14:textId="77777777" w:rsidR="00B04C24" w:rsidRPr="00097432" w:rsidRDefault="00B04C24" w:rsidP="00F57F15">
      <w:pPr>
        <w:rPr>
          <w:lang w:val="en-US"/>
        </w:rPr>
      </w:pPr>
    </w:p>
    <w:p w14:paraId="3ED3EF66" w14:textId="77777777" w:rsidR="00B04C24" w:rsidRPr="00097432" w:rsidRDefault="00B04C24" w:rsidP="00F57F15">
      <w:pPr>
        <w:rPr>
          <w:lang w:val="en-US"/>
        </w:rPr>
      </w:pPr>
    </w:p>
    <w:p w14:paraId="3F9A94DD" w14:textId="77777777" w:rsidR="00B04C24" w:rsidRPr="00097432" w:rsidRDefault="00B04C24" w:rsidP="00F57F15">
      <w:pPr>
        <w:rPr>
          <w:lang w:val="en-US"/>
        </w:rPr>
      </w:pPr>
    </w:p>
    <w:p w14:paraId="467F4898" w14:textId="77777777" w:rsidR="00B04C24" w:rsidRPr="00097432" w:rsidRDefault="00B04C24" w:rsidP="00F57F15">
      <w:pPr>
        <w:rPr>
          <w:lang w:val="en-US"/>
        </w:rPr>
      </w:pPr>
    </w:p>
    <w:p w14:paraId="4AE71728" w14:textId="77777777" w:rsidR="00B04C24" w:rsidRPr="00097432" w:rsidRDefault="00B04C24" w:rsidP="00F57F15">
      <w:pPr>
        <w:rPr>
          <w:lang w:val="en-US"/>
        </w:rPr>
      </w:pPr>
    </w:p>
    <w:p w14:paraId="508F5F45" w14:textId="77777777" w:rsidR="00B04C24" w:rsidRPr="00097432" w:rsidRDefault="00B04C24" w:rsidP="00F57F15">
      <w:pPr>
        <w:rPr>
          <w:lang w:val="en-US"/>
        </w:rPr>
      </w:pPr>
    </w:p>
    <w:p w14:paraId="608D04A3" w14:textId="77777777" w:rsidR="00B04C24" w:rsidRPr="00097432" w:rsidRDefault="00B04C24" w:rsidP="00F57F15">
      <w:pPr>
        <w:rPr>
          <w:lang w:val="en-US"/>
        </w:rPr>
      </w:pPr>
    </w:p>
    <w:p w14:paraId="6B5EE540" w14:textId="77777777" w:rsidR="00B04C24" w:rsidRPr="00097432" w:rsidRDefault="00B04C24" w:rsidP="00F57F15">
      <w:pPr>
        <w:rPr>
          <w:lang w:val="en-US"/>
        </w:rPr>
      </w:pPr>
    </w:p>
    <w:p w14:paraId="00B80547" w14:textId="77777777" w:rsidR="00B04C24" w:rsidRPr="00097432" w:rsidRDefault="00B04C24" w:rsidP="00F57F15">
      <w:pPr>
        <w:rPr>
          <w:lang w:val="en-US"/>
        </w:rPr>
      </w:pPr>
    </w:p>
    <w:p w14:paraId="0E0AEEE0" w14:textId="77777777" w:rsidR="00B04C24" w:rsidRPr="00097432" w:rsidRDefault="00B04C24" w:rsidP="00F57F15">
      <w:pPr>
        <w:rPr>
          <w:lang w:val="en-US"/>
        </w:rPr>
      </w:pPr>
    </w:p>
    <w:p w14:paraId="053229DB" w14:textId="77777777" w:rsidR="00B04C24" w:rsidRPr="00097432" w:rsidRDefault="00B04C24" w:rsidP="00F57F15">
      <w:pPr>
        <w:rPr>
          <w:lang w:val="en-US"/>
        </w:rPr>
      </w:pPr>
    </w:p>
    <w:p w14:paraId="702D8ABD" w14:textId="77777777" w:rsidR="00B04C24" w:rsidRPr="00097432" w:rsidRDefault="00B04C24" w:rsidP="00F57F15">
      <w:pPr>
        <w:rPr>
          <w:lang w:val="en-US"/>
        </w:rPr>
      </w:pPr>
    </w:p>
    <w:p w14:paraId="5DC7909D" w14:textId="77777777" w:rsidR="00B04C24" w:rsidRPr="00097432" w:rsidRDefault="00B04C24" w:rsidP="00F57F15">
      <w:pPr>
        <w:rPr>
          <w:lang w:val="en-US"/>
        </w:rPr>
      </w:pPr>
    </w:p>
    <w:p w14:paraId="44C4F1A0" w14:textId="77777777" w:rsidR="00B04C24" w:rsidRPr="00097432" w:rsidRDefault="00B04C24" w:rsidP="00F57F15">
      <w:pPr>
        <w:rPr>
          <w:lang w:val="en-US"/>
        </w:rPr>
      </w:pPr>
    </w:p>
    <w:p w14:paraId="41CCE0E5" w14:textId="77777777" w:rsidR="00994CA3" w:rsidRPr="00097432" w:rsidRDefault="00994CA3" w:rsidP="00F57F15">
      <w:pPr>
        <w:rPr>
          <w:lang w:val="en-US"/>
        </w:rPr>
      </w:pPr>
    </w:p>
    <w:p w14:paraId="06F9A1A4" w14:textId="77777777" w:rsidR="00994CA3" w:rsidRPr="00097432" w:rsidRDefault="00994CA3" w:rsidP="00F57F15">
      <w:pPr>
        <w:rPr>
          <w:lang w:val="en-US"/>
        </w:rPr>
      </w:pPr>
    </w:p>
    <w:p w14:paraId="672DC5AB" w14:textId="77777777" w:rsidR="00994CA3" w:rsidRPr="00097432" w:rsidRDefault="00994CA3" w:rsidP="00F57F15">
      <w:pPr>
        <w:rPr>
          <w:lang w:val="en-US"/>
        </w:rPr>
      </w:pPr>
    </w:p>
    <w:p w14:paraId="4A5074A5" w14:textId="77777777" w:rsidR="00885336" w:rsidRPr="00097432" w:rsidRDefault="00885336" w:rsidP="00F57F15">
      <w:pPr>
        <w:rPr>
          <w:lang w:val="en-US"/>
        </w:rPr>
      </w:pPr>
    </w:p>
    <w:p w14:paraId="549DBA68" w14:textId="77777777" w:rsidR="00885336" w:rsidRPr="00097432" w:rsidRDefault="00885336" w:rsidP="00F57F15">
      <w:pPr>
        <w:rPr>
          <w:lang w:val="en-US"/>
        </w:rPr>
      </w:pPr>
    </w:p>
    <w:p w14:paraId="57F90174" w14:textId="77777777" w:rsidR="00885336" w:rsidRPr="00097432" w:rsidRDefault="00885336" w:rsidP="00F57F15">
      <w:pPr>
        <w:rPr>
          <w:lang w:val="en-US"/>
        </w:rPr>
      </w:pPr>
    </w:p>
    <w:p w14:paraId="5786FD7E" w14:textId="77777777" w:rsidR="005C235E" w:rsidRPr="00097432" w:rsidRDefault="005C235E" w:rsidP="00F57F15">
      <w:pPr>
        <w:rPr>
          <w:lang w:val="en-US"/>
        </w:rPr>
      </w:pPr>
    </w:p>
    <w:p w14:paraId="511EA21A" w14:textId="77777777" w:rsidR="005C235E" w:rsidRPr="00097432" w:rsidRDefault="005C235E" w:rsidP="00F57F15">
      <w:pPr>
        <w:rPr>
          <w:lang w:val="en-US"/>
        </w:rPr>
      </w:pPr>
    </w:p>
    <w:p w14:paraId="04BA14AF" w14:textId="77777777" w:rsidR="005C235E" w:rsidRPr="00097432" w:rsidRDefault="005C235E" w:rsidP="00F57F15">
      <w:pPr>
        <w:rPr>
          <w:lang w:val="en-US"/>
        </w:rPr>
      </w:pPr>
    </w:p>
    <w:p w14:paraId="54C14224" w14:textId="77777777" w:rsidR="006C2B5B" w:rsidRPr="00097432" w:rsidRDefault="006C2B5B" w:rsidP="00F57F15">
      <w:pPr>
        <w:rPr>
          <w:lang w:val="en-US"/>
        </w:rPr>
      </w:pPr>
    </w:p>
    <w:p w14:paraId="000000C6" w14:textId="420514BA" w:rsidR="00E7552A" w:rsidRPr="00097432" w:rsidRDefault="0091383D" w:rsidP="00F57F15">
      <w:pPr>
        <w:pStyle w:val="Heading2"/>
      </w:pPr>
      <w:bookmarkStart w:id="1" w:name="_Toc184909194"/>
      <w:r w:rsidRPr="00097432">
        <w:lastRenderedPageBreak/>
        <w:t>Abstract</w:t>
      </w:r>
      <w:bookmarkEnd w:id="1"/>
    </w:p>
    <w:p w14:paraId="3DE36E54" w14:textId="77777777" w:rsidR="001475F2" w:rsidRPr="00097432" w:rsidRDefault="001475F2" w:rsidP="00F57F15">
      <w:pPr>
        <w:rPr>
          <w:b/>
          <w:bCs/>
        </w:rPr>
      </w:pPr>
      <w:bookmarkStart w:id="2" w:name="_heading=h.2s8eyo1" w:colFirst="0" w:colLast="0"/>
      <w:bookmarkStart w:id="3" w:name="_Hlk163510065"/>
      <w:bookmarkEnd w:id="2"/>
      <w:r w:rsidRPr="00097432">
        <w:rPr>
          <w:b/>
          <w:bCs/>
        </w:rPr>
        <w:t>Background</w:t>
      </w:r>
    </w:p>
    <w:p w14:paraId="51FFFC04" w14:textId="56F3A1FB" w:rsidR="002701EC" w:rsidRPr="00097432" w:rsidRDefault="00D4398F" w:rsidP="00F57F15">
      <w:r w:rsidRPr="00097432">
        <w:t xml:space="preserve">Cholera remains a pressing public health threat in sub-Saharan Africa, where </w:t>
      </w:r>
      <w:r w:rsidR="00E1133B">
        <w:rPr>
          <w:rFonts w:hint="eastAsia"/>
        </w:rPr>
        <w:t>more than</w:t>
      </w:r>
      <w:r w:rsidRPr="00097432">
        <w:t xml:space="preserve"> 1,600 outbreaks were reported between 2010 and 2022. While oral cholera vaccines (OCVs) are </w:t>
      </w:r>
      <w:r w:rsidR="00502DBB" w:rsidRPr="00097432">
        <w:rPr>
          <w:rFonts w:hint="eastAsia"/>
        </w:rPr>
        <w:t>critical</w:t>
      </w:r>
      <w:r w:rsidRPr="00097432">
        <w:t xml:space="preserve"> for outbreak control, delays in deployment </w:t>
      </w:r>
      <w:r w:rsidR="00502DBB" w:rsidRPr="00097432">
        <w:rPr>
          <w:rFonts w:hint="eastAsia"/>
        </w:rPr>
        <w:t>can</w:t>
      </w:r>
      <w:r w:rsidRPr="00097432">
        <w:t xml:space="preserve"> </w:t>
      </w:r>
      <w:r w:rsidR="00E1133B">
        <w:rPr>
          <w:rFonts w:hint="eastAsia"/>
        </w:rPr>
        <w:t>markedly reduce</w:t>
      </w:r>
      <w:r w:rsidRPr="00097432">
        <w:t xml:space="preserve"> their effectiveness. We evaluated the health and economic impact of </w:t>
      </w:r>
      <w:r w:rsidR="00E361C2" w:rsidRPr="00097432">
        <w:t>single</w:t>
      </w:r>
      <w:r w:rsidR="00E361C2" w:rsidRPr="00097432">
        <w:rPr>
          <w:rFonts w:hint="eastAsia"/>
        </w:rPr>
        <w:t>-dose OCV</w:t>
      </w:r>
      <w:r w:rsidRPr="00097432">
        <w:t xml:space="preserve"> campaigns</w:t>
      </w:r>
      <w:r w:rsidR="00E1133B">
        <w:rPr>
          <w:rFonts w:hint="eastAsia"/>
        </w:rPr>
        <w:t xml:space="preserve"> used as outbreak-response immunization (ORI) under varying conditions</w:t>
      </w:r>
      <w:r w:rsidRPr="00097432">
        <w:t xml:space="preserve"> across </w:t>
      </w:r>
      <w:r w:rsidR="00502DBB" w:rsidRPr="00097432">
        <w:rPr>
          <w:rFonts w:hint="eastAsia"/>
        </w:rPr>
        <w:t xml:space="preserve">diverse </w:t>
      </w:r>
      <w:r w:rsidRPr="00097432">
        <w:t>cholera outbreaks in the region.</w:t>
      </w:r>
    </w:p>
    <w:p w14:paraId="4A8910B3" w14:textId="77777777" w:rsidR="001475F2" w:rsidRPr="00097432" w:rsidRDefault="001475F2" w:rsidP="00F57F15"/>
    <w:p w14:paraId="07526D23" w14:textId="77777777" w:rsidR="001475F2" w:rsidRPr="00097432" w:rsidRDefault="001475F2" w:rsidP="00F57F15">
      <w:pPr>
        <w:rPr>
          <w:b/>
          <w:bCs/>
        </w:rPr>
      </w:pPr>
      <w:r w:rsidRPr="00097432">
        <w:rPr>
          <w:b/>
          <w:bCs/>
        </w:rPr>
        <w:t>Methods</w:t>
      </w:r>
    </w:p>
    <w:p w14:paraId="35B26ABA" w14:textId="0A22FF13" w:rsidR="00D4398F" w:rsidRPr="00097432" w:rsidRDefault="00D4398F" w:rsidP="00F57F15">
      <w:r w:rsidRPr="00097432">
        <w:t xml:space="preserve">We </w:t>
      </w:r>
      <w:r w:rsidR="00E1133B" w:rsidRPr="00E1133B">
        <w:t xml:space="preserve">analyzed </w:t>
      </w:r>
      <w:r w:rsidRPr="00097432">
        <w:t xml:space="preserve">1,192 cholera outbreaks in sub-Saharan Africa from 2010 to 2020 to </w:t>
      </w:r>
      <w:r w:rsidR="00502DBB" w:rsidRPr="00097432">
        <w:rPr>
          <w:rFonts w:hint="eastAsia"/>
        </w:rPr>
        <w:t xml:space="preserve">model </w:t>
      </w:r>
      <w:r w:rsidRPr="00097432">
        <w:t xml:space="preserve">the impact of </w:t>
      </w:r>
      <w:r w:rsidR="00D64F4C">
        <w:rPr>
          <w:rFonts w:hint="eastAsia"/>
        </w:rPr>
        <w:t xml:space="preserve">ORIs </w:t>
      </w:r>
      <w:r w:rsidRPr="00097432">
        <w:t xml:space="preserve">under </w:t>
      </w:r>
      <w:r w:rsidR="00E1133B">
        <w:rPr>
          <w:rFonts w:hint="eastAsia"/>
        </w:rPr>
        <w:t xml:space="preserve">different </w:t>
      </w:r>
      <w:r w:rsidRPr="00097432">
        <w:t xml:space="preserve">assumptions </w:t>
      </w:r>
      <w:r w:rsidR="00502DBB" w:rsidRPr="00097432">
        <w:rPr>
          <w:rFonts w:hint="eastAsia"/>
        </w:rPr>
        <w:t xml:space="preserve">of </w:t>
      </w:r>
      <w:r w:rsidRPr="00097432">
        <w:t xml:space="preserve">timing, coverage, and </w:t>
      </w:r>
      <w:r w:rsidR="00502DBB" w:rsidRPr="00097432">
        <w:rPr>
          <w:rFonts w:hint="eastAsia"/>
        </w:rPr>
        <w:t xml:space="preserve">vaccine </w:t>
      </w:r>
      <w:r w:rsidRPr="00097432">
        <w:t xml:space="preserve">effectiveness. </w:t>
      </w:r>
      <w:r w:rsidR="00502DBB" w:rsidRPr="00097432">
        <w:rPr>
          <w:rFonts w:hint="eastAsia"/>
        </w:rPr>
        <w:t xml:space="preserve">The </w:t>
      </w:r>
      <w:r w:rsidRPr="00097432">
        <w:t xml:space="preserve">model </w:t>
      </w:r>
      <w:r w:rsidR="00502DBB" w:rsidRPr="00097432">
        <w:rPr>
          <w:rFonts w:hint="eastAsia"/>
        </w:rPr>
        <w:t>incorporated</w:t>
      </w:r>
      <w:r w:rsidRPr="00097432">
        <w:t xml:space="preserve"> direct and indirect protection, age-specific efficacy, delays in </w:t>
      </w:r>
      <w:r w:rsidR="00E1133B">
        <w:rPr>
          <w:rFonts w:hint="eastAsia"/>
        </w:rPr>
        <w:t>ORI</w:t>
      </w:r>
      <w:r w:rsidRPr="00097432">
        <w:t xml:space="preserve"> implementation, and time </w:t>
      </w:r>
      <w:r w:rsidR="00E1133B">
        <w:rPr>
          <w:rFonts w:hint="eastAsia"/>
        </w:rPr>
        <w:t xml:space="preserve">required </w:t>
      </w:r>
      <w:r w:rsidRPr="00097432">
        <w:t>to develop vaccine-derived immunity. Primary outcomes included reduction</w:t>
      </w:r>
      <w:r w:rsidR="00E1133B">
        <w:rPr>
          <w:rFonts w:hint="eastAsia"/>
        </w:rPr>
        <w:t>s</w:t>
      </w:r>
      <w:r w:rsidRPr="00097432">
        <w:t xml:space="preserve"> in cases</w:t>
      </w:r>
      <w:r w:rsidR="00E6070B" w:rsidRPr="00097432">
        <w:rPr>
          <w:rFonts w:hint="eastAsia"/>
        </w:rPr>
        <w:t xml:space="preserve"> and </w:t>
      </w:r>
      <w:r w:rsidRPr="00097432">
        <w:t xml:space="preserve">deaths, vaccine efficiency (cases averted per 1,000 doses), and cost-effectiveness (cost per </w:t>
      </w:r>
      <w:r w:rsidR="00865025" w:rsidRPr="00097432">
        <w:rPr>
          <w:rFonts w:hint="eastAsia"/>
        </w:rPr>
        <w:t xml:space="preserve">case, death, or </w:t>
      </w:r>
      <w:r w:rsidRPr="00097432">
        <w:t>DALY averted). We also simulated a scenario reflecting historical OCV stockpile deployments.</w:t>
      </w:r>
    </w:p>
    <w:p w14:paraId="7A05D036" w14:textId="77777777" w:rsidR="00D4398F" w:rsidRPr="00097432" w:rsidRDefault="00D4398F" w:rsidP="00F57F15"/>
    <w:p w14:paraId="0AB7515C" w14:textId="784E6B70" w:rsidR="001475F2" w:rsidRPr="00097432" w:rsidRDefault="001475F2" w:rsidP="00F57F15">
      <w:pPr>
        <w:rPr>
          <w:b/>
          <w:bCs/>
        </w:rPr>
      </w:pPr>
      <w:r w:rsidRPr="00097432">
        <w:rPr>
          <w:b/>
          <w:bCs/>
        </w:rPr>
        <w:t>Findings</w:t>
      </w:r>
    </w:p>
    <w:p w14:paraId="73C27FEF" w14:textId="74FC79ED" w:rsidR="00C973CC" w:rsidRPr="00097432" w:rsidRDefault="00E1133B" w:rsidP="004E4ED3">
      <w:r>
        <w:rPr>
          <w:rFonts w:hint="eastAsia"/>
        </w:rPr>
        <w:t xml:space="preserve">At </w:t>
      </w:r>
      <w:r>
        <w:t>75% coverage</w:t>
      </w:r>
      <w:r w:rsidR="00DE6BB0">
        <w:rPr>
          <w:rFonts w:hint="eastAsia"/>
        </w:rPr>
        <w:t>, cam</w:t>
      </w:r>
      <w:r w:rsidR="00024C43">
        <w:rPr>
          <w:rFonts w:hint="eastAsia"/>
        </w:rPr>
        <w:t>p</w:t>
      </w:r>
      <w:r w:rsidR="00DE6BB0">
        <w:rPr>
          <w:rFonts w:hint="eastAsia"/>
        </w:rPr>
        <w:t>aigns</w:t>
      </w:r>
      <w:r>
        <w:rPr>
          <w:rFonts w:hint="eastAsia"/>
        </w:rPr>
        <w:t xml:space="preserve"> initiated </w:t>
      </w:r>
      <w:r w:rsidR="00E6070B" w:rsidRPr="00097432">
        <w:rPr>
          <w:rFonts w:hint="eastAsia"/>
        </w:rPr>
        <w:t xml:space="preserve">within one </w:t>
      </w:r>
      <w:r w:rsidR="00CD05F9" w:rsidRPr="00097432">
        <w:t>week</w:t>
      </w:r>
      <w:r w:rsidR="00E6070B" w:rsidRPr="00097432">
        <w:rPr>
          <w:rFonts w:hint="eastAsia"/>
        </w:rPr>
        <w:t xml:space="preserve"> </w:t>
      </w:r>
      <w:r w:rsidR="00E361C2" w:rsidRPr="00097432">
        <w:rPr>
          <w:rFonts w:hint="eastAsia"/>
        </w:rPr>
        <w:t>of outbreak</w:t>
      </w:r>
      <w:r w:rsidR="000B6308">
        <w:t xml:space="preserve"> </w:t>
      </w:r>
      <w:r>
        <w:rPr>
          <w:rFonts w:hint="eastAsia"/>
        </w:rPr>
        <w:t>onset</w:t>
      </w:r>
      <w:r w:rsidR="00CD05F9" w:rsidRPr="00097432">
        <w:t xml:space="preserve"> </w:t>
      </w:r>
      <w:r>
        <w:rPr>
          <w:rFonts w:hint="eastAsia"/>
        </w:rPr>
        <w:t xml:space="preserve">averted a </w:t>
      </w:r>
      <w:r w:rsidR="003917BF" w:rsidRPr="00097432">
        <w:t>median</w:t>
      </w:r>
      <w:r w:rsidR="00940913" w:rsidRPr="00097432">
        <w:t xml:space="preserve"> </w:t>
      </w:r>
      <w:r w:rsidR="00663D76">
        <w:rPr>
          <w:rFonts w:hint="eastAsia"/>
        </w:rPr>
        <w:t xml:space="preserve">of </w:t>
      </w:r>
      <w:r w:rsidR="0037037E" w:rsidRPr="0037037E">
        <w:t>130</w:t>
      </w:r>
      <w:r w:rsidR="00DE6BB0">
        <w:rPr>
          <w:rFonts w:hint="eastAsia"/>
        </w:rPr>
        <w:t xml:space="preserve"> cases</w:t>
      </w:r>
      <w:r w:rsidR="0037037E" w:rsidRPr="0037037E">
        <w:t xml:space="preserve"> [IQR: 41.5</w:t>
      </w:r>
      <w:r w:rsidR="00DE6BB0">
        <w:rPr>
          <w:rFonts w:hint="eastAsia"/>
        </w:rPr>
        <w:t>-</w:t>
      </w:r>
      <w:r w:rsidR="0037037E" w:rsidRPr="0037037E">
        <w:t>377]</w:t>
      </w:r>
      <w:r w:rsidR="00663D76">
        <w:rPr>
          <w:rFonts w:hint="eastAsia"/>
        </w:rPr>
        <w:t xml:space="preserve">, </w:t>
      </w:r>
      <w:r w:rsidR="0037037E">
        <w:rPr>
          <w:rFonts w:hint="eastAsia"/>
        </w:rPr>
        <w:t xml:space="preserve">corresponding to </w:t>
      </w:r>
      <w:r w:rsidR="00865025" w:rsidRPr="00097432">
        <w:t>70.5</w:t>
      </w:r>
      <w:r w:rsidR="00865025" w:rsidRPr="00097432">
        <w:rPr>
          <w:rFonts w:hint="eastAsia"/>
        </w:rPr>
        <w:t>%</w:t>
      </w:r>
      <w:r w:rsidR="00865025" w:rsidRPr="00097432">
        <w:t xml:space="preserve"> </w:t>
      </w:r>
      <w:r w:rsidR="00C973CC" w:rsidRPr="00097432">
        <w:rPr>
          <w:rFonts w:hint="eastAsia"/>
        </w:rPr>
        <w:t>[</w:t>
      </w:r>
      <w:r w:rsidR="00024C43">
        <w:rPr>
          <w:rFonts w:hint="eastAsia"/>
        </w:rPr>
        <w:t xml:space="preserve">IQR: </w:t>
      </w:r>
      <w:r w:rsidR="00C973CC" w:rsidRPr="00097432">
        <w:t>49.5</w:t>
      </w:r>
      <w:r w:rsidR="00663D76">
        <w:rPr>
          <w:rFonts w:hint="eastAsia"/>
        </w:rPr>
        <w:t xml:space="preserve"> -</w:t>
      </w:r>
      <w:r w:rsidR="00C973CC" w:rsidRPr="00097432">
        <w:t xml:space="preserve"> 83.6</w:t>
      </w:r>
      <w:r w:rsidR="00C973CC" w:rsidRPr="00097432">
        <w:rPr>
          <w:rFonts w:hint="eastAsia"/>
        </w:rPr>
        <w:t>]</w:t>
      </w:r>
      <w:r w:rsidR="00663D76">
        <w:rPr>
          <w:rFonts w:hint="eastAsia"/>
        </w:rPr>
        <w:t xml:space="preserve"> </w:t>
      </w:r>
      <w:r w:rsidR="00DE6BB0">
        <w:rPr>
          <w:rFonts w:hint="eastAsia"/>
        </w:rPr>
        <w:t>of outbreak cases</w:t>
      </w:r>
      <w:r w:rsidR="00663D76">
        <w:rPr>
          <w:rFonts w:hint="eastAsia"/>
        </w:rPr>
        <w:t xml:space="preserve">, </w:t>
      </w:r>
      <w:r w:rsidR="00502DBB" w:rsidRPr="00097432">
        <w:rPr>
          <w:rFonts w:hint="eastAsia"/>
        </w:rPr>
        <w:t xml:space="preserve">with </w:t>
      </w:r>
      <w:r w:rsidR="0037037E" w:rsidRPr="0037037E">
        <w:rPr>
          <w:lang w:val="en-US"/>
        </w:rPr>
        <w:t>0.7 [</w:t>
      </w:r>
      <w:r w:rsidR="00DE6BB0" w:rsidRPr="0037037E">
        <w:t xml:space="preserve">IQR: </w:t>
      </w:r>
      <w:r w:rsidR="0037037E" w:rsidRPr="0037037E">
        <w:rPr>
          <w:lang w:val="en-US"/>
        </w:rPr>
        <w:t>0.19 - 2.41]</w:t>
      </w:r>
      <w:r w:rsidR="0037037E">
        <w:rPr>
          <w:rFonts w:hint="eastAsia"/>
          <w:lang w:val="en-US"/>
        </w:rPr>
        <w:t xml:space="preserve"> </w:t>
      </w:r>
      <w:r w:rsidR="00C973CC" w:rsidRPr="00097432">
        <w:t>cases averted per 1,000 doses</w:t>
      </w:r>
      <w:r w:rsidR="00502DBB" w:rsidRPr="00097432">
        <w:rPr>
          <w:rFonts w:hint="eastAsia"/>
        </w:rPr>
        <w:t xml:space="preserve"> and a</w:t>
      </w:r>
      <w:r w:rsidR="00C973CC" w:rsidRPr="00097432">
        <w:t xml:space="preserve"> </w:t>
      </w:r>
      <w:r w:rsidR="00DE6BB0">
        <w:rPr>
          <w:rFonts w:hint="eastAsia"/>
        </w:rPr>
        <w:t xml:space="preserve">median </w:t>
      </w:r>
      <w:r w:rsidR="00663D76">
        <w:rPr>
          <w:rFonts w:hint="eastAsia"/>
        </w:rPr>
        <w:t xml:space="preserve">cost of </w:t>
      </w:r>
      <w:r w:rsidR="00C973CC" w:rsidRPr="00097432">
        <w:t>US</w:t>
      </w:r>
      <w:r w:rsidR="00865025" w:rsidRPr="00097432">
        <w:rPr>
          <w:rFonts w:hint="eastAsia"/>
        </w:rPr>
        <w:t xml:space="preserve">$ </w:t>
      </w:r>
      <w:r w:rsidR="0037037E" w:rsidRPr="0037037E">
        <w:rPr>
          <w:lang w:val="en-US"/>
        </w:rPr>
        <w:t>4,623 [</w:t>
      </w:r>
      <w:r w:rsidR="00DE6BB0" w:rsidRPr="0037037E">
        <w:t xml:space="preserve">IQR: </w:t>
      </w:r>
      <w:r w:rsidR="0037037E" w:rsidRPr="0037037E">
        <w:rPr>
          <w:lang w:val="en-US"/>
        </w:rPr>
        <w:t>972 - 17,853]</w:t>
      </w:r>
      <w:r w:rsidR="00663D76">
        <w:rPr>
          <w:rFonts w:hint="eastAsia"/>
          <w:lang w:val="en-US"/>
        </w:rPr>
        <w:t xml:space="preserve"> per</w:t>
      </w:r>
      <w:r w:rsidR="00663D76" w:rsidRPr="00097432">
        <w:t xml:space="preserve"> case averted</w:t>
      </w:r>
      <w:r w:rsidR="00C973CC" w:rsidRPr="00097432">
        <w:t>.</w:t>
      </w:r>
      <w:r w:rsidR="00C973CC" w:rsidRPr="00097432">
        <w:rPr>
          <w:rFonts w:hint="eastAsia"/>
        </w:rPr>
        <w:t xml:space="preserve"> </w:t>
      </w:r>
      <w:r w:rsidR="00663D76" w:rsidRPr="00663D76">
        <w:t>Impact declined exponentially with delays—by 17.5% [</w:t>
      </w:r>
      <w:r w:rsidR="00DE6BB0" w:rsidRPr="0037037E">
        <w:t xml:space="preserve">IQR: </w:t>
      </w:r>
      <w:r w:rsidR="00663D76" w:rsidRPr="00663D76">
        <w:t>8.5</w:t>
      </w:r>
      <w:r w:rsidR="00663D76">
        <w:rPr>
          <w:rFonts w:hint="eastAsia"/>
        </w:rPr>
        <w:t xml:space="preserve"> - </w:t>
      </w:r>
      <w:r w:rsidR="00663D76" w:rsidRPr="00663D76">
        <w:t xml:space="preserve">31.5] </w:t>
      </w:r>
      <w:r w:rsidR="00A33E08">
        <w:rPr>
          <w:rFonts w:hint="eastAsia"/>
        </w:rPr>
        <w:t>each</w:t>
      </w:r>
      <w:r w:rsidR="00663D76" w:rsidRPr="00663D76">
        <w:t xml:space="preserve"> week and by half every 3.6 [</w:t>
      </w:r>
      <w:r w:rsidR="00A33E08">
        <w:rPr>
          <w:rFonts w:hint="eastAsia"/>
        </w:rPr>
        <w:t>IQR:</w:t>
      </w:r>
      <w:r w:rsidR="00663D76" w:rsidRPr="00663D76">
        <w:t>1.8–7.8] weeks.</w:t>
      </w:r>
      <w:r w:rsidR="00663D76" w:rsidRPr="00663D76">
        <w:rPr>
          <w:rFonts w:hint="eastAsia"/>
        </w:rPr>
        <w:t xml:space="preserve"> </w:t>
      </w:r>
      <w:r w:rsidR="00C77EF5" w:rsidRPr="00097432">
        <w:t>With a nine-week delay</w:t>
      </w:r>
      <w:r w:rsidR="00D64F4C">
        <w:t>—</w:t>
      </w:r>
      <w:r w:rsidR="00C77EF5" w:rsidRPr="00097432">
        <w:t xml:space="preserve">comparable to historical median </w:t>
      </w:r>
      <w:r w:rsidR="00E6070B" w:rsidRPr="00097432">
        <w:rPr>
          <w:rFonts w:hint="eastAsia"/>
        </w:rPr>
        <w:t>deployment</w:t>
      </w:r>
      <w:r w:rsidR="00C77EF5" w:rsidRPr="00097432">
        <w:t xml:space="preserve"> </w:t>
      </w:r>
      <w:r w:rsidR="009646A8" w:rsidRPr="00097432">
        <w:rPr>
          <w:rFonts w:hint="eastAsia"/>
        </w:rPr>
        <w:t>times</w:t>
      </w:r>
      <w:r w:rsidR="00D64F4C">
        <w:t>—</w:t>
      </w:r>
      <w:r w:rsidR="00A33E08">
        <w:rPr>
          <w:rFonts w:hint="eastAsia"/>
        </w:rPr>
        <w:t xml:space="preserve">the </w:t>
      </w:r>
      <w:r w:rsidR="00C77EF5" w:rsidRPr="00097432">
        <w:t xml:space="preserve">median </w:t>
      </w:r>
      <w:r w:rsidR="00663D76">
        <w:rPr>
          <w:rFonts w:hint="eastAsia"/>
        </w:rPr>
        <w:t xml:space="preserve">impact </w:t>
      </w:r>
      <w:r w:rsidR="00C77EF5" w:rsidRPr="00097432">
        <w:t xml:space="preserve">dropped to </w:t>
      </w:r>
      <w:r w:rsidR="00A25110" w:rsidRPr="00A25110">
        <w:rPr>
          <w:lang w:val="en-US"/>
        </w:rPr>
        <w:t xml:space="preserve">28.3 </w:t>
      </w:r>
      <w:r w:rsidR="00DE6BB0">
        <w:rPr>
          <w:rFonts w:hint="eastAsia"/>
          <w:lang w:val="en-US"/>
        </w:rPr>
        <w:t xml:space="preserve">cases </w:t>
      </w:r>
      <w:r w:rsidR="00A25110" w:rsidRPr="00A25110">
        <w:rPr>
          <w:lang w:val="en-US"/>
        </w:rPr>
        <w:t>[IQR: 2.5 - 146.7]</w:t>
      </w:r>
      <w:r w:rsidR="00A25110">
        <w:rPr>
          <w:rFonts w:hint="eastAsia"/>
          <w:lang w:val="en-US"/>
        </w:rPr>
        <w:t xml:space="preserve"> </w:t>
      </w:r>
      <w:r w:rsidR="00663D76">
        <w:rPr>
          <w:rFonts w:hint="eastAsia"/>
          <w:lang w:val="en-US"/>
        </w:rPr>
        <w:t xml:space="preserve">with </w:t>
      </w:r>
      <w:r w:rsidR="00A33E08">
        <w:rPr>
          <w:rFonts w:hint="eastAsia"/>
          <w:lang w:val="en-US"/>
        </w:rPr>
        <w:t xml:space="preserve">median </w:t>
      </w:r>
      <w:r w:rsidR="006A1BF9" w:rsidRPr="00097432">
        <w:rPr>
          <w:rFonts w:hint="eastAsia"/>
        </w:rPr>
        <w:t>efficien</w:t>
      </w:r>
      <w:r w:rsidR="009646A8" w:rsidRPr="00097432">
        <w:rPr>
          <w:rFonts w:hint="eastAsia"/>
        </w:rPr>
        <w:t>cy</w:t>
      </w:r>
      <w:r w:rsidR="006A1BF9" w:rsidRPr="00097432">
        <w:rPr>
          <w:rFonts w:hint="eastAsia"/>
        </w:rPr>
        <w:t xml:space="preserve"> </w:t>
      </w:r>
      <w:r w:rsidR="00A33E08">
        <w:rPr>
          <w:rFonts w:hint="eastAsia"/>
        </w:rPr>
        <w:t>of</w:t>
      </w:r>
      <w:r w:rsidR="006A1BF9" w:rsidRPr="00097432">
        <w:rPr>
          <w:rFonts w:hint="eastAsia"/>
        </w:rPr>
        <w:t xml:space="preserve"> </w:t>
      </w:r>
      <w:r w:rsidR="00A25110" w:rsidRPr="00A25110">
        <w:rPr>
          <w:lang w:val="en-US"/>
        </w:rPr>
        <w:t>0.15 [IQR: 0.01 - 0.89</w:t>
      </w:r>
      <w:r w:rsidR="00A25110">
        <w:rPr>
          <w:rFonts w:hint="eastAsia"/>
          <w:lang w:val="en-US"/>
        </w:rPr>
        <w:t>]</w:t>
      </w:r>
      <w:r w:rsidR="00663D76">
        <w:rPr>
          <w:rFonts w:hint="eastAsia"/>
          <w:lang w:val="en-US"/>
        </w:rPr>
        <w:t xml:space="preserve"> </w:t>
      </w:r>
      <w:r w:rsidR="00663D76" w:rsidRPr="00663D76">
        <w:rPr>
          <w:lang w:val="en-US"/>
        </w:rPr>
        <w:t>cases per 1,000 doses.</w:t>
      </w:r>
      <w:r w:rsidR="00A33E08">
        <w:rPr>
          <w:rFonts w:hint="eastAsia"/>
          <w:lang w:val="en-US"/>
        </w:rPr>
        <w:t xml:space="preserve"> </w:t>
      </w:r>
      <w:proofErr w:type="spellStart"/>
      <w:r w:rsidR="00A33E08">
        <w:rPr>
          <w:rFonts w:hint="eastAsia"/>
          <w:lang w:val="en-US"/>
        </w:rPr>
        <w:t>W</w:t>
      </w:r>
      <w:r w:rsidR="00CF1AE9">
        <w:t>hen</w:t>
      </w:r>
      <w:proofErr w:type="spellEnd"/>
      <w:r w:rsidR="00CF1AE9">
        <w:rPr>
          <w:rFonts w:hint="eastAsia"/>
        </w:rPr>
        <w:t xml:space="preserve"> </w:t>
      </w:r>
      <w:r w:rsidR="00DE6BB0">
        <w:rPr>
          <w:rFonts w:hint="eastAsia"/>
        </w:rPr>
        <w:t>scaled</w:t>
      </w:r>
      <w:r w:rsidR="00CF1AE9">
        <w:rPr>
          <w:rFonts w:hint="eastAsia"/>
        </w:rPr>
        <w:t xml:space="preserve"> </w:t>
      </w:r>
      <w:r w:rsidR="00CF1AE9" w:rsidRPr="00097432">
        <w:t>across multiple outbreak</w:t>
      </w:r>
      <w:r w:rsidR="00CF1AE9" w:rsidRPr="00097432">
        <w:rPr>
          <w:rFonts w:hint="eastAsia"/>
        </w:rPr>
        <w:t>s</w:t>
      </w:r>
      <w:r w:rsidR="00CF1AE9">
        <w:rPr>
          <w:rFonts w:hint="eastAsia"/>
        </w:rPr>
        <w:t>,</w:t>
      </w:r>
      <w:r w:rsidR="00DE6BB0">
        <w:rPr>
          <w:rFonts w:hint="eastAsia"/>
        </w:rPr>
        <w:t xml:space="preserve"> reflecting </w:t>
      </w:r>
      <w:r w:rsidR="00A33E08">
        <w:rPr>
          <w:rFonts w:hint="eastAsia"/>
        </w:rPr>
        <w:t>OCV</w:t>
      </w:r>
      <w:r w:rsidR="00DE6BB0">
        <w:rPr>
          <w:rFonts w:hint="eastAsia"/>
        </w:rPr>
        <w:t xml:space="preserve"> stockpile use,</w:t>
      </w:r>
      <w:r w:rsidR="00CF1AE9" w:rsidRPr="00097432">
        <w:rPr>
          <w:rFonts w:hint="eastAsia"/>
        </w:rPr>
        <w:t xml:space="preserve"> </w:t>
      </w:r>
      <w:r w:rsidR="00DE6BB0">
        <w:rPr>
          <w:rFonts w:hint="eastAsia"/>
        </w:rPr>
        <w:t xml:space="preserve">delayed campaigns still </w:t>
      </w:r>
      <w:r w:rsidR="00CF1AE9">
        <w:rPr>
          <w:rFonts w:hint="eastAsia"/>
        </w:rPr>
        <w:t>averted</w:t>
      </w:r>
      <w:r w:rsidR="003D620F" w:rsidRPr="00097432">
        <w:rPr>
          <w:rFonts w:hint="eastAsia"/>
        </w:rPr>
        <w:t xml:space="preserve"> </w:t>
      </w:r>
      <w:r w:rsidR="00D563E4" w:rsidRPr="00D563E4">
        <w:t>2,156.8 [IQR: 425.8 - 3,352.7]</w:t>
      </w:r>
      <w:r w:rsidR="00CF1AE9">
        <w:rPr>
          <w:rFonts w:hint="eastAsia"/>
        </w:rPr>
        <w:t xml:space="preserve"> (</w:t>
      </w:r>
      <w:r w:rsidR="0037037E" w:rsidRPr="0037037E">
        <w:rPr>
          <w:lang w:val="en-US"/>
        </w:rPr>
        <w:t>29.9</w:t>
      </w:r>
      <w:r w:rsidR="0037037E">
        <w:rPr>
          <w:rFonts w:hint="eastAsia"/>
          <w:lang w:val="en-US"/>
        </w:rPr>
        <w:t>%</w:t>
      </w:r>
      <w:r w:rsidR="0037037E" w:rsidRPr="0037037E">
        <w:rPr>
          <w:lang w:val="en-US"/>
        </w:rPr>
        <w:t xml:space="preserve"> [IQR: 19.7 - 36]</w:t>
      </w:r>
      <w:r w:rsidR="00CF1AE9">
        <w:rPr>
          <w:rFonts w:hint="eastAsia"/>
          <w:lang w:val="en-US"/>
        </w:rPr>
        <w:t xml:space="preserve">) with efficiency of </w:t>
      </w:r>
      <w:r w:rsidR="00CF1AE9" w:rsidRPr="0037037E">
        <w:rPr>
          <w:lang w:val="en-US"/>
        </w:rPr>
        <w:t>0.48 [IQR: 0.34 - 0.68]</w:t>
      </w:r>
      <w:r w:rsidR="00CF1AE9">
        <w:rPr>
          <w:rFonts w:hint="eastAsia"/>
          <w:lang w:val="en-US"/>
        </w:rPr>
        <w:t xml:space="preserve"> cases </w:t>
      </w:r>
      <w:r w:rsidR="0037037E">
        <w:rPr>
          <w:rFonts w:hint="eastAsia"/>
        </w:rPr>
        <w:t xml:space="preserve">per 1,000 </w:t>
      </w:r>
      <w:r w:rsidR="00A33E08">
        <w:rPr>
          <w:rFonts w:hint="eastAsia"/>
        </w:rPr>
        <w:t>doses</w:t>
      </w:r>
      <w:r w:rsidR="00CF1AE9">
        <w:rPr>
          <w:rFonts w:hint="eastAsia"/>
        </w:rPr>
        <w:t xml:space="preserve">. </w:t>
      </w:r>
      <w:r w:rsidR="00A33E08">
        <w:rPr>
          <w:rFonts w:hint="eastAsia"/>
        </w:rPr>
        <w:t xml:space="preserve">Targeting </w:t>
      </w:r>
      <w:r w:rsidR="00CF1AE9" w:rsidRPr="00CF1AE9">
        <w:t xml:space="preserve">larger, prolonged </w:t>
      </w:r>
      <w:r w:rsidR="00CF1AE9" w:rsidRPr="00CF1AE9">
        <w:lastRenderedPageBreak/>
        <w:t xml:space="preserve">outbreaks further </w:t>
      </w:r>
      <w:r w:rsidR="00DE6BB0">
        <w:rPr>
          <w:rFonts w:hint="eastAsia"/>
        </w:rPr>
        <w:t>improved</w:t>
      </w:r>
      <w:r w:rsidR="00CF1AE9" w:rsidRPr="00CF1AE9">
        <w:t xml:space="preserve"> impact, with delayed ORIs averting 3,740 </w:t>
      </w:r>
      <w:r w:rsidR="00024C43">
        <w:rPr>
          <w:rFonts w:hint="eastAsia"/>
        </w:rPr>
        <w:t xml:space="preserve">cases </w:t>
      </w:r>
      <w:r w:rsidR="00CF1AE9" w:rsidRPr="00CF1AE9">
        <w:t>[</w:t>
      </w:r>
      <w:r w:rsidR="00024C43">
        <w:rPr>
          <w:rFonts w:hint="eastAsia"/>
        </w:rPr>
        <w:t xml:space="preserve">IQR: </w:t>
      </w:r>
      <w:r w:rsidR="00CF1AE9" w:rsidRPr="00CF1AE9">
        <w:t>1,388–6,454] (38.6% [</w:t>
      </w:r>
      <w:r w:rsidR="00024C43">
        <w:rPr>
          <w:rFonts w:hint="eastAsia"/>
        </w:rPr>
        <w:t xml:space="preserve">IQR: </w:t>
      </w:r>
      <w:r w:rsidR="00CF1AE9" w:rsidRPr="00CF1AE9">
        <w:t>30.8–44.3])</w:t>
      </w:r>
      <w:r w:rsidR="00CF1AE9">
        <w:rPr>
          <w:rFonts w:hint="eastAsia"/>
        </w:rPr>
        <w:t xml:space="preserve"> </w:t>
      </w:r>
      <w:r w:rsidR="00024C43" w:rsidRPr="00024C43">
        <w:t>when focused on the top quartile of outbreak duration</w:t>
      </w:r>
      <w:r w:rsidR="004E4ED3">
        <w:rPr>
          <w:rFonts w:hint="eastAsia"/>
        </w:rPr>
        <w:t>.</w:t>
      </w:r>
    </w:p>
    <w:p w14:paraId="1DAD84B3" w14:textId="77777777" w:rsidR="00D4398F" w:rsidRPr="00097432" w:rsidRDefault="00D4398F" w:rsidP="00940913"/>
    <w:p w14:paraId="58C802B0" w14:textId="77777777" w:rsidR="001475F2" w:rsidRPr="00097432" w:rsidRDefault="001475F2" w:rsidP="00F57F15">
      <w:pPr>
        <w:rPr>
          <w:b/>
          <w:bCs/>
        </w:rPr>
      </w:pPr>
      <w:r w:rsidRPr="00097432">
        <w:rPr>
          <w:b/>
          <w:bCs/>
        </w:rPr>
        <w:t>Conclusion</w:t>
      </w:r>
    </w:p>
    <w:p w14:paraId="059796FB" w14:textId="56F1E6B1" w:rsidR="003917BF" w:rsidRPr="00097432" w:rsidRDefault="00DE6BB0" w:rsidP="00F57F15">
      <w:r w:rsidRPr="00DE6BB0">
        <w:t>Rapid deployment of OCV and prioriti</w:t>
      </w:r>
      <w:r>
        <w:rPr>
          <w:rFonts w:hint="eastAsia"/>
        </w:rPr>
        <w:t>z</w:t>
      </w:r>
      <w:r w:rsidRPr="00DE6BB0">
        <w:t>ation of larger, sustained outbreaks are essential to maximi</w:t>
      </w:r>
      <w:r>
        <w:rPr>
          <w:rFonts w:hint="eastAsia"/>
        </w:rPr>
        <w:t>z</w:t>
      </w:r>
      <w:r w:rsidRPr="00DE6BB0">
        <w:t>e impact. Even with substantial delays, stockpile-supported campaigns can considerably reduce cholera burden. These findings highlight the urgent need to strengthen OCV supply, accelerate deployment mechanisms, and integrate vaccination into broader cholera control strategies in Africa.</w:t>
      </w:r>
    </w:p>
    <w:p w14:paraId="739FA1D6" w14:textId="77777777" w:rsidR="00885336" w:rsidRPr="00097432" w:rsidRDefault="00885336" w:rsidP="00F57F15"/>
    <w:p w14:paraId="322866F6" w14:textId="6D6A2036" w:rsidR="002173D7" w:rsidRPr="00097432" w:rsidRDefault="002173D7" w:rsidP="00F57F15">
      <w:pPr>
        <w:pStyle w:val="Heading2"/>
      </w:pPr>
      <w:bookmarkStart w:id="4" w:name="_Toc184909195"/>
      <w:r w:rsidRPr="00097432">
        <w:t>Key messages</w:t>
      </w:r>
      <w:bookmarkEnd w:id="4"/>
    </w:p>
    <w:p w14:paraId="149C94E2" w14:textId="3C82BF15" w:rsidR="003F788D" w:rsidRPr="00097432" w:rsidRDefault="003F788D" w:rsidP="00F57F15">
      <w:pPr>
        <w:pStyle w:val="ListParagraph"/>
        <w:numPr>
          <w:ilvl w:val="0"/>
          <w:numId w:val="10"/>
        </w:numPr>
      </w:pPr>
      <w:bookmarkStart w:id="5" w:name="_Hlk182818708"/>
      <w:r w:rsidRPr="00097432">
        <w:t xml:space="preserve">We </w:t>
      </w:r>
      <w:r w:rsidR="00247AE3" w:rsidRPr="00097432">
        <w:rPr>
          <w:rFonts w:hint="eastAsia"/>
        </w:rPr>
        <w:t>analyzed</w:t>
      </w:r>
      <w:r w:rsidRPr="00097432">
        <w:t xml:space="preserve"> 1,192 cholera outbreaks across sub-Saharan Africa (2010–2020) to estimate the health and economic impact of outbreak response immunization (ORI)</w:t>
      </w:r>
      <w:r w:rsidR="002172B7" w:rsidRPr="00097432">
        <w:rPr>
          <w:rFonts w:hint="eastAsia"/>
        </w:rPr>
        <w:t>.</w:t>
      </w:r>
      <w:r w:rsidRPr="00097432">
        <w:t xml:space="preserve"> </w:t>
      </w:r>
    </w:p>
    <w:p w14:paraId="72CC8770" w14:textId="760DCE72" w:rsidR="00247AE3" w:rsidRPr="00097432" w:rsidRDefault="00247AE3" w:rsidP="00F57F15">
      <w:pPr>
        <w:pStyle w:val="ListParagraph"/>
        <w:numPr>
          <w:ilvl w:val="0"/>
          <w:numId w:val="10"/>
        </w:numPr>
      </w:pPr>
      <w:r w:rsidRPr="00097432">
        <w:t xml:space="preserve">When ORI was implemented within one week of outbreak onset, </w:t>
      </w:r>
      <w:r w:rsidR="0083696B">
        <w:rPr>
          <w:rFonts w:hint="eastAsia"/>
        </w:rPr>
        <w:t xml:space="preserve">a median of </w:t>
      </w:r>
      <w:r w:rsidRPr="00097432">
        <w:t>7</w:t>
      </w:r>
      <w:r w:rsidR="002B71D9">
        <w:rPr>
          <w:rFonts w:hint="eastAsia"/>
        </w:rPr>
        <w:t>1</w:t>
      </w:r>
      <w:r w:rsidRPr="00097432">
        <w:t>% of cases were averted; however, impact declined sharply, halving with each four-week delay.</w:t>
      </w:r>
    </w:p>
    <w:p w14:paraId="2CB23993" w14:textId="722724B3" w:rsidR="003F788D" w:rsidRPr="00097432" w:rsidRDefault="00247AE3" w:rsidP="00F57F15">
      <w:pPr>
        <w:pStyle w:val="ListParagraph"/>
        <w:numPr>
          <w:ilvl w:val="0"/>
          <w:numId w:val="10"/>
        </w:numPr>
      </w:pPr>
      <w:r w:rsidRPr="00097432">
        <w:t xml:space="preserve">When ORIs were simulated to reflect actual global OCV stockpile deployments, </w:t>
      </w:r>
      <w:r w:rsidR="0083696B">
        <w:rPr>
          <w:rFonts w:hint="eastAsia"/>
        </w:rPr>
        <w:t xml:space="preserve">ORI even with a </w:t>
      </w:r>
      <w:r w:rsidR="0083696B" w:rsidRPr="00097432">
        <w:t>9-week delay</w:t>
      </w:r>
      <w:r w:rsidR="0083696B">
        <w:rPr>
          <w:rFonts w:hint="eastAsia"/>
        </w:rPr>
        <w:t xml:space="preserve"> still averted </w:t>
      </w:r>
      <w:r w:rsidRPr="00097432">
        <w:t xml:space="preserve">cases were reduced by </w:t>
      </w:r>
      <w:r w:rsidR="0083696B">
        <w:rPr>
          <w:rFonts w:hint="eastAsia"/>
        </w:rPr>
        <w:t>30</w:t>
      </w:r>
      <w:r w:rsidRPr="00097432">
        <w:t>%</w:t>
      </w:r>
      <w:r w:rsidR="0083696B">
        <w:rPr>
          <w:rFonts w:hint="eastAsia"/>
        </w:rPr>
        <w:t xml:space="preserve"> with a median efficiency of </w:t>
      </w:r>
      <w:r w:rsidR="0083696B" w:rsidRPr="0037037E">
        <w:rPr>
          <w:lang w:val="en-US"/>
        </w:rPr>
        <w:t>0.48</w:t>
      </w:r>
      <w:r w:rsidR="00762EC7" w:rsidRPr="00097432">
        <w:rPr>
          <w:rFonts w:hint="eastAsia"/>
        </w:rPr>
        <w:t xml:space="preserve"> per 1,000 OCVs</w:t>
      </w:r>
      <w:r w:rsidR="008D41B5" w:rsidRPr="00097432">
        <w:rPr>
          <w:rFonts w:hint="eastAsia"/>
        </w:rPr>
        <w:t>.</w:t>
      </w:r>
    </w:p>
    <w:p w14:paraId="6FCCE42B" w14:textId="62B7EC8C" w:rsidR="003F788D" w:rsidRPr="00097432" w:rsidRDefault="003F788D" w:rsidP="00F57F15">
      <w:pPr>
        <w:pStyle w:val="ListParagraph"/>
        <w:numPr>
          <w:ilvl w:val="0"/>
          <w:numId w:val="10"/>
        </w:numPr>
      </w:pPr>
      <w:bookmarkStart w:id="6" w:name="_Hlk182937165"/>
      <w:r w:rsidRPr="00097432">
        <w:t>Strategically prioritizing large</w:t>
      </w:r>
      <w:r w:rsidRPr="00097432">
        <w:rPr>
          <w:rFonts w:hint="eastAsia"/>
        </w:rPr>
        <w:t>, prolonged</w:t>
      </w:r>
      <w:r w:rsidRPr="00097432">
        <w:t xml:space="preserve"> outbreaks for </w:t>
      </w:r>
      <w:r w:rsidRPr="00097432">
        <w:rPr>
          <w:rFonts w:hint="eastAsia"/>
        </w:rPr>
        <w:t>ORI</w:t>
      </w:r>
      <w:r w:rsidRPr="00097432">
        <w:t xml:space="preserve"> led to markedly higher health impact and cost-effectiveness</w:t>
      </w:r>
      <w:r w:rsidR="0083696B">
        <w:rPr>
          <w:rFonts w:hint="eastAsia"/>
        </w:rPr>
        <w:t>.</w:t>
      </w:r>
    </w:p>
    <w:p w14:paraId="00859DCB" w14:textId="24357ACD" w:rsidR="003F788D" w:rsidRPr="00097432" w:rsidRDefault="008D41B5" w:rsidP="00F57F15">
      <w:pPr>
        <w:pStyle w:val="ListParagraph"/>
        <w:numPr>
          <w:ilvl w:val="0"/>
          <w:numId w:val="10"/>
        </w:numPr>
      </w:pPr>
      <w:r w:rsidRPr="00097432">
        <w:t>These findings highlight the importance of timely, targeted ORI deployment—guided by robust surveillance and prioritization frameworks—to maximize the impact of the limited global OCV supply.</w:t>
      </w:r>
    </w:p>
    <w:p w14:paraId="0B42E769" w14:textId="46333FE8" w:rsidR="009D1CE2" w:rsidRPr="00097432" w:rsidRDefault="009D1CE2" w:rsidP="003F788D">
      <w:pPr>
        <w:ind w:left="360"/>
      </w:pPr>
    </w:p>
    <w:p w14:paraId="111DB3FB" w14:textId="0345AF46" w:rsidR="000A4EDF" w:rsidRPr="00097432" w:rsidRDefault="000A4EDF" w:rsidP="00F57F15">
      <w:pPr>
        <w:pStyle w:val="Heading2"/>
      </w:pPr>
      <w:bookmarkStart w:id="7" w:name="_Toc184909196"/>
      <w:bookmarkEnd w:id="5"/>
      <w:bookmarkEnd w:id="6"/>
      <w:r w:rsidRPr="00097432">
        <w:lastRenderedPageBreak/>
        <w:t>Research in context</w:t>
      </w:r>
      <w:bookmarkEnd w:id="7"/>
    </w:p>
    <w:p w14:paraId="328383B8" w14:textId="7A6109C0" w:rsidR="005C235E" w:rsidRPr="00097432" w:rsidRDefault="009A2C69" w:rsidP="00F57F15">
      <w:pPr>
        <w:rPr>
          <w:b/>
          <w:bCs/>
        </w:rPr>
      </w:pPr>
      <w:r w:rsidRPr="00097432">
        <w:rPr>
          <w:b/>
          <w:bCs/>
        </w:rPr>
        <w:t>Evidence before this study</w:t>
      </w:r>
    </w:p>
    <w:p w14:paraId="2FAD3889" w14:textId="4A1CC8CE" w:rsidR="009A2C69" w:rsidRPr="00097432" w:rsidRDefault="009A2C69" w:rsidP="00F57F15">
      <w:r w:rsidRPr="00097432">
        <w:t>We searched PubMed on March 15, 2024, with no language or date restrictions, using the search terms (("Cholera"[Mesh] OR "Vibrio cholerae"[Mesh])) AND "Cholera Vaccines"[Mesh] AND ((model*[Title/Abstract]) OR (math*[Title/Abstract])) AND (vaccine*[Title/Abstract])</w:t>
      </w:r>
      <w:r w:rsidR="00734B2E" w:rsidRPr="00097432">
        <w:t>, yielding 1</w:t>
      </w:r>
      <w:r w:rsidRPr="00097432">
        <w:t>64 articles</w:t>
      </w:r>
      <w:r w:rsidR="00734B2E" w:rsidRPr="00097432">
        <w:t xml:space="preserve">. Of these, </w:t>
      </w:r>
      <w:r w:rsidRPr="00097432">
        <w:t>17</w:t>
      </w:r>
      <w:r w:rsidR="00734B2E" w:rsidRPr="00097432">
        <w:t xml:space="preserve"> studies met the inclusion criteria, focusing on cholera transmission modeling to evaluate vaccine impact under various scenarios.</w:t>
      </w:r>
      <w:r w:rsidRPr="00097432">
        <w:t xml:space="preserve"> Most </w:t>
      </w:r>
      <w:r w:rsidR="00734B2E" w:rsidRPr="00097432">
        <w:t xml:space="preserve">studies simulated </w:t>
      </w:r>
      <w:r w:rsidRPr="00097432">
        <w:t>outbreaks in single, unique geographic setting</w:t>
      </w:r>
      <w:r w:rsidRPr="00097432">
        <w:rPr>
          <w:vertAlign w:val="superscript"/>
        </w:rPr>
        <w:fldChar w:fldCharType="begin"/>
      </w:r>
      <w:r w:rsidR="00345AF1">
        <w:rPr>
          <w:vertAlign w:val="superscript"/>
        </w:rPr>
        <w:instrText xml:space="preserve"> ADDIN ZOTERO_ITEM CSL_CITATION {"citationID":"l33n60L3","properties":{"formattedCitation":"\\super 1\\uc0\\u8211{}13\\nosupersub{}","plainCitation":"1–13","noteIndex":0},"citationItems":[{"id":"EgwuGF5k/Hmz3wwbU","uris":["http://zotero.org/users/local/xDVOxgbN/items/3KCFPCDX"],"itemData":{"id":67,"type":"article-journal","container-title":"PLOS Medicine","DOI":"10.1371/journal.pmed.1002509","ISSN":"1549-1676","issue":"2","journalAbbreviation":"PLoS Med","language":"en","page":"e1002509","source":"DOI.org (Crossref)","title":"The potential impact of case-area targeted interventions in response to cholera outbreaks: A modeling study","title-short":"The potential impact of case-area targeted interventions in response to cholera outbreaks","volume":"15","author":[{"family":"Finger","given":"Flavio"},{"family":"Bertuzzo","given":"Enrico"},{"family":"Luquero","given":"Francisco J."},{"family":"Naibei","given":"Nathan"},{"family":"Touré","given":"Brahima"},{"family":"Allan","given":"Maya"},{"family":"Porten","given":"Klaudia"},{"family":"Lessler","given":"Justin"},{"family":"Rinaldo","given":"Andrea"},{"family":"Azman","given":"Andrew S."}],"editor":[{"family":"Von Seidlein","given":"Lorenz"}],"issued":{"date-parts":[["2018",2,27]]}}},{"id":"EgwuGF5k/U08vjAgk","uris":["http://zotero.org/users/local/xDVOxgbN/items/JZWUIAKP"],"itemData":{"id":69,"type":"article-journal","container-title":"International Journal of Infectious Diseases","DOI":"10.1016/j.ijid.2020.03.077","ISSN":"12019712","journalAbbreviation":"International Journal of Infectious Diseases","language":"en","page":"222-227","source":"DOI.org (Crossref)","title":"Stemming cholera tides in Zimbabwe through mass vaccination","volume":"96","author":[{"family":"Mukandavire","given":"Zindoga"},{"family":"Manangazira","given":"Portia"},{"family":"Nyabadza","given":"Farai"},{"family":"Cuadros","given":"Diego F"},{"family":"Musuka","given":"Godfrey"},{"family":"Morris","given":"J. Glenn"}],"issued":{"date-parts":[["2020",7]]}}},{"id":"EgwuGF5k/8HczsYmK","uris":["http://zotero.org/users/local/xDVOxgbN/items/Z93MZCN2"],"itemData":{"id":74,"type":"article-journal","container-title":"PLoS Neglected Tropical Diseases","DOI":"10.1371/journal.pntd.0003343","ISSN":"1935-2735","issue":"12","journalAbbreviation":"PLoS Negl Trop Dis","language":"en","page":"e3343","source":"DOI.org (Crossref)","title":"Comparative Effectiveness of Different Strategies of Oral Cholera Vaccination in Bangladesh: A Modeling Study","title-short":"Comparative Effectiveness of Different Strategies of Oral Cholera Vaccination in Bangladesh","volume":"8","author":[{"family":"Dimitrov","given":"Dobromir T."},{"family":"Troeger","given":"Christopher"},{"family":"Halloran","given":"M. Elizabeth"},{"family":"Longini","given":"Ira M."},{"family":"Chao","given":"Dennis L."}],"editor":[{"family":"Baker","given":"Stephen"}],"issued":{"date-parts":[["2014",12,4]]}}},{"id":"EgwuGF5k/YImEJoFE","uris":["http://zotero.org/users/local/xDVOxgbN/items/PMGMMCST"],"itemData":{"id":38,"type":"article-journal","container-title":"PLOS Neglected Tropical Diseases","DOI":"10.1371/journal.pntd.0006652","ISSN":"1935-2735","issue":"10","journalAbbreviation":"PLoS Negl Trop Dis","language":"en","page":"e0006652","source":"DOI.org (Crossref)","title":"The impact and cost-effectiveness of controlling cholera through the use of oral cholera vaccines in urban Bangladesh: A disease modeling and economic analysis","title-short":"The impact and cost-effectiveness of controlling cholera through the use of oral cholera vaccines in urban Bangladesh","volume":"12","author":[{"family":"Khan","given":"Ashraful Islam"},{"family":"Levin","given":"Ann"},{"family":"Chao","given":"Dennis L."},{"family":"DeRoeck","given":"Denise"},{"family":"Dimitrov","given":"Dobromir T."},{"family":"Khan","given":"Jahangir A. M."},{"family":"Islam","given":"Muhammad Shariful"},{"family":"Ali","given":"Mohammad"},{"family":"Islam","given":"Md. Taufiqul"},{"family":"Sarker","given":"Abdur Razzaque"},{"family":"Clemens","given":"John D."},{"family":"Qadri","given":"Firdausi"}],"editor":[{"family":"Maheu-Giroux","given":"Mathieu"}],"issued":{"date-parts":[["2018",10,9]]}}},{"id":"EgwuGF5k/NV2yGXdg","uris":["http://zotero.org/users/local/xDVOxgbN/items/YPZZPLI9"],"itemData":{"id":80,"type":"article-journal","container-title":"The Lancet Global Health","DOI":"10.1016/S2214-109X(20)30310-7","ISSN":"2214109X","issue":"8","journalAbbreviation":"The Lancet Global Health","language":"en","page":"e1081-e1089","source":"DOI.org (Crossref)","title":"Achieving coordinated national immunity and cholera elimination in Haiti through vaccination: a modelling study","title-short":"Achieving coordinated national immunity and cholera elimination in Haiti through vaccination","volume":"8","author":[{"family":"Lee","given":"Elizabeth C"},{"family":"Chao","given":"Dennis L"},{"family":"Lemaitre","given":"Joseph C"},{"family":"Matrajt","given":"Laura"},{"family":"Pasetto","given":"Damiano"},{"family":"Perez-Saez","given":"Javier"},{"family":"Finger","given":"Flavio"},{"family":"Rinaldo","given":"Andrea"},{"family":"Sugimoto","given":"Jonathan D"},{"family":"Halloran","given":"M Elizabeth"},{"family":"Longini","given":"Ira M"},{"family":"Ternier","given":"Ralph"},{"family":"Vissieres","given":"Kenia"},{"family":"Azman","given":"Andrew S"},{"family":"Lessler","given":"Justin"},{"family":"Ivers","given":"Louise C"}],"issued":{"date-parts":[["2020",8]]}}},{"id":"EgwuGF5k/lwl7uSxR","uris":["http://zotero.org/users/local/xDVOxgbN/items/C9VJ6Y9N"],"itemData":{"id":87,"type":"article-journal","abstract":"In October 2010, a virulent South Asian strain of El Tor cholera began to spread in Haiti. Interventions have included treatment of cases and improved sanitation. Use of cholera vaccines would likely have further reduced morbidity and mortality, but such vaccines are in short supply and little is known about effective vaccination strategies for epidemic cholera. We use a mathematical cholera transmission model to assess different vaccination strategies. With limited vaccine quantities, concentrating vaccine in high-risk areas is always most efficient. We show that targeting one million doses of vaccine to areas with high exposure to\n              Vibrio cholerae\n              , enough for two doses for 5% of the population, would reduce the number of cases by 11%. The same strategy with enough vaccine for 30% of the population with modest hygienic improvement could reduce cases by 55% and save 3,320 lives. For epidemic cholera, we recommend a large mobile stockpile of enough vaccine to cover 30% of a country's population to be reactively targeted to populations at high risk of exposure.","container-title":"Proceedings of the National Academy of Sciences","DOI":"10.1073/pnas.1102149108","ISSN":"0027-8424, 1091-6490","issue":"17","journalAbbreviation":"Proc. Natl. Acad. Sci. U.S.A.","language":"en","page":"7081-7085","source":"DOI.org (Crossref)","title":"Vaccination strategies for epidemic cholera in Haiti with implications for the developing world","volume":"108","author":[{"family":"Chao","given":"Dennis L."},{"family":"Halloran","given":"M. Elizabeth"},{"family":"Longini","given":"Ira M."}],"issued":{"date-parts":[["2011",4,26]]}}},{"id":"EgwuGF5k/cf7uiWML","uris":["http://zotero.org/users/local/xDVOxgbN/items/QWND6R6T"],"itemData":{"id":89,"type":"article-journal","container-title":"PLOS Neglected Tropical Diseases","DOI":"10.1371/journal.pntd.0005482","ISSN":"1935-2735","issue":"4","journalAbbreviation":"PLoS Negl Trop Dis","language":"en","page":"e0005482","source":"DOI.org (Crossref)","title":"Controlling cholera in the Ouest Department of Haiti using oral vaccines","volume":"11","author":[{"family":"Kirpich","given":"Alexander"},{"family":"Weppelmann","given":"Thomas A."},{"family":"Yang","given":"Yang"},{"family":"Morris","given":"John Glenn"},{"family":"Longini","given":"Ira M."}],"editor":[{"family":"Coudeville","given":"Laurent"}],"issued":{"date-parts":[["2017",4,14]]}}},{"id":"EgwuGF5k/o2xX9Gov","uris":["http://zotero.org/users/local/xDVOxgbN/items/TR5894IS"],"itemData":{"id":91,"type":"article-journal","abstract":"Abstract\n            \n              Background\n              Cholera is a major public health concern in displaced-person camps, which often contend with overcrowding and scarcity of resources. Maela, the largest and longest-standing refugee camp in Thailand, located along the Thai-Burmese border, experienced four cholera outbreaks between 2005 and 2010. In 2013, a cholera vaccine campaign was implemented in the camp. To assist in the evaluation of the campaign and planning for subsequent campaigns, we developed a mathematical model of cholera in Maela.\n            \n            \n              Methods\n              We formulated a Susceptible-Infectious-Water-Recovered-based transmission model and estimated parameters using incidence data from 2010. We next evaluated the reduction in cases conferred by several immunization strategies, varying timing, effectiveness, and resources (i.e., vaccine availability). After the vaccine campaign, we generated case forecasts for the next year, to inform on-the-ground decision-making regarding whether a booster campaign was needed.\n            \n            \n              Results\n              \n                We found that preexposure vaccination can substantially reduce the risk of cholera even when &lt;50\n                %\n                of the population is given the full two-dose series. Additionally, the preferred number of doses per person should be considered in the context of one vs. two dose effectiveness and vaccine availability. For reactive vaccination, a trade-off between timing and effectiveness was revealed, indicating that it may be beneficial to give one dose to more people rather than two doses to fewer people, given that a two-dose schedule would incur a delay in administration of the second dose. Forecasting using realistic coverage levels predicted that there was no need for a booster campaign in 2014 (consistent with our predictions, there was not a cholera epidemic in 2014).\n              \n            \n            \n              Conclusions\n              Our analyses suggest that vaccination in conjunction with ongoing water sanitation and hygiene efforts provides an effective strategy for controlling cholera outbreaks in refugee camps. Effective preexposure vaccination depends on timing and effectiveness. If a camp is facing an outbreak, delayed distribution of vaccines can substantially alter the effectiveness of reactive vaccination, suggesting that quick distribution of vaccines may be more important than ensuring every individual receives both vaccine doses. Overall, this analysis illustrates how mathematical models can be applied in public health practice, to assist in evaluating alternative intervention strategies and inform decision-making.","container-title":"BMC Infectious Diseases","DOI":"10.1186/s12879-019-4688-6","ISSN":"1471-2334","issue":"1","journalAbbreviation":"BMC Infect Dis","language":"en","page":"1075","source":"DOI.org (Crossref)","title":"Comparing alternative cholera vaccination strategies in Maela refugee camp: using a transmission model in public health practice","title-short":"Comparing alternative cholera vaccination strategies in Maela refugee camp","volume":"19","author":[{"family":"Havumaki","given":"Joshua"},{"family":"Meza","given":"Rafael"},{"family":"Phares","given":"Christina R."},{"family":"Date","given":"Kashmira"},{"family":"Eisenberg","given":"Marisa C."}],"issued":{"date-parts":[["2019",12]]}}},{"id":"EgwuGF5k/MVbN3Mku","uris":["http://zotero.org/users/local/xDVOxgbN/items/ZJQSH5FR"],"itemData":{"id":95,"type":"article-journal","container-title":"PLOS Neglected Tropical Diseases","DOI":"10.1371/journal.pntd.0006257","ISSN":"1935-2735","issue":"2","journalAbbreviation":"PLoS Negl Trop Dis","language":"en","page":"e0006257","source":"DOI.org (Crossref)","title":"Prolonging herd immunity to cholera via vaccination: Accounting for human mobility and waning vaccine effects","title-short":"Prolonging herd immunity to cholera via vaccination","volume":"12","author":[{"family":"Peak","given":"Corey M."},{"family":"Reilly","given":"Amanda L."},{"family":"Azman","given":"Andrew S."},{"family":"Buckee","given":"Caroline O."}],"editor":[{"family":"Marks","given":"Florian"}],"issued":{"date-parts":[["2018",2,28]]}}},{"id":"EgwuGF5k/K5w3Oly2","uris":["http://zotero.org/users/local/xDVOxgbN/items/A7JBWGAG"],"itemData":{"id":97,"type":"article-journal","container-title":"PLoS Neglected Tropical Diseases","DOI":"10.1371/journal.pntd.0001901","ISSN":"1935-2735","issue":"11","journalAbbreviation":"PLoS Negl Trop Dis","language":"en","page":"e1901","source":"DOI.org (Crossref)","title":"Urban Cholera Transmission Hotspots and Their Implications for Reactive Vaccination: Evidence from Bissau City, Guinea Bissau","title-short":"Urban Cholera Transmission Hotspots and Their Implications for Reactive Vaccination","volume":"6","author":[{"family":"Azman","given":"Andrew S."},{"family":"Luquero","given":"Francisco J."},{"family":"Rodrigues","given":"Amabelia"},{"family":"Palma","given":"Pedro Pablo"},{"family":"Grais","given":"Rebecca F."},{"family":"Banga","given":"Cunhate Na"},{"family":"Grenfell","given":"Bryan T."},{"family":"Lessler","given":"Justin"}],"editor":[{"family":"Vinetz","given":"Joseph M."}],"issued":{"date-parts":[["2012",11,8]]}}},{"id":"EgwuGF5k/N5wRjVQd","uris":["http://zotero.org/users/local/xDVOxgbN/items/37LE7P3K"],"itemData":{"id":99,"type":"article-journal","container-title":"PLoS Medicine","DOI":"10.1371/journal.pmed.0040336","ISSN":"1549-1676","issue":"11","journalAbbreviation":"PLoS Med","language":"en","page":"e336","source":"DOI.org (Crossref)","title":"Controlling Endemic Cholera with Oral Vaccines","volume":"4","author":[{"family":"Longini","given":"Ira M"},{"family":"Nizam","given":"Azhar"},{"family":"Ali","given":"Mohammad"},{"family":"Yunus","given":"Mohammad"},{"family":"Shenvi","given":"Neeta"},{"family":"Clemens","given":"John D"}],"editor":[{"family":"Von Seidlein","given":"Lorenz"}],"issued":{"date-parts":[["2007",11,27]]}}},{"id":"EgwuGF5k/fiRSlJAq","uris":["http://zotero.org/users/local/xDVOxgbN/items/DYE8YE5X"],"itemData":{"id":101,"type":"article-journal","container-title":"Vaccine","DOI":"10.1016/j.vaccine.2015.09.088","ISSN":"0264410X","issue":"46","journalAbbreviation":"Vaccine","language":"en","page":"6218-6223","source":"DOI.org (Crossref)","title":"Optimized oral cholera vaccine distribution strategies to minimize disease incidence: A mixed integer programming model and analysis of a Bangladesh scenario","title-short":"Optimized oral cholera vaccine distribution strategies to minimize disease incidence","volume":"33","author":[{"family":"Smalley","given":"Hannah K."},{"family":"Keskinocak","given":"Pinar"},{"family":"Swann","given":"Julie"},{"family":"Hinman","given":"Alan"}],"issued":{"date-parts":[["2015",11]]}}},{"id":"EgwuGF5k/H5oox5mV","uris":["http://zotero.org/users/local/xDVOxgbN/items/I4JWC6R2"],"itemData":{"id":82,"type":"article-journal","abstract":"Reactive vaccination has recently been adopted as an outbreak response tool for cholera and other infectious diseases. Owing to the global shortage of oral cholera vaccine, health officials must quickly decide who and where to distribute limited vaccine. Targeted vaccination in transmission hotspots (i.e. areas with high transmission efficiency) may be a potential approach to efficiently allocate vaccine, however its effectiveness will likely be context-dependent. We compared strategies for allocating vaccine across multiple areas with heterogeneous transmission efficiency. We constructed metapopulation models of a cholera-like disease and compared simulated epidemics where: vaccine is targeted at areas of high or low transmission efficiency, where vaccine is distributed across the population, and where no vaccine is used. We find that connectivity between populations, transmission efficiency, vaccination timing and the amount of vaccine available all shape the performance of different allocation strategies. In highly connected settings (e.g. cities) when vaccinating early in the epidemic, targeting limited vaccine at transmission hotspots is often optimal. Once vaccination is delayed, targeting the hotspot is rarely optimal, and strategies that either spread vaccine between areas or those targeted at non-hotspots will avert more cases. Although hotspots may be an intuitive outbreak control target, we show that, in many situations, the hotspot-epidemic proceeds so fast that hotspot-targeted reactive vaccination will prevent relatively few cases, and vaccination shared across areas where transmission can be sustained is often best.","container-title":"Proceedings of the Royal Society B: Biological Sciences","DOI":"10.1098/rspb.2014.1341","ISSN":"0962-8452, 1471-2954","issue":"1798","journalAbbreviation":"Proc. R. Soc. B.","language":"en","page":"20141341","source":"DOI.org (Crossref)","title":"Reactive vaccination in the presence of disease hotspots","volume":"282","author":[{"family":"Azman","given":"Andrew S."},{"family":"Lessler","given":"Justin"}],"issued":{"date-parts":[["2015",1,7]]}}}],"schema":"https://github.com/citation-style-language/schema/raw/master/csl-citation.json"} </w:instrText>
      </w:r>
      <w:r w:rsidRPr="00097432">
        <w:rPr>
          <w:vertAlign w:val="superscript"/>
        </w:rPr>
        <w:fldChar w:fldCharType="separate"/>
      </w:r>
      <w:r w:rsidR="00EA15D0" w:rsidRPr="00097432">
        <w:rPr>
          <w:vertAlign w:val="superscript"/>
        </w:rPr>
        <w:t>1–13</w:t>
      </w:r>
      <w:r w:rsidRPr="00097432">
        <w:rPr>
          <w:vertAlign w:val="superscript"/>
        </w:rPr>
        <w:fldChar w:fldCharType="end"/>
      </w:r>
      <w:r w:rsidRPr="00097432">
        <w:t xml:space="preserve">, while </w:t>
      </w:r>
      <w:r w:rsidR="00734B2E" w:rsidRPr="00097432">
        <w:t>only a few a</w:t>
      </w:r>
      <w:r w:rsidRPr="00097432">
        <w:t xml:space="preserve">rticles </w:t>
      </w:r>
      <w:r w:rsidR="00734B2E" w:rsidRPr="00097432">
        <w:t>examined</w:t>
      </w:r>
      <w:r w:rsidRPr="00097432">
        <w:t xml:space="preserve"> outbreaks across </w:t>
      </w:r>
      <w:r w:rsidR="00EA15D0" w:rsidRPr="00097432">
        <w:t>more than one</w:t>
      </w:r>
      <w:r w:rsidRPr="00097432">
        <w:t xml:space="preserve"> geographic setting</w:t>
      </w:r>
      <w:r w:rsidR="00734B2E" w:rsidRPr="00097432">
        <w:t>.</w:t>
      </w:r>
      <w:r w:rsidRPr="00097432">
        <w:rPr>
          <w:vertAlign w:val="superscript"/>
        </w:rPr>
        <w:fldChar w:fldCharType="begin"/>
      </w:r>
      <w:r w:rsidR="00345AF1">
        <w:rPr>
          <w:vertAlign w:val="superscript"/>
        </w:rPr>
        <w:instrText xml:space="preserve"> ADDIN ZOTERO_ITEM CSL_CITATION {"citationID":"d0XWZaVf","properties":{"formattedCitation":"\\super 14\\uc0\\u8211{}17\\nosupersub{}","plainCitation":"14–17","noteIndex":0},"citationItems":[{"id":"EgwuGF5k/vnWyEUA7","uris":["http://zotero.org/users/local/xDVOxgbN/items/P34TEJN2"],"itemData":{"id":93,"type":"article-journal","abstract":"Background\n              A global stockpile of oral cholera vaccine (OCV) was established in 2013 for use in outbreak response and are licensed as two-dose regimens. Vaccine availability, however, remains limited. Previous studies have found that a single dose of OCV may provide substantial protection against cholera.\n            \n            \n              Methods\n              Using a mathematical model with two age groups paired with optimization algorithms, we determine the optimal vaccination strategy with one and two doses of vaccine to minimize cumulative overall infections, symptomatic infections, and deaths. We explore counterfactual vaccination scenarios in three distinct settings: Maela, the largest refugee camp in Thailand, with high in- and out-migration; N’Djamena, Chad, a densely populated region; and Haiti, where departments are connected by rivers and roads.\n            \n            \n              Results\n              Over the short term under limited vaccine supply, the optimal strategies for all objectives prioritize one dose to the older age group (over five years old), irrespective of setting and level of vaccination coverage. As more vaccine becomes available, it is optimal to administer a second dose for long-term protection. With enough vaccine to cover the whole population with one dose, the optimal strategies can avert up to 30% to 90% of deaths and 36% to 92% of symptomatic infections across the three settings over one year. The one-dose optimal strategies can avert 1.2 to 1.8 times as many cases and deaths compared to the standard two-dose strategy.\n            \n            \n              Conclusions\n              In an outbreak setting, speedy vaccination campaigns with a single dose of OCV is likely to avert more cases and deaths than a two-dose pro-rata campaign under a limited vaccine supply.","container-title":"PLOS Neglected Tropical Diseases","DOI":"10.1371/journal.pntd.0010358","ISSN":"1935-2735","issue":"4","journalAbbreviation":"PLoS Negl Trop Dis","language":"en","page":"e0010358","source":"DOI.org (Crossref)","title":"Optimizing one-dose and two-dose cholera vaccine allocation in outbreak settings: A modeling study","title-short":"Optimizing one-dose and two-dose cholera vaccine allocation in outbreak settings","volume":"16","author":[{"family":"Leung","given":"Tiffany"},{"family":"Eaton","given":"Julia"},{"family":"Matrajt","given":"Laura"}],"editor":[{"family":"Fleckenstein","given":"James Michael"}],"issued":{"date-parts":[["2022",4,20]]}}},{"id":"EgwuGF5k/8rAvwhna","uris":["http://zotero.org/users/local/xDVOxgbN/items/D9HE3GUQ"],"itemData":{"id":78,"type":"article-journal","container-title":"PLOS Medicine","DOI":"10.1371/journal.pmed.1001867","ISSN":"1549-1676","issue":"8","journalAbbreviation":"PLoS Med","language":"en","page":"e1001867","source":"DOI.org (Crossref)","title":"The Impact of a One-Dose versus Two-Dose Oral Cholera Vaccine Regimen in Outbreak Settings: A Modeling Study","title-short":"The Impact of a One-Dose versus Two-Dose Oral Cholera Vaccine Regimen in Outbreak Settings","volume":"12","author":[{"family":"Azman","given":"Andrew S."},{"family":"Luquero","given":"Francisco J."},{"family":"Ciglenecki","given":"Iza"},{"family":"Grais","given":"Rebecca F."},{"family":"Sack","given":"David A."},{"family":"Lessler","given":"Justin"}],"editor":[{"family":"Kretzschmar","given":"Mirjam E. E."}],"issued":{"date-parts":[["2015",8,25]]}}},{"id":"EgwuGF5k/MhkXC2hV","uris":["http://zotero.org/users/local/xDVOxgbN/items/4F2U9M9L"],"itemData":{"id":84,"type":"article-journal","container-title":"Vaccine","DOI":"10.1016/j.vaccine.2016.03.004","ISSN":"0264410X","issue":"18","journalAbbreviation":"Vaccine","language":"en","page":"2113-2120","source":"DOI.org (Crossref)","title":"Impact of oral cholera vaccines in cholera-endemic countries: A mathematical modeling study","title-short":"Impact of oral cholera vaccines in cholera-endemic countries","volume":"34","author":[{"family":"Kim","given":"Jong-Hoon"},{"family":"Mogasale","given":"Vittal"},{"family":"Burgess","given":"Colleen"},{"family":"Wierzba","given":"Thomas F."}],"issued":{"date-parts":[["2016",4]]}}},{"id":"EgwuGF5k/1oUObyp0","uris":["http://zotero.org/users/local/xDVOxgbN/items/ITJIZHPY"],"itemData":{"id":143,"type":"article-journal","abstract":"Abstract\n            \n              Systematic testing for\n              Vibrio cholerae\n              O1 is rare, which means that the world’s limited supply of oral cholera vaccines (OCVs) may not be delivered to areas with the highest true cholera burden. Here we used a phenomenological model with subnational geographic targeting and fine-scale vaccine effects to model how expanding\n              V. cholerae\n              testing affected impact and cost-effectiveness for preventive vaccination campaigns across different bacteriological confirmation and vaccine targeting assumptions in 35 African countries. Systematic testing followed by OCV targeting based on confirmed cholera yielded higher efficiency and cost-effectiveness and slightly fewer averted cases than status quo scenarios targeting suspected cholera. Targeting vaccine to populations with an annual incidence rate greater than 10 per 10,000, the testing scenario averted 10.8 (95% prediction interval (PI) 9.4–12.6) cases per 1,000 fully vaccinated persons while the status quo scenario averted 6.9 (95% PI 6.0–7.8) cases per 1,000 fully vaccinated persons. In the testing scenario, testing costs increased by US$31 (95% PI 25–39) while vaccination costs reduced by US$248 (95% PI 176–326) per averted case compared to the status quo. Introduction of systematic testing into cholera surveillance could improve efficiency and reach of global OCV supply for preventive vaccination.","container-title":"Nature Medicine","DOI":"10.1038/s41591-024-02852-8","ISSN":"1078-8956, 1546-170X","journalAbbreviation":"Nat Med","language":"en","source":"DOI.org (Crossref)","title":"Enhanced cholera surveillance to improve vaccination campaign efficiency","URL":"https://www.nature.com/articles/s41591-024-02852-8","author":[{"family":"Xu","given":"Hanmeng"},{"family":"Zou","given":"Kaiyue"},{"family":"Dent","given":"Juan"},{"family":"Wiens","given":"Kirsten E."},{"family":"Malembaka","given":"Espoir Bwenge"},{"family":"Bwire","given":"Godfrey"},{"family":"Okitayemba","given":"Placide Welo"},{"family":"Hampton","given":"Lee M."},{"family":"Azman","given":"Andrew S."},{"family":"Lee","given":"Elizabeth C."}],"accessed":{"date-parts":[["2024",4,16]]},"issued":{"date-parts":[["2024",3,5]]}}}],"schema":"https://github.com/citation-style-language/schema/raw/master/csl-citation.json"} </w:instrText>
      </w:r>
      <w:r w:rsidRPr="00097432">
        <w:rPr>
          <w:vertAlign w:val="superscript"/>
        </w:rPr>
        <w:fldChar w:fldCharType="separate"/>
      </w:r>
      <w:r w:rsidR="00EA15D0" w:rsidRPr="00097432">
        <w:rPr>
          <w:vertAlign w:val="superscript"/>
        </w:rPr>
        <w:t>14–17</w:t>
      </w:r>
      <w:r w:rsidRPr="00097432">
        <w:rPr>
          <w:vertAlign w:val="superscript"/>
        </w:rPr>
        <w:fldChar w:fldCharType="end"/>
      </w:r>
      <w:r w:rsidRPr="00097432">
        <w:t xml:space="preserve"> </w:t>
      </w:r>
      <w:r w:rsidR="00734B2E" w:rsidRPr="00097432">
        <w:t>These studies</w:t>
      </w:r>
      <w:r w:rsidRPr="00097432">
        <w:t xml:space="preserve"> </w:t>
      </w:r>
      <w:r w:rsidR="00734B2E" w:rsidRPr="00097432">
        <w:t xml:space="preserve">varied significantly in campaign type, including </w:t>
      </w:r>
      <w:r w:rsidRPr="00097432">
        <w:t xml:space="preserve">reactive mass campaigns, proactive campaigns, “hotspot” or area-targeted campaigns. </w:t>
      </w:r>
      <w:r w:rsidR="00734B2E" w:rsidRPr="00097432">
        <w:t>Varia</w:t>
      </w:r>
      <w:r w:rsidR="00F61142" w:rsidRPr="00097432">
        <w:rPr>
          <w:rFonts w:hint="eastAsia"/>
        </w:rPr>
        <w:t>bility</w:t>
      </w:r>
      <w:r w:rsidR="00734B2E" w:rsidRPr="00097432">
        <w:t xml:space="preserve"> in outbreak size, duration, and modeling parameters—such as vaccine delivery and immunogenicity delays—were also common.</w:t>
      </w:r>
      <w:r w:rsidR="00504935" w:rsidRPr="00097432">
        <w:t xml:space="preserve"> </w:t>
      </w:r>
      <w:r w:rsidRPr="00097432">
        <w:t>For example, while some authors assumed protection immediately following vaccination</w:t>
      </w:r>
      <w:r w:rsidR="00427DD4" w:rsidRPr="00097432">
        <w:t xml:space="preserve"> </w:t>
      </w:r>
      <w:r w:rsidRPr="00097432">
        <w:rPr>
          <w:vertAlign w:val="superscript"/>
        </w:rPr>
        <w:fldChar w:fldCharType="begin"/>
      </w:r>
      <w:r w:rsidR="00345AF1">
        <w:rPr>
          <w:vertAlign w:val="superscript"/>
        </w:rPr>
        <w:instrText xml:space="preserve"> ADDIN ZOTERO_ITEM CSL_CITATION {"citationID":"hxdwoJZp","properties":{"formattedCitation":"\\super 9,13\\uc0\\u8211{}15\\nosupersub{}","plainCitation":"9,13–15","noteIndex":0},"citationItems":[{"id":"EgwuGF5k/MVbN3Mku","uris":["http://zotero.org/users/local/xDVOxgbN/items/ZJQSH5FR"],"itemData":{"id":95,"type":"article-journal","container-title":"PLOS Neglected Tropical Diseases","DOI":"10.1371/journal.pntd.0006257","ISSN":"1935-2735","issue":"2","journalAbbreviation":"PLoS Negl Trop Dis","language":"en","page":"e0006257","source":"DOI.org (Crossref)","title":"Prolonging herd immunity to cholera via vaccination: Accounting for human mobility and waning vaccine effects","title-short":"Prolonging herd immunity to cholera via vaccination","volume":"12","author":[{"family":"Peak","given":"Corey M."},{"family":"Reilly","given":"Amanda L."},{"family":"Azman","given":"Andrew S."},{"family":"Buckee","given":"Caroline O."}],"editor":[{"family":"Marks","given":"Florian"}],"issued":{"date-parts":[["2018",2,28]]}}},{"id":"EgwuGF5k/vnWyEUA7","uris":["http://zotero.org/users/local/xDVOxgbN/items/P34TEJN2"],"itemData":{"id":93,"type":"article-journal","abstract":"Background\n              A global stockpile of oral cholera vaccine (OCV) was established in 2013 for use in outbreak response and are licensed as two-dose regimens. Vaccine availability, however, remains limited. Previous studies have found that a single dose of OCV may provide substantial protection against cholera.\n            \n            \n              Methods\n              Using a mathematical model with two age groups paired with optimization algorithms, we determine the optimal vaccination strategy with one and two doses of vaccine to minimize cumulative overall infections, symptomatic infections, and deaths. We explore counterfactual vaccination scenarios in three distinct settings: Maela, the largest refugee camp in Thailand, with high in- and out-migration; N’Djamena, Chad, a densely populated region; and Haiti, where departments are connected by rivers and roads.\n            \n            \n              Results\n              Over the short term under limited vaccine supply, the optimal strategies for all objectives prioritize one dose to the older age group (over five years old), irrespective of setting and level of vaccination coverage. As more vaccine becomes available, it is optimal to administer a second dose for long-term protection. With enough vaccine to cover the whole population with one dose, the optimal strategies can avert up to 30% to 90% of deaths and 36% to 92% of symptomatic infections across the three settings over one year. The one-dose optimal strategies can avert 1.2 to 1.8 times as many cases and deaths compared to the standard two-dose strategy.\n            \n            \n              Conclusions\n              In an outbreak setting, speedy vaccination campaigns with a single dose of OCV is likely to avert more cases and deaths than a two-dose pro-rata campaign under a limited vaccine supply.","container-title":"PLOS Neglected Tropical Diseases","DOI":"10.1371/journal.pntd.0010358","ISSN":"1935-2735","issue":"4","journalAbbreviation":"PLoS Negl Trop Dis","language":"en","page":"e0010358","source":"DOI.org (Crossref)","title":"Optimizing one-dose and two-dose cholera vaccine allocation in outbreak settings: A modeling study","title-short":"Optimizing one-dose and two-dose cholera vaccine allocation in outbreak settings","volume":"16","author":[{"family":"Leung","given":"Tiffany"},{"family":"Eaton","given":"Julia"},{"family":"Matrajt","given":"Laura"}],"editor":[{"family":"Fleckenstein","given":"James Michael"}],"issued":{"date-parts":[["2022",4,20]]}}},{"id":"EgwuGF5k/8rAvwhna","uris":["http://zotero.org/users/local/xDVOxgbN/items/D9HE3GUQ"],"itemData":{"id":78,"type":"article-journal","container-title":"PLOS Medicine","DOI":"10.1371/journal.pmed.1001867","ISSN":"1549-1676","issue":"8","journalAbbreviation":"PLoS Med","language":"en","page":"e1001867","source":"DOI.org (Crossref)","title":"The Impact of a One-Dose versus Two-Dose Oral Cholera Vaccine Regimen in Outbreak Settings: A Modeling Study","title-short":"The Impact of a One-Dose versus Two-Dose Oral Cholera Vaccine Regimen in Outbreak Settings","volume":"12","author":[{"family":"Azman","given":"Andrew S."},{"family":"Luquero","given":"Francisco J."},{"family":"Ciglenecki","given":"Iza"},{"family":"Grais","given":"Rebecca F."},{"family":"Sack","given":"David A."},{"family":"Lessler","given":"Justin"}],"editor":[{"family":"Kretzschmar","given":"Mirjam E. E."}],"issued":{"date-parts":[["2015",8,25]]}}},{"id":"EgwuGF5k/H5oox5mV","uris":["http://zotero.org/users/local/xDVOxgbN/items/I4JWC6R2"],"itemData":{"id":82,"type":"article-journal","abstract":"Reactive vaccination has recently been adopted as an outbreak response tool for cholera and other infectious diseases. Owing to the global shortage of oral cholera vaccine, health officials must quickly decide who and where to distribute limited vaccine. Targeted vaccination in transmission hotspots (i.e. areas with high transmission efficiency) may be a potential approach to efficiently allocate vaccine, however its effectiveness will likely be context-dependent. We compared strategies for allocating vaccine across multiple areas with heterogeneous transmission efficiency. We constructed metapopulation models of a cholera-like disease and compared simulated epidemics where: vaccine is targeted at areas of high or low transmission efficiency, where vaccine is distributed across the population, and where no vaccine is used. We find that connectivity between populations, transmission efficiency, vaccination timing and the amount of vaccine available all shape the performance of different allocation strategies. In highly connected settings (e.g. cities) when vaccinating early in the epidemic, targeting limited vaccine at transmission hotspots is often optimal. Once vaccination is delayed, targeting the hotspot is rarely optimal, and strategies that either spread vaccine between areas or those targeted at non-hotspots will avert more cases. Although hotspots may be an intuitive outbreak control target, we show that, in many situations, the hotspot-epidemic proceeds so fast that hotspot-targeted reactive vaccination will prevent relatively few cases, and vaccination shared across areas where transmission can be sustained is often best.","container-title":"Proceedings of the Royal Society B: Biological Sciences","DOI":"10.1098/rspb.2014.1341","ISSN":"0962-8452, 1471-2954","issue":"1798","journalAbbreviation":"Proc. R. Soc. B.","language":"en","page":"20141341","source":"DOI.org (Crossref)","title":"Reactive vaccination in the presence of disease hotspots","volume":"282","author":[{"family":"Azman","given":"Andrew S."},{"family":"Lessler","given":"Justin"}],"issued":{"date-parts":[["2015",1,7]]}}}],"schema":"https://github.com/citation-style-language/schema/raw/master/csl-citation.json"} </w:instrText>
      </w:r>
      <w:r w:rsidRPr="00097432">
        <w:rPr>
          <w:vertAlign w:val="superscript"/>
        </w:rPr>
        <w:fldChar w:fldCharType="separate"/>
      </w:r>
      <w:r w:rsidR="00EA15D0" w:rsidRPr="00097432">
        <w:rPr>
          <w:vertAlign w:val="superscript"/>
        </w:rPr>
        <w:t>9,13–15</w:t>
      </w:r>
      <w:r w:rsidRPr="00097432">
        <w:rPr>
          <w:vertAlign w:val="superscript"/>
        </w:rPr>
        <w:fldChar w:fldCharType="end"/>
      </w:r>
      <w:r w:rsidRPr="00097432">
        <w:t>, others considered a lag between vaccination and protection</w:t>
      </w:r>
      <w:r w:rsidR="00F61142" w:rsidRPr="00097432">
        <w:rPr>
          <w:rFonts w:hint="eastAsia"/>
        </w:rPr>
        <w:t>.</w:t>
      </w:r>
      <w:r w:rsidRPr="00097432">
        <w:rPr>
          <w:vertAlign w:val="superscript"/>
        </w:rPr>
        <w:fldChar w:fldCharType="begin"/>
      </w:r>
      <w:r w:rsidR="00345AF1">
        <w:rPr>
          <w:vertAlign w:val="superscript"/>
        </w:rPr>
        <w:instrText xml:space="preserve"> ADDIN ZOTERO_ITEM CSL_CITATION {"citationID":"XbAfQysx","properties":{"formattedCitation":"\\super 1,6,8,10\\nosupersub{}","plainCitation":"1,6,8,10","noteIndex":0},"citationItems":[{"id":"EgwuGF5k/Hmz3wwbU","uris":["http://zotero.org/users/local/xDVOxgbN/items/3KCFPCDX"],"itemData":{"id":67,"type":"article-journal","container-title":"PLOS Medicine","DOI":"10.1371/journal.pmed.1002509","ISSN":"1549-1676","issue":"2","journalAbbreviation":"PLoS Med","language":"en","page":"e1002509","source":"DOI.org (Crossref)","title":"The potential impact of case-area targeted interventions in response to cholera outbreaks: A modeling study","title-short":"The potential impact of case-area targeted interventions in response to cholera outbreaks","volume":"15","author":[{"family":"Finger","given":"Flavio"},{"family":"Bertuzzo","given":"Enrico"},{"family":"Luquero","given":"Francisco J."},{"family":"Naibei","given":"Nathan"},{"family":"Touré","given":"Brahima"},{"family":"Allan","given":"Maya"},{"family":"Porten","given":"Klaudia"},{"family":"Lessler","given":"Justin"},{"family":"Rinaldo","given":"Andrea"},{"family":"Azman","given":"Andrew S."}],"editor":[{"family":"Von Seidlein","given":"Lorenz"}],"issued":{"date-parts":[["2018",2,27]]}}},{"id":"EgwuGF5k/lwl7uSxR","uris":["http://zotero.org/users/local/xDVOxgbN/items/C9VJ6Y9N"],"itemData":{"id":87,"type":"article-journal","abstract":"In October 2010, a virulent South Asian strain of El Tor cholera began to spread in Haiti. Interventions have included treatment of cases and improved sanitation. Use of cholera vaccines would likely have further reduced morbidity and mortality, but such vaccines are in short supply and little is known about effective vaccination strategies for epidemic cholera. We use a mathematical cholera transmission model to assess different vaccination strategies. With limited vaccine quantities, concentrating vaccine in high-risk areas is always most efficient. We show that targeting one million doses of vaccine to areas with high exposure to\n              Vibrio cholerae\n              , enough for two doses for 5% of the population, would reduce the number of cases by 11%. The same strategy with enough vaccine for 30% of the population with modest hygienic improvement could reduce cases by 55% and save 3,320 lives. For epidemic cholera, we recommend a large mobile stockpile of enough vaccine to cover 30% of a country's population to be reactively targeted to populations at high risk of exposure.","container-title":"Proceedings of the National Academy of Sciences","DOI":"10.1073/pnas.1102149108","ISSN":"0027-8424, 1091-6490","issue":"17","journalAbbreviation":"Proc. Natl. Acad. Sci. U.S.A.","language":"en","page":"7081-7085","source":"DOI.org (Crossref)","title":"Vaccination strategies for epidemic cholera in Haiti with implications for the developing world","volume":"108","author":[{"family":"Chao","given":"Dennis L."},{"family":"Halloran","given":"M. Elizabeth"},{"family":"Longini","given":"Ira M."}],"issued":{"date-parts":[["2011",4,26]]}}},{"id":"EgwuGF5k/o2xX9Gov","uris":["http://zotero.org/users/local/xDVOxgbN/items/TR5894IS"],"itemData":{"id":91,"type":"article-journal","abstract":"Abstract\n            \n              Background\n              Cholera is a major public health concern in displaced-person camps, which often contend with overcrowding and scarcity of resources. Maela, the largest and longest-standing refugee camp in Thailand, located along the Thai-Burmese border, experienced four cholera outbreaks between 2005 and 2010. In 2013, a cholera vaccine campaign was implemented in the camp. To assist in the evaluation of the campaign and planning for subsequent campaigns, we developed a mathematical model of cholera in Maela.\n            \n            \n              Methods\n              We formulated a Susceptible-Infectious-Water-Recovered-based transmission model and estimated parameters using incidence data from 2010. We next evaluated the reduction in cases conferred by several immunization strategies, varying timing, effectiveness, and resources (i.e., vaccine availability). After the vaccine campaign, we generated case forecasts for the next year, to inform on-the-ground decision-making regarding whether a booster campaign was needed.\n            \n            \n              Results\n              \n                We found that preexposure vaccination can substantially reduce the risk of cholera even when &lt;50\n                %\n                of the population is given the full two-dose series. Additionally, the preferred number of doses per person should be considered in the context of one vs. two dose effectiveness and vaccine availability. For reactive vaccination, a trade-off between timing and effectiveness was revealed, indicating that it may be beneficial to give one dose to more people rather than two doses to fewer people, given that a two-dose schedule would incur a delay in administration of the second dose. Forecasting using realistic coverage levels predicted that there was no need for a booster campaign in 2014 (consistent with our predictions, there was not a cholera epidemic in 2014).\n              \n            \n            \n              Conclusions\n              Our analyses suggest that vaccination in conjunction with ongoing water sanitation and hygiene efforts provides an effective strategy for controlling cholera outbreaks in refugee camps. Effective preexposure vaccination depends on timing and effectiveness. If a camp is facing an outbreak, delayed distribution of vaccines can substantially alter the effectiveness of reactive vaccination, suggesting that quick distribution of vaccines may be more important than ensuring every individual receives both vaccine doses. Overall, this analysis illustrates how mathematical models can be applied in public health practice, to assist in evaluating alternative intervention strategies and inform decision-making.","container-title":"BMC Infectious Diseases","DOI":"10.1186/s12879-019-4688-6","ISSN":"1471-2334","issue":"1","journalAbbreviation":"BMC Infect Dis","language":"en","page":"1075","source":"DOI.org (Crossref)","title":"Comparing alternative cholera vaccination strategies in Maela refugee camp: using a transmission model in public health practice","title-short":"Comparing alternative cholera vaccination strategies in Maela refugee camp","volume":"19","author":[{"family":"Havumaki","given":"Joshua"},{"family":"Meza","given":"Rafael"},{"family":"Phares","given":"Christina R."},{"family":"Date","given":"Kashmira"},{"family":"Eisenberg","given":"Marisa C."}],"issued":{"date-parts":[["2019",12]]}}},{"id":"EgwuGF5k/K5w3Oly2","uris":["http://zotero.org/users/local/xDVOxgbN/items/A7JBWGAG"],"itemData":{"id":97,"type":"article-journal","container-title":"PLoS Neglected Tropical Diseases","DOI":"10.1371/journal.pntd.0001901","ISSN":"1935-2735","issue":"11","journalAbbreviation":"PLoS Negl Trop Dis","language":"en","page":"e1901","source":"DOI.org (Crossref)","title":"Urban Cholera Transmission Hotspots and Their Implications for Reactive Vaccination: Evidence from Bissau City, Guinea Bissau","title-short":"Urban Cholera Transmission Hotspots and Their Implications for Reactive Vaccination","volume":"6","author":[{"family":"Azman","given":"Andrew S."},{"family":"Luquero","given":"Francisco J."},{"family":"Rodrigues","given":"Amabelia"},{"family":"Palma","given":"Pedro Pablo"},{"family":"Grais","given":"Rebecca F."},{"family":"Banga","given":"Cunhate Na"},{"family":"Grenfell","given":"Bryan T."},{"family":"Lessler","given":"Justin"}],"editor":[{"family":"Vinetz","given":"Joseph M."}],"issued":{"date-parts":[["2012",11,8]]}}}],"schema":"https://github.com/citation-style-language/schema/raw/master/csl-citation.json"} </w:instrText>
      </w:r>
      <w:r w:rsidRPr="00097432">
        <w:rPr>
          <w:vertAlign w:val="superscript"/>
        </w:rPr>
        <w:fldChar w:fldCharType="separate"/>
      </w:r>
      <w:r w:rsidR="00EA15D0" w:rsidRPr="00097432">
        <w:rPr>
          <w:vertAlign w:val="superscript"/>
        </w:rPr>
        <w:t>1,6,8,10</w:t>
      </w:r>
      <w:r w:rsidRPr="00097432">
        <w:rPr>
          <w:vertAlign w:val="superscript"/>
        </w:rPr>
        <w:fldChar w:fldCharType="end"/>
      </w:r>
      <w:r w:rsidR="00504935" w:rsidRPr="00097432">
        <w:t xml:space="preserve"> Most prior models focused on large outbreaks (e.g., Zimbabwe with 98,591 cases or Haiti with 119,902 cases)</w:t>
      </w:r>
      <w:r w:rsidR="00504935" w:rsidRPr="00097432">
        <w:rPr>
          <w:vertAlign w:val="superscript"/>
        </w:rPr>
        <w:fldChar w:fldCharType="begin"/>
      </w:r>
      <w:r w:rsidR="00345AF1">
        <w:rPr>
          <w:vertAlign w:val="superscript"/>
        </w:rPr>
        <w:instrText xml:space="preserve"> ADDIN ZOTERO_ITEM CSL_CITATION {"citationID":"6odv1JBj","properties":{"formattedCitation":"\\super 8,15\\nosupersub{}","plainCitation":"8,15","noteIndex":0},"citationItems":[{"id":"EgwuGF5k/o2xX9Gov","uris":["http://zotero.org/users/local/xDVOxgbN/items/TR5894IS"],"itemData":{"id":91,"type":"article-journal","abstract":"Abstract\n            \n              Background\n              Cholera is a major public health concern in displaced-person camps, which often contend with overcrowding and scarcity of resources. Maela, the largest and longest-standing refugee camp in Thailand, located along the Thai-Burmese border, experienced four cholera outbreaks between 2005 and 2010. In 2013, a cholera vaccine campaign was implemented in the camp. To assist in the evaluation of the campaign and planning for subsequent campaigns, we developed a mathematical model of cholera in Maela.\n            \n            \n              Methods\n              We formulated a Susceptible-Infectious-Water-Recovered-based transmission model and estimated parameters using incidence data from 2010. We next evaluated the reduction in cases conferred by several immunization strategies, varying timing, effectiveness, and resources (i.e., vaccine availability). After the vaccine campaign, we generated case forecasts for the next year, to inform on-the-ground decision-making regarding whether a booster campaign was needed.\n            \n            \n              Results\n              \n                We found that preexposure vaccination can substantially reduce the risk of cholera even when &lt;50\n                %\n                of the population is given the full two-dose series. Additionally, the preferred number of doses per person should be considered in the context of one vs. two dose effectiveness and vaccine availability. For reactive vaccination, a trade-off between timing and effectiveness was revealed, indicating that it may be beneficial to give one dose to more people rather than two doses to fewer people, given that a two-dose schedule would incur a delay in administration of the second dose. Forecasting using realistic coverage levels predicted that there was no need for a booster campaign in 2014 (consistent with our predictions, there was not a cholera epidemic in 2014).\n              \n            \n            \n              Conclusions\n              Our analyses suggest that vaccination in conjunction with ongoing water sanitation and hygiene efforts provides an effective strategy for controlling cholera outbreaks in refugee camps. Effective preexposure vaccination depends on timing and effectiveness. If a camp is facing an outbreak, delayed distribution of vaccines can substantially alter the effectiveness of reactive vaccination, suggesting that quick distribution of vaccines may be more important than ensuring every individual receives both vaccine doses. Overall, this analysis illustrates how mathematical models can be applied in public health practice, to assist in evaluating alternative intervention strategies and inform decision-making.","container-title":"BMC Infectious Diseases","DOI":"10.1186/s12879-019-4688-6","ISSN":"1471-2334","issue":"1","journalAbbreviation":"BMC Infect Dis","language":"en","page":"1075","source":"DOI.org (Crossref)","title":"Comparing alternative cholera vaccination strategies in Maela refugee camp: using a transmission model in public health practice","title-short":"Comparing alternative cholera vaccination strategies in Maela refugee camp","volume":"19","author":[{"family":"Havumaki","given":"Joshua"},{"family":"Meza","given":"Rafael"},{"family":"Phares","given":"Christina R."},{"family":"Date","given":"Kashmira"},{"family":"Eisenberg","given":"Marisa C."}],"issued":{"date-parts":[["2019",12]]}}},{"id":"EgwuGF5k/8rAvwhna","uris":["http://zotero.org/users/local/xDVOxgbN/items/D9HE3GUQ"],"itemData":{"id":78,"type":"article-journal","container-title":"PLOS Medicine","DOI":"10.1371/journal.pmed.1001867","ISSN":"1549-1676","issue":"8","journalAbbreviation":"PLoS Med","language":"en","page":"e1001867","source":"DOI.org (Crossref)","title":"The Impact of a One-Dose versus Two-Dose Oral Cholera Vaccine Regimen in Outbreak Settings: A Modeling Study","title-short":"The Impact of a One-Dose versus Two-Dose Oral Cholera Vaccine Regimen in Outbreak Settings","volume":"12","author":[{"family":"Azman","given":"Andrew S."},{"family":"Luquero","given":"Francisco J."},{"family":"Ciglenecki","given":"Iza"},{"family":"Grais","given":"Rebecca F."},{"family":"Sack","given":"David A."},{"family":"Lessler","given":"Justin"}],"editor":[{"family":"Kretzschmar","given":"Mirjam E. E."}],"issued":{"date-parts":[["2015",8,25]]}}}],"schema":"https://github.com/citation-style-language/schema/raw/master/csl-citation.json"} </w:instrText>
      </w:r>
      <w:r w:rsidR="00504935" w:rsidRPr="00097432">
        <w:rPr>
          <w:vertAlign w:val="superscript"/>
        </w:rPr>
        <w:fldChar w:fldCharType="separate"/>
      </w:r>
      <w:r w:rsidR="00504935" w:rsidRPr="00097432">
        <w:rPr>
          <w:vertAlign w:val="superscript"/>
        </w:rPr>
        <w:t>8,15</w:t>
      </w:r>
      <w:r w:rsidR="00504935" w:rsidRPr="00097432">
        <w:rPr>
          <w:vertAlign w:val="superscript"/>
        </w:rPr>
        <w:fldChar w:fldCharType="end"/>
      </w:r>
      <w:r w:rsidR="00504935" w:rsidRPr="00097432">
        <w:t xml:space="preserve"> and lacked small or short-duration outbreaks. These gaps highlight the need for models that reflect a broader spectrum of outbreak characteristics to enhance the generalizability of vaccine impact assessments.</w:t>
      </w:r>
    </w:p>
    <w:p w14:paraId="1CF1AA95" w14:textId="77777777" w:rsidR="005C235E" w:rsidRPr="00097432" w:rsidRDefault="005C235E" w:rsidP="00F57F15"/>
    <w:p w14:paraId="235EAC46" w14:textId="77777777" w:rsidR="009A2C69" w:rsidRPr="00097432" w:rsidRDefault="009A2C69" w:rsidP="00F57F15">
      <w:pPr>
        <w:rPr>
          <w:b/>
          <w:bCs/>
        </w:rPr>
      </w:pPr>
      <w:r w:rsidRPr="00097432">
        <w:rPr>
          <w:b/>
          <w:bCs/>
        </w:rPr>
        <w:t>Added value of this study</w:t>
      </w:r>
    </w:p>
    <w:p w14:paraId="1E46796F" w14:textId="018D06F4" w:rsidR="00504935" w:rsidRPr="00097432" w:rsidRDefault="00504935" w:rsidP="00F57F15">
      <w:r w:rsidRPr="00097432">
        <w:t xml:space="preserve">To our knowledge, this is the first study to model cholera vaccine impact across a large, diverse dataset of outbreaks from multiple temporal and geographic contexts in sub-Saharan Africa. By analyzing 1,406 unique outbreaks from 2010 to 2023—ranging in size, duration, </w:t>
      </w:r>
      <w:r w:rsidR="00F61142" w:rsidRPr="00097432">
        <w:rPr>
          <w:rFonts w:hint="eastAsia"/>
        </w:rPr>
        <w:t xml:space="preserve">attack rate, </w:t>
      </w:r>
      <w:r w:rsidRPr="00097432">
        <w:t xml:space="preserve">and population dynamics—our model offers a comprehensive and generalizable framework for evaluating oral cholera vaccine (OCV) impact in outbreak response immunizations (ORIs). Unlike previous studies focused on isolated large outbreaks, our approach captures the variability of outbreaks in their responses to vaccination timing and coverage. This broader modeling framework provides insights into </w:t>
      </w:r>
      <w:r w:rsidRPr="00097432">
        <w:lastRenderedPageBreak/>
        <w:t>cases and deaths averted and the cost-effectiveness of ORI campaigns across different outbreak characteristics and resource allocation strategies.</w:t>
      </w:r>
    </w:p>
    <w:p w14:paraId="657A07DC" w14:textId="77777777" w:rsidR="00504935" w:rsidRPr="00097432" w:rsidRDefault="00504935" w:rsidP="00F57F15"/>
    <w:p w14:paraId="2A510C3C" w14:textId="163375D2" w:rsidR="008A2A00" w:rsidRPr="00097432" w:rsidRDefault="009A2C69" w:rsidP="003D74EE">
      <w:r w:rsidRPr="00097432">
        <w:rPr>
          <w:b/>
          <w:bCs/>
        </w:rPr>
        <w:t>Implications of the available evidence</w:t>
      </w:r>
      <w:r w:rsidRPr="00097432">
        <w:br/>
      </w:r>
      <w:r w:rsidR="00504935" w:rsidRPr="00097432">
        <w:t xml:space="preserve">Our study offers critical insights for guiding global cholera vaccine </w:t>
      </w:r>
      <w:r w:rsidR="00B72C4A" w:rsidRPr="00097432">
        <w:t>implementation strategy</w:t>
      </w:r>
      <w:r w:rsidR="00504935" w:rsidRPr="00097432">
        <w:t xml:space="preserve">. We demonstrate that ORI effectiveness declines by half </w:t>
      </w:r>
      <w:r w:rsidR="00F61142" w:rsidRPr="00097432">
        <w:rPr>
          <w:rFonts w:hint="eastAsia"/>
        </w:rPr>
        <w:t xml:space="preserve">approximately </w:t>
      </w:r>
      <w:r w:rsidR="00504935" w:rsidRPr="00097432">
        <w:t xml:space="preserve">every </w:t>
      </w:r>
      <w:r w:rsidR="00FC5766" w:rsidRPr="00097432">
        <w:rPr>
          <w:rFonts w:hint="eastAsia"/>
        </w:rPr>
        <w:t>four</w:t>
      </w:r>
      <w:r w:rsidR="00504935" w:rsidRPr="00097432">
        <w:t xml:space="preserve"> weeks during the first 1</w:t>
      </w:r>
      <w:r w:rsidR="00FC5766" w:rsidRPr="00097432">
        <w:rPr>
          <w:rFonts w:hint="eastAsia"/>
        </w:rPr>
        <w:t>5</w:t>
      </w:r>
      <w:r w:rsidR="00504935" w:rsidRPr="00097432">
        <w:t xml:space="preserve"> weeks of delay, underscoring the importance of timely campaign </w:t>
      </w:r>
      <w:r w:rsidR="00B72C4A" w:rsidRPr="00097432">
        <w:t>implementation</w:t>
      </w:r>
      <w:r w:rsidR="00504935" w:rsidRPr="00097432">
        <w:t>. Despite these delays, ORIs remain highly effective for large, prolonged outbreaks, even when initiated as late as nine weeks post-outbreak onset.</w:t>
      </w:r>
      <w:r w:rsidR="00FB0583" w:rsidRPr="00097432">
        <w:t xml:space="preserve"> </w:t>
      </w:r>
      <w:r w:rsidR="00504935" w:rsidRPr="00097432">
        <w:t xml:space="preserve">For example, with a 9-week delay, the median number of cases averted was 6 (&lt;5%) across all outbreaks, whereas the largest 10% of outbreaks saw a median of 1,338 cases averted (&gt;40%). When </w:t>
      </w:r>
      <w:r w:rsidR="008C1320" w:rsidRPr="00097432">
        <w:rPr>
          <w:rFonts w:hint="eastAsia"/>
        </w:rPr>
        <w:t xml:space="preserve">the </w:t>
      </w:r>
      <w:r w:rsidR="00F61142" w:rsidRPr="00097432">
        <w:rPr>
          <w:rFonts w:hint="eastAsia"/>
        </w:rPr>
        <w:t xml:space="preserve">vaccine impact </w:t>
      </w:r>
      <w:r w:rsidR="008C1320" w:rsidRPr="00097432">
        <w:t>is</w:t>
      </w:r>
      <w:r w:rsidR="00F61142" w:rsidRPr="00097432">
        <w:rPr>
          <w:rFonts w:hint="eastAsia"/>
        </w:rPr>
        <w:t xml:space="preserve"> </w:t>
      </w:r>
      <w:r w:rsidR="00773EF3" w:rsidRPr="00097432">
        <w:rPr>
          <w:rFonts w:hint="eastAsia"/>
        </w:rPr>
        <w:t xml:space="preserve">assessed across </w:t>
      </w:r>
      <w:r w:rsidR="00F61142" w:rsidRPr="00097432">
        <w:rPr>
          <w:rFonts w:hint="eastAsia"/>
        </w:rPr>
        <w:t>outbreaks</w:t>
      </w:r>
      <w:r w:rsidR="00773EF3" w:rsidRPr="00097432">
        <w:rPr>
          <w:rFonts w:hint="eastAsia"/>
        </w:rPr>
        <w:t xml:space="preserve"> collectively</w:t>
      </w:r>
      <w:r w:rsidR="00504935" w:rsidRPr="00097432">
        <w:t xml:space="preserve">, </w:t>
      </w:r>
      <w:r w:rsidR="002501A0" w:rsidRPr="00097432">
        <w:rPr>
          <w:rFonts w:hint="eastAsia"/>
        </w:rPr>
        <w:t xml:space="preserve">overall </w:t>
      </w:r>
      <w:r w:rsidR="00773EF3" w:rsidRPr="00097432">
        <w:rPr>
          <w:rFonts w:hint="eastAsia"/>
        </w:rPr>
        <w:t xml:space="preserve">percent reduction in cases </w:t>
      </w:r>
      <w:r w:rsidR="00504935" w:rsidRPr="00097432">
        <w:t>reach</w:t>
      </w:r>
      <w:r w:rsidR="002501A0" w:rsidRPr="00097432">
        <w:rPr>
          <w:rFonts w:hint="eastAsia"/>
        </w:rPr>
        <w:t>es</w:t>
      </w:r>
      <w:r w:rsidR="00504935" w:rsidRPr="00097432">
        <w:t xml:space="preserve"> </w:t>
      </w:r>
      <w:r w:rsidR="00FC5766" w:rsidRPr="00097432">
        <w:t>27.7</w:t>
      </w:r>
      <w:r w:rsidR="00FC5766" w:rsidRPr="00097432">
        <w:rPr>
          <w:rFonts w:hint="eastAsia"/>
        </w:rPr>
        <w:t>% [IQR:</w:t>
      </w:r>
      <w:r w:rsidR="00FC5766" w:rsidRPr="00097432">
        <w:t xml:space="preserve"> 25.1</w:t>
      </w:r>
      <w:r w:rsidR="00FC5766" w:rsidRPr="00097432">
        <w:rPr>
          <w:rFonts w:hint="eastAsia"/>
        </w:rPr>
        <w:t>,</w:t>
      </w:r>
      <w:r w:rsidR="00FC5766" w:rsidRPr="00097432">
        <w:t xml:space="preserve"> 30.2]</w:t>
      </w:r>
      <w:r w:rsidR="00A04D26" w:rsidRPr="00097432">
        <w:t xml:space="preserve"> </w:t>
      </w:r>
      <w:r w:rsidR="00A04D26" w:rsidRPr="00097432">
        <w:rPr>
          <w:rFonts w:hint="eastAsia"/>
        </w:rPr>
        <w:t xml:space="preserve">and </w:t>
      </w:r>
      <w:r w:rsidR="00FC5766" w:rsidRPr="00097432">
        <w:t xml:space="preserve">0.435 </w:t>
      </w:r>
      <w:r w:rsidR="00FC5766" w:rsidRPr="00097432">
        <w:rPr>
          <w:rFonts w:hint="eastAsia"/>
        </w:rPr>
        <w:t>[IQR:</w:t>
      </w:r>
      <w:r w:rsidR="00FC5766" w:rsidRPr="00097432">
        <w:t>0.401 - 0.477</w:t>
      </w:r>
      <w:r w:rsidR="00FC5766" w:rsidRPr="00097432">
        <w:rPr>
          <w:rFonts w:hint="eastAsia"/>
        </w:rPr>
        <w:t xml:space="preserve">] </w:t>
      </w:r>
      <w:r w:rsidR="00A04D26" w:rsidRPr="00097432">
        <w:rPr>
          <w:rFonts w:hint="eastAsia"/>
        </w:rPr>
        <w:t xml:space="preserve">cases </w:t>
      </w:r>
      <w:r w:rsidR="008C1320" w:rsidRPr="00097432">
        <w:rPr>
          <w:rFonts w:hint="eastAsia"/>
        </w:rPr>
        <w:t xml:space="preserve">are averted </w:t>
      </w:r>
      <w:r w:rsidR="00A04D26" w:rsidRPr="00097432">
        <w:rPr>
          <w:rFonts w:hint="eastAsia"/>
        </w:rPr>
        <w:t>per 1,000 OCVs</w:t>
      </w:r>
      <w:r w:rsidR="00773EF3" w:rsidRPr="00097432">
        <w:rPr>
          <w:rFonts w:hint="eastAsia"/>
        </w:rPr>
        <w:t xml:space="preserve">. </w:t>
      </w:r>
      <w:r w:rsidR="008C1320" w:rsidRPr="00097432">
        <w:rPr>
          <w:rFonts w:hint="eastAsia"/>
        </w:rPr>
        <w:t xml:space="preserve">These impacts can be further amplified if ORI </w:t>
      </w:r>
      <w:r w:rsidR="00504935" w:rsidRPr="00097432">
        <w:t>campaigns are prioritized for large outbreaks. These findings highlight the need for targeted vaccination strategies that prioritize high-burden outbreaks</w:t>
      </w:r>
      <w:r w:rsidR="00FC5766" w:rsidRPr="00097432">
        <w:rPr>
          <w:rFonts w:hint="eastAsia"/>
        </w:rPr>
        <w:t>,</w:t>
      </w:r>
      <w:r w:rsidR="00504935" w:rsidRPr="00097432">
        <w:t xml:space="preserve"> enabling more efficient resource allocation and maximizing the overall impact of limited OCV supplies.</w:t>
      </w:r>
      <w:r w:rsidR="00FB0583" w:rsidRPr="00097432">
        <w:t xml:space="preserve"> </w:t>
      </w:r>
    </w:p>
    <w:p w14:paraId="000000D3" w14:textId="77777777" w:rsidR="00E7552A" w:rsidRPr="00097432" w:rsidRDefault="0091383D" w:rsidP="00F57F15">
      <w:pPr>
        <w:pStyle w:val="Heading1"/>
      </w:pPr>
      <w:bookmarkStart w:id="8" w:name="_Toc184909197"/>
      <w:bookmarkEnd w:id="3"/>
      <w:r w:rsidRPr="00097432">
        <w:t>Main text</w:t>
      </w:r>
      <w:bookmarkEnd w:id="8"/>
    </w:p>
    <w:p w14:paraId="7718A75B" w14:textId="6EC40004" w:rsidR="00A546D1" w:rsidRPr="00097432" w:rsidRDefault="0091383D" w:rsidP="008A2A00">
      <w:pPr>
        <w:pStyle w:val="Heading2"/>
      </w:pPr>
      <w:bookmarkStart w:id="9" w:name="_heading=h.26in1rg" w:colFirst="0" w:colLast="0"/>
      <w:bookmarkStart w:id="10" w:name="_Toc184909198"/>
      <w:bookmarkEnd w:id="9"/>
      <w:r w:rsidRPr="00097432">
        <w:t>Introduction</w:t>
      </w:r>
      <w:bookmarkEnd w:id="10"/>
    </w:p>
    <w:p w14:paraId="043B3CAC" w14:textId="322D3D18" w:rsidR="00027F63" w:rsidRPr="00097432" w:rsidRDefault="00027F63" w:rsidP="00B2189F">
      <w:r w:rsidRPr="00097432">
        <w:t>Cholera, one of the oldest infectious diseases affecting humans, has persisted as a major public health challenge since the 7th pandemic began near the Bay of Bengal in 1961</w:t>
      </w:r>
      <w:r w:rsidR="001C10AC" w:rsidRPr="00097432">
        <w:rPr>
          <w:rFonts w:hint="eastAsia"/>
        </w:rPr>
        <w:t>.</w:t>
      </w:r>
      <w:r w:rsidR="00DE4AD0" w:rsidRPr="00097432">
        <w:fldChar w:fldCharType="begin"/>
      </w:r>
      <w:r w:rsidR="000B5A14" w:rsidRPr="00097432">
        <w:instrText xml:space="preserve"> ADDIN ZOTERO_ITEM CSL_CITATION {"citationID":"tcNSGqYs","properties":{"formattedCitation":"\\super 18\\nosupersub{}","plainCitation":"18","noteIndex":0},"citationItems":[{"id":8622,"uris":["http://zotero.org/users/7663102/items/K8X26V6I"],"itemData":{"id":8622,"type":"article-journal","abstract":"Despite more than a century of study, cholera still presents challenges and surprises to us. Throughout most of the 20th century, cholera was caused by Vibrio cholerae of the O1 serogroup and the disease was largely confined to Asia and Africa. However, the last decade of the 20th century has witnessed two major developments in the history of this disease. In 1991, a massive outbreak of cholera started in South America, the one continent previously untouched by cholera in this century. In 1992, an apparently new pandemic caused by a previously unknown serogroup of V. cholerae (O139) began in India and Bangladesh. The O139 epidemic has been occurring in populations assumed to be largely immune to V. cholerae O1 and has rapidly spread to many countries including the United States. In this review, we discuss all aspects of cholera, including the clinical microbiology, epidemiology, pathogenesis, and clinical features of the disease. Special attention will be paid to the extraordinary advances that have been made in recent years in unravelling the molecular pathogenesis of this infection and in the development of new generations of vaccines to prevent it.","container-title":"Clinical Microbiology Reviews","DOI":"10.1128/CMR.8.1.48","ISSN":"0893-8512","issue":"1","journalAbbreviation":"Clin Microbiol Rev","language":"eng","note":"PMID: 7704895\nPMCID: PMC172849","page":"48-86","source":"PubMed","title":"Cholera","volume":"8","author":[{"family":"Kaper","given":"J. B."},{"family":"Morris","given":"J. G."},{"family":"Levine","given":"M. M."}],"issued":{"date-parts":[["1995",1]]},"citation-key":"kaperCholera1995"}}],"schema":"https://github.com/citation-style-language/schema/raw/master/csl-citation.json"} </w:instrText>
      </w:r>
      <w:r w:rsidR="00DE4AD0" w:rsidRPr="00097432">
        <w:fldChar w:fldCharType="separate"/>
      </w:r>
      <w:r w:rsidR="00DE4AD0" w:rsidRPr="00097432">
        <w:rPr>
          <w:rFonts w:cs="Times New Roman"/>
          <w:vertAlign w:val="superscript"/>
        </w:rPr>
        <w:t>18</w:t>
      </w:r>
      <w:r w:rsidR="00DE4AD0" w:rsidRPr="00097432">
        <w:fldChar w:fldCharType="end"/>
      </w:r>
      <w:r w:rsidR="00A134B5" w:rsidRPr="00097432">
        <w:rPr>
          <w:rFonts w:hint="eastAsia"/>
        </w:rPr>
        <w:t xml:space="preserve"> </w:t>
      </w:r>
      <w:r w:rsidRPr="00097432">
        <w:t>It remains a significant concern in regions with inadequate water, sanitation, and hygiene (</w:t>
      </w:r>
      <w:proofErr w:type="spellStart"/>
      <w:r w:rsidRPr="00097432">
        <w:t>WaSH</w:t>
      </w:r>
      <w:proofErr w:type="spellEnd"/>
      <w:r w:rsidRPr="00097432">
        <w:t>), particularly in low- and middle-income countries (LMICs).</w:t>
      </w:r>
      <w:r w:rsidR="00C45EE6" w:rsidRPr="00097432">
        <w:fldChar w:fldCharType="begin"/>
      </w:r>
      <w:r w:rsidR="000B5A14" w:rsidRPr="00097432">
        <w:instrText xml:space="preserve"> ADDIN ZOTERO_ITEM CSL_CITATION {"citationID":"YdCJLktU","properties":{"formattedCitation":"\\super 19\\nosupersub{}","plainCitation":"19","noteIndex":0},"citationItems":[{"id":15132,"uris":["http://zotero.org/users/7663102/items/JFZ6PANM"],"itemData":{"id":15132,"type":"article-journal","abstract":"Improvements in water and sanitation should reduce cholera risk though the associations between cholera and specific water and sanitation access measures remain unclear. We estimated the association between eight water and sanitation measures and annual cholera incidence access across sub-Saharan Africa (2010–2016) for data aggregated at the country and district levels. We fit random forest regression and classification models to understand how well these measures combined might be able to predict cholera incidence rates and identify high cholera incidence areas. Across spatial scales, piped or “other improved” water access was inversely associated with cholera incidence. Access to piped water, septic or sewer sanitation, and septic, sewer, or “other improved” sanitation were associated with decreased district-level cholera incidence. The classification model had moderate performance in identifying high cholera incidence areas (cross-validated-AUC 0.81, 95% CI 0.78–0.83) with high negative predictive values (93–100%) indicating the utility of water and sanitation measures for screening out areas that are unlikely to be at high cholera risk. While comprehensive cholera risk assessments must incorporate other data sources (e.g., historical incidence), our results suggest that water and sanitation measures could alone be useful in narrowing the geographic focus for detailed risk assessments.","container-title":"Environmental Science &amp; Technology","DOI":"10.1021/acs.est.3c01317","ISSN":"0013-936X","issue":"28","journalAbbreviation":"Environ. Sci. Technol.","note":"publisher: American Chemical Society","page":"10185-10192","source":"ACS Publications","title":"Water, Sanitation, and Cholera in Sub-Saharan Africa","volume":"57","author":[{"family":"Sikder","given":"Mustafa"},{"family":"Deshpande","given":"Aniruddha"},{"family":"Hegde","given":"Sonia T."},{"family":"Malembaka","given":"Espoir Bwenge"},{"family":"Gallandat","given":"Karin"},{"family":"Reiner","given":"Robert C."},{"family":"Lessler","given":"Justin"},{"family":"Lee","given":"Elizabeth C."},{"family":"Azman","given":"Andrew S."}],"issued":{"date-parts":[["2023",7,18]]},"citation-key":"sikderWaterSanitationCholera2023"}}],"schema":"https://github.com/citation-style-language/schema/raw/master/csl-citation.json"} </w:instrText>
      </w:r>
      <w:r w:rsidR="00C45EE6" w:rsidRPr="00097432">
        <w:fldChar w:fldCharType="separate"/>
      </w:r>
      <w:r w:rsidR="00C45EE6" w:rsidRPr="00097432">
        <w:rPr>
          <w:rFonts w:cs="Times New Roman"/>
          <w:vertAlign w:val="superscript"/>
        </w:rPr>
        <w:t>19</w:t>
      </w:r>
      <w:r w:rsidR="00C45EE6" w:rsidRPr="00097432">
        <w:fldChar w:fldCharType="end"/>
      </w:r>
      <w:r w:rsidR="00C95493" w:rsidRPr="00097432">
        <w:rPr>
          <w:rFonts w:hint="eastAsia"/>
        </w:rPr>
        <w:t xml:space="preserve"> </w:t>
      </w:r>
      <w:r w:rsidRPr="00097432">
        <w:t>Modelled estimates of cholera incidence and cases reported to the World Health Organization (WHO) indicate that sub-Saharan Africa bears the majority of the global burden, characterized by substantial spatial heterogeneity</w:t>
      </w:r>
      <w:r w:rsidR="00074500" w:rsidRPr="00097432">
        <w:rPr>
          <w:rFonts w:hint="eastAsia"/>
        </w:rPr>
        <w:t>.</w:t>
      </w:r>
      <w:r w:rsidR="00BC0045" w:rsidRPr="00097432">
        <w:fldChar w:fldCharType="begin"/>
      </w:r>
      <w:r w:rsidR="000B5A14" w:rsidRPr="00097432">
        <w:instrText xml:space="preserve"> ADDIN ZOTERO_ITEM CSL_CITATION {"citationID":"RqlFSadK","properties":{"formattedCitation":"\\super 20\\uc0\\u8211{}22\\nosupersub{}","plainCitation":"20–22","noteIndex":0},"citationItems":[{"id":15350,"uris":["http://zotero.org/users/7663102/items/DLLP4L4V"],"itemData":{"id":15350,"type":"article-journal","abstract":"The global burden of cholera is largely unknown because the majority of cases are not reported. The low reporting can be attributed to limited capacity of epidemiological surveillance and laboratories, as well as social, political, and economic disincentives for reporting. We previously estimated 2.8 million cases and 91,000 deaths annually due to cholera in 51 endemic countries. A major limitation in our previous estimate was that the endemic and non-endemic countries were defined based on the countries’ reported cholera cases. If a country did not report cases even though the country had cholera, the country was classified as cholera free. This time we addressed this limitation by using a spatial modelling technique, which helped us define the cholera-endemic countries based on access to improved water and sanitation in the country as well as cholera incidence in neighboring countries. Our new estimate illustrates 2.9 million of cases and 95,000 deaths in 69 endemic countries, with the majority of the burden in Sub-Saharan Africa. The sustained high burden of cholera points to the necessity for integrated and improved control efforts, and these findings may help programmatic decision-making for controlling the disease in endemic countries.","container-title":"PLoS Neglected Tropical Diseases","DOI":"10.1371/journal.pntd.0003832","ISSN":"1935-2727","issue":"6","journalAbbreviation":"PLoS Negl Trop Dis","note":"PMID: 26043000\nPMCID: PMC4455997","page":"e0003832","source":"PubMed Central","title":"Updated Global Burden of Cholera in Endemic Countries","volume":"9","author":[{"family":"Ali","given":"Mohammad"},{"family":"Nelson","given":"Allyson R."},{"family":"Lopez","given":"Anna Lena"},{"family":"Sack","given":"David A."}],"issued":{"date-parts":[["2015",6,4]]},"citation-key":"ali2015"}},{"id":15339,"uris":["http://zotero.org/users/7663102/items/DGTZE44I"],"itemData":{"id":15339,"type":"article-journal","abstract":"Cholera is an acute, watery diarrhoeal disease caused by Vibrio cholerae of the O1 or O139 serogroups. In the past two centuries, cholera has emerged and spread from the Ganges Delta six times and from Indonesia once to cause global pandemics. Rational approaches to the case management of cholera with oral and intravenous rehydration therapy have reduced the case fatality of cholera from more than 50% to much less than 1%. Despite improvements in water quality, sanitation, and hygiene, as well as in the clinical treatment of cholera, the disease is still estimated to cause about 100</w:instrText>
      </w:r>
      <w:r w:rsidR="000B5A14" w:rsidRPr="00097432">
        <w:rPr>
          <w:rFonts w:ascii="Arial" w:hAnsi="Arial"/>
        </w:rPr>
        <w:instrText> </w:instrText>
      </w:r>
      <w:r w:rsidR="000B5A14" w:rsidRPr="00097432">
        <w:instrText>000 deaths every year. Most deaths occur in cholera-endemic settings, and virtually all deaths occur in developing countries. Contemporary understanding of immune protection against cholera, which results from local intestinal immunity, has yielded safe and protective orally administered cholera vaccines that are now globally stockpiled for use in the control of both epidemic and endemic cholera.","container-title":"Lancet (London, England)","DOI":"10.1016/S0140-6736(17)30559-7","ISSN":"1474-547X","issue":"10101","journalAbbreviation":"Lancet","language":"eng","note":"PMID: 28302312","page":"1539-1549","source":"PubMed","title":"Cholera","volume":"390","author":[{"family":"Clemens","given":"John D."},{"family":"Nair","given":"G. Balakrish"},{"family":"Ahmed","given":"Tahmeed"},{"family":"Qadri","given":"Firdausi"},{"family":"Holmgren","given":"Jan"}],"issued":{"date-parts":[["2017",9,23]]},"citation-key":"clemensCholera2017"}},{"id":7242,"uris":["http://zotero.org/users/7663102/items/FWUSSHKN"],"itemData":{"id":7242,"type":"article-journal","abstract":"BACKGROUND: Cholera remains a persistent health problem in sub-Saharan Africa and worldwide. Cholera can be controlled through appropriate water and s</w:instrText>
      </w:r>
      <w:r w:rsidR="000B5A14" w:rsidRPr="00097432">
        <w:rPr>
          <w:rFonts w:hint="eastAsia"/>
        </w:rPr>
        <w:instrText>anitation, or  by oral cholera vaccination, which provides transient (</w:instrText>
      </w:r>
      <w:r w:rsidR="000B5A14" w:rsidRPr="00097432">
        <w:rPr>
          <w:rFonts w:hint="eastAsia"/>
        </w:rPr>
        <w:instrText>∼</w:instrText>
      </w:r>
      <w:r w:rsidR="000B5A14" w:rsidRPr="00097432">
        <w:rPr>
          <w:rFonts w:hint="eastAsia"/>
        </w:rPr>
        <w:instrText>3 years) protection,  although vaccine supplies remain scarce. We aimed to map cholera burden in  sub-Saharan Africa and assess how geographical targeting could lead to more  efficient</w:instrText>
      </w:r>
      <w:r w:rsidR="000B5A14" w:rsidRPr="00097432">
        <w:instrText xml:space="preserve"> interventions. METHODS: We combined information on cholera incidence in  sub-Saharan Africa (excluding Djibouti and Eritrea) from 2010 to 2016 from  datasets from WHO, Médecins Sans Frontières, ProMED, ReliefWeb, ministries of  health, and the scientific literature. We divided the study region into 20  km</w:instrText>
      </w:r>
      <w:r w:rsidR="000B5A14" w:rsidRPr="00097432">
        <w:rPr>
          <w:rFonts w:ascii="Arial" w:hAnsi="Arial"/>
        </w:rPr>
        <w:instrText> </w:instrText>
      </w:r>
      <w:r w:rsidR="000B5A14" w:rsidRPr="00097432">
        <w:rPr>
          <w:rFonts w:cs="Aptos"/>
        </w:rPr>
        <w:instrText>×</w:instrText>
      </w:r>
      <w:r w:rsidR="000B5A14" w:rsidRPr="00097432">
        <w:rPr>
          <w:rFonts w:ascii="Arial" w:hAnsi="Arial"/>
        </w:rPr>
        <w:instrText> </w:instrText>
      </w:r>
      <w:r w:rsidR="000B5A14" w:rsidRPr="00097432">
        <w:instrText>20 km grid cells and modelled annual cholera incidence in each grid cell  assuming a Poisson process adjusted for covariates and spatially correlated  random effects. We combined these findings with data on population distribution  to estimate the number of people living in areas of high cholera incidence (&gt;1  case per 1000 people per year). We further estimated the reduction in cholera  incidence that could be achieved by targeting cholera prevention and control  interventions at areas of high cholera incidence. FINDINGS: We included 279  datasets covering 2283 locations in our analyses. In sub-Saharan Africa  (excluding Djibouti and Eritrea), a mean of 141</w:instrText>
      </w:r>
      <w:r w:rsidR="000B5A14" w:rsidRPr="00097432">
        <w:rPr>
          <w:rFonts w:ascii="Arial" w:hAnsi="Arial"/>
        </w:rPr>
        <w:instrText> </w:instrText>
      </w:r>
      <w:r w:rsidR="000B5A14" w:rsidRPr="00097432">
        <w:instrText>918 cholera cases (95% credible  interval [CrI] 141</w:instrText>
      </w:r>
      <w:r w:rsidR="000B5A14" w:rsidRPr="00097432">
        <w:rPr>
          <w:rFonts w:ascii="Arial" w:hAnsi="Arial"/>
        </w:rPr>
        <w:instrText> </w:instrText>
      </w:r>
      <w:r w:rsidR="000B5A14" w:rsidRPr="00097432">
        <w:instrText>538-146</w:instrText>
      </w:r>
      <w:r w:rsidR="000B5A14" w:rsidRPr="00097432">
        <w:rPr>
          <w:rFonts w:ascii="Arial" w:hAnsi="Arial"/>
        </w:rPr>
        <w:instrText> </w:instrText>
      </w:r>
      <w:r w:rsidR="000B5A14" w:rsidRPr="00097432">
        <w:instrText>505) were reported per year. 4</w:instrText>
      </w:r>
      <w:r w:rsidR="000B5A14" w:rsidRPr="00097432">
        <w:rPr>
          <w:rFonts w:cs="Aptos"/>
        </w:rPr>
        <w:instrText>·</w:instrText>
      </w:r>
      <w:r w:rsidR="000B5A14" w:rsidRPr="00097432">
        <w:instrText>0% (95% CrI 1</w:instrText>
      </w:r>
      <w:r w:rsidR="000B5A14" w:rsidRPr="00097432">
        <w:rPr>
          <w:rFonts w:cs="Aptos"/>
        </w:rPr>
        <w:instrText>·</w:instrText>
      </w:r>
      <w:r w:rsidR="000B5A14" w:rsidRPr="00097432">
        <w:instrText>7-16</w:instrText>
      </w:r>
      <w:r w:rsidR="000B5A14" w:rsidRPr="00097432">
        <w:rPr>
          <w:rFonts w:cs="Aptos"/>
        </w:rPr>
        <w:instrText>·</w:instrText>
      </w:r>
      <w:r w:rsidR="000B5A14" w:rsidRPr="00097432">
        <w:instrText>8)  of districts, home to 87</w:instrText>
      </w:r>
      <w:r w:rsidR="000B5A14" w:rsidRPr="00097432">
        <w:rPr>
          <w:rFonts w:cs="Aptos"/>
        </w:rPr>
        <w:instrText>·</w:instrText>
      </w:r>
      <w:r w:rsidR="000B5A14" w:rsidRPr="00097432">
        <w:instrText>2 million people (95% CrI 60</w:instrText>
      </w:r>
      <w:r w:rsidR="000B5A14" w:rsidRPr="00097432">
        <w:rPr>
          <w:rFonts w:cs="Aptos"/>
        </w:rPr>
        <w:instrText>·</w:instrText>
      </w:r>
      <w:r w:rsidR="000B5A14" w:rsidRPr="00097432">
        <w:instrText>3 million to 118</w:instrText>
      </w:r>
      <w:r w:rsidR="000B5A14" w:rsidRPr="00097432">
        <w:rPr>
          <w:rFonts w:cs="Aptos"/>
        </w:rPr>
        <w:instrText>·</w:instrText>
      </w:r>
      <w:r w:rsidR="000B5A14" w:rsidRPr="00097432">
        <w:instrText>9  million), have high cholera incidence. By focusing on the highest incidence  districts first, effective targeted interventions could eliminate 50% of the  region's cholera by covering 35</w:instrText>
      </w:r>
      <w:r w:rsidR="000B5A14" w:rsidRPr="00097432">
        <w:rPr>
          <w:rFonts w:cs="Aptos"/>
        </w:rPr>
        <w:instrText>·</w:instrText>
      </w:r>
      <w:r w:rsidR="000B5A14" w:rsidRPr="00097432">
        <w:instrText>3 million people (95% CrI 26</w:instrText>
      </w:r>
      <w:r w:rsidR="000B5A14" w:rsidRPr="00097432">
        <w:rPr>
          <w:rFonts w:cs="Aptos"/>
        </w:rPr>
        <w:instrText>·</w:instrText>
      </w:r>
      <w:r w:rsidR="000B5A14" w:rsidRPr="00097432">
        <w:instrText>3 million to 62</w:instrText>
      </w:r>
      <w:r w:rsidR="000B5A14" w:rsidRPr="00097432">
        <w:rPr>
          <w:rFonts w:cs="Aptos"/>
        </w:rPr>
        <w:instrText>·</w:instrText>
      </w:r>
      <w:r w:rsidR="000B5A14" w:rsidRPr="00097432">
        <w:instrText xml:space="preserve">0  million), which is less than 4% of the total population. INTERPRETATION: Although  cholera occurs throughout sub-Saharan Africa, its highest incidence is  concentrated in a small proportion of the continent. Prioritising high-risk areas  could substantially increase the efficiency of cholera control programmes.  FUNDING: The Bill &amp; Melinda Gates Foundation.","container-title":"Lancet (London, England)","DOI":"10.1016/S0140-6736(17)33050-7","ISSN":"1474-547X 0140-6736","issue":"10133","journalAbbreviation":"Lancet","language":"eng","page":"1908-1915","title":"Mapping the burden of cholera in sub-Saharan Africa and implications for control: an analysis of data across geographical scales.","volume":"391","author":[{"family":"Lessler","given":"Justin"},{"family":"Moore","given":"Sean M."},{"family":"Luquero","given":"Francisco J."},{"family":"McKay","given":"Heather S."},{"family":"Grais","given":"Rebecca"},{"family":"Henkens","given":"Myriam"},{"family":"Mengel","given":"Martin"},{"family":"Dunoyer","given":"Jessica"},{"family":"M'bangombe","given":"Maurice"},{"family":"Lee","given":"Elizabeth C."},{"family":"Djingarey","given":"Mamoudou Harouna"},{"family":"Sudre","given":"Bertrand"},{"family":"Bompangue","given":"Didier"},{"family":"Fraser","given":"Robert S. M."},{"family":"Abubakar","given":"Abdinasir"},{"family":"Perea","given":"William"},{"family":"Legros","given":"Dominique"},{"family":"Azman","given":"Andrew S."}],"issued":{"date-parts":[["2018",5,12]]},"citation-key":"lessler2018"}}],"schema":"https://github.com/citation-style-language/schema/raw/master/csl-citation.json"} </w:instrText>
      </w:r>
      <w:r w:rsidR="00BC0045" w:rsidRPr="00097432">
        <w:fldChar w:fldCharType="separate"/>
      </w:r>
      <w:r w:rsidR="00FF65F8" w:rsidRPr="00097432">
        <w:rPr>
          <w:rFonts w:cs="Times New Roman"/>
          <w:vertAlign w:val="superscript"/>
        </w:rPr>
        <w:t>20–22</w:t>
      </w:r>
      <w:r w:rsidR="00BC0045" w:rsidRPr="00097432">
        <w:fldChar w:fldCharType="end"/>
      </w:r>
      <w:r w:rsidRPr="00097432">
        <w:t xml:space="preserve"> </w:t>
      </w:r>
      <w:r w:rsidR="004F5EC8" w:rsidRPr="00097432">
        <w:rPr>
          <w:rFonts w:hint="eastAsia"/>
        </w:rPr>
        <w:t>A</w:t>
      </w:r>
      <w:r w:rsidRPr="00097432">
        <w:t xml:space="preserve">nalysis of cholera incidence time series from 2010 to 2016 in sub-Saharan Africa identified approximately 1,000 outbreaks of varying scale across </w:t>
      </w:r>
      <w:r w:rsidRPr="00097432">
        <w:lastRenderedPageBreak/>
        <w:t>different administrative units.</w:t>
      </w:r>
      <w:r w:rsidRPr="00097432">
        <w:fldChar w:fldCharType="begin"/>
      </w:r>
      <w:r w:rsidR="000B5A14" w:rsidRPr="00097432">
        <w:instrText xml:space="preserve"> ADDIN ZOTERO_ITEM CSL_CITATION {"citationID":"zgtGFza0","properties":{"formattedCitation":"\\super 23\\nosupersub{}","plainCitation":"23","noteIndex":0},"citationItems":[{"id":7876,"uris":["http://zotero.org/users/7663102/items/CQNDTP3Y"],"itemData":{"id":7876,"type":"article-journal","container-title":"International Journal of Infectious Diseases","DOI":"10.1016/j.ijid.2022.05.039","ISSN":"1201-9712","journalAbbreviation":"IJID","language":"English","note":"publisher: Elsevier\nPMID: 35605949","page":"215-221","source":"www.ijidonline.com","title":"Cholera outbreaks in sub-Saharan Africa during 2010-2019: a descriptive analysis","title-short":"Cholera outbreaks in sub-Saharan Africa during 2010-2019","volume":"122","author":[{"family":"Zheng","given":"Qulu"},{"family":"Luquero","given":"Francisco J."},{"family":"Ciglenecki","given":"Iza"},{"family":"Wamala","given":"Joseph F."},{"family":"Abubakar","given":"Abdinasir"},{"family":"Welo","given":"Placide"},{"family":"Hussen","given":"Mukemil"},{"family":"Wossen","given":"Mesfin"},{"family":"Yennan","given":"Sebastian"},{"family":"Keita","given":"Alama"},{"family":"Lessler","given":"Justin"},{"family":"Azman","given":"Andrew S."},{"family":"Lee","given":"Elizabeth C."}],"issued":{"date-parts":[["2022",9,1]]},"citation-key":"zhengCholeraOutbreaksSubSaharan2022"}}],"schema":"https://github.com/citation-style-language/schema/raw/master/csl-citation.json"} </w:instrText>
      </w:r>
      <w:r w:rsidRPr="00097432">
        <w:fldChar w:fldCharType="separate"/>
      </w:r>
      <w:r w:rsidR="00FF65F8" w:rsidRPr="00097432">
        <w:rPr>
          <w:rFonts w:cs="Times New Roman"/>
          <w:vertAlign w:val="superscript"/>
        </w:rPr>
        <w:t>23</w:t>
      </w:r>
      <w:r w:rsidRPr="00097432">
        <w:fldChar w:fldCharType="end"/>
      </w:r>
      <w:r w:rsidRPr="00097432">
        <w:t xml:space="preserve"> These data also reveal considerable temporal heterogeneity within regions, alongside spatial variations, likely complicating intervention efforts.</w:t>
      </w:r>
    </w:p>
    <w:p w14:paraId="5B6814B3" w14:textId="77777777" w:rsidR="003A111A" w:rsidRPr="00097432" w:rsidRDefault="003A111A" w:rsidP="00B2189F"/>
    <w:p w14:paraId="5883A7A4" w14:textId="034C453F" w:rsidR="003A111A" w:rsidRPr="00097432" w:rsidRDefault="003A111A" w:rsidP="00F57F15">
      <w:r w:rsidRPr="00097432">
        <w:t xml:space="preserve">Sustainable access to adequate </w:t>
      </w:r>
      <w:proofErr w:type="spellStart"/>
      <w:r w:rsidRPr="00097432">
        <w:t>WaSH</w:t>
      </w:r>
      <w:proofErr w:type="spellEnd"/>
      <w:r w:rsidRPr="00097432">
        <w:t>, alongside case management and surveillance, remains the foundation of cholera control. However, the oral cholera vaccine (OCV) serves as a critical supplementary tool, especially in areas where other interventions are challenging to implement. The WHO recommends OCV use for controlling endemic cholera and during outbreaks, establishing a global OCV stockpile in 2013 with Gavi’s financial support</w:t>
      </w:r>
      <w:r w:rsidRPr="00097432">
        <w:rPr>
          <w:rFonts w:hint="eastAsia"/>
        </w:rPr>
        <w:t>.</w:t>
      </w:r>
      <w:r w:rsidR="001D3E8B" w:rsidRPr="00097432">
        <w:fldChar w:fldCharType="begin"/>
      </w:r>
      <w:r w:rsidR="000B5A14" w:rsidRPr="00097432">
        <w:instrText xml:space="preserve"> ADDIN ZOTERO_ITEM CSL_CITATION {"citationID":"xvRgiITD","properties":{"formattedCitation":"\\super 24\\nosupersub{}","plainCitation":"24","noteIndex":0},"citationItems":[{"id":15163,"uris":["http://zotero.org/users/7663102/items/YTZD3ZVC"],"itemData":{"id":15163,"type":"article-journal","abstract":"Global vaccine stockpiles, in which vaccines are reserved for use when needed for emergencies or supply shortages, have effectively provided countries with the capacity for rapid response to emergency situations, such as outbreaks of yellow fever and meningococcal meningitis. The high cost and insufficient supply of many vaccines, including oral cholera vaccine and pandemic influenza vaccine, have prompted discussion on expansion of the use of vaccine stockpiles to address a wider range of emerging and re-emerging diseases. However, the decision to establish and maintain a vaccine stockpile is complex and must take account of disease and vaccine characteristics, stockpile management, funding, and ethical concerns, such as equity. Past experience with global vaccine stockpiles provide valuable information about the processes for their establishment and maintenance. In this Review we explored existing literature and stockpile data to discuss the lessons learned and to inform the development of future vaccine stockpiles.","container-title":"The Lancet Infectious Diseases","DOI":"10.1016/S1473-3099(14)70999-5","ISSN":"1473-3099","issue":"3","journalAbbreviation":"Lancet Inf Dis","page":"340-347","source":"ScienceDirect","title":"The development of global vaccine stockpiles","volume":"15","author":[{"family":"Yen","given":"Catherine"},{"family":"Hyde","given":"Terri B"},{"family":"Costa","given":"Alejandro J"},{"family":"Fernandez","given":"Katya"},{"family":"Tam","given":"John S"},{"family":"Hugonnet","given":"Stéphane"},{"family":"Huvos","given":"Anne M"},{"family":"Duclos","given":"Philippe"},{"family":"Dietz","given":"Vance J"},{"family":"Burkholder","given":"Brenton T"}],"issued":{"date-parts":[["2015",3,1]]},"citation-key":"yenDevelopmentGlobalVaccine2015"}}],"schema":"https://github.com/citation-style-language/schema/raw/master/csl-citation.json"} </w:instrText>
      </w:r>
      <w:r w:rsidR="001D3E8B" w:rsidRPr="00097432">
        <w:fldChar w:fldCharType="separate"/>
      </w:r>
      <w:r w:rsidR="00FF65F8" w:rsidRPr="00097432">
        <w:rPr>
          <w:rFonts w:cs="Times New Roman"/>
          <w:vertAlign w:val="superscript"/>
        </w:rPr>
        <w:t>24</w:t>
      </w:r>
      <w:r w:rsidR="001D3E8B" w:rsidRPr="00097432">
        <w:fldChar w:fldCharType="end"/>
      </w:r>
      <w:r w:rsidR="001922C4" w:rsidRPr="00097432">
        <w:rPr>
          <w:rFonts w:hint="eastAsia"/>
        </w:rPr>
        <w:t xml:space="preserve"> </w:t>
      </w:r>
      <w:r w:rsidRPr="00097432">
        <w:t>Between 2013 and 202</w:t>
      </w:r>
      <w:r w:rsidRPr="00097432">
        <w:rPr>
          <w:rFonts w:hint="eastAsia"/>
        </w:rPr>
        <w:t>4</w:t>
      </w:r>
      <w:r w:rsidRPr="00097432">
        <w:t xml:space="preserve">, </w:t>
      </w:r>
      <w:r w:rsidRPr="00097432">
        <w:rPr>
          <w:rFonts w:hint="eastAsia"/>
        </w:rPr>
        <w:t xml:space="preserve">over 200 </w:t>
      </w:r>
      <w:r w:rsidRPr="00097432">
        <w:t xml:space="preserve">million doses </w:t>
      </w:r>
      <w:r w:rsidRPr="00097432">
        <w:rPr>
          <w:rFonts w:hint="eastAsia"/>
        </w:rPr>
        <w:t xml:space="preserve">have been </w:t>
      </w:r>
      <w:r w:rsidRPr="00097432">
        <w:t>deployed from this stockpile for both proactive and reactive vaccination campaigns</w:t>
      </w:r>
      <w:r w:rsidR="00726454" w:rsidRPr="00097432">
        <w:t>.</w:t>
      </w:r>
      <w:r w:rsidR="00726454" w:rsidRPr="00097432">
        <w:rPr>
          <w:rFonts w:eastAsia="Aptos"/>
        </w:rPr>
        <w:fldChar w:fldCharType="begin"/>
      </w:r>
      <w:r w:rsidR="00345AF1">
        <w:rPr>
          <w:rFonts w:eastAsia="Aptos"/>
        </w:rPr>
        <w:instrText xml:space="preserve"> ADDIN ZOTERO_ITEM CSL_CITATION {"citationID":"tNGxXTzf","properties":{"formattedCitation":"\\super 25\\nosupersub{}","plainCitation":"25","noteIndex":0},"citationItems":[{"id":"EgwuGF5k/nSgOin6U","uris":["http://zotero.org/users/local/xDVOxgbN/items/UK5GYXXH"],"itemData":{"id":176,"type":"dataset","title":"GTFCC OCV Dashboard","URL":"https://apps.epicentre-msf.org/public/app/gtfcc","author":[{"literal":"Global Task Force on Cholera Control"}]}}],"schema":"https://github.com/citation-style-language/schema/raw/master/csl-citation.json"} </w:instrText>
      </w:r>
      <w:r w:rsidR="00726454" w:rsidRPr="00097432">
        <w:rPr>
          <w:rFonts w:eastAsia="Aptos"/>
        </w:rPr>
        <w:fldChar w:fldCharType="separate"/>
      </w:r>
      <w:r w:rsidR="00FF65F8" w:rsidRPr="00097432">
        <w:rPr>
          <w:rFonts w:cs="Times New Roman"/>
          <w:vertAlign w:val="superscript"/>
        </w:rPr>
        <w:t>25</w:t>
      </w:r>
      <w:r w:rsidR="00726454" w:rsidRPr="00097432">
        <w:rPr>
          <w:rFonts w:eastAsia="Aptos"/>
        </w:rPr>
        <w:fldChar w:fldCharType="end"/>
      </w:r>
      <w:r w:rsidR="00726454" w:rsidRPr="00097432">
        <w:rPr>
          <w:rFonts w:hint="eastAsia"/>
        </w:rPr>
        <w:t xml:space="preserve"> </w:t>
      </w:r>
      <w:r w:rsidRPr="00097432">
        <w:t xml:space="preserve">Rising demand, outpacing global production capacity, prompted the International Coordinating Group (ICG)—which manages the stockpile for WHO and Gavi—to </w:t>
      </w:r>
      <w:r w:rsidR="006544DC" w:rsidRPr="00097432">
        <w:t xml:space="preserve">temporarily </w:t>
      </w:r>
      <w:r w:rsidRPr="00097432">
        <w:t>adopt a single-dose regimen for outbreak response in October 2022, replacing the standard two-dose schedule, to address the urgent needs of reactive campaigns</w:t>
      </w:r>
      <w:r w:rsidR="00726454" w:rsidRPr="00097432">
        <w:rPr>
          <w:rFonts w:hint="eastAsia"/>
        </w:rPr>
        <w:t>.</w:t>
      </w:r>
      <w:r w:rsidR="00726454" w:rsidRPr="00097432">
        <w:rPr>
          <w:rFonts w:eastAsia="Aptos"/>
        </w:rPr>
        <w:fldChar w:fldCharType="begin"/>
      </w:r>
      <w:r w:rsidR="00726454" w:rsidRPr="00097432">
        <w:rPr>
          <w:rFonts w:eastAsia="Aptos"/>
        </w:rPr>
        <w:instrText xml:space="preserve"> ADDIN ZOTERO_TEMP </w:instrText>
      </w:r>
      <w:r w:rsidR="00726454" w:rsidRPr="00097432">
        <w:rPr>
          <w:rFonts w:eastAsia="Aptos"/>
        </w:rPr>
        <w:fldChar w:fldCharType="separate"/>
      </w:r>
      <w:r w:rsidR="00726454" w:rsidRPr="00097432">
        <w:rPr>
          <w:vertAlign w:val="superscript"/>
          <w:lang w:val="en-US"/>
        </w:rPr>
        <w:t>26</w:t>
      </w:r>
      <w:r w:rsidR="00726454" w:rsidRPr="00097432">
        <w:rPr>
          <w:rFonts w:eastAsia="Aptos"/>
        </w:rPr>
        <w:fldChar w:fldCharType="end"/>
      </w:r>
      <w:r w:rsidR="00726454" w:rsidRPr="00097432">
        <w:rPr>
          <w:rFonts w:hint="eastAsia"/>
        </w:rPr>
        <w:t xml:space="preserve"> </w:t>
      </w:r>
      <w:r w:rsidRPr="00097432">
        <w:t>This shift underscores the need to optimize OCV impact amid constrained supply.</w:t>
      </w:r>
    </w:p>
    <w:p w14:paraId="52DF97C6" w14:textId="77777777" w:rsidR="003A111A" w:rsidRPr="00097432" w:rsidRDefault="003A111A" w:rsidP="00F57F15"/>
    <w:p w14:paraId="4ABE3967" w14:textId="7C7CA224" w:rsidR="003A111A" w:rsidRPr="00097432" w:rsidRDefault="003A111A" w:rsidP="003A111A">
      <w:pPr>
        <w:rPr>
          <w:lang w:val="en-US"/>
        </w:rPr>
      </w:pPr>
      <w:r w:rsidRPr="00097432">
        <w:t>Given limited resources, policymakers—from local governments to global funders—prioritize efficient OCV use.</w:t>
      </w:r>
      <w:r w:rsidRPr="00097432">
        <w:rPr>
          <w:rFonts w:ascii="Times New Roman" w:eastAsia="Times New Roman" w:hAnsi="Times New Roman" w:cs="Times New Roman"/>
          <w:color w:val="auto"/>
          <w:lang w:val="en-US"/>
        </w:rPr>
        <w:t xml:space="preserve"> </w:t>
      </w:r>
      <w:r w:rsidRPr="00097432">
        <w:rPr>
          <w:lang w:val="en-US"/>
        </w:rPr>
        <w:t>Studies highlighting spatial heterogeneity and cholera “hotspots” suggest that targeting high-risk areas, identified through covariates, historical incidence</w:t>
      </w:r>
      <w:r w:rsidRPr="00097432">
        <w:rPr>
          <w:lang w:val="en-US"/>
        </w:rPr>
        <w:fldChar w:fldCharType="begin"/>
      </w:r>
      <w:r w:rsidR="000B5A14" w:rsidRPr="00097432">
        <w:rPr>
          <w:lang w:val="en-US"/>
        </w:rPr>
        <w:instrText xml:space="preserve"> ADDIN ZOTERO_ITEM CSL_CITATION {"citationID":"7mhhCNU6","properties":{"formattedCitation":"\\super 26\\nosupersub{}","plainCitation":"26","noteIndex":0},"citationItems":[{"id":5403,"uris":["http://zotero.org/users/7663102/items/SCWEB8AF"],"itemData":{"id":5403,"type":"article-journal","abstract":"BACKGROUND: Cholera causes an estimated 100,000 deaths annually worldwide, with the majority of burden reported in sub-Saharan Africa. In May 2018, the World Health Assembly committed to reducing worldwide cholera deaths by 90% by 2030. Oral cholera vaccine (OCV) plays a key role in reducing the near-term risk of cholera, although global supplies are limited. Characterizing the potential impact and cost-effectiveness of mass OCV deployment strategies is critical for setting expectations and developing cholera control plans that maximize the chances of success.\nMETHODS AND FINDINGS: We compared the projected impacts of vaccination campaigns across sub-Saharan Africa from 2018 through 2030 when targeting geographically according to historical cholera burden and risk factors. We assessed the number of averted cases, deaths, and disability-adjusted life years and the cost-effectiveness of these campaigns with models that accounted for direct and indirect vaccine effects and population projections over time. Under current vaccine supply projections, an approach optimized to targeting by historical burden is projected to avert 828,971 (95% CI 803,370-859,980) cases (equivalent to 34.0% of projected cases; 95% CI 33.2%-34.8%). An approach that balances logistical feasibility with targeting historical burden is projected to avert 617,424 (95% CI 599,150-643,891) cases. In contrast, approaches optimized for targeting locations with limited access to water and sanitation are projected to avert 273,939 (95% CI 270,319-277,002) and 109,817 (95% CI 103,735-114,110) cases, respectively. We find that the most logistically feasible targeting strategy costs US$1,843 (95% CI 1,328-14,312) per DALY averted during this period and that effective geographic targeting of OCV campaigns can have a greater impact on cost-effectiveness than improvements to vaccine efficacy and moderate increases in coverage. Although our modeling approach does not project annual changes in baseline cholera risk or directly incorporate immunity from natural cholera infection, our estimates of the relative performance of different vaccination strategies should be robust to these factors.\nCONCLUSIONS: Our study suggests that geographic targeting substantially improves the cost-effectiveness and impact of oral cholera vaccination campaigns. Districts with the poorest access to improved water and sanitation are not the same as districts with the greatest historical cholera incidence. While OCV campaigns can improve cholera control in the near term, without rapid progress in developing water and sanitation services or dramatic increases in OCV supply, our results suggest that vaccine use alone is unlikely to allow us to achieve the 2030 goal.","container-title":"PLoS medicine","DOI":"10.1371/journal.pmed.1003003","ISSN":"1549-1676","issue":"12","journalAbbreviation":"PLoS Med","language":"eng","page":"e1003003","source":"PubMed","title":"The projected impact of geographic targeting of oral cholera vaccination in sub-Saharan Africa: A modeling study","title-short":"The projected impact of geographic targeting of oral cholera vaccination in sub-Saharan Africa","volume":"16","author":[{"family":"Lee","given":"Elizabeth C."},{"family":"Azman","given":"Andrew S."},{"family":"Kaminsky","given":"Joshua"},{"family":"Moore","given":"Sean M."},{"family":"McKay","given":"Heather S."},{"family":"Lessler","given":"Justin"}],"issued":{"date-parts":[["2019",12]]},"citation-key":"leeProjectedImpactGeographic2019"}}],"schema":"https://github.com/citation-style-language/schema/raw/master/csl-citation.json"} </w:instrText>
      </w:r>
      <w:r w:rsidRPr="00097432">
        <w:rPr>
          <w:lang w:val="en-US"/>
        </w:rPr>
        <w:fldChar w:fldCharType="separate"/>
      </w:r>
      <w:r w:rsidRPr="00097432">
        <w:rPr>
          <w:rFonts w:cs="Times New Roman"/>
          <w:vertAlign w:val="superscript"/>
        </w:rPr>
        <w:t>26</w:t>
      </w:r>
      <w:r w:rsidRPr="00097432">
        <w:rPr>
          <w:lang w:val="en-US"/>
        </w:rPr>
        <w:fldChar w:fldCharType="end"/>
      </w:r>
      <w:r w:rsidRPr="00097432">
        <w:rPr>
          <w:lang w:val="en-US"/>
        </w:rPr>
        <w:t>, or sensitive diagnostics,</w:t>
      </w:r>
      <w:r w:rsidRPr="00097432">
        <w:rPr>
          <w:lang w:val="en-US"/>
        </w:rPr>
        <w:fldChar w:fldCharType="begin"/>
      </w:r>
      <w:r w:rsidR="00345AF1">
        <w:rPr>
          <w:lang w:val="en-US"/>
        </w:rPr>
        <w:instrText xml:space="preserve"> ADDIN ZOTERO_ITEM CSL_CITATION {"citationID":"Q17eouH9","properties":{"formattedCitation":"\\super 17\\nosupersub{}","plainCitation":"17","noteIndex":0},"citationItems":[{"id":"EgwuGF5k/1oUObyp0","uris":["http://zotero.org/users/local/xDVOxgbN/items/ITJIZHPY"],"itemData":{"id":"5XBzLMkf/9yzJEX2N","type":"article-journal","abstract":"Abstract\n            \n              Systematic testing for\n              Vibrio cholerae\n              O1 is rare, which means that the world’s limited supply of oral cholera vaccines (OCVs) may not be delivered to areas with the highest true cholera burden. Here we used a phenomenological model with subnational geographic targeting and fine-scale vaccine effects to model how expanding\n              V. cholerae\n              testing affected impact and cost-effectiveness for preventive vaccination campaigns across different bacteriological confirmation and vaccine targeting assumptions in 35 African countries. Systematic testing followed by OCV targeting based on confirmed cholera yielded higher efficiency and cost-effectiveness and slightly fewer averted cases than status quo scenarios targeting suspected cholera. Targeting vaccine to populations with an annual incidence rate greater than 10 per 10,000, the testing scenario averted 10.8 (95% prediction interval (PI) 9.4–12.6) cases per 1,000 fully vaccinated persons while the status quo scenario averted 6.9 (95% PI 6.0–7.8) cases per 1,000 fully vaccinated persons. In the testing scenario, testing costs increased by US$31 (95% PI 25–39) while vaccination costs reduced by US$248 (95% PI 176–326) per averted case compared to the status quo. Introduction of systematic testing into cholera surveillance could improve efficiency and reach of global OCV supply for preventive vaccination.","container-title":"Nature Medicine","DOI":"10.1038/s41591-024-02852-8","ISSN":"1078-8956, 1546-170X","journalAbbreviation":"Nat Med","language":"en","source":"DOI.org (Crossref)","title":"Enhanced cholera surveillance to improve vaccination campaign efficiency","URL":"https://www.nature.com/articles/s41591-024-02852-8","author":[{"family":"Xu","given":"Hanmeng"},{"family":"Zou","given":"Kaiyue"},{"family":"Dent","given":"Juan"},{"family":"Wiens","given":"Kirsten E."},{"family":"Malembaka","given":"Espoir Bwenge"},{"family":"Bwire","given":"Godfrey"},{"family":"Okitayemba","given":"Placide Welo"},{"family":"Hampton","given":"Lee M."},{"family":"Azman","given":"Andrew S."},{"family":"Lee","given":"Elizabeth C."}],"accessed":{"date-parts":[["2024",4,16]]},"issued":{"date-parts":[["2024",3,5]]}}}],"schema":"https://github.com/citation-style-language/schema/raw/master/csl-citation.json"} </w:instrText>
      </w:r>
      <w:r w:rsidRPr="00097432">
        <w:rPr>
          <w:lang w:val="en-US"/>
        </w:rPr>
        <w:fldChar w:fldCharType="separate"/>
      </w:r>
      <w:r w:rsidRPr="00097432">
        <w:rPr>
          <w:rFonts w:cs="Times New Roman"/>
          <w:vertAlign w:val="superscript"/>
        </w:rPr>
        <w:t>17</w:t>
      </w:r>
      <w:r w:rsidRPr="00097432">
        <w:rPr>
          <w:lang w:val="en-US"/>
        </w:rPr>
        <w:fldChar w:fldCharType="end"/>
      </w:r>
      <w:r w:rsidRPr="00097432">
        <w:rPr>
          <w:lang w:val="en-US"/>
        </w:rPr>
        <w:t xml:space="preserve"> could maximize vaccine benefits. While this approach seems logical, accurately identifying high-risk populations is often hampered by temporal fluctuations in cholera incidence,</w:t>
      </w:r>
      <w:r w:rsidR="0016770F" w:rsidRPr="00097432">
        <w:rPr>
          <w:lang w:val="en-US"/>
        </w:rPr>
        <w:fldChar w:fldCharType="begin"/>
      </w:r>
      <w:r w:rsidR="000B5A14" w:rsidRPr="00097432">
        <w:rPr>
          <w:lang w:val="en-US"/>
        </w:rPr>
        <w:instrText xml:space="preserve"> ADDIN ZOTERO_ITEM CSL_CITATION {"citationID":"BuAgz2W3","properties":{"formattedCitation":"\\super 27\\nosupersub{}","plainCitation":"27","noteIndex":0},"citationItems":[{"id":7881,"uris":["http://zotero.org/users/7663102/items/C9MKCSYB"],"itemData":{"id":7881,"type":"article-journal","container-title":"The Lancet Global Health","DOI":"10.1016/S2214-109X(22)00007-9","ISSN":"2214-109X","issue":"6","journalAbbreviation":"Lancet Glob Health","language":"English","note":"publisher: Elsevier\nPMID: 35461521","page":"e831-e839","source":"www.thelancet.com","title":"The seasonality of cholera in sub-Saharan Africa: a statistical modelling study","title-short":"The seasonality of cholera in sub-Saharan Africa","volume":"10","author":[{"family":"Perez-Saez","given":"Javier"},{"family":"Lessler","given":"Justin"},{"family":"Lee","given":"Elizabeth C."},{"family":"Luquero","given":"Francisco J."},{"family":"Malembaka","given":"Espoir Bwenge"},{"family":"Finger","given":"Flavio"},{"family":"Langa","given":"José Paulo"},{"family":"Yennan","given":"Sebastian"},{"family":"Zaitchik","given":"Benjamin"},{"family":"Azman","given":"Andrew S."}],"issued":{"date-parts":[["2022",6,1]]},"citation-key":"perez-saezSeasonalityCholeraSubSaharan2022"}}],"schema":"https://github.com/citation-style-language/schema/raw/master/csl-citation.json"} </w:instrText>
      </w:r>
      <w:r w:rsidR="0016770F" w:rsidRPr="00097432">
        <w:rPr>
          <w:lang w:val="en-US"/>
        </w:rPr>
        <w:fldChar w:fldCharType="separate"/>
      </w:r>
      <w:r w:rsidR="0016770F" w:rsidRPr="00097432">
        <w:rPr>
          <w:rFonts w:cs="Times New Roman"/>
          <w:vertAlign w:val="superscript"/>
        </w:rPr>
        <w:t>27</w:t>
      </w:r>
      <w:r w:rsidR="0016770F" w:rsidRPr="00097432">
        <w:rPr>
          <w:lang w:val="en-US"/>
        </w:rPr>
        <w:fldChar w:fldCharType="end"/>
      </w:r>
      <w:r w:rsidRPr="00097432">
        <w:rPr>
          <w:lang w:val="en-US"/>
        </w:rPr>
        <w:t xml:space="preserve"> waning vaccine-derived immunity,</w:t>
      </w:r>
      <w:r w:rsidR="0016770F" w:rsidRPr="00097432">
        <w:rPr>
          <w:lang w:val="en-US"/>
        </w:rPr>
        <w:fldChar w:fldCharType="begin"/>
      </w:r>
      <w:r w:rsidR="000B5A14" w:rsidRPr="00097432">
        <w:rPr>
          <w:lang w:val="en-US"/>
        </w:rPr>
        <w:instrText xml:space="preserve"> ADDIN ZOTERO_ITEM CSL_CITATION {"citationID":"YnSqaMbk","properties":{"formattedCitation":"\\super 28\\nosupersub{}","plainCitation":"28","noteIndex":0},"citationItems":[{"id":9742,"uris":["http://zotero.org/users/7663102/items/DFCIX2GR"],"itemData":{"id":9742,"type":"article-journal","container-title":"The Lancet Infectious Diseases","DOI":"10.1016/S1473-3099(17)30359-6","ISSN":"1473-3099, 1474-4457","issue":"10","journalAbbreviation":"Lancet Inf Dis","language":"English","note":"publisher: Elsevier\nPMID: 28729167","page":"1080-1088","source":"www.thelancet.com","title":"Protection against cholera from killed whole-cell oral cholera vaccines: a systematic review and meta-analysis","title-short":"Protection against cholera from killed whole-cell oral cholera vaccines","volume":"17","author":[{"family":"Bi","given":"Qifang"},{"family":"Ferreras","given":"Eva"},{"family":"Pezzoli","given":"Lorenzo"},{"family":"Legros","given":"Dominique"},{"family":"Ivers","given":"Louise C."},{"family":"Date","given":"Kashmira"},{"family":"Qadri","given":"Firdausi"},{"family":"Digilio","given":"Laura"},{"family":"Sack","given":"David A."},{"family":"Ali","given":"Mohammad"},{"family":"Lessler","given":"Justin"},{"family":"Luquero","given":"Francisco J."},{"family":"Azman","given":"Andrew S."},{"family":"Cavailler","given":"Philippe"},{"family":"Date","given":"Kashmira"},{"family":"Sreenivasan","given":"Nandini"},{"family":"Matzger","given":"Helen"},{"family":"Luquero","given":"Francisco"},{"family":"Grais","given":"Rebecca"},{"family":"Wiesner","given":"Lale"},{"family":"Ko","given":"Melissa"},{"family":"Rouzier","given":"Vanessa"},{"family":"Peak","given":"Corey"},{"family":"Qadri","given":"Firdausi"},{"family":"Landegger","given":"Justine"},{"family":"Lynch","given":"Julia"},{"family":"Azman","given":"Andrew"},{"family":"Sack","given":"David"},{"family":"Henkens","given":"Myriam"},{"family":"Ciglenecki","given":"Iza"},{"family":"Ivers","given":"Louise"},{"family":"Diggle","given":"Emma"},{"family":"Weiss","given":"Mitchell"},{"family":"Hinman","given":"Alan"},{"family":"Maina","given":"Kahindo"},{"family":"Mirza","given":"Imran"},{"family":"Gimeno","given":"Guillermo"},{"family":"Levine","given":"Myron"}],"issued":{"date-parts":[["2017",10,1]]},"citation-key":"biProtectionCholeraKilled2017"}}],"schema":"https://github.com/citation-style-language/schema/raw/master/csl-citation.json"} </w:instrText>
      </w:r>
      <w:r w:rsidR="0016770F" w:rsidRPr="00097432">
        <w:rPr>
          <w:lang w:val="en-US"/>
        </w:rPr>
        <w:fldChar w:fldCharType="separate"/>
      </w:r>
      <w:r w:rsidR="0016770F" w:rsidRPr="00097432">
        <w:rPr>
          <w:rFonts w:cs="Times New Roman"/>
          <w:vertAlign w:val="superscript"/>
        </w:rPr>
        <w:t>28</w:t>
      </w:r>
      <w:r w:rsidR="0016770F" w:rsidRPr="00097432">
        <w:rPr>
          <w:lang w:val="en-US"/>
        </w:rPr>
        <w:fldChar w:fldCharType="end"/>
      </w:r>
      <w:r w:rsidRPr="00097432">
        <w:rPr>
          <w:lang w:val="en-US"/>
        </w:rPr>
        <w:t xml:space="preserve"> and population mobility.</w:t>
      </w:r>
      <w:r w:rsidR="00900C32" w:rsidRPr="00097432">
        <w:rPr>
          <w:lang w:val="en-US"/>
        </w:rPr>
        <w:fldChar w:fldCharType="begin"/>
      </w:r>
      <w:r w:rsidR="00345AF1">
        <w:rPr>
          <w:lang w:val="en-US"/>
        </w:rPr>
        <w:instrText xml:space="preserve"> ADDIN ZOTERO_ITEM CSL_CITATION {"citationID":"FAoRYxXD","properties":{"formattedCitation":"\\super 9,29\\nosupersub{}","plainCitation":"9,29","noteIndex":0},"citationItems":[{"id":"EgwuGF5k/MVbN3Mku","uris":["http://zotero.org/users/local/xDVOxgbN/items/ZJQSH5FR"],"itemData":{"id":"5XBzLMkf/q8Y577lX","type":"article-journal","container-title":"PLOS Neglected Tropical Diseases","DOI":"10.1371/journal.pntd.0006257","ISSN":"1935-2735","issue":"2","journalAbbreviation":"PLoS Negl Trop Dis","language":"en","page":"e0006257","source":"DOI.org (Crossref)","title":"Prolonging herd immunity to cholera via vaccination: Accounting for human mobility and waning vaccine effects","title-short":"Prolonging herd immunity to cholera via vaccination","volume":"12","author":[{"family":"Peak","given":"Corey M."},{"family":"Reilly","given":"Amanda L."},{"family":"Azman","given":"Andrew S."},{"family":"Buckee","given":"Caroline O."}],"editor":[{"family":"Marks","given":"Florian"}],"issued":{"date-parts":[["2018",2,28]]}}},{"id":15388,"uris":["http://zotero.org/users/7663102/items/6U3KMJRH"],"itemData":{"id":15388,"type":"article-journal","abstract":"Human mobility is a core component of human behavior and its quantification is critical for understanding its impact on infectious disease transmission, traffic forecasting, access to resources and care, intervention strategies, and migratory flows. When mobility data are limited, spatial interaction models have been widely used to estimate human travel, but have not been extensively validated in low- and middle-income settings. Geographic, sociodemographic, and infrastructure differences may impact the ability for models to capture these patterns, particularly in rural settings. Here, we analyzed mobility patterns inferred from mobile phone data in four Sub-Saharan African countries to investigate the ability for variants on gravity and radiation models to estimate travel. Adjusting the gravity model such that parameters were fit to different trip types, including travel between more or less populated areas and/or different regions, improved model fit in all four countries. This suggests that alternative models may be more useful in these settings and better able to capture the range of mobility patterns observed.","container-title":"eLife","DOI":"10.7554/eLife.68441","ISSN":"2050-084X","journalAbbreviation":"Elife","language":"eng","note":"PMID: 34533456\nPMCID: PMC8448534","page":"e68441","source":"PubMed","title":"Characterizing human mobility patterns in rural settings of sub-Saharan Africa","volume":"10","author":[{"family":"Meredith","given":"Hannah R."},{"family":"Giles","given":"John R."},{"family":"Perez-Saez","given":"Javier"},{"family":"Mande","given":"Théophile"},{"family":"Rinaldo","given":"Andrea"},{"family":"Mutembo","given":"Simon"},{"family":"Kabalo","given":"Elliot N."},{"family":"Makungo","given":"Kabondo"},{"family":"Buckee","given":"Caroline O."},{"family":"Tatem","given":"Andrew J."},{"family":"Metcalf","given":"C. Jessica E."},{"family":"Wesolowski","given":"Amy"}],"issued":{"date-parts":[["2021",9,17]]},"citation-key":"meredithCharacterizingHumanMobility2021"}}],"schema":"https://github.com/citation-style-language/schema/raw/master/csl-citation.json"} </w:instrText>
      </w:r>
      <w:r w:rsidR="00900C32" w:rsidRPr="00097432">
        <w:rPr>
          <w:lang w:val="en-US"/>
        </w:rPr>
        <w:fldChar w:fldCharType="separate"/>
      </w:r>
      <w:r w:rsidR="00900C32" w:rsidRPr="00097432">
        <w:rPr>
          <w:rFonts w:cs="Times New Roman"/>
          <w:vertAlign w:val="superscript"/>
        </w:rPr>
        <w:t>9,29</w:t>
      </w:r>
      <w:r w:rsidR="00900C32" w:rsidRPr="00097432">
        <w:rPr>
          <w:lang w:val="en-US"/>
        </w:rPr>
        <w:fldChar w:fldCharType="end"/>
      </w:r>
      <w:r w:rsidRPr="00097432">
        <w:rPr>
          <w:lang w:val="en-US"/>
        </w:rPr>
        <w:t xml:space="preserve"> These factors can diminish the effectiveness of targeting, even in areas with a high average risk, particularly when vaccine availability covers only a small fraction of at-risk populations. In contrast, outbreak-response immunizations (ORIs)—vaccinating populations where outbreaks are detected—reduce uncertainties tied to preemptive targeting. In practice, the OCV stockpile has primarily supported ORIs, with over </w:t>
      </w:r>
      <w:r w:rsidR="00900C32" w:rsidRPr="00097432">
        <w:rPr>
          <w:rFonts w:hint="eastAsia"/>
          <w:lang w:val="en-US"/>
        </w:rPr>
        <w:t>200</w:t>
      </w:r>
      <w:r w:rsidRPr="00097432">
        <w:rPr>
          <w:lang w:val="en-US"/>
        </w:rPr>
        <w:t xml:space="preserve"> million doses deployed by 202</w:t>
      </w:r>
      <w:r w:rsidR="00900C32" w:rsidRPr="00097432">
        <w:rPr>
          <w:rFonts w:hint="eastAsia"/>
          <w:lang w:val="en-US"/>
        </w:rPr>
        <w:t>4</w:t>
      </w:r>
      <w:r w:rsidRPr="00097432">
        <w:rPr>
          <w:lang w:val="en-US"/>
        </w:rPr>
        <w:t>, of which a substantial proportion (</w:t>
      </w:r>
      <w:r w:rsidR="00900C32" w:rsidRPr="00097432">
        <w:rPr>
          <w:rFonts w:hint="eastAsia"/>
          <w:lang w:val="en-US"/>
        </w:rPr>
        <w:t>77</w:t>
      </w:r>
      <w:r w:rsidRPr="00097432">
        <w:rPr>
          <w:lang w:val="en-US"/>
        </w:rPr>
        <w:t>%) addressed outbreaks rather than prevention.</w:t>
      </w:r>
      <w:r w:rsidR="00900C32" w:rsidRPr="00097432">
        <w:rPr>
          <w:lang w:val="en-US"/>
        </w:rPr>
        <w:fldChar w:fldCharType="begin"/>
      </w:r>
      <w:r w:rsidR="00345AF1">
        <w:rPr>
          <w:lang w:val="en-US"/>
        </w:rPr>
        <w:instrText xml:space="preserve"> ADDIN ZOTERO_ITEM CSL_CITATION {"citationID":"C8a5rL6J","properties":{"formattedCitation":"\\super 25\\nosupersub{}","plainCitation":"25","noteIndex":0},"citationItems":[{"id":"EgwuGF5k/nSgOin6U","uris":["http://zotero.org/users/local/xDVOxgbN/items/UK5GYXXH"],"itemData":{"id":"5XBzLMkf/7bbSUNqx","type":"dataset","title":"GTFCC OCV Dashboard","URL":"https://apps.epicentre-msf.org/public/app/gtfcc","author":[{"literal":"Global Task Force on Cholera Control"}]}}],"schema":"https://github.com/citation-style-language/schema/raw/master/csl-citation.json"} </w:instrText>
      </w:r>
      <w:r w:rsidR="00900C32" w:rsidRPr="00097432">
        <w:rPr>
          <w:lang w:val="en-US"/>
        </w:rPr>
        <w:fldChar w:fldCharType="separate"/>
      </w:r>
      <w:r w:rsidR="00900C32" w:rsidRPr="00097432">
        <w:rPr>
          <w:rFonts w:cs="Times New Roman"/>
          <w:vertAlign w:val="superscript"/>
        </w:rPr>
        <w:t>25</w:t>
      </w:r>
      <w:r w:rsidR="00900C32" w:rsidRPr="00097432">
        <w:rPr>
          <w:lang w:val="en-US"/>
        </w:rPr>
        <w:fldChar w:fldCharType="end"/>
      </w:r>
      <w:r w:rsidRPr="00097432">
        <w:rPr>
          <w:lang w:val="en-US"/>
        </w:rPr>
        <w:t xml:space="preserve"> Understanding the impact of ORIs, which dominate </w:t>
      </w:r>
      <w:r w:rsidRPr="00097432">
        <w:rPr>
          <w:lang w:val="en-US"/>
        </w:rPr>
        <w:lastRenderedPageBreak/>
        <w:t>vaccination efforts, and identifying strategies to enhance their effectiveness are thus critical.</w:t>
      </w:r>
    </w:p>
    <w:p w14:paraId="3BBC46C0" w14:textId="7EACF8A2" w:rsidR="003A111A" w:rsidRPr="00097432" w:rsidRDefault="003A111A" w:rsidP="00F57F15"/>
    <w:p w14:paraId="01DA66F7" w14:textId="3E92D9CD" w:rsidR="00590AF1" w:rsidRPr="00097432" w:rsidRDefault="00590AF1" w:rsidP="005F437C">
      <w:r w:rsidRPr="00097432">
        <w:rPr>
          <w:lang w:val="en-US"/>
        </w:rPr>
        <w:t>Existing studies offer valuable insights into the potential impact of preventive campaigns and ORIs, yet they lack comprehensive scope</w:t>
      </w:r>
      <w:r w:rsidR="005F437C" w:rsidRPr="00097432">
        <w:rPr>
          <w:rFonts w:hint="eastAsia"/>
        </w:rPr>
        <w:t>.</w:t>
      </w:r>
      <w:r w:rsidR="001D3E8B" w:rsidRPr="00097432">
        <w:rPr>
          <w:vertAlign w:val="superscript"/>
          <w:lang w:val="en-US"/>
        </w:rPr>
        <w:t>5</w:t>
      </w:r>
      <w:r w:rsidR="001D3E8B" w:rsidRPr="00097432">
        <w:fldChar w:fldCharType="begin"/>
      </w:r>
      <w:r w:rsidR="00345AF1">
        <w:instrText xml:space="preserve"> ADDIN ZOTERO_ITEM CSL_CITATION {"citationID":"RpMO7NJO","properties":{"formattedCitation":"\\super 1,3,5,6,10,15,23\\nosupersub{}","plainCitation":"1,3,5,6,10,15,23","noteIndex":0},"citationItems":[{"id":"EgwuGF5k/Hmz3wwbU","uris":["http://zotero.org/users/local/xDVOxgbN/items/3KCFPCDX"],"itemData":{"id":67,"type":"article-journal","container-title":"PLOS Medicine","DOI":"10.1371/journal.pmed.1002509","ISSN":"1549-1676","issue":"2","journalAbbreviation":"PLoS Med","language":"en","page":"e1002509","source":"DOI.org (Crossref)","title":"The potential impact of case-area targeted interventions in response to cholera outbreaks: A modeling study","title-short":"The potential impact of case-area targeted interventions in response to cholera outbreaks","volume":"15","author":[{"family":"Finger","given":"Flavio"},{"family":"Bertuzzo","given":"Enrico"},{"family":"Luquero","given":"Francisco J."},{"family":"Naibei","given":"Nathan"},{"family":"Touré","given":"Brahima"},{"family":"Allan","given":"Maya"},{"family":"Porten","given":"Klaudia"},{"family":"Lessler","given":"Justin"},{"family":"Rinaldo","given":"Andrea"},{"family":"Azman","given":"Andrew S."}],"editor":[{"family":"Von Seidlein","given":"Lorenz"}],"issued":{"date-parts":[["2018",2,27]]}}},{"id":"EgwuGF5k/8HczsYmK","uris":["http://zotero.org/users/local/xDVOxgbN/items/Z93MZCN2"],"itemData":{"id":74,"type":"article-journal","container-title":"PLoS Neglected Tropical Diseases","DOI":"10.1371/journal.pntd.0003343","ISSN":"1935-2735","issue":"12","journalAbbreviation":"PLoS Negl Trop Dis","language":"en","page":"e3343","source":"DOI.org (Crossref)","title":"Comparative Effectiveness of Different Strategies of Oral Cholera Vaccination in Bangladesh: A Modeling Study","title-short":"Comparative Effectiveness of Different Strategies of Oral Cholera Vaccination in Bangladesh","volume":"8","author":[{"family":"Dimitrov","given":"Dobromir T."},{"family":"Troeger","given":"Christopher"},{"family":"Halloran","given":"M. Elizabeth"},{"family":"Longini","given":"Ira M."},{"family":"Chao","given":"Dennis L."}],"editor":[{"family":"Baker","given":"Stephen"}],"issued":{"date-parts":[["2014",12,4]]}}},{"id":"EgwuGF5k/NV2yGXdg","uris":["http://zotero.org/users/local/xDVOxgbN/items/YPZZPLI9"],"itemData":{"id":80,"type":"article-journal","container-title":"The Lancet Global Health","DOI":"10.1016/S2214-109X(20)30310-7","ISSN":"2214109X","issue":"8","journalAbbreviation":"The Lancet Global Health","language":"en","page":"e1081-e1089","source":"DOI.org (Crossref)","title":"Achieving coordinated national immunity and cholera elimination in Haiti through vaccination: a modelling study","title-short":"Achieving coordinated national immunity and cholera elimination in Haiti through vaccination","volume":"8","author":[{"family":"Lee","given":"Elizabeth C"},{"family":"Chao","given":"Dennis L"},{"family":"Lemaitre","given":"Joseph C"},{"family":"Matrajt","given":"Laura"},{"family":"Pasetto","given":"Damiano"},{"family":"Perez-Saez","given":"Javier"},{"family":"Finger","given":"Flavio"},{"family":"Rinaldo","given":"Andrea"},{"family":"Sugimoto","given":"Jonathan D"},{"family":"Halloran","given":"M Elizabeth"},{"family":"Longini","given":"Ira M"},{"family":"Ternier","given":"Ralph"},{"family":"Vissieres","given":"Kenia"},{"family":"Azman","given":"Andrew S"},{"family":"Lessler","given":"Justin"},{"family":"Ivers","given":"Louise C"}],"issued":{"date-parts":[["2020",8]]}}},{"id":"EgwuGF5k/lwl7uSxR","uris":["http://zotero.org/users/local/xDVOxgbN/items/C9VJ6Y9N"],"itemData":{"id":87,"type":"article-journal","abstract":"In October 2010, a virulent South Asian strain of El Tor cholera began to spread in Haiti. Interventions have included treatment of cases and improved sanitation. Use of cholera vaccines would likely have further reduced morbidity and mortality, but such vaccines are in short supply and little is known about effective vaccination strategies for epidemic cholera. We use a mathematical cholera transmission model to assess different vaccination strategies. With limited vaccine quantities, concentrating vaccine in high-risk areas is always most efficient. We show that targeting one million doses of vaccine to areas with high exposure to\n              Vibrio cholerae\n              , enough for two doses for 5% of the population, would reduce the number of cases by 11%. The same strategy with enough vaccine for 30% of the population with modest hygienic improvement could reduce cases by 55% and save 3,320 lives. For epidemic cholera, we recommend a large mobile stockpile of enough vaccine to cover 30% of a country's population to be reactively targeted to populations at high risk of exposure.","container-title":"Proceedings of the National Academy of Sciences","DOI":"10.1073/pnas.1102149108","ISSN":"0027-8424, 1091-6490","issue":"17","journalAbbreviation":"Proc. Natl. Acad. Sci. U.S.A.","language":"en","page":"7081-7085","source":"DOI.org (Crossref)","title":"Vaccination strategies for epidemic cholera in Haiti with implications for the developing world","volume":"108","author":[{"family":"Chao","given":"Dennis L."},{"family":"Halloran","given":"M. Elizabeth"},{"family":"Longini","given":"Ira M."}],"issued":{"date-parts":[["2011",4,26]]}}},{"id":"EgwuGF5k/K5w3Oly2","uris":["http://zotero.org/users/local/xDVOxgbN/items/A7JBWGAG"],"itemData":{"id":97,"type":"article-journal","container-title":"PLoS Neglected Tropical Diseases","DOI":"10.1371/journal.pntd.0001901","ISSN":"1935-2735","issue":"11","journalAbbreviation":"PLoS Negl Trop Dis","language":"en","page":"e1901","source":"DOI.org (Crossref)","title":"Urban Cholera Transmission Hotspots and Their Implications for Reactive Vaccination: Evidence from Bissau City, Guinea Bissau","title-short":"Urban Cholera Transmission Hotspots and Their Implications for Reactive Vaccination","volume":"6","author":[{"family":"Azman","given":"Andrew S."},{"family":"Luquero","given":"Francisco J."},{"family":"Rodrigues","given":"Amabelia"},{"family":"Palma","given":"Pedro Pablo"},{"family":"Grais","given":"Rebecca F."},{"family":"Banga","given":"Cunhate Na"},{"family":"Grenfell","given":"Bryan T."},{"family":"Lessler","given":"Justin"}],"editor":[{"family":"Vinetz","given":"Joseph M."}],"issued":{"date-parts":[["2012",11,8]]}}},{"id":"EgwuGF5k/8rAvwhna","uris":["http://zotero.org/users/local/xDVOxgbN/items/D9HE3GUQ"],"itemData":{"id":78,"type":"article-journal","container-title":"PLOS Medicine","DOI":"10.1371/journal.pmed.1001867","ISSN":"1549-1676","issue":"8","journalAbbreviation":"PLoS Med","language":"en","page":"e1001867","source":"DOI.org (Crossref)","title":"The Impact of a One-Dose versus Two-Dose Oral Cholera Vaccine Regimen in Outbreak Settings: A Modeling Study","title-short":"The Impact of a One-Dose versus Two-Dose Oral Cholera Vaccine Regimen in Outbreak Settings","volume":"12","author":[{"family":"Azman","given":"Andrew S."},{"family":"Luquero","given":"Francisco J."},{"family":"Ciglenecki","given":"Iza"},{"family":"Grais","given":"Rebecca F."},{"family":"Sack","given":"David A."},{"family":"Lessler","given":"Justin"}],"editor":[{"family":"Kretzschmar","given":"Mirjam E. E."}],"issued":{"date-parts":[["2015",8,25]]}}},{"id":7876,"uris":["http://zotero.org/users/7663102/items/CQNDTP3Y"],"itemData":{"id":7876,"type":"article-journal","container-title":"International Journal of Infectious Diseases","DOI":"10.1016/j.ijid.2022.05.039","ISSN":"1201-9712","journalAbbreviation":"IJID","language":"English","note":"publisher: Elsevier\nPMID: 35605949","page":"215-221","source":"www.ijidonline.com","title":"Cholera outbreaks in sub-Saharan Africa during 2010-2019: a descriptive analysis","title-short":"Cholera outbreaks in sub-Saharan Africa during 2010-2019","volume":"122","author":[{"family":"Zheng","given":"Qulu"},{"family":"Luquero","given":"Francisco J."},{"family":"Ciglenecki","given":"Iza"},{"family":"Wamala","given":"Joseph F."},{"family":"Abubakar","given":"Abdinasir"},{"family":"Welo","given":"Placide"},{"family":"Hussen","given":"Mukemil"},{"family":"Wossen","given":"Mesfin"},{"family":"Yennan","given":"Sebastian"},{"family":"Keita","given":"Alama"},{"family":"Lessler","given":"Justin"},{"family":"Azman","given":"Andrew S."},{"family":"Lee","given":"Elizabeth C."}],"issued":{"date-parts":[["2022",9,1]]},"citation-key":"zhengCholeraOutbreaksSubSaharan2022"}}],"schema":"https://github.com/citation-style-language/schema/raw/master/csl-citation.json"} </w:instrText>
      </w:r>
      <w:r w:rsidR="001D3E8B" w:rsidRPr="00097432">
        <w:fldChar w:fldCharType="separate"/>
      </w:r>
      <w:r w:rsidR="00FF65F8" w:rsidRPr="00097432">
        <w:rPr>
          <w:rFonts w:cs="Times New Roman"/>
          <w:vertAlign w:val="superscript"/>
        </w:rPr>
        <w:t>1,3,5,6,10,15,23</w:t>
      </w:r>
      <w:r w:rsidR="001D3E8B" w:rsidRPr="00097432">
        <w:fldChar w:fldCharType="end"/>
      </w:r>
      <w:r w:rsidRPr="00097432">
        <w:rPr>
          <w:rFonts w:hint="eastAsia"/>
        </w:rPr>
        <w:t xml:space="preserve"> </w:t>
      </w:r>
      <w:r w:rsidRPr="00097432">
        <w:rPr>
          <w:lang w:val="en-US"/>
        </w:rPr>
        <w:t>Many focus on a handful of large or prolonged outbreaks,</w:t>
      </w:r>
      <w:r w:rsidRPr="00097432">
        <w:t xml:space="preserve"> </w:t>
      </w:r>
      <w:r w:rsidRPr="00097432">
        <w:fldChar w:fldCharType="begin"/>
      </w:r>
      <w:r w:rsidR="00345AF1">
        <w:instrText xml:space="preserve"> ADDIN ZOTERO_ITEM CSL_CITATION {"citationID":"Yl7qnHdA","properties":{"formattedCitation":"\\super 1,3,5,6,10,15,23\\nosupersub{}","plainCitation":"1,3,5,6,10,15,23","noteIndex":0},"citationItems":[{"id":"EgwuGF5k/Hmz3wwbU","uris":["http://zotero.org/users/local/xDVOxgbN/items/3KCFPCDX"],"itemData":{"id":67,"type":"article-journal","container-title":"PLOS Medicine","DOI":"10.1371/journal.pmed.1002509","ISSN":"1549-1676","issue":"2","journalAbbreviation":"PLoS Med","language":"en","page":"e1002509","source":"DOI.org (Crossref)","title":"The potential impact of case-area targeted interventions in response to cholera outbreaks: A modeling study","title-short":"The potential impact of case-area targeted interventions in response to cholera outbreaks","volume":"15","author":[{"family":"Finger","given":"Flavio"},{"family":"Bertuzzo","given":"Enrico"},{"family":"Luquero","given":"Francisco J."},{"family":"Naibei","given":"Nathan"},{"family":"Touré","given":"Brahima"},{"family":"Allan","given":"Maya"},{"family":"Porten","given":"Klaudia"},{"family":"Lessler","given":"Justin"},{"family":"Rinaldo","given":"Andrea"},{"family":"Azman","given":"Andrew S."}],"editor":[{"family":"Von Seidlein","given":"Lorenz"}],"issued":{"date-parts":[["2018",2,27]]}}},{"id":"EgwuGF5k/8HczsYmK","uris":["http://zotero.org/users/local/xDVOxgbN/items/Z93MZCN2"],"itemData":{"id":74,"type":"article-journal","container-title":"PLoS Neglected Tropical Diseases","DOI":"10.1371/journal.pntd.0003343","ISSN":"1935-2735","issue":"12","journalAbbreviation":"PLoS Negl Trop Dis","language":"en","page":"e3343","source":"DOI.org (Crossref)","title":"Comparative Effectiveness of Different Strategies of Oral Cholera Vaccination in Bangladesh: A Modeling Study","title-short":"Comparative Effectiveness of Different Strategies of Oral Cholera Vaccination in Bangladesh","volume":"8","author":[{"family":"Dimitrov","given":"Dobromir T."},{"family":"Troeger","given":"Christopher"},{"family":"Halloran","given":"M. Elizabeth"},{"family":"Longini","given":"Ira M."},{"family":"Chao","given":"Dennis L."}],"editor":[{"family":"Baker","given":"Stephen"}],"issued":{"date-parts":[["2014",12,4]]}}},{"id":"EgwuGF5k/NV2yGXdg","uris":["http://zotero.org/users/local/xDVOxgbN/items/YPZZPLI9"],"itemData":{"id":80,"type":"article-journal","container-title":"The Lancet Global Health","DOI":"10.1016/S2214-109X(20)30310-7","ISSN":"2214109X","issue":"8","journalAbbreviation":"The Lancet Global Health","language":"en","page":"e1081-e1089","source":"DOI.org (Crossref)","title":"Achieving coordinated national immunity and cholera elimination in Haiti through vaccination: a modelling study","title-short":"Achieving coordinated national immunity and cholera elimination in Haiti through vaccination","volume":"8","author":[{"family":"Lee","given":"Elizabeth C"},{"family":"Chao","given":"Dennis L"},{"family":"Lemaitre","given":"Joseph C"},{"family":"Matrajt","given":"Laura"},{"family":"Pasetto","given":"Damiano"},{"family":"Perez-Saez","given":"Javier"},{"family":"Finger","given":"Flavio"},{"family":"Rinaldo","given":"Andrea"},{"family":"Sugimoto","given":"Jonathan D"},{"family":"Halloran","given":"M Elizabeth"},{"family":"Longini","given":"Ira M"},{"family":"Ternier","given":"Ralph"},{"family":"Vissieres","given":"Kenia"},{"family":"Azman","given":"Andrew S"},{"family":"Lessler","given":"Justin"},{"family":"Ivers","given":"Louise C"}],"issued":{"date-parts":[["2020",8]]}}},{"id":"EgwuGF5k/lwl7uSxR","uris":["http://zotero.org/users/local/xDVOxgbN/items/C9VJ6Y9N"],"itemData":{"id":87,"type":"article-journal","abstract":"In October 2010, a virulent South Asian strain of El Tor cholera began to spread in Haiti. Interventions have included treatment of cases and improved sanitation. Use of cholera vaccines would likely have further reduced morbidity and mortality, but such vaccines are in short supply and little is known about effective vaccination strategies for epidemic cholera. We use a mathematical cholera transmission model to assess different vaccination strategies. With limited vaccine quantities, concentrating vaccine in high-risk areas is always most efficient. We show that targeting one million doses of vaccine to areas with high exposure to\n              Vibrio cholerae\n              , enough for two doses for 5% of the population, would reduce the number of cases by 11%. The same strategy with enough vaccine for 30% of the population with modest hygienic improvement could reduce cases by 55% and save 3,320 lives. For epidemic cholera, we recommend a large mobile stockpile of enough vaccine to cover 30% of a country's population to be reactively targeted to populations at high risk of exposure.","container-title":"Proceedings of the National Academy of Sciences","DOI":"10.1073/pnas.1102149108","ISSN":"0027-8424, 1091-6490","issue":"17","journalAbbreviation":"Proc. Natl. Acad. Sci. U.S.A.","language":"en","page":"7081-7085","source":"DOI.org (Crossref)","title":"Vaccination strategies for epidemic cholera in Haiti with implications for the developing world","volume":"108","author":[{"family":"Chao","given":"Dennis L."},{"family":"Halloran","given":"M. Elizabeth"},{"family":"Longini","given":"Ira M."}],"issued":{"date-parts":[["2011",4,26]]}}},{"id":"EgwuGF5k/K5w3Oly2","uris":["http://zotero.org/users/local/xDVOxgbN/items/A7JBWGAG"],"itemData":{"id":97,"type":"article-journal","container-title":"PLoS Neglected Tropical Diseases","DOI":"10.1371/journal.pntd.0001901","ISSN":"1935-2735","issue":"11","journalAbbreviation":"PLoS Negl Trop Dis","language":"en","page":"e1901","source":"DOI.org (Crossref)","title":"Urban Cholera Transmission Hotspots and Their Implications for Reactive Vaccination: Evidence from Bissau City, Guinea Bissau","title-short":"Urban Cholera Transmission Hotspots and Their Implications for Reactive Vaccination","volume":"6","author":[{"family":"Azman","given":"Andrew S."},{"family":"Luquero","given":"Francisco J."},{"family":"Rodrigues","given":"Amabelia"},{"family":"Palma","given":"Pedro Pablo"},{"family":"Grais","given":"Rebecca F."},{"family":"Banga","given":"Cunhate Na"},{"family":"Grenfell","given":"Bryan T."},{"family":"Lessler","given":"Justin"}],"editor":[{"family":"Vinetz","given":"Joseph M."}],"issued":{"date-parts":[["2012",11,8]]}}},{"id":"EgwuGF5k/8rAvwhna","uris":["http://zotero.org/users/local/xDVOxgbN/items/D9HE3GUQ"],"itemData":{"id":78,"type":"article-journal","container-title":"PLOS Medicine","DOI":"10.1371/journal.pmed.1001867","ISSN":"1549-1676","issue":"8","journalAbbreviation":"PLoS Med","language":"en","page":"e1001867","source":"DOI.org (Crossref)","title":"The Impact of a One-Dose versus Two-Dose Oral Cholera Vaccine Regimen in Outbreak Settings: A Modeling Study","title-short":"The Impact of a One-Dose versus Two-Dose Oral Cholera Vaccine Regimen in Outbreak Settings","volume":"12","author":[{"family":"Azman","given":"Andrew S."},{"family":"Luquero","given":"Francisco J."},{"family":"Ciglenecki","given":"Iza"},{"family":"Grais","given":"Rebecca F."},{"family":"Sack","given":"David A."},{"family":"Lessler","given":"Justin"}],"editor":[{"family":"Kretzschmar","given":"Mirjam E. E."}],"issued":{"date-parts":[["2015",8,25]]}}},{"id":7876,"uris":["http://zotero.org/users/7663102/items/CQNDTP3Y"],"itemData":{"id":7876,"type":"article-journal","container-title":"International Journal of Infectious Diseases","DOI":"10.1016/j.ijid.2022.05.039","ISSN":"1201-9712","journalAbbreviation":"IJID","language":"English","note":"publisher: Elsevier\nPMID: 35605949","page":"215-221","source":"www.ijidonline.com","title":"Cholera outbreaks in sub-Saharan Africa during 2010-2019: a descriptive analysis","title-short":"Cholera outbreaks in sub-Saharan Africa during 2010-2019","volume":"122","author":[{"family":"Zheng","given":"Qulu"},{"family":"Luquero","given":"Francisco J."},{"family":"Ciglenecki","given":"Iza"},{"family":"Wamala","given":"Joseph F."},{"family":"Abubakar","given":"Abdinasir"},{"family":"Welo","given":"Placide"},{"family":"Hussen","given":"Mukemil"},{"family":"Wossen","given":"Mesfin"},{"family":"Yennan","given":"Sebastian"},{"family":"Keita","given":"Alama"},{"family":"Lessler","given":"Justin"},{"family":"Azman","given":"Andrew S."},{"family":"Lee","given":"Elizabeth C."}],"issued":{"date-parts":[["2022",9,1]]},"citation-key":"zhengCholeraOutbreaksSubSaharan2022"}}],"schema":"https://github.com/citation-style-language/schema/raw/master/csl-citation.json"} </w:instrText>
      </w:r>
      <w:r w:rsidRPr="00097432">
        <w:fldChar w:fldCharType="separate"/>
      </w:r>
      <w:r w:rsidRPr="00097432">
        <w:rPr>
          <w:rFonts w:cs="Times New Roman"/>
          <w:vertAlign w:val="superscript"/>
        </w:rPr>
        <w:t>1,3,5,6,10,15,23</w:t>
      </w:r>
      <w:r w:rsidRPr="00097432">
        <w:fldChar w:fldCharType="end"/>
      </w:r>
      <w:r w:rsidRPr="00097432">
        <w:rPr>
          <w:rFonts w:hint="eastAsia"/>
        </w:rPr>
        <w:t xml:space="preserve"> </w:t>
      </w:r>
      <w:r w:rsidRPr="00097432">
        <w:rPr>
          <w:lang w:val="en-US"/>
        </w:rPr>
        <w:t>which fail to represent the diverse epidemiological profiles—size, duration, location, and attack rate—of cholera outbreaks, as evidenced by data from sub-Saharan Africa between 2010 and 202</w:t>
      </w:r>
      <w:r w:rsidRPr="00097432">
        <w:rPr>
          <w:rFonts w:hint="eastAsia"/>
          <w:lang w:val="en-US"/>
        </w:rPr>
        <w:t>3</w:t>
      </w:r>
      <w:r w:rsidR="00780C0F" w:rsidRPr="00097432">
        <w:t>.</w:t>
      </w:r>
      <w:r w:rsidR="00780C0F" w:rsidRPr="00097432">
        <w:fldChar w:fldCharType="begin"/>
      </w:r>
      <w:r w:rsidR="000B5A14" w:rsidRPr="00097432">
        <w:instrText xml:space="preserve"> ADDIN ZOTERO_ITEM CSL_CITATION {"citationID":"CjSpsH7r","properties":{"formattedCitation":"\\super 23,30\\nosupersub{}","plainCitation":"23,30","noteIndex":0},"citationItems":[{"id":7876,"uris":["http://zotero.org/users/7663102/items/CQNDTP3Y"],"itemData":{"id":7876,"type":"article-journal","container-title":"International Journal of Infectious Diseases","DOI":"10.1016/j.ijid.2022.05.039","ISSN":"1201-9712","journalAbbreviation":"IJID","language":"English","note":"publisher: Elsevier\nPMID: 35605949","page":"215-221","source":"www.ijidonline.com","title":"Cholera outbreaks in sub-Saharan Africa during 2010-2019: a descriptive analysis","title-short":"Cholera outbreaks in sub-Saharan Africa during 2010-2019","volume":"122","author":[{"family":"Zheng","given":"Qulu"},{"family":"Luquero","given":"Francisco J."},{"family":"Ciglenecki","given":"Iza"},{"family":"Wamala","given":"Joseph F."},{"family":"Abubakar","given":"Abdinasir"},{"family":"Welo","given":"Placide"},{"family":"Hussen","given":"Mukemil"},{"family":"Wossen","given":"Mesfin"},{"family":"Yennan","given":"Sebastian"},{"family":"Keita","given":"Alama"},{"family":"Lessler","given":"Justin"},{"family":"Azman","given":"Andrew S."},{"family":"Lee","given":"Elizabeth C."}],"issued":{"date-parts":[["2022",9,1]]},"citation-key":"zhengCholeraOutbreaksSubSaharan2022"}},{"id":15218,"uris":["http://zotero.org/users/7663102/items/UWYP5WF6"],"itemData":{"id":15218,"type":"manuscript","event-place":"In preparation","publisher-place":"In preparation","title":"Cholera outbreak time series in Africa between 2010 and 2023.","author":[{"family":"Zheng","given":"Q."},{"family":"Lee","given":"E. C."}],"citation-key":"zhengCholeraOutbreakTime"}}],"schema":"https://github.com/citation-style-language/schema/raw/master/csl-citation.json"} </w:instrText>
      </w:r>
      <w:r w:rsidR="00780C0F" w:rsidRPr="00097432">
        <w:fldChar w:fldCharType="separate"/>
      </w:r>
      <w:r w:rsidR="00900C32" w:rsidRPr="00097432">
        <w:rPr>
          <w:rFonts w:cs="Times New Roman"/>
          <w:vertAlign w:val="superscript"/>
        </w:rPr>
        <w:t>23,30</w:t>
      </w:r>
      <w:r w:rsidR="00780C0F" w:rsidRPr="00097432">
        <w:fldChar w:fldCharType="end"/>
      </w:r>
      <w:r w:rsidR="0065170D" w:rsidRPr="00097432">
        <w:t xml:space="preserve"> </w:t>
      </w:r>
      <w:r w:rsidRPr="00097432">
        <w:rPr>
          <w:lang w:val="en-US"/>
        </w:rPr>
        <w:t>Additionally, these studies often overlook key operational and immunological factors. For example, while some explore early-stage vaccination, real-world delays exceeding 66 days in emergencies are common,</w:t>
      </w:r>
      <w:r w:rsidR="00526A9F" w:rsidRPr="00097432">
        <w:rPr>
          <w:lang w:val="en-US"/>
        </w:rPr>
        <w:fldChar w:fldCharType="begin"/>
      </w:r>
      <w:r w:rsidR="00345AF1">
        <w:rPr>
          <w:lang w:val="en-US"/>
        </w:rPr>
        <w:instrText xml:space="preserve"> ADDIN ZOTERO_ITEM CSL_CITATION {"citationID":"e9IFkJPi","properties":{"formattedCitation":"\\super 25,31\\nosupersub{}","plainCitation":"25,31","noteIndex":0},"citationItems":[{"id":"EgwuGF5k/nSgOin6U","uris":["http://zotero.org/users/local/xDVOxgbN/items/UK5GYXXH"],"itemData":{"id":"qgjhK9ns/wTRZRA3s","type":"dataset","title":"GTFCC OCV Dashboard","URL":"https://apps.epicentre-msf.org/public/app/gtfcc","author":[{"literal":"Global Task Force on Cholera Control"}]}},{"id":"EgwuGF5k/Z2CCv85Z","uris":["http://zotero.org/users/local/xDVOxgbN/items/5UAYTNFT"],"itemData":{"id":132,"type":"article-journal","abstract":"Vaccination is a key intervention to prevent and control cholera in conjunction with water, sanitation and hygiene activities. An oral cholera vaccine (OCV) stockpile was established by the World Health Organization (WHO) in 2013. We reviewed its use from July 2013 to all of 2018 in order to assess its role in cholera control. We computed information related to OCV deployments and campaigns conducted including setting, target population, timelines, delivery strategy, reported adverse events, coverage achieved, and costs. In 2013-2018, a total of 83,509,941 OCV doses have been requested by 24 countries, of which 55,409,160 were approved and 36,066,010 eventually shipped in 83 deployments, resulting in 104 vaccination campaigns in 22 countries. OCVs had in general high uptake (mean administrative coverage 1st dose campaign at 90.3%; 2nd dose campaign at 88.2%; mean survey-estimated two-dose coverage at 69.9%, at least one dose at 84.6%) No serious adverse events were reported. Campaigns were organized quickly (five days median duration). In emergency settings, the longest delay was from the occurrence of the emergency to requesting OCV (median: 26</w:instrText>
      </w:r>
      <w:r w:rsidR="00345AF1">
        <w:rPr>
          <w:rFonts w:ascii="Arial" w:hAnsi="Arial"/>
          <w:lang w:val="en-US"/>
        </w:rPr>
        <w:instrText> </w:instrText>
      </w:r>
      <w:r w:rsidR="00345AF1">
        <w:rPr>
          <w:lang w:val="en-US"/>
        </w:rPr>
        <w:instrText xml:space="preserve">days). The mean cost of administering one dose of vaccine was 2.98 USD. The OCV stockpile is an important public health resource. OCVs were generally well accepted by the population and their use demonstrated to be safe and feasible in all settings. OCV was an inexpensive intervention, although timing was a limiting factor for emergency use. The dynamic created by the establishment of the OCV stockpile has played a role in the increased use of the vaccine by setting in motion a virtuous cycle by which better monitoring and evaluation leads to better campaign organization, better cholera control, and more requests being generated. Further work is needed to improve timeliness of response and contextualize strategies for OCV delivery in the various settings.","container-title":"Vaccine","DOI":"10.1016/j.vaccine.2019.08.086","ISSN":"1873-2518","issue":"Suppl 1","journalAbbreviation":"Vaccine","language":"eng","note":"PMID: 31519444\nPMCID: PMC10967685","page":"A132-A140","source":"PubMed","title":"Global oral cholera vaccine use, 2013-2018","volume":"38 Suppl 1","author":[{"family":"Pezzoli","given":"Lorenzo"},{"literal":"Oral Cholera Vaccine Working Group of the Global Task Force on Cholera Control"}],"issued":{"date-parts":[["2020",2,29]]}}}],"schema":"https://github.com/citation-style-language/schema/raw/master/csl-citation.json"} </w:instrText>
      </w:r>
      <w:r w:rsidR="00526A9F" w:rsidRPr="00097432">
        <w:rPr>
          <w:lang w:val="en-US"/>
        </w:rPr>
        <w:fldChar w:fldCharType="separate"/>
      </w:r>
      <w:r w:rsidR="00FD2750" w:rsidRPr="00097432">
        <w:rPr>
          <w:rFonts w:cs="Times New Roman"/>
          <w:vertAlign w:val="superscript"/>
        </w:rPr>
        <w:t>25,31</w:t>
      </w:r>
      <w:r w:rsidR="00526A9F" w:rsidRPr="00097432">
        <w:rPr>
          <w:lang w:val="en-US"/>
        </w:rPr>
        <w:fldChar w:fldCharType="end"/>
      </w:r>
      <w:r w:rsidR="00FD2750" w:rsidRPr="00097432">
        <w:rPr>
          <w:rFonts w:hint="eastAsia"/>
          <w:lang w:val="en-US"/>
        </w:rPr>
        <w:t xml:space="preserve"> </w:t>
      </w:r>
      <w:r w:rsidRPr="00097432">
        <w:rPr>
          <w:lang w:val="en-US"/>
        </w:rPr>
        <w:t>occasionally rendering vaccines irrelevant if outbreaks subside before deployment. Similarly, assumptions about vaccine protection vary: some studies presume immediate immunity,</w:t>
      </w:r>
      <w:r w:rsidRPr="00097432">
        <w:t xml:space="preserve"> </w:t>
      </w:r>
      <w:r w:rsidRPr="00097432">
        <w:fldChar w:fldCharType="begin"/>
      </w:r>
      <w:r w:rsidR="00345AF1">
        <w:instrText xml:space="preserve"> ADDIN ZOTERO_ITEM CSL_CITATION {"citationID":"p62dvBbO","properties":{"formattedCitation":"\\super 9,13\\uc0\\u8211{}15\\nosupersub{}","plainCitation":"9,13–15","noteIndex":0},"citationItems":[{"id":"EgwuGF5k/MVbN3Mku","uris":["http://zotero.org/users/local/xDVOxgbN/items/ZJQSH5FR"],"itemData":{"id":95,"type":"article-journal","container-title":"PLOS Neglected Tropical Diseases","DOI":"10.1371/journal.pntd.0006257","ISSN":"1935-2735","issue":"2","journalAbbreviation":"PLoS Negl Trop Dis","language":"en","page":"e0006257","source":"DOI.org (Crossref)","title":"Prolonging herd immunity to cholera via vaccination: Accounting for human mobility and waning vaccine effects","title-short":"Prolonging herd immunity to cholera via vaccination","volume":"12","author":[{"family":"Peak","given":"Corey M."},{"family":"Reilly","given":"Amanda L."},{"family":"Azman","given":"Andrew S."},{"family":"Buckee","given":"Caroline O."}],"editor":[{"family":"Marks","given":"Florian"}],"issued":{"date-parts":[["2018",2,28]]}}},{"id":"EgwuGF5k/vnWyEUA7","uris":["http://zotero.org/users/local/xDVOxgbN/items/P34TEJN2"],"itemData":{"id":93,"type":"article-journal","abstract":"Background\n              A global stockpile of oral cholera vaccine (OCV) was established in 2013 for use in outbreak response and are licensed as two-dose regimens. Vaccine availability, however, remains limited. Previous studies have found that a single dose of OCV may provide substantial protection against cholera.\n            \n            \n              Methods\n              Using a mathematical model with two age groups paired with optimization algorithms, we determine the optimal vaccination strategy with one and two doses of vaccine to minimize cumulative overall infections, symptomatic infections, and deaths. We explore counterfactual vaccination scenarios in three distinct settings: Maela, the largest refugee camp in Thailand, with high in- and out-migration; N’Djamena, Chad, a densely populated region; and Haiti, where departments are connected by rivers and roads.\n            \n            \n              Results\n              Over the short term under limited vaccine supply, the optimal strategies for all objectives prioritize one dose to the older age group (over five years old), irrespective of setting and level of vaccination coverage. As more vaccine becomes available, it is optimal to administer a second dose for long-term protection. With enough vaccine to cover the whole population with one dose, the optimal strategies can avert up to 30% to 90% of deaths and 36% to 92% of symptomatic infections across the three settings over one year. The one-dose optimal strategies can avert 1.2 to 1.8 times as many cases and deaths compared to the standard two-dose strategy.\n            \n            \n              Conclusions\n              In an outbreak setting, speedy vaccination campaigns with a single dose of OCV is likely to avert more cases and deaths than a two-dose pro-rata campaign under a limited vaccine supply.","container-title":"PLOS Neglected Tropical Diseases","DOI":"10.1371/journal.pntd.0010358","ISSN":"1935-2735","issue":"4","journalAbbreviation":"PLoS Negl Trop Dis","language":"en","page":"e0010358","source":"DOI.org (Crossref)","title":"Optimizing one-dose and two-dose cholera vaccine allocation in outbreak settings: A modeling study","title-short":"Optimizing one-dose and two-dose cholera vaccine allocation in outbreak settings","volume":"16","author":[{"family":"Leung","given":"Tiffany"},{"family":"Eaton","given":"Julia"},{"family":"Matrajt","given":"Laura"}],"editor":[{"family":"Fleckenstein","given":"James Michael"}],"issued":{"date-parts":[["2022",4,20]]}}},{"id":"EgwuGF5k/8rAvwhna","uris":["http://zotero.org/users/local/xDVOxgbN/items/D9HE3GUQ"],"itemData":{"id":78,"type":"article-journal","container-title":"PLOS Medicine","DOI":"10.1371/journal.pmed.1001867","ISSN":"1549-1676","issue":"8","journalAbbreviation":"PLoS Med","language":"en","page":"e1001867","source":"DOI.org (Crossref)","title":"The Impact of a One-Dose versus Two-Dose Oral Cholera Vaccine Regimen in Outbreak Settings: A Modeling Study","title-short":"The Impact of a One-Dose versus Two-Dose Oral Cholera Vaccine Regimen in Outbreak Settings","volume":"12","author":[{"family":"Azman","given":"Andrew S."},{"family":"Luquero","given":"Francisco J."},{"family":"Ciglenecki","given":"Iza"},{"family":"Grais","given":"Rebecca F."},{"family":"Sack","given":"David A."},{"family":"Lessler","given":"Justin"}],"editor":[{"family":"Kretzschmar","given":"Mirjam E. E."}],"issued":{"date-parts":[["2015",8,25]]}}},{"id":"EgwuGF5k/H5oox5mV","uris":["http://zotero.org/users/local/xDVOxgbN/items/I4JWC6R2"],"itemData":{"id":82,"type":"article-journal","abstract":"Reactive vaccination has recently been adopted as an outbreak response tool for cholera and other infectious diseases. Owing to the global shortage of oral cholera vaccine, health officials must quickly decide who and where to distribute limited vaccine. Targeted vaccination in transmission hotspots (i.e. areas with high transmission efficiency) may be a potential approach to efficiently allocate vaccine, however its effectiveness will likely be context-dependent. We compared strategies for allocating vaccine across multiple areas with heterogeneous transmission efficiency. We constructed metapopulation models of a cholera-like disease and compared simulated epidemics where: vaccine is targeted at areas of high or low transmission efficiency, where vaccine is distributed across the population, and where no vaccine is used. We find that connectivity between populations, transmission efficiency, vaccination timing and the amount of vaccine available all shape the performance of different allocation strategies. In highly connected settings (e.g. cities) when vaccinating early in the epidemic, targeting limited vaccine at transmission hotspots is often optimal. Once vaccination is delayed, targeting the hotspot is rarely optimal, and strategies that either spread vaccine between areas or those targeted at non-hotspots will avert more cases. Although hotspots may be an intuitive outbreak control target, we show that, in many situations, the hotspot-epidemic proceeds so fast that hotspot-targeted reactive vaccination will prevent relatively few cases, and vaccination shared across areas where transmission can be sustained is often best.","container-title":"Proceedings of the Royal Society B: Biological Sciences","DOI":"10.1098/rspb.2014.1341","ISSN":"0962-8452, 1471-2954","issue":"1798","journalAbbreviation":"Proc. R. Soc. B.","language":"en","page":"20141341","source":"DOI.org (Crossref)","title":"Reactive vaccination in the presence of disease hotspots","volume":"282","author":[{"family":"Azman","given":"Andrew S."},{"family":"Lessler","given":"Justin"}],"issued":{"date-parts":[["2015",1,7]]}}}],"schema":"https://github.com/citation-style-language/schema/raw/master/csl-citation.json"} </w:instrText>
      </w:r>
      <w:r w:rsidRPr="00097432">
        <w:fldChar w:fldCharType="separate"/>
      </w:r>
      <w:r w:rsidRPr="00097432">
        <w:rPr>
          <w:vertAlign w:val="superscript"/>
          <w:lang w:val="en-US"/>
        </w:rPr>
        <w:t>9,13–15</w:t>
      </w:r>
      <w:r w:rsidRPr="00097432">
        <w:fldChar w:fldCharType="end"/>
      </w:r>
      <w:r w:rsidRPr="00097432">
        <w:rPr>
          <w:lang w:val="en-US"/>
        </w:rPr>
        <w:t xml:space="preserve"> while others account for delays in immunogenicity, reflecting the time required for immunity to develop.</w:t>
      </w:r>
      <w:r w:rsidRPr="00097432">
        <w:t xml:space="preserve"> </w:t>
      </w:r>
      <w:r w:rsidRPr="00097432">
        <w:fldChar w:fldCharType="begin"/>
      </w:r>
      <w:r w:rsidR="00345AF1">
        <w:instrText xml:space="preserve"> ADDIN ZOTERO_ITEM CSL_CITATION {"citationID":"USI3FPwN","properties":{"formattedCitation":"\\super 1,6,8,10\\nosupersub{}","plainCitation":"1,6,8,10","noteIndex":0},"citationItems":[{"id":"EgwuGF5k/Hmz3wwbU","uris":["http://zotero.org/users/local/xDVOxgbN/items/3KCFPCDX"],"itemData":{"id":67,"type":"article-journal","container-title":"PLOS Medicine","DOI":"10.1371/journal.pmed.1002509","ISSN":"1549-1676","issue":"2","journalAbbreviation":"PLoS Med","language":"en","page":"e1002509","source":"DOI.org (Crossref)","title":"The potential impact of case-area targeted interventions in response to cholera outbreaks: A modeling study","title-short":"The potential impact of case-area targeted interventions in response to cholera outbreaks","volume":"15","author":[{"family":"Finger","given":"Flavio"},{"family":"Bertuzzo","given":"Enrico"},{"family":"Luquero","given":"Francisco J."},{"family":"Naibei","given":"Nathan"},{"family":"Touré","given":"Brahima"},{"family":"Allan","given":"Maya"},{"family":"Porten","given":"Klaudia"},{"family":"Lessler","given":"Justin"},{"family":"Rinaldo","given":"Andrea"},{"family":"Azman","given":"Andrew S."}],"editor":[{"family":"Von Seidlein","given":"Lorenz"}],"issued":{"date-parts":[["2018",2,27]]}}},{"id":"EgwuGF5k/lwl7uSxR","uris":["http://zotero.org/users/local/xDVOxgbN/items/C9VJ6Y9N"],"itemData":{"id":87,"type":"article-journal","abstract":"In October 2010, a virulent South Asian strain of El Tor cholera began to spread in Haiti. Interventions have included treatment of cases and improved sanitation. Use of cholera vaccines would likely have further reduced morbidity and mortality, but such vaccines are in short supply and little is known about effective vaccination strategies for epidemic cholera. We use a mathematical cholera transmission model to assess different vaccination strategies. With limited vaccine quantities, concentrating vaccine in high-risk areas is always most efficient. We show that targeting one million doses of vaccine to areas with high exposure to\n              Vibrio cholerae\n              , enough for two doses for 5% of the population, would reduce the number of cases by 11%. The same strategy with enough vaccine for 30% of the population with modest hygienic improvement could reduce cases by 55% and save 3,320 lives. For epidemic cholera, we recommend a large mobile stockpile of enough vaccine to cover 30% of a country's population to be reactively targeted to populations at high risk of exposure.","container-title":"Proceedings of the National Academy of Sciences","DOI":"10.1073/pnas.1102149108","ISSN":"0027-8424, 1091-6490","issue":"17","journalAbbreviation":"Proc. Natl. Acad. Sci. U.S.A.","language":"en","page":"7081-7085","source":"DOI.org (Crossref)","title":"Vaccination strategies for epidemic cholera in Haiti with implications for the developing world","volume":"108","author":[{"family":"Chao","given":"Dennis L."},{"family":"Halloran","given":"M. Elizabeth"},{"family":"Longini","given":"Ira M."}],"issued":{"date-parts":[["2011",4,26]]}}},{"id":"EgwuGF5k/o2xX9Gov","uris":["http://zotero.org/users/local/xDVOxgbN/items/TR5894IS"],"itemData":{"id":91,"type":"article-journal","abstract":"Abstract\n            \n              Background\n              Cholera is a major public health concern in displaced-person camps, which often contend with overcrowding and scarcity of resources. Maela, the largest and longest-standing refugee camp in Thailand, located along the Thai-Burmese border, experienced four cholera outbreaks between 2005 and 2010. In 2013, a cholera vaccine campaign was implemented in the camp. To assist in the evaluation of the campaign and planning for subsequent campaigns, we developed a mathematical model of cholera in Maela.\n            \n            \n              Methods\n              We formulated a Susceptible-Infectious-Water-Recovered-based transmission model and estimated parameters using incidence data from 2010. We next evaluated the reduction in cases conferred by several immunization strategies, varying timing, effectiveness, and resources (i.e., vaccine availability). After the vaccine campaign, we generated case forecasts for the next year, to inform on-the-ground decision-making regarding whether a booster campaign was needed.\n            \n            \n              Results\n              \n                We found that preexposure vaccination can substantially reduce the risk of cholera even when &lt;50\n                %\n                of the population is given the full two-dose series. Additionally, the preferred number of doses per person should be considered in the context of one vs. two dose effectiveness and vaccine availability. For reactive vaccination, a trade-off between timing and effectiveness was revealed, indicating that it may be beneficial to give one dose to more people rather than two doses to fewer people, given that a two-dose schedule would incur a delay in administration of the second dose. Forecasting using realistic coverage levels predicted that there was no need for a booster campaign in 2014 (consistent with our predictions, there was not a cholera epidemic in 2014).\n              \n            \n            \n              Conclusions\n              Our analyses suggest that vaccination in conjunction with ongoing water sanitation and hygiene efforts provides an effective strategy for controlling cholera outbreaks in refugee camps. Effective preexposure vaccination depends on timing and effectiveness. If a camp is facing an outbreak, delayed distribution of vaccines can substantially alter the effectiveness of reactive vaccination, suggesting that quick distribution of vaccines may be more important than ensuring every individual receives both vaccine doses. Overall, this analysis illustrates how mathematical models can be applied in public health practice, to assist in evaluating alternative intervention strategies and inform decision-making.","container-title":"BMC Infectious Diseases","DOI":"10.1186/s12879-019-4688-6","ISSN":"1471-2334","issue":"1","journalAbbreviation":"BMC Infect Dis","language":"en","page":"1075","source":"DOI.org (Crossref)","title":"Comparing alternative cholera vaccination strategies in Maela refugee camp: using a transmission model in public health practice","title-short":"Comparing alternative cholera vaccination strategies in Maela refugee camp","volume":"19","author":[{"family":"Havumaki","given":"Joshua"},{"family":"Meza","given":"Rafael"},{"family":"Phares","given":"Christina R."},{"family":"Date","given":"Kashmira"},{"family":"Eisenberg","given":"Marisa C."}],"issued":{"date-parts":[["2019",12]]}}},{"id":"EgwuGF5k/K5w3Oly2","uris":["http://zotero.org/users/local/xDVOxgbN/items/A7JBWGAG"],"itemData":{"id":97,"type":"article-journal","container-title":"PLoS Neglected Tropical Diseases","DOI":"10.1371/journal.pntd.0001901","ISSN":"1935-2735","issue":"11","journalAbbreviation":"PLoS Negl Trop Dis","language":"en","page":"e1901","source":"DOI.org (Crossref)","title":"Urban Cholera Transmission Hotspots and Their Implications for Reactive Vaccination: Evidence from Bissau City, Guinea Bissau","title-short":"Urban Cholera Transmission Hotspots and Their Implications for Reactive Vaccination","volume":"6","author":[{"family":"Azman","given":"Andrew S."},{"family":"Luquero","given":"Francisco J."},{"family":"Rodrigues","given":"Amabelia"},{"family":"Palma","given":"Pedro Pablo"},{"family":"Grais","given":"Rebecca F."},{"family":"Banga","given":"Cunhate Na"},{"family":"Grenfell","given":"Bryan T."},{"family":"Lessler","given":"Justin"}],"editor":[{"family":"Vinetz","given":"Joseph M."}],"issued":{"date-parts":[["2012",11,8]]}}}],"schema":"https://github.com/citation-style-language/schema/raw/master/csl-citation.json"} </w:instrText>
      </w:r>
      <w:r w:rsidRPr="00097432">
        <w:fldChar w:fldCharType="separate"/>
      </w:r>
      <w:r w:rsidRPr="00097432">
        <w:rPr>
          <w:vertAlign w:val="superscript"/>
          <w:lang w:val="en-US"/>
        </w:rPr>
        <w:t>1,6,8,10</w:t>
      </w:r>
      <w:r w:rsidRPr="00097432">
        <w:fldChar w:fldCharType="end"/>
      </w:r>
      <w:r w:rsidRPr="00097432">
        <w:rPr>
          <w:rFonts w:hint="eastAsia"/>
        </w:rPr>
        <w:t xml:space="preserve"> </w:t>
      </w:r>
      <w:r w:rsidRPr="00097432">
        <w:rPr>
          <w:lang w:val="en-US"/>
        </w:rPr>
        <w:t xml:space="preserve"> A modeling approach integrating realistic epidemiological diversity, immunological delays, and operational constraints of ORIs is essential to assess their impact and inform global cholera control strategies.</w:t>
      </w:r>
    </w:p>
    <w:p w14:paraId="0724CE47" w14:textId="77777777" w:rsidR="00C06B4A" w:rsidRPr="00097432" w:rsidRDefault="00C06B4A" w:rsidP="00F57F15">
      <w:pPr>
        <w:rPr>
          <w:lang w:val="en-US"/>
        </w:rPr>
      </w:pPr>
    </w:p>
    <w:p w14:paraId="22C26A0D" w14:textId="4D1BD1EA" w:rsidR="00B30966" w:rsidRDefault="00526A9F" w:rsidP="00F57F15">
      <w:pPr>
        <w:rPr>
          <w:lang w:val="en-US"/>
        </w:rPr>
      </w:pPr>
      <w:r w:rsidRPr="00097432">
        <w:rPr>
          <w:lang w:val="en-US"/>
        </w:rPr>
        <w:t xml:space="preserve">This study addresses </w:t>
      </w:r>
      <w:r w:rsidR="00EE21FD" w:rsidRPr="00097432">
        <w:rPr>
          <w:rFonts w:hint="eastAsia"/>
          <w:lang w:val="en-US"/>
        </w:rPr>
        <w:t>key evidence</w:t>
      </w:r>
      <w:r w:rsidRPr="00097432">
        <w:rPr>
          <w:lang w:val="en-US"/>
        </w:rPr>
        <w:t xml:space="preserve"> gaps by evaluating the </w:t>
      </w:r>
      <w:r w:rsidR="00EE21FD" w:rsidRPr="00097432">
        <w:rPr>
          <w:rFonts w:hint="eastAsia"/>
          <w:lang w:val="en-US"/>
        </w:rPr>
        <w:t xml:space="preserve">health and economic </w:t>
      </w:r>
      <w:r w:rsidRPr="00097432">
        <w:rPr>
          <w:lang w:val="en-US"/>
        </w:rPr>
        <w:t>impact of OCV campaigns across 1,192 cholera outbreaks in sub-Saharan Africa from 2010 to 202</w:t>
      </w:r>
      <w:r w:rsidRPr="00097432">
        <w:rPr>
          <w:rFonts w:hint="eastAsia"/>
          <w:lang w:val="en-US"/>
        </w:rPr>
        <w:t>0</w:t>
      </w:r>
      <w:r w:rsidR="00EE21FD" w:rsidRPr="00097432">
        <w:rPr>
          <w:rFonts w:hint="eastAsia"/>
          <w:lang w:val="en-US"/>
        </w:rPr>
        <w:t xml:space="preserve">. These outbreaks spanned a wide range of setting in terms of </w:t>
      </w:r>
      <w:r w:rsidRPr="00097432">
        <w:rPr>
          <w:lang w:val="en-US"/>
        </w:rPr>
        <w:t xml:space="preserve">size, duration, attack rate, and spatiotemporal distribution. </w:t>
      </w:r>
      <w:r w:rsidR="001E41A9" w:rsidRPr="00CA06A0">
        <w:rPr>
          <w:highlight w:val="yellow"/>
        </w:rPr>
        <w:t xml:space="preserve">Our analysis was guided by two key questions. First, how effective are reactive OCV campaigns when implemented during individual outbreaks, particularly under varying delays and levels of vaccination coverage? Second, what has been the overall impact of OCV deployments since the establishment of the global stockpile, when campaigns are considered collectively across multiple outbreaks? To address these questions, we conducted two complementary analyses: one estimating per-outbreak vaccine impact across a range of implementation scenarios, and another estimating overall impact by simulating vaccine deployments across a subset of outbreaks </w:t>
      </w:r>
      <w:r w:rsidR="001E41A9" w:rsidRPr="00CA06A0">
        <w:rPr>
          <w:highlight w:val="yellow"/>
        </w:rPr>
        <w:lastRenderedPageBreak/>
        <w:t>whose combined population size matched the number of OCV doses deployed globally between 2013 and 2020.</w:t>
      </w:r>
    </w:p>
    <w:p w14:paraId="3AC5626F" w14:textId="2D918828" w:rsidR="006B31C6" w:rsidRPr="00097432" w:rsidRDefault="0091383D" w:rsidP="00F57F15">
      <w:pPr>
        <w:pStyle w:val="Heading2"/>
      </w:pPr>
      <w:bookmarkStart w:id="11" w:name="_heading=h.lnxbz9" w:colFirst="0" w:colLast="0"/>
      <w:bookmarkStart w:id="12" w:name="_Toc184909199"/>
      <w:bookmarkStart w:id="13" w:name="_Hlk162276114"/>
      <w:bookmarkEnd w:id="11"/>
      <w:r w:rsidRPr="00097432">
        <w:t>Methods</w:t>
      </w:r>
      <w:bookmarkStart w:id="14" w:name="_heading=h.35nkun2" w:colFirst="0" w:colLast="0"/>
      <w:bookmarkEnd w:id="12"/>
      <w:bookmarkEnd w:id="14"/>
    </w:p>
    <w:p w14:paraId="5746FF8B" w14:textId="1BF498F2" w:rsidR="00D45E30" w:rsidRPr="00097432" w:rsidRDefault="00D45E30" w:rsidP="00C941FB">
      <w:pPr>
        <w:pStyle w:val="Heading3"/>
      </w:pPr>
      <w:bookmarkStart w:id="15" w:name="_Toc184909200"/>
      <w:r w:rsidRPr="00097432">
        <w:t>Outbreak data</w:t>
      </w:r>
      <w:bookmarkEnd w:id="15"/>
    </w:p>
    <w:p w14:paraId="291E45FF" w14:textId="32555D2A" w:rsidR="00B57CC1" w:rsidRPr="00097432" w:rsidRDefault="00BA69CB" w:rsidP="00F57F15">
      <w:r w:rsidRPr="00097432">
        <w:rPr>
          <w:rFonts w:hint="eastAsia"/>
        </w:rPr>
        <w:t>We compiled w</w:t>
      </w:r>
      <w:r w:rsidR="00743304" w:rsidRPr="00097432">
        <w:t xml:space="preserve">eekly </w:t>
      </w:r>
      <w:r w:rsidR="00994CA3" w:rsidRPr="00097432">
        <w:t xml:space="preserve">suspected </w:t>
      </w:r>
      <w:r w:rsidR="00743304" w:rsidRPr="00097432">
        <w:t xml:space="preserve">cholera incidence data from the </w:t>
      </w:r>
      <w:r w:rsidR="00B8058D" w:rsidRPr="00097432">
        <w:rPr>
          <w:rFonts w:hint="eastAsia"/>
        </w:rPr>
        <w:t>Cholera Taxonomy Data</w:t>
      </w:r>
      <w:r w:rsidRPr="00097432">
        <w:rPr>
          <w:rFonts w:hint="eastAsia"/>
        </w:rPr>
        <w:t>,</w:t>
      </w:r>
      <w:r w:rsidR="00B8058D" w:rsidRPr="00097432">
        <w:fldChar w:fldCharType="begin"/>
      </w:r>
      <w:r w:rsidR="000B5A14" w:rsidRPr="00097432">
        <w:instrText xml:space="preserve"> ADDIN ZOTERO_ITEM CSL_CITATION {"citationID":"oWyJX6gc","properties":{"formattedCitation":"\\super 32\\nosupersub{}","plainCitation":"32","noteIndex":0},"citationItems":[{"id":15237,"uris":["http://zotero.org/users/7663102/items/A7V925WC"],"itemData":{"id":15237,"type":"webpage","title":"CholeraTaxonomy","URL":"https://cholera-taxonomy.middle-distance.com/","author":[{"family":"Johns Hopkins Cholera Dynamics Team","given":""}],"accessed":{"date-parts":[["2025",1,2]]},"citation-key":"johnshopkinscholeradynamicsteamCholeraTaxonomy"}}],"schema":"https://github.com/citation-style-language/schema/raw/master/csl-citation.json"} </w:instrText>
      </w:r>
      <w:r w:rsidR="00B8058D" w:rsidRPr="00097432">
        <w:fldChar w:fldCharType="separate"/>
      </w:r>
      <w:r w:rsidR="000B5A14" w:rsidRPr="00097432">
        <w:rPr>
          <w:rFonts w:cs="Times New Roman"/>
          <w:vertAlign w:val="superscript"/>
        </w:rPr>
        <w:t>32</w:t>
      </w:r>
      <w:r w:rsidR="00B8058D" w:rsidRPr="00097432">
        <w:fldChar w:fldCharType="end"/>
      </w:r>
      <w:r w:rsidR="00F91B5E" w:rsidRPr="00097432">
        <w:t xml:space="preserve"> </w:t>
      </w:r>
      <w:r w:rsidRPr="00097432">
        <w:rPr>
          <w:rFonts w:hint="eastAsia"/>
        </w:rPr>
        <w:t xml:space="preserve">an </w:t>
      </w:r>
      <w:r w:rsidR="00F91B5E" w:rsidRPr="00097432">
        <w:t xml:space="preserve">expanded </w:t>
      </w:r>
      <w:r w:rsidRPr="00097432">
        <w:rPr>
          <w:rFonts w:hint="eastAsia"/>
        </w:rPr>
        <w:t xml:space="preserve">dataset derived </w:t>
      </w:r>
      <w:r w:rsidR="00F91B5E" w:rsidRPr="00097432">
        <w:t>from the existing database</w:t>
      </w:r>
      <w:r w:rsidRPr="00097432">
        <w:rPr>
          <w:rFonts w:hint="eastAsia"/>
        </w:rPr>
        <w:t xml:space="preserve">. This </w:t>
      </w:r>
      <w:r w:rsidR="00844022" w:rsidRPr="00097432">
        <w:rPr>
          <w:rFonts w:hint="eastAsia"/>
        </w:rPr>
        <w:t>data</w:t>
      </w:r>
      <w:r w:rsidRPr="00097432">
        <w:rPr>
          <w:rFonts w:hint="eastAsia"/>
        </w:rPr>
        <w:t xml:space="preserve"> encompasses </w:t>
      </w:r>
      <w:r w:rsidR="00763376" w:rsidRPr="00097432">
        <w:t xml:space="preserve">1,664 outbreaks </w:t>
      </w:r>
      <w:r w:rsidR="003F7829" w:rsidRPr="00097432">
        <w:t xml:space="preserve">reported </w:t>
      </w:r>
      <w:r w:rsidRPr="00097432">
        <w:rPr>
          <w:rFonts w:hint="eastAsia"/>
        </w:rPr>
        <w:t xml:space="preserve">in </w:t>
      </w:r>
      <w:r w:rsidR="0065170D" w:rsidRPr="00097432">
        <w:t xml:space="preserve">various </w:t>
      </w:r>
      <w:r w:rsidR="003F7829" w:rsidRPr="00097432">
        <w:t xml:space="preserve">administrative units </w:t>
      </w:r>
      <w:r w:rsidR="00763376" w:rsidRPr="00097432">
        <w:t>across 30 countries in sub-Saharan Africa from January 2010 to July 2023</w:t>
      </w:r>
      <w:r w:rsidR="00F91B5E" w:rsidRPr="00097432">
        <w:t>.</w:t>
      </w:r>
      <w:r w:rsidR="00286E84" w:rsidRPr="00097432">
        <w:fldChar w:fldCharType="begin"/>
      </w:r>
      <w:r w:rsidR="00426D3F" w:rsidRPr="00097432">
        <w:instrText xml:space="preserve"> ADDIN ZOTERO_ITEM CSL_CITATION {"citationID":"jdcYw5wM","properties":{"formattedCitation":"\\super 23,33\\nosupersub{}","plainCitation":"23,33","noteIndex":0},"citationItems":[{"id":7876,"uris":["http://zotero.org/users/7663102/items/CQNDTP3Y"],"itemData":{"id":7876,"type":"article-journal","container-title":"International Journal of Infectious Diseases","DOI":"10.1016/j.ijid.2022.05.039","ISSN":"1201-9712","journalAbbreviation":"IJID","language":"English","note":"publisher: Elsevier\nPMID: 35605949","page":"215-221","source":"www.ijidonline.com","title":"Cholera outbreaks in sub-Saharan Africa during 2010-2019: a descriptive analysis","title-short":"Cholera outbreaks in sub-Saharan Africa during 2010-2019","volume":"122","author":[{"family":"Zheng","given":"Qulu"},{"family":"Luquero","given":"Francisco J."},{"family":"Ciglenecki","given":"Iza"},{"family":"Wamala","given":"Joseph F."},{"family":"Abubakar","given":"Abdinasir"},{"family":"Welo","given":"Placide"},{"family":"Hussen","given":"Mukemil"},{"family":"Wossen","given":"Mesfin"},{"family":"Yennan","given":"Sebastian"},{"family":"Keita","given":"Alama"},{"family":"Lessler","given":"Justin"},{"family":"Azman","given":"Andrew S."},{"family":"Lee","given":"Elizabeth C."}],"issued":{"date-parts":[["2022",9,1]]},"citation-key":"zhengCholeraOutbreaksSubSaharan2022"}},{"id":15761,"uris":["http://zotero.org/users/7663102/items/JCYGWDIF"],"itemData":{"id":15761,"type":"article-journal","abstract":"Background Cholera remains a significant public health challenge in Africa, where outbreaks routinely strain public health and healthcare systems. Cholera surveillance time series data could be used to inform the efficient distribution of resources like oral cholera vaccine (OCV) and emergency response personnel, spur research on the impacts of different cholera control activities, and investigate longer-term epidemiologic patterns in cholera dynamics in this region. However, public reporting of cholera surveillance data historically has been sporadic and often limited to outbreak periods, thus limiting the availability of these useful time series datasets. We sought to fill this gap by preparing, cleaning, and processing weekly consecutive time series and outbreak-specific time series from 2010 to 2023 for African countries from heterogeneous data contributed to a global cholera surveillance database.","container-title":"VeriXiv","DOI":"https://doi.org/10.12688/verixiv.1061.1","issue":"116","language":"en","source":"Zotero","title":"Cholera surveillance time series in Africa between 2010 and 2023","volume":"2","author":[{"family":"Zheng","given":"Qulu"},{"family":"DePencier","given":"Rachel"},{"family":"Demby","given":"Maya N"},{"family":"Azman","given":"Andrew S"},{"family":"Lee","given":"Elizabeth C"}],"issued":{"date-parts":[["2025"]]},"citation-key":"zheng2025"}}],"schema":"https://github.com/citation-style-language/schema/raw/master/csl-citation.json"} </w:instrText>
      </w:r>
      <w:r w:rsidR="00286E84" w:rsidRPr="00097432">
        <w:fldChar w:fldCharType="separate"/>
      </w:r>
      <w:r w:rsidR="005377FB" w:rsidRPr="00097432">
        <w:rPr>
          <w:rFonts w:cs="Times New Roman"/>
          <w:vertAlign w:val="superscript"/>
        </w:rPr>
        <w:t>23,33</w:t>
      </w:r>
      <w:r w:rsidR="00286E84" w:rsidRPr="00097432">
        <w:fldChar w:fldCharType="end"/>
      </w:r>
      <w:r w:rsidR="00743304" w:rsidRPr="00097432">
        <w:t xml:space="preserve"> Outbreaks were defined by location-specific average weekly incidence thresholds, spanning from the first to the last reported suspected case</w:t>
      </w:r>
      <w:r w:rsidR="009C63EF" w:rsidRPr="00097432">
        <w:t xml:space="preserve">, with </w:t>
      </w:r>
      <w:r w:rsidRPr="00097432">
        <w:rPr>
          <w:rFonts w:hint="eastAsia"/>
        </w:rPr>
        <w:t xml:space="preserve">any </w:t>
      </w:r>
      <w:r w:rsidR="009C63EF" w:rsidRPr="00097432">
        <w:t xml:space="preserve">weeks </w:t>
      </w:r>
      <w:r w:rsidRPr="00097432">
        <w:rPr>
          <w:rFonts w:hint="eastAsia"/>
        </w:rPr>
        <w:t>lacking data</w:t>
      </w:r>
      <w:r w:rsidR="009C63EF" w:rsidRPr="00097432">
        <w:t xml:space="preserve"> assumed to have zero cases</w:t>
      </w:r>
      <w:r w:rsidR="00743304" w:rsidRPr="00097432">
        <w:t>.</w:t>
      </w:r>
      <w:r w:rsidR="000B2C70" w:rsidRPr="00097432">
        <w:fldChar w:fldCharType="begin"/>
      </w:r>
      <w:r w:rsidR="000B5A14" w:rsidRPr="00097432">
        <w:instrText xml:space="preserve"> ADDIN ZOTERO_ITEM CSL_CITATION {"citationID":"S20QoVfg","properties":{"formattedCitation":"\\super 30\\nosupersub{}","plainCitation":"30","noteIndex":0},"citationItems":[{"id":15218,"uris":["http://zotero.org/users/7663102/items/UWYP5WF6"],"itemData":{"id":15218,"type":"manuscript","event-place":"In preparation","publisher-place":"In preparation","title":"Cholera outbreak time series in Africa between 2010 and 2023.","author":[{"family":"Zheng","given":"Q."},{"family":"Lee","given":"E. C."}],"citation-key":"zhengCholeraOutbreakTime"}}],"schema":"https://github.com/citation-style-language/schema/raw/master/csl-citation.json"} </w:instrText>
      </w:r>
      <w:r w:rsidR="000B2C70" w:rsidRPr="00097432">
        <w:fldChar w:fldCharType="separate"/>
      </w:r>
      <w:r w:rsidR="00900C32" w:rsidRPr="00097432">
        <w:rPr>
          <w:rFonts w:cs="Times New Roman"/>
          <w:vertAlign w:val="superscript"/>
        </w:rPr>
        <w:t>30</w:t>
      </w:r>
      <w:r w:rsidR="000B2C70" w:rsidRPr="00097432">
        <w:fldChar w:fldCharType="end"/>
      </w:r>
      <w:r w:rsidR="00763376" w:rsidRPr="00097432">
        <w:t xml:space="preserve"> </w:t>
      </w:r>
      <w:r w:rsidR="00B57CC1" w:rsidRPr="00097432">
        <w:rPr>
          <w:rFonts w:hint="eastAsia"/>
        </w:rPr>
        <w:t>Out of 1,664 outbreaks</w:t>
      </w:r>
      <w:r w:rsidR="00844022" w:rsidRPr="00097432">
        <w:rPr>
          <w:rFonts w:hint="eastAsia"/>
        </w:rPr>
        <w:t>, w</w:t>
      </w:r>
      <w:r w:rsidR="00C941FB" w:rsidRPr="00097432">
        <w:rPr>
          <w:rFonts w:hint="eastAsia"/>
        </w:rPr>
        <w:t xml:space="preserve">e excluded </w:t>
      </w:r>
      <w:r w:rsidR="005706E9" w:rsidRPr="00097432">
        <w:rPr>
          <w:rFonts w:hint="eastAsia"/>
        </w:rPr>
        <w:t>the ones</w:t>
      </w:r>
      <w:r w:rsidR="00C941FB" w:rsidRPr="00097432">
        <w:rPr>
          <w:rFonts w:hint="eastAsia"/>
        </w:rPr>
        <w:t xml:space="preserve"> that</w:t>
      </w:r>
      <w:r w:rsidR="005706E9" w:rsidRPr="00097432">
        <w:rPr>
          <w:rFonts w:hint="eastAsia"/>
        </w:rPr>
        <w:t xml:space="preserve"> are not </w:t>
      </w:r>
      <w:r w:rsidR="00C941FB" w:rsidRPr="00097432">
        <w:rPr>
          <w:rFonts w:hint="eastAsia"/>
        </w:rPr>
        <w:t>appropriate for modeling the impact of ORI</w:t>
      </w:r>
      <w:r w:rsidR="00AC65FA" w:rsidRPr="00097432">
        <w:rPr>
          <w:rFonts w:hint="eastAsia"/>
        </w:rPr>
        <w:t>s</w:t>
      </w:r>
      <w:r w:rsidR="00C941FB" w:rsidRPr="00097432">
        <w:rPr>
          <w:rFonts w:hint="eastAsia"/>
        </w:rPr>
        <w:t xml:space="preserve">. First, </w:t>
      </w:r>
      <w:r w:rsidR="00AC4336" w:rsidRPr="00097432">
        <w:rPr>
          <w:rFonts w:hint="eastAsia"/>
        </w:rPr>
        <w:t xml:space="preserve">to include </w:t>
      </w:r>
      <w:r w:rsidR="00AC4336" w:rsidRPr="00097432">
        <w:t xml:space="preserve">outbreaks that </w:t>
      </w:r>
      <w:r w:rsidR="00AC4336" w:rsidRPr="00097432">
        <w:rPr>
          <w:rFonts w:hint="eastAsia"/>
        </w:rPr>
        <w:t xml:space="preserve">match </w:t>
      </w:r>
      <w:r w:rsidR="00AC4336" w:rsidRPr="00097432">
        <w:t>with historical OCV deployment scales</w:t>
      </w:r>
      <w:r w:rsidR="00AC4336" w:rsidRPr="00097432">
        <w:rPr>
          <w:rFonts w:hint="eastAsia"/>
        </w:rPr>
        <w:t xml:space="preserve">, </w:t>
      </w:r>
      <w:r w:rsidR="00C941FB" w:rsidRPr="00097432">
        <w:rPr>
          <w:rFonts w:hint="eastAsia"/>
        </w:rPr>
        <w:t xml:space="preserve">we excluded outbreaks reported at the administrative units </w:t>
      </w:r>
      <w:r w:rsidR="005706E9" w:rsidRPr="00097432">
        <w:rPr>
          <w:rFonts w:hint="eastAsia"/>
        </w:rPr>
        <w:t xml:space="preserve">with </w:t>
      </w:r>
      <w:r w:rsidR="00C941FB" w:rsidRPr="00097432">
        <w:rPr>
          <w:rFonts w:hint="eastAsia"/>
        </w:rPr>
        <w:t>population size</w:t>
      </w:r>
      <w:r w:rsidR="00AC4336" w:rsidRPr="00097432">
        <w:rPr>
          <w:rFonts w:hint="eastAsia"/>
        </w:rPr>
        <w:t xml:space="preserve"> that is</w:t>
      </w:r>
      <w:r w:rsidR="00AC4336" w:rsidRPr="00097432">
        <w:t xml:space="preserve"> bigger than the reported maximum doses (5 million doses) </w:t>
      </w:r>
      <w:r w:rsidR="00AC4336" w:rsidRPr="00097432">
        <w:rPr>
          <w:rFonts w:hint="eastAsia"/>
        </w:rPr>
        <w:t>or</w:t>
      </w:r>
      <w:r w:rsidR="00AC4336" w:rsidRPr="00097432">
        <w:t xml:space="preserve"> smaller th</w:t>
      </w:r>
      <w:r w:rsidR="00AC4336" w:rsidRPr="00097432">
        <w:rPr>
          <w:rFonts w:hint="eastAsia"/>
        </w:rPr>
        <w:t>a</w:t>
      </w:r>
      <w:r w:rsidR="00AC4336" w:rsidRPr="00097432">
        <w:t>n the minimum doses (16,500 doses) of historic OCV deployment.</w:t>
      </w:r>
      <w:r w:rsidR="003D795F" w:rsidRPr="00097432">
        <w:fldChar w:fldCharType="begin"/>
      </w:r>
      <w:r w:rsidR="005377FB" w:rsidRPr="00097432">
        <w:instrText xml:space="preserve"> ADDIN ZOTERO_ITEM CSL_CITATION {"citationID":"z6G6liP1","properties":{"formattedCitation":"\\super 34\\nosupersub{}","plainCitation":"34","noteIndex":0},"citationItems":[{"id":15101,"uris":["http://zotero.org/users/7663102/items/TX7JU4AF"],"itemData":{"id":15101,"type":"webpage","title":"GTFCC OCV Dashboard","URL":"https://apps.epicentre-msf.org/public/app/gtfcc","accessed":{"date-parts":[["2024",11,7]]},"citation-key":"GTFCCOCVDashboard"}}],"schema":"https://github.com/citation-style-language/schema/raw/master/csl-citation.json"} </w:instrText>
      </w:r>
      <w:r w:rsidR="003D795F" w:rsidRPr="00097432">
        <w:fldChar w:fldCharType="separate"/>
      </w:r>
      <w:r w:rsidR="005377FB" w:rsidRPr="00097432">
        <w:rPr>
          <w:rFonts w:cs="Times New Roman"/>
          <w:vertAlign w:val="superscript"/>
        </w:rPr>
        <w:t>34</w:t>
      </w:r>
      <w:r w:rsidR="003D795F" w:rsidRPr="00097432">
        <w:fldChar w:fldCharType="end"/>
      </w:r>
      <w:r w:rsidR="00844022" w:rsidRPr="00097432">
        <w:rPr>
          <w:rFonts w:hint="eastAsia"/>
        </w:rPr>
        <w:t xml:space="preserve"> </w:t>
      </w:r>
      <w:r w:rsidR="00C941FB" w:rsidRPr="00097432">
        <w:rPr>
          <w:rFonts w:hint="eastAsia"/>
        </w:rPr>
        <w:t xml:space="preserve">Second, when outbreaks were reported across multiple administrative unit levels, we excluded smaller </w:t>
      </w:r>
      <w:r w:rsidR="009140DE" w:rsidRPr="00097432">
        <w:rPr>
          <w:rFonts w:hint="eastAsia"/>
        </w:rPr>
        <w:t xml:space="preserve">nested </w:t>
      </w:r>
      <w:r w:rsidR="00C941FB" w:rsidRPr="00097432">
        <w:rPr>
          <w:rFonts w:hint="eastAsia"/>
        </w:rPr>
        <w:t>outbreaks</w:t>
      </w:r>
      <w:r w:rsidR="009140DE" w:rsidRPr="00097432">
        <w:rPr>
          <w:rFonts w:hint="eastAsia"/>
        </w:rPr>
        <w:t xml:space="preserve"> within the largest outbreak</w:t>
      </w:r>
      <w:r w:rsidR="00C941FB" w:rsidRPr="00097432">
        <w:rPr>
          <w:rFonts w:hint="eastAsia"/>
        </w:rPr>
        <w:t xml:space="preserve"> while keeping only the largest outbreak</w:t>
      </w:r>
      <w:r w:rsidR="00AC65FA" w:rsidRPr="00097432">
        <w:rPr>
          <w:rFonts w:hint="eastAsia"/>
        </w:rPr>
        <w:t xml:space="preserve">. Nested outbreaks were </w:t>
      </w:r>
      <w:r w:rsidR="009140DE" w:rsidRPr="00097432">
        <w:rPr>
          <w:rFonts w:hint="eastAsia"/>
        </w:rPr>
        <w:t>defined as those of which start date, end date, case count, and locations are encapsulated by the largest outbreak.</w:t>
      </w:r>
      <w:r w:rsidR="001946A6" w:rsidRPr="00097432">
        <w:rPr>
          <w:rFonts w:hint="eastAsia"/>
        </w:rPr>
        <w:t xml:space="preserve"> For some outbreaks, </w:t>
      </w:r>
      <w:r w:rsidR="00C941FB" w:rsidRPr="00097432">
        <w:rPr>
          <w:rFonts w:hint="eastAsia"/>
        </w:rPr>
        <w:t xml:space="preserve">the same or even </w:t>
      </w:r>
      <w:r w:rsidR="00072756" w:rsidRPr="00097432">
        <w:t>larger</w:t>
      </w:r>
      <w:r w:rsidR="00C941FB" w:rsidRPr="00097432">
        <w:rPr>
          <w:rFonts w:hint="eastAsia"/>
        </w:rPr>
        <w:t xml:space="preserve"> number of cases were reported at smaller administrative units,</w:t>
      </w:r>
      <w:r w:rsidR="001946A6" w:rsidRPr="00097432">
        <w:rPr>
          <w:rFonts w:hint="eastAsia"/>
        </w:rPr>
        <w:t xml:space="preserve"> and in these cases,</w:t>
      </w:r>
      <w:r w:rsidR="00C941FB" w:rsidRPr="00097432">
        <w:rPr>
          <w:rFonts w:hint="eastAsia"/>
        </w:rPr>
        <w:t xml:space="preserve"> smaller outbreaks were retained while larger outbreaks were excluded. </w:t>
      </w:r>
      <w:r w:rsidR="00825644" w:rsidRPr="00825644">
        <w:rPr>
          <w:highlight w:val="yellow"/>
        </w:rPr>
        <w:t>Third, we excluded outbreaks that may have already been influenced by OCVs, defined as those where vaccination campaigns occurred within the three years prior to or during the outbreak.</w:t>
      </w:r>
      <w:r w:rsidR="00825644">
        <w:rPr>
          <w:rFonts w:hint="eastAsia"/>
        </w:rPr>
        <w:t xml:space="preserve"> </w:t>
      </w:r>
      <w:r w:rsidR="00AC4336" w:rsidRPr="00097432">
        <w:rPr>
          <w:rFonts w:hint="eastAsia"/>
        </w:rPr>
        <w:t xml:space="preserve">Finally, we also excluded outbreaks that were reported after 1 </w:t>
      </w:r>
      <w:r w:rsidR="00AC4336" w:rsidRPr="00097432">
        <w:t>January</w:t>
      </w:r>
      <w:r w:rsidR="00AC4336" w:rsidRPr="00097432">
        <w:rPr>
          <w:rFonts w:hint="eastAsia"/>
        </w:rPr>
        <w:t xml:space="preserve"> 202</w:t>
      </w:r>
      <w:r w:rsidR="00DB6486" w:rsidRPr="00097432">
        <w:rPr>
          <w:rFonts w:hint="eastAsia"/>
        </w:rPr>
        <w:t>2</w:t>
      </w:r>
      <w:r w:rsidR="00AC4336" w:rsidRPr="00097432">
        <w:rPr>
          <w:rFonts w:hint="eastAsia"/>
        </w:rPr>
        <w:t xml:space="preserve"> for </w:t>
      </w:r>
      <w:r w:rsidR="00AC4336" w:rsidRPr="00097432">
        <w:t>which</w:t>
      </w:r>
      <w:r w:rsidR="00AC4336" w:rsidRPr="00097432">
        <w:rPr>
          <w:rFonts w:hint="eastAsia"/>
        </w:rPr>
        <w:t xml:space="preserve"> OCV campaign information is not available.</w:t>
      </w:r>
      <w:r w:rsidR="00685FA9" w:rsidRPr="00097432">
        <w:rPr>
          <w:rFonts w:hint="eastAsia"/>
        </w:rPr>
        <w:t xml:space="preserve"> </w:t>
      </w:r>
      <w:r w:rsidR="001946A6" w:rsidRPr="00097432">
        <w:rPr>
          <w:rFonts w:hint="eastAsia"/>
        </w:rPr>
        <w:t xml:space="preserve">After excluding these </w:t>
      </w:r>
      <w:r w:rsidR="00D95409" w:rsidRPr="00097432">
        <w:rPr>
          <w:rFonts w:hint="eastAsia"/>
        </w:rPr>
        <w:t>472</w:t>
      </w:r>
      <w:r w:rsidR="001946A6" w:rsidRPr="00097432">
        <w:rPr>
          <w:rFonts w:hint="eastAsia"/>
        </w:rPr>
        <w:t xml:space="preserve"> outbreaks, </w:t>
      </w:r>
      <w:r w:rsidR="00685FA9" w:rsidRPr="00097432">
        <w:rPr>
          <w:rFonts w:hint="eastAsia"/>
        </w:rPr>
        <w:t>we</w:t>
      </w:r>
      <w:r w:rsidR="001946A6" w:rsidRPr="00097432">
        <w:rPr>
          <w:rFonts w:hint="eastAsia"/>
        </w:rPr>
        <w:t xml:space="preserve"> evaluated the impact of </w:t>
      </w:r>
      <w:r w:rsidR="00685FA9" w:rsidRPr="00097432">
        <w:rPr>
          <w:rFonts w:hint="eastAsia"/>
        </w:rPr>
        <w:t xml:space="preserve">ORIs in </w:t>
      </w:r>
      <w:r w:rsidR="007F20C7" w:rsidRPr="00097432">
        <w:rPr>
          <w:rFonts w:hint="eastAsia"/>
        </w:rPr>
        <w:t>1,192</w:t>
      </w:r>
      <w:r w:rsidR="00685FA9" w:rsidRPr="00097432">
        <w:rPr>
          <w:rFonts w:hint="eastAsia"/>
        </w:rPr>
        <w:t xml:space="preserve"> outbreaks</w:t>
      </w:r>
      <w:r w:rsidR="004B3898" w:rsidRPr="00097432">
        <w:rPr>
          <w:rFonts w:hint="eastAsia"/>
        </w:rPr>
        <w:t>.</w:t>
      </w:r>
      <w:r w:rsidR="00C941FB" w:rsidRPr="00097432">
        <w:rPr>
          <w:rFonts w:hint="eastAsia"/>
        </w:rPr>
        <w:t xml:space="preserve"> </w:t>
      </w:r>
      <w:r w:rsidR="004B3898" w:rsidRPr="00097432">
        <w:rPr>
          <w:rFonts w:hint="eastAsia"/>
        </w:rPr>
        <w:t>The outcomes were reported as</w:t>
      </w:r>
      <w:r w:rsidR="004B3898" w:rsidRPr="00097432">
        <w:t xml:space="preserve"> cases, deaths, and disability-adjusted life years (DALY</w:t>
      </w:r>
      <w:r w:rsidR="004B3898" w:rsidRPr="00097432">
        <w:rPr>
          <w:rFonts w:hint="eastAsia"/>
        </w:rPr>
        <w:t>s</w:t>
      </w:r>
      <w:r w:rsidR="004B3898" w:rsidRPr="00097432">
        <w:t>)</w:t>
      </w:r>
      <w:r w:rsidR="004B3898" w:rsidRPr="00097432">
        <w:rPr>
          <w:rFonts w:hint="eastAsia"/>
        </w:rPr>
        <w:t xml:space="preserve"> averted, which were</w:t>
      </w:r>
      <w:r w:rsidR="001946A6" w:rsidRPr="00097432">
        <w:rPr>
          <w:rFonts w:hint="eastAsia"/>
        </w:rPr>
        <w:t xml:space="preserve"> also</w:t>
      </w:r>
      <w:r w:rsidR="004B3898" w:rsidRPr="00097432">
        <w:rPr>
          <w:rFonts w:hint="eastAsia"/>
        </w:rPr>
        <w:t xml:space="preserve"> converted to </w:t>
      </w:r>
      <w:r w:rsidR="004B3898" w:rsidRPr="00097432">
        <w:t>vaccination campaign efficiency</w:t>
      </w:r>
      <w:r w:rsidR="004B3898" w:rsidRPr="00097432">
        <w:rPr>
          <w:rFonts w:hint="eastAsia"/>
        </w:rPr>
        <w:t xml:space="preserve"> metrics (e.g., cases,</w:t>
      </w:r>
      <w:r w:rsidR="004B3898" w:rsidRPr="00097432">
        <w:t xml:space="preserve"> </w:t>
      </w:r>
      <w:r w:rsidR="004B3898" w:rsidRPr="00097432">
        <w:lastRenderedPageBreak/>
        <w:t xml:space="preserve">deaths, </w:t>
      </w:r>
      <w:r w:rsidR="004B3898" w:rsidRPr="00097432">
        <w:rPr>
          <w:rFonts w:hint="eastAsia"/>
        </w:rPr>
        <w:t>and</w:t>
      </w:r>
      <w:r w:rsidR="004B3898" w:rsidRPr="00097432">
        <w:t xml:space="preserve"> DALYs averted per 1,000 OCVs</w:t>
      </w:r>
      <w:r w:rsidR="004B3898" w:rsidRPr="00097432">
        <w:rPr>
          <w:rFonts w:hint="eastAsia"/>
        </w:rPr>
        <w:t>)</w:t>
      </w:r>
      <w:r w:rsidR="004B3898" w:rsidRPr="00097432">
        <w:t xml:space="preserve"> and cost-effectiveness</w:t>
      </w:r>
      <w:r w:rsidR="004B3898" w:rsidRPr="00097432">
        <w:rPr>
          <w:rFonts w:hint="eastAsia"/>
        </w:rPr>
        <w:t xml:space="preserve"> metrics (e.g., </w:t>
      </w:r>
      <w:r w:rsidR="004B3898" w:rsidRPr="00097432">
        <w:t>cost per case, death, or DALY averted</w:t>
      </w:r>
      <w:r w:rsidR="004B3898" w:rsidRPr="00097432">
        <w:rPr>
          <w:rFonts w:hint="eastAsia"/>
        </w:rPr>
        <w:t xml:space="preserve">) </w:t>
      </w:r>
      <w:r w:rsidR="00C941FB" w:rsidRPr="00097432">
        <w:rPr>
          <w:rFonts w:hint="eastAsia"/>
        </w:rPr>
        <w:t>(</w:t>
      </w:r>
      <w:r w:rsidR="00C941FB" w:rsidRPr="00097432">
        <w:rPr>
          <w:rFonts w:hint="eastAsia"/>
          <w:b/>
          <w:bCs/>
        </w:rPr>
        <w:t>Figure 1A</w:t>
      </w:r>
      <w:r w:rsidR="00C941FB" w:rsidRPr="00097432">
        <w:rPr>
          <w:rFonts w:hint="eastAsia"/>
        </w:rPr>
        <w:t>)</w:t>
      </w:r>
      <w:r w:rsidR="00C941FB" w:rsidRPr="00097432">
        <w:t>.</w:t>
      </w:r>
      <w:r w:rsidR="00685FA9" w:rsidRPr="00097432">
        <w:rPr>
          <w:rFonts w:hint="eastAsia"/>
        </w:rPr>
        <w:t xml:space="preserve"> </w:t>
      </w:r>
    </w:p>
    <w:p w14:paraId="7C54179F" w14:textId="1156DF7A" w:rsidR="00763376" w:rsidRPr="00097432" w:rsidRDefault="00D951EA" w:rsidP="00C941FB">
      <w:pPr>
        <w:pStyle w:val="Heading3"/>
      </w:pPr>
      <w:bookmarkStart w:id="16" w:name="_Toc184909201"/>
      <w:r w:rsidRPr="00097432">
        <w:t xml:space="preserve">Modeling the </w:t>
      </w:r>
      <w:r w:rsidR="00763376" w:rsidRPr="00097432">
        <w:t xml:space="preserve">vaccine </w:t>
      </w:r>
      <w:r w:rsidRPr="00097432">
        <w:t>impact</w:t>
      </w:r>
      <w:bookmarkEnd w:id="16"/>
    </w:p>
    <w:p w14:paraId="21E88AB6" w14:textId="0663BBEB" w:rsidR="00B239A5" w:rsidRPr="00097432" w:rsidRDefault="00EB7971" w:rsidP="00B239A5">
      <w:r w:rsidRPr="00097432">
        <w:rPr>
          <w:rFonts w:hint="eastAsia"/>
        </w:rPr>
        <w:t>Our model simulated</w:t>
      </w:r>
      <w:r w:rsidR="00D937AF" w:rsidRPr="00097432">
        <w:rPr>
          <w:rFonts w:hint="eastAsia"/>
        </w:rPr>
        <w:t xml:space="preserve"> weekly</w:t>
      </w:r>
      <w:r w:rsidRPr="00097432">
        <w:rPr>
          <w:rFonts w:hint="eastAsia"/>
        </w:rPr>
        <w:t xml:space="preserve"> c</w:t>
      </w:r>
      <w:r w:rsidRPr="00097432">
        <w:t>ase counts under counterfactual vaccination scenarios</w:t>
      </w:r>
      <w:r w:rsidR="00B239A5" w:rsidRPr="00097432">
        <w:rPr>
          <w:rFonts w:hint="eastAsia"/>
        </w:rPr>
        <w:t xml:space="preserve"> in which all conditions are the same except for the presence of vaccination</w:t>
      </w:r>
      <w:r w:rsidR="00F955AB" w:rsidRPr="00097432">
        <w:rPr>
          <w:rFonts w:hint="eastAsia"/>
        </w:rPr>
        <w:t xml:space="preserve"> campaigns</w:t>
      </w:r>
      <w:r w:rsidR="00B239A5" w:rsidRPr="00097432">
        <w:rPr>
          <w:rFonts w:hint="eastAsia"/>
        </w:rPr>
        <w:t xml:space="preserve">. The impact of ORIs </w:t>
      </w:r>
      <w:r w:rsidR="008E4AD4" w:rsidRPr="00097432">
        <w:rPr>
          <w:rFonts w:hint="eastAsia"/>
        </w:rPr>
        <w:t xml:space="preserve">is based on </w:t>
      </w:r>
      <w:r w:rsidR="00B239A5" w:rsidRPr="00097432">
        <w:t>cases averted</w:t>
      </w:r>
      <w:r w:rsidR="00B239A5" w:rsidRPr="00097432">
        <w:rPr>
          <w:rFonts w:hint="eastAsia"/>
        </w:rPr>
        <w:t xml:space="preserve"> </w:t>
      </w:r>
      <w:r w:rsidR="00D937AF" w:rsidRPr="00097432">
        <w:rPr>
          <w:rFonts w:hint="eastAsia"/>
        </w:rPr>
        <w:t xml:space="preserve">through vaccination </w:t>
      </w:r>
      <w:r w:rsidR="00B239A5" w:rsidRPr="00097432">
        <w:rPr>
          <w:rFonts w:hint="eastAsia"/>
        </w:rPr>
        <w:t>(</w:t>
      </w:r>
      <w:r w:rsidR="008E6CE0" w:rsidRPr="00097432">
        <w:rPr>
          <w:rFonts w:hint="eastAsia"/>
        </w:rPr>
        <w:t>Top panel in</w:t>
      </w:r>
      <w:r w:rsidR="008E6CE0" w:rsidRPr="00097432">
        <w:rPr>
          <w:rFonts w:hint="eastAsia"/>
          <w:b/>
          <w:bCs/>
        </w:rPr>
        <w:t xml:space="preserve"> </w:t>
      </w:r>
      <w:r w:rsidR="00B239A5" w:rsidRPr="00097432">
        <w:rPr>
          <w:rFonts w:hint="eastAsia"/>
          <w:b/>
          <w:bCs/>
        </w:rPr>
        <w:t>Figure</w:t>
      </w:r>
      <w:r w:rsidR="00B239A5" w:rsidRPr="00097432">
        <w:rPr>
          <w:rFonts w:hint="eastAsia"/>
        </w:rPr>
        <w:t xml:space="preserve"> </w:t>
      </w:r>
      <w:r w:rsidR="00B239A5" w:rsidRPr="00097432">
        <w:rPr>
          <w:rFonts w:hint="eastAsia"/>
          <w:b/>
          <w:bCs/>
        </w:rPr>
        <w:t>1B</w:t>
      </w:r>
      <w:r w:rsidR="00B239A5" w:rsidRPr="00097432">
        <w:rPr>
          <w:rFonts w:hint="eastAsia"/>
        </w:rPr>
        <w:t>)</w:t>
      </w:r>
      <w:r w:rsidR="00B239A5" w:rsidRPr="00097432">
        <w:t>.</w:t>
      </w:r>
      <w:r w:rsidR="00B239A5" w:rsidRPr="00097432">
        <w:rPr>
          <w:rFonts w:hint="eastAsia"/>
        </w:rPr>
        <w:t xml:space="preserve"> </w:t>
      </w:r>
      <w:r w:rsidR="008E6CE0" w:rsidRPr="004F0994">
        <w:rPr>
          <w:rFonts w:hint="eastAsia"/>
          <w:highlight w:val="yellow"/>
        </w:rPr>
        <w:t>ORI</w:t>
      </w:r>
      <w:r w:rsidR="004F0994" w:rsidRPr="004F0994">
        <w:rPr>
          <w:rFonts w:hint="eastAsia"/>
          <w:highlight w:val="yellow"/>
        </w:rPr>
        <w:t xml:space="preserve"> may not take place because </w:t>
      </w:r>
      <w:r w:rsidR="001D33D5" w:rsidRPr="004F0994">
        <w:rPr>
          <w:rFonts w:hint="eastAsia"/>
          <w:highlight w:val="yellow"/>
        </w:rPr>
        <w:t xml:space="preserve">outbreaks </w:t>
      </w:r>
      <w:r w:rsidR="004F0994" w:rsidRPr="004F0994">
        <w:rPr>
          <w:rFonts w:hint="eastAsia"/>
          <w:highlight w:val="yellow"/>
        </w:rPr>
        <w:t>ended</w:t>
      </w:r>
      <w:r w:rsidR="004F0994">
        <w:rPr>
          <w:rFonts w:hint="eastAsia"/>
        </w:rPr>
        <w:t xml:space="preserve"> </w:t>
      </w:r>
      <w:r w:rsidR="008E4AD4" w:rsidRPr="00097432">
        <w:rPr>
          <w:rFonts w:hint="eastAsia"/>
        </w:rPr>
        <w:t>or</w:t>
      </w:r>
      <w:r w:rsidR="008E6CE0" w:rsidRPr="00097432">
        <w:rPr>
          <w:rFonts w:hint="eastAsia"/>
        </w:rPr>
        <w:t xml:space="preserve"> m</w:t>
      </w:r>
      <w:r w:rsidR="001D33D5" w:rsidRPr="00097432">
        <w:rPr>
          <w:rFonts w:hint="eastAsia"/>
        </w:rPr>
        <w:t>ay</w:t>
      </w:r>
      <w:r w:rsidR="008E4AD4" w:rsidRPr="00097432">
        <w:rPr>
          <w:rFonts w:hint="eastAsia"/>
        </w:rPr>
        <w:t xml:space="preserve"> </w:t>
      </w:r>
      <w:r w:rsidR="003A519B" w:rsidRPr="00097432">
        <w:rPr>
          <w:rFonts w:hint="eastAsia"/>
        </w:rPr>
        <w:t>begin</w:t>
      </w:r>
      <w:r w:rsidR="008E4AD4" w:rsidRPr="00097432">
        <w:rPr>
          <w:rFonts w:hint="eastAsia"/>
        </w:rPr>
        <w:t xml:space="preserve"> before the outbreak </w:t>
      </w:r>
      <w:proofErr w:type="gramStart"/>
      <w:r w:rsidR="008E4AD4" w:rsidRPr="00097432">
        <w:rPr>
          <w:rFonts w:hint="eastAsia"/>
        </w:rPr>
        <w:t>ended</w:t>
      </w:r>
      <w:r w:rsidR="003A519B" w:rsidRPr="00097432">
        <w:rPr>
          <w:rFonts w:hint="eastAsia"/>
        </w:rPr>
        <w:t>, ye</w:t>
      </w:r>
      <w:r w:rsidR="008E4AD4" w:rsidRPr="00097432">
        <w:rPr>
          <w:rFonts w:hint="eastAsia"/>
        </w:rPr>
        <w:t>t</w:t>
      </w:r>
      <w:proofErr w:type="gramEnd"/>
      <w:r w:rsidR="001D33D5" w:rsidRPr="00097432">
        <w:rPr>
          <w:rFonts w:hint="eastAsia"/>
        </w:rPr>
        <w:t xml:space="preserve"> </w:t>
      </w:r>
      <w:r w:rsidR="003A519B" w:rsidRPr="00097432">
        <w:rPr>
          <w:rFonts w:hint="eastAsia"/>
        </w:rPr>
        <w:t>produce no</w:t>
      </w:r>
      <w:r w:rsidR="001D33D5" w:rsidRPr="00097432">
        <w:rPr>
          <w:rFonts w:hint="eastAsia"/>
        </w:rPr>
        <w:t xml:space="preserve"> impact </w:t>
      </w:r>
      <w:r w:rsidR="003A519B" w:rsidRPr="00097432">
        <w:rPr>
          <w:rFonts w:hint="eastAsia"/>
        </w:rPr>
        <w:t xml:space="preserve">due to the time </w:t>
      </w:r>
      <w:r w:rsidR="003A519B" w:rsidRPr="00097432">
        <w:t>required for implementation and the delay in conferring vaccine-derived immunity to recipients</w:t>
      </w:r>
      <w:r w:rsidR="003A519B" w:rsidRPr="00097432">
        <w:rPr>
          <w:rFonts w:hint="eastAsia"/>
        </w:rPr>
        <w:t xml:space="preserve"> </w:t>
      </w:r>
      <w:r w:rsidR="008E6CE0" w:rsidRPr="00097432">
        <w:rPr>
          <w:rFonts w:hint="eastAsia"/>
        </w:rPr>
        <w:t>(Second panel in</w:t>
      </w:r>
      <w:r w:rsidR="008E6CE0" w:rsidRPr="00097432">
        <w:rPr>
          <w:rFonts w:hint="eastAsia"/>
          <w:b/>
          <w:bCs/>
        </w:rPr>
        <w:t xml:space="preserve"> Figure</w:t>
      </w:r>
      <w:r w:rsidR="008E6CE0" w:rsidRPr="00097432">
        <w:rPr>
          <w:rFonts w:hint="eastAsia"/>
        </w:rPr>
        <w:t xml:space="preserve"> </w:t>
      </w:r>
      <w:r w:rsidR="008E6CE0" w:rsidRPr="00097432">
        <w:rPr>
          <w:rFonts w:hint="eastAsia"/>
          <w:b/>
          <w:bCs/>
        </w:rPr>
        <w:t>1B</w:t>
      </w:r>
      <w:r w:rsidR="008E6CE0" w:rsidRPr="00097432">
        <w:rPr>
          <w:rFonts w:hint="eastAsia"/>
        </w:rPr>
        <w:t>)</w:t>
      </w:r>
      <w:r w:rsidR="001D33D5" w:rsidRPr="00097432">
        <w:rPr>
          <w:rFonts w:hint="eastAsia"/>
        </w:rPr>
        <w:t xml:space="preserve">. </w:t>
      </w:r>
      <w:r w:rsidR="00B239A5" w:rsidRPr="00097432">
        <w:rPr>
          <w:rFonts w:hint="eastAsia"/>
        </w:rPr>
        <w:t xml:space="preserve">The impact of ORI </w:t>
      </w:r>
      <w:r w:rsidR="008E6CE0" w:rsidRPr="00097432">
        <w:rPr>
          <w:rFonts w:hint="eastAsia"/>
        </w:rPr>
        <w:t>can</w:t>
      </w:r>
      <w:r w:rsidR="00B239A5" w:rsidRPr="00097432">
        <w:rPr>
          <w:rFonts w:hint="eastAsia"/>
        </w:rPr>
        <w:t xml:space="preserve"> be </w:t>
      </w:r>
      <w:r w:rsidR="008E6CE0" w:rsidRPr="00097432">
        <w:rPr>
          <w:rFonts w:hint="eastAsia"/>
        </w:rPr>
        <w:t xml:space="preserve">evaluated </w:t>
      </w:r>
      <w:r w:rsidR="00B239A5" w:rsidRPr="00097432">
        <w:rPr>
          <w:rFonts w:hint="eastAsia"/>
        </w:rPr>
        <w:t xml:space="preserve">at the individual outbreak level and collectively across multiple outbreaks. </w:t>
      </w:r>
      <w:r w:rsidR="00D95409" w:rsidRPr="00097432">
        <w:rPr>
          <w:rFonts w:hint="eastAsia"/>
        </w:rPr>
        <w:t>T</w:t>
      </w:r>
      <w:r w:rsidR="00B239A5" w:rsidRPr="00097432">
        <w:rPr>
          <w:rFonts w:hint="eastAsia"/>
        </w:rPr>
        <w:t>he impact of ORIs tends to be larger for a larger outbreak (</w:t>
      </w:r>
      <w:r w:rsidR="001D33D5" w:rsidRPr="00097432">
        <w:rPr>
          <w:rFonts w:hint="eastAsia"/>
        </w:rPr>
        <w:t>third</w:t>
      </w:r>
      <w:r w:rsidR="00D937AF" w:rsidRPr="00097432">
        <w:rPr>
          <w:rFonts w:hint="eastAsia"/>
        </w:rPr>
        <w:t xml:space="preserve"> panel of </w:t>
      </w:r>
      <w:r w:rsidR="00B239A5" w:rsidRPr="00097432">
        <w:rPr>
          <w:rFonts w:hint="eastAsia"/>
          <w:b/>
          <w:bCs/>
        </w:rPr>
        <w:t>Figure 1B</w:t>
      </w:r>
      <w:r w:rsidR="00D937AF" w:rsidRPr="00097432">
        <w:rPr>
          <w:rFonts w:hint="eastAsia"/>
          <w:b/>
          <w:bCs/>
        </w:rPr>
        <w:t>)</w:t>
      </w:r>
      <w:r w:rsidR="00D95409" w:rsidRPr="00097432">
        <w:rPr>
          <w:rFonts w:hint="eastAsia"/>
        </w:rPr>
        <w:t xml:space="preserve"> and therefore th</w:t>
      </w:r>
      <w:r w:rsidR="00B239A5" w:rsidRPr="00097432">
        <w:rPr>
          <w:rFonts w:hint="eastAsia"/>
        </w:rPr>
        <w:t xml:space="preserve">e overall impact across multiple heterogeneous outbreaks tends to be larger when it </w:t>
      </w:r>
      <w:r w:rsidR="00B239A5" w:rsidRPr="00097432">
        <w:t>is</w:t>
      </w:r>
      <w:r w:rsidR="00B239A5" w:rsidRPr="00097432">
        <w:rPr>
          <w:rFonts w:hint="eastAsia"/>
        </w:rPr>
        <w:t xml:space="preserve"> weighted by the number of cases compared to the unweighted average </w:t>
      </w:r>
      <w:r w:rsidR="00D937AF" w:rsidRPr="00097432">
        <w:rPr>
          <w:rFonts w:hint="eastAsia"/>
        </w:rPr>
        <w:t>across</w:t>
      </w:r>
      <w:r w:rsidR="00B239A5" w:rsidRPr="00097432">
        <w:rPr>
          <w:rFonts w:hint="eastAsia"/>
        </w:rPr>
        <w:t xml:space="preserve"> individual-level impacts (</w:t>
      </w:r>
      <w:r w:rsidR="00D937AF" w:rsidRPr="00097432">
        <w:rPr>
          <w:rFonts w:hint="eastAsia"/>
        </w:rPr>
        <w:t xml:space="preserve">fourth panels in </w:t>
      </w:r>
      <w:r w:rsidR="00B239A5" w:rsidRPr="00097432">
        <w:rPr>
          <w:rFonts w:hint="eastAsia"/>
          <w:b/>
          <w:bCs/>
        </w:rPr>
        <w:t>Figure 1B</w:t>
      </w:r>
      <w:r w:rsidR="00B239A5" w:rsidRPr="00097432">
        <w:rPr>
          <w:rFonts w:hint="eastAsia"/>
        </w:rPr>
        <w:t xml:space="preserve">). </w:t>
      </w:r>
    </w:p>
    <w:p w14:paraId="283822D2" w14:textId="77777777" w:rsidR="001D33D5" w:rsidRPr="00097432" w:rsidRDefault="001D33D5" w:rsidP="001D33D5"/>
    <w:p w14:paraId="3BBE008B" w14:textId="02491630" w:rsidR="00D951EA" w:rsidRPr="00097432" w:rsidRDefault="008E6CE0" w:rsidP="00F57F15">
      <w:r w:rsidRPr="00097432">
        <w:rPr>
          <w:rFonts w:hint="eastAsia"/>
        </w:rPr>
        <w:t xml:space="preserve">To make the predicted impact more realistic, our model accounts for direct and indirect effects of OCV </w:t>
      </w:r>
      <w:r w:rsidRPr="00097432">
        <w:t>(</w:t>
      </w:r>
      <w:r w:rsidR="003A519B" w:rsidRPr="00097432">
        <w:rPr>
          <w:rFonts w:hint="eastAsia"/>
        </w:rPr>
        <w:t>overall effectiveness</w:t>
      </w:r>
      <w:r w:rsidR="003A519B" w:rsidRPr="00097432">
        <w:fldChar w:fldCharType="begin"/>
      </w:r>
      <w:r w:rsidR="005377FB" w:rsidRPr="00097432">
        <w:instrText xml:space="preserve"> ADDIN ZOTERO_ITEM CSL_CITATION {"citationID":"aSoaptEv","properties":{"formattedCitation":"\\super 35\\nosupersub{}","plainCitation":"35","noteIndex":0},"citationItems":[{"id":7130,"uris":["http://zotero.org/users/7663102/items/6A9TXNJW"],"itemData":{"id":7130,"type":"article-journal","abstract":"In 1916, Sir Ronald Ross defined \"dependent happenings\" as events where the number affected in a unit of time depends on the number already affected. That is, the incidence depends on the prevalence, a characteristic of many infectious diseases. Because of this dependence, interventions against infectious diseases can have not only direct protective effects for the person receiving an intervention, but also indirect effects resulting from changes in the intensity of transmission in the population. This paper develops the conceptual framework for four types of study designs that differentiate and account for direct and indirect effects of intervention programs in dependent happenings.","container-title":"Epidemiology (Cambridge, Mass.)","DOI":"10.1097/00001648-199109000-00004","ISSN":"1044-3983","issue":"5","journalAbbreviation":"Epidemiology","language":"eng","page":"331-338","source":"PubMed","title":"Study designs for dependent happenings","volume":"2","author":[{"family":"Halloran","given":"M. E."},{"family":"Struchiner","given":"C. J."}],"issued":{"date-parts":[["1991",9]]},"citation-key":"halloranStudyDesignsDependent1991"}}],"schema":"https://github.com/citation-style-language/schema/raw/master/csl-citation.json"} </w:instrText>
      </w:r>
      <w:r w:rsidR="003A519B" w:rsidRPr="00097432">
        <w:fldChar w:fldCharType="separate"/>
      </w:r>
      <w:r w:rsidR="005377FB" w:rsidRPr="00097432">
        <w:rPr>
          <w:rFonts w:cs="Times New Roman"/>
          <w:vertAlign w:val="superscript"/>
        </w:rPr>
        <w:t>35</w:t>
      </w:r>
      <w:r w:rsidR="003A519B" w:rsidRPr="00097432">
        <w:fldChar w:fldCharType="end"/>
      </w:r>
      <w:r w:rsidR="003A519B" w:rsidRPr="00097432">
        <w:rPr>
          <w:rFonts w:hint="eastAsia"/>
        </w:rPr>
        <w:t>; s</w:t>
      </w:r>
      <w:r w:rsidRPr="00097432">
        <w:t xml:space="preserve">ee Supplementary Information </w:t>
      </w:r>
      <w:r w:rsidRPr="00097432">
        <w:rPr>
          <w:b/>
          <w:bCs/>
        </w:rPr>
        <w:t>S1</w:t>
      </w:r>
      <w:r w:rsidRPr="00097432">
        <w:t>)</w:t>
      </w:r>
      <w:r w:rsidR="00523E62" w:rsidRPr="00097432">
        <w:rPr>
          <w:rFonts w:hint="eastAsia"/>
        </w:rPr>
        <w:t xml:space="preserve"> in the target population</w:t>
      </w:r>
      <w:r w:rsidRPr="00097432">
        <w:rPr>
          <w:rFonts w:hint="eastAsia"/>
        </w:rPr>
        <w:t xml:space="preserve">, </w:t>
      </w:r>
      <w:r w:rsidRPr="00097432">
        <w:t xml:space="preserve">age-specific vaccine </w:t>
      </w:r>
      <w:r w:rsidRPr="00097432">
        <w:rPr>
          <w:rFonts w:hint="eastAsia"/>
        </w:rPr>
        <w:t>effectiveness (&lt; 5 and 5+ yo), delays in</w:t>
      </w:r>
      <w:r w:rsidRPr="00097432">
        <w:t xml:space="preserve"> vaccine deployment</w:t>
      </w:r>
      <w:r w:rsidRPr="00097432">
        <w:rPr>
          <w:rFonts w:hint="eastAsia"/>
        </w:rPr>
        <w:t xml:space="preserve"> and administration</w:t>
      </w:r>
      <w:r w:rsidRPr="00097432">
        <w:t>,</w:t>
      </w:r>
      <w:r w:rsidRPr="00097432">
        <w:rPr>
          <w:rFonts w:hint="eastAsia"/>
        </w:rPr>
        <w:t xml:space="preserve"> and the delays in the vaccine-induced immunity </w:t>
      </w:r>
      <w:r w:rsidRPr="00097432">
        <w:t>(</w:t>
      </w:r>
      <w:r w:rsidRPr="00097432">
        <w:rPr>
          <w:b/>
          <w:bCs/>
        </w:rPr>
        <w:t>Table 1</w:t>
      </w:r>
      <w:r w:rsidRPr="00097432">
        <w:t>).</w:t>
      </w:r>
      <w:r w:rsidR="00523E62" w:rsidRPr="00097432">
        <w:rPr>
          <w:rFonts w:hint="eastAsia"/>
        </w:rPr>
        <w:t xml:space="preserve"> </w:t>
      </w:r>
      <w:r w:rsidR="008336BE" w:rsidRPr="00097432">
        <w:rPr>
          <w:rFonts w:hint="eastAsia"/>
        </w:rPr>
        <w:t xml:space="preserve"> </w:t>
      </w:r>
      <w:r w:rsidR="009F0610" w:rsidRPr="00097432">
        <w:t>The</w:t>
      </w:r>
      <w:r w:rsidR="00DA4F85" w:rsidRPr="00097432">
        <w:t xml:space="preserve"> </w:t>
      </w:r>
      <w:r w:rsidR="00B112A9" w:rsidRPr="00097432">
        <w:t xml:space="preserve">proportion of </w:t>
      </w:r>
      <w:r w:rsidR="00DA4F85" w:rsidRPr="00097432">
        <w:t xml:space="preserve">cases </w:t>
      </w:r>
      <w:r w:rsidR="00763376" w:rsidRPr="00097432">
        <w:t>averted</w:t>
      </w:r>
      <w:r w:rsidR="00B112A9" w:rsidRPr="00097432">
        <w:t xml:space="preserve">, </w:t>
      </w:r>
      <m:oMath>
        <m:sSub>
          <m:sSubPr>
            <m:ctrlPr>
              <w:rPr>
                <w:rFonts w:ascii="Cambria Math" w:hAnsi="Cambria Math"/>
              </w:rPr>
            </m:ctrlPr>
          </m:sSubPr>
          <m:e>
            <m:r>
              <w:rPr>
                <w:rFonts w:ascii="Cambria Math" w:hAnsi="Cambria Math"/>
              </w:rPr>
              <m:t>P</m:t>
            </m:r>
          </m:e>
          <m:sub>
            <m:r>
              <w:rPr>
                <w:rFonts w:ascii="Cambria Math" w:hAnsi="Cambria Math"/>
              </w:rPr>
              <m:t>i</m:t>
            </m:r>
            <m:r>
              <m:rPr>
                <m:sty m:val="p"/>
              </m:rPr>
              <w:rPr>
                <w:rFonts w:ascii="Cambria Math" w:hAnsi="Cambria Math"/>
              </w:rPr>
              <m:t xml:space="preserve">, </m:t>
            </m:r>
            <m:r>
              <w:rPr>
                <w:rFonts w:ascii="Cambria Math" w:hAnsi="Cambria Math"/>
              </w:rPr>
              <m:t>π</m:t>
            </m:r>
          </m:sub>
        </m:sSub>
      </m:oMath>
      <w:r w:rsidR="00B112A9" w:rsidRPr="00097432">
        <w:t xml:space="preserve">, </w:t>
      </w:r>
      <w:r w:rsidR="0000324B" w:rsidRPr="00097432">
        <w:t>at a gi</w:t>
      </w:r>
      <w:r w:rsidR="00B112A9" w:rsidRPr="00097432">
        <w:t xml:space="preserve">ven vaccine coverage </w:t>
      </w:r>
      <w:r w:rsidR="007257B4" w:rsidRPr="00097432">
        <w:rPr>
          <w:rFonts w:hint="eastAsia"/>
        </w:rPr>
        <w:t xml:space="preserve">proportion </w:t>
      </w:r>
      <m:oMath>
        <m:r>
          <w:rPr>
            <w:rFonts w:ascii="Cambria Math" w:hAnsi="Cambria Math"/>
          </w:rPr>
          <m:t>π</m:t>
        </m:r>
      </m:oMath>
      <w:r w:rsidR="00B112A9" w:rsidRPr="00097432">
        <w:t xml:space="preserve"> </w:t>
      </w:r>
      <w:r w:rsidR="0078144B" w:rsidRPr="00097432">
        <w:t xml:space="preserve">was calculated </w:t>
      </w:r>
      <w:r w:rsidR="002F33F3" w:rsidRPr="00097432">
        <w:t xml:space="preserve">for </w:t>
      </w:r>
      <w:r w:rsidR="0000324B" w:rsidRPr="00097432">
        <w:t>two age groups</w:t>
      </w:r>
      <w:r w:rsidR="0078144B" w:rsidRPr="00097432">
        <w:t>—</w:t>
      </w:r>
      <w:r w:rsidR="0000324B" w:rsidRPr="00097432">
        <w:t xml:space="preserve">children under five </w:t>
      </w:r>
      <w:r w:rsidR="002F33F3" w:rsidRPr="00097432">
        <w:t>(</w:t>
      </w:r>
      <w:bookmarkStart w:id="17" w:name="_Hlk171429659"/>
      <m:oMath>
        <m:r>
          <w:rPr>
            <w:rFonts w:ascii="Cambria Math" w:hAnsi="Cambria Math"/>
          </w:rPr>
          <m:t>i</m:t>
        </m:r>
        <w:bookmarkEnd w:id="17"/>
        <m:r>
          <m:rPr>
            <m:sty m:val="p"/>
          </m:rPr>
          <w:rPr>
            <w:rFonts w:ascii="Cambria Math" w:hAnsi="Cambria Math"/>
          </w:rPr>
          <m:t>=1</m:t>
        </m:r>
      </m:oMath>
      <w:r w:rsidR="002F33F3" w:rsidRPr="00097432">
        <w:t xml:space="preserve">) </w:t>
      </w:r>
      <w:r w:rsidR="0000324B" w:rsidRPr="00097432">
        <w:t xml:space="preserve">and </w:t>
      </w:r>
      <w:r w:rsidR="0078144B" w:rsidRPr="00097432">
        <w:rPr>
          <w:rFonts w:hint="eastAsia"/>
        </w:rPr>
        <w:t xml:space="preserve">individuals </w:t>
      </w:r>
      <w:r w:rsidR="0000324B" w:rsidRPr="00097432">
        <w:t>aged five and older</w:t>
      </w:r>
      <w:r w:rsidR="002F33F3" w:rsidRPr="00097432">
        <w:t xml:space="preserve"> (</w:t>
      </w:r>
      <m:oMath>
        <m:r>
          <w:rPr>
            <w:rFonts w:ascii="Cambria Math" w:hAnsi="Cambria Math"/>
          </w:rPr>
          <m:t>i</m:t>
        </m:r>
        <m:r>
          <m:rPr>
            <m:sty m:val="p"/>
          </m:rPr>
          <w:rPr>
            <w:rFonts w:ascii="Cambria Math" w:hAnsi="Cambria Math"/>
          </w:rPr>
          <m:t>=2</m:t>
        </m:r>
      </m:oMath>
      <w:r w:rsidR="002F33F3" w:rsidRPr="00097432">
        <w:t>)</w:t>
      </w:r>
      <w:r w:rsidR="0078144B" w:rsidRPr="00097432">
        <w:t>—</w:t>
      </w:r>
      <w:r w:rsidR="0000324B" w:rsidRPr="00097432">
        <w:t>using</w:t>
      </w:r>
      <w:r w:rsidR="007257B4" w:rsidRPr="00097432">
        <w:rPr>
          <w:rFonts w:hint="eastAsia"/>
        </w:rPr>
        <w:t xml:space="preserve"> the following equation</w:t>
      </w:r>
      <w:r w:rsidR="00DA4F85" w:rsidRPr="00097432">
        <w:t>:</w:t>
      </w:r>
    </w:p>
    <w:p w14:paraId="58C506C0" w14:textId="77777777" w:rsidR="00747E9A" w:rsidRPr="00097432" w:rsidRDefault="00747E9A" w:rsidP="00F57F15"/>
    <w:bookmarkStart w:id="18" w:name="_Hlk171429672"/>
    <w:bookmarkStart w:id="19" w:name="_Hlk171429827"/>
    <w:p w14:paraId="0327A473" w14:textId="26B80A4F" w:rsidR="00D951EA" w:rsidRPr="00097432" w:rsidRDefault="00000000" w:rsidP="00F57F15">
      <m:oMathPara>
        <m:oMath>
          <m:sSub>
            <m:sSubPr>
              <m:ctrlPr>
                <w:rPr>
                  <w:rFonts w:ascii="Cambria Math" w:hAnsi="Cambria Math"/>
                </w:rPr>
              </m:ctrlPr>
            </m:sSubPr>
            <m:e>
              <m:r>
                <w:rPr>
                  <w:rFonts w:ascii="Cambria Math" w:hAnsi="Cambria Math"/>
                </w:rPr>
                <m:t>P</m:t>
              </m:r>
            </m:e>
            <m:sub>
              <m:r>
                <w:rPr>
                  <w:rFonts w:ascii="Cambria Math" w:hAnsi="Cambria Math"/>
                </w:rPr>
                <m:t>i</m:t>
              </m:r>
              <m:r>
                <m:rPr>
                  <m:sty m:val="p"/>
                </m:rPr>
                <w:rPr>
                  <w:rFonts w:ascii="Cambria Math" w:hAnsi="Cambria Math"/>
                </w:rPr>
                <m:t xml:space="preserve">, </m:t>
              </m:r>
              <m:r>
                <w:rPr>
                  <w:rFonts w:ascii="Cambria Math" w:hAnsi="Cambria Math"/>
                </w:rPr>
                <m:t>π</m:t>
              </m:r>
            </m:sub>
          </m:sSub>
          <m:r>
            <m:rPr>
              <m:sty m:val="p"/>
            </m:rPr>
            <w:rPr>
              <w:rFonts w:ascii="Cambria Math" w:hAnsi="Cambria Math"/>
            </w:rPr>
            <m:t>=1-</m:t>
          </m:r>
          <m:d>
            <m:dPr>
              <m:begChr m:val="["/>
              <m:endChr m:val="]"/>
              <m:ctrlPr>
                <w:rPr>
                  <w:rFonts w:ascii="Cambria Math" w:hAnsi="Cambria Math"/>
                </w:rPr>
              </m:ctrlPr>
            </m:dPr>
            <m:e>
              <m:r>
                <w:rPr>
                  <w:rFonts w:ascii="Cambria Math" w:hAnsi="Cambria Math"/>
                </w:rPr>
                <m:t>π</m:t>
              </m:r>
              <m:d>
                <m:dPr>
                  <m:ctrlPr>
                    <w:rPr>
                      <w:rFonts w:ascii="Cambria Math" w:hAnsi="Cambria Math"/>
                    </w:rPr>
                  </m:ctrlPr>
                </m:dPr>
                <m:e>
                  <m:r>
                    <m:rPr>
                      <m:sty m:val="p"/>
                    </m:rPr>
                    <w:rPr>
                      <w:rFonts w:ascii="Cambria Math" w:hAnsi="Cambria Math"/>
                    </w:rPr>
                    <m:t>1-</m:t>
                  </m:r>
                  <m:sSub>
                    <m:sSubPr>
                      <m:ctrlPr>
                        <w:rPr>
                          <w:rFonts w:ascii="Cambria Math" w:hAnsi="Cambria Math"/>
                        </w:rPr>
                      </m:ctrlPr>
                    </m:sSubPr>
                    <m:e>
                      <m:r>
                        <w:rPr>
                          <w:rFonts w:ascii="Cambria Math" w:hAnsi="Cambria Math"/>
                        </w:rPr>
                        <m:t>ψ</m:t>
                      </m:r>
                    </m:e>
                    <m:sub>
                      <m:r>
                        <w:rPr>
                          <w:rFonts w:ascii="Cambria Math" w:hAnsi="Cambria Math"/>
                        </w:rPr>
                        <m:t>i</m:t>
                      </m:r>
                    </m:sub>
                  </m:sSub>
                </m:e>
              </m:d>
              <m:d>
                <m:dPr>
                  <m:ctrlPr>
                    <w:rPr>
                      <w:rFonts w:ascii="Cambria Math" w:hAnsi="Cambria Math"/>
                    </w:rPr>
                  </m:ctrlPr>
                </m:dPr>
                <m:e>
                  <m:r>
                    <m:rPr>
                      <m:sty m:val="p"/>
                    </m:rPr>
                    <w:rPr>
                      <w:rFonts w:ascii="Cambria Math" w:hAnsi="Cambria Math"/>
                    </w:rPr>
                    <m:t>1-</m:t>
                  </m:r>
                  <m:sSub>
                    <m:sSubPr>
                      <m:ctrlPr>
                        <w:rPr>
                          <w:rFonts w:ascii="Cambria Math" w:hAnsi="Cambria Math"/>
                        </w:rPr>
                      </m:ctrlPr>
                    </m:sSubPr>
                    <m:e>
                      <m:r>
                        <w:rPr>
                          <w:rFonts w:ascii="Cambria Math" w:hAnsi="Cambria Math"/>
                        </w:rPr>
                        <m:t>η</m:t>
                      </m:r>
                    </m:e>
                    <m:sub>
                      <m:r>
                        <w:rPr>
                          <w:rFonts w:ascii="Cambria Math" w:hAnsi="Cambria Math"/>
                        </w:rPr>
                        <m:t>π</m:t>
                      </m:r>
                    </m:sub>
                  </m:sSub>
                </m:e>
              </m:d>
              <m:r>
                <m:rPr>
                  <m:sty m:val="p"/>
                </m:rPr>
                <w:rPr>
                  <w:rFonts w:ascii="Cambria Math" w:hAnsi="Cambria Math"/>
                </w:rPr>
                <m:t>+</m:t>
              </m:r>
              <m:d>
                <m:dPr>
                  <m:ctrlPr>
                    <w:rPr>
                      <w:rFonts w:ascii="Cambria Math" w:hAnsi="Cambria Math"/>
                    </w:rPr>
                  </m:ctrlPr>
                </m:dPr>
                <m:e>
                  <m:r>
                    <m:rPr>
                      <m:sty m:val="p"/>
                    </m:rPr>
                    <w:rPr>
                      <w:rFonts w:ascii="Cambria Math" w:hAnsi="Cambria Math"/>
                    </w:rPr>
                    <m:t>1-</m:t>
                  </m:r>
                  <m:r>
                    <w:rPr>
                      <w:rFonts w:ascii="Cambria Math" w:hAnsi="Cambria Math"/>
                    </w:rPr>
                    <m:t>π</m:t>
                  </m:r>
                </m:e>
              </m:d>
              <m:d>
                <m:dPr>
                  <m:ctrlPr>
                    <w:rPr>
                      <w:rFonts w:ascii="Cambria Math" w:hAnsi="Cambria Math"/>
                    </w:rPr>
                  </m:ctrlPr>
                </m:dPr>
                <m:e>
                  <m:r>
                    <m:rPr>
                      <m:sty m:val="p"/>
                    </m:rPr>
                    <w:rPr>
                      <w:rFonts w:ascii="Cambria Math" w:hAnsi="Cambria Math"/>
                    </w:rPr>
                    <m:t>1-</m:t>
                  </m:r>
                  <m:sSub>
                    <m:sSubPr>
                      <m:ctrlPr>
                        <w:rPr>
                          <w:rFonts w:ascii="Cambria Math" w:hAnsi="Cambria Math"/>
                        </w:rPr>
                      </m:ctrlPr>
                    </m:sSubPr>
                    <m:e>
                      <m:r>
                        <w:rPr>
                          <w:rFonts w:ascii="Cambria Math" w:hAnsi="Cambria Math"/>
                        </w:rPr>
                        <m:t>η</m:t>
                      </m:r>
                    </m:e>
                    <m:sub>
                      <m:r>
                        <w:rPr>
                          <w:rFonts w:ascii="Cambria Math" w:hAnsi="Cambria Math"/>
                        </w:rPr>
                        <m:t>π</m:t>
                      </m:r>
                    </m:sub>
                  </m:sSub>
                </m:e>
              </m:d>
            </m:e>
          </m:d>
          <w:bookmarkEnd w:id="18"/>
          <m:r>
            <w:rPr>
              <w:rFonts w:ascii="Cambria Math" w:hAnsi="Cambria Math"/>
            </w:rPr>
            <m:t>,</m:t>
          </m:r>
        </m:oMath>
      </m:oMathPara>
    </w:p>
    <w:bookmarkEnd w:id="19"/>
    <w:p w14:paraId="486C31FE" w14:textId="77777777" w:rsidR="00747E9A" w:rsidRPr="00097432" w:rsidRDefault="00747E9A" w:rsidP="00F57F15">
      <w:pPr>
        <w:rPr>
          <w:lang w:val="en-US"/>
        </w:rPr>
      </w:pPr>
    </w:p>
    <w:p w14:paraId="7659F427" w14:textId="2F181D83" w:rsidR="00922420" w:rsidRPr="00097432" w:rsidRDefault="0078144B" w:rsidP="00F57F15">
      <w:r w:rsidRPr="00097432">
        <w:rPr>
          <w:rFonts w:hint="eastAsia"/>
        </w:rPr>
        <w:t>where</w:t>
      </w:r>
      <w:r w:rsidR="00D951EA" w:rsidRPr="00097432">
        <w:t xml:space="preserve"> </w:t>
      </w:r>
      <m:oMath>
        <m:sSub>
          <m:sSubPr>
            <m:ctrlPr>
              <w:rPr>
                <w:rFonts w:ascii="Cambria Math" w:hAnsi="Cambria Math"/>
              </w:rPr>
            </m:ctrlPr>
          </m:sSubPr>
          <m:e>
            <m:r>
              <w:rPr>
                <w:rFonts w:ascii="Cambria Math" w:hAnsi="Cambria Math"/>
              </w:rPr>
              <m:t>ψ</m:t>
            </m:r>
          </m:e>
          <m:sub>
            <m:r>
              <w:rPr>
                <w:rFonts w:ascii="Cambria Math" w:hAnsi="Cambria Math"/>
              </w:rPr>
              <m:t>i</m:t>
            </m:r>
          </m:sub>
        </m:sSub>
      </m:oMath>
      <w:r w:rsidR="00284399" w:rsidRPr="00097432">
        <w:t xml:space="preserve"> </w:t>
      </w:r>
      <w:r w:rsidR="0000324B" w:rsidRPr="00097432">
        <w:t>represents</w:t>
      </w:r>
      <w:r w:rsidR="00284399" w:rsidRPr="00097432">
        <w:t xml:space="preserve"> </w:t>
      </w:r>
      <w:r w:rsidRPr="00097432">
        <w:rPr>
          <w:rFonts w:hint="eastAsia"/>
        </w:rPr>
        <w:t xml:space="preserve">direct </w:t>
      </w:r>
      <w:r w:rsidR="001634F3" w:rsidRPr="00097432">
        <w:t xml:space="preserve">vaccine </w:t>
      </w:r>
      <w:r w:rsidR="00412CDE" w:rsidRPr="00097432">
        <w:t>effectiveness</w:t>
      </w:r>
      <w:r w:rsidR="00B9598A" w:rsidRPr="00097432">
        <w:t xml:space="preserve"> </w:t>
      </w:r>
      <w:r w:rsidR="0000324B" w:rsidRPr="00097432">
        <w:t>for</w:t>
      </w:r>
      <w:r w:rsidR="00103C17" w:rsidRPr="00097432">
        <w:t xml:space="preserve"> age group</w:t>
      </w:r>
      <w:r w:rsidR="001634F3" w:rsidRPr="00097432">
        <w:t xml:space="preserve"> </w:t>
      </w:r>
      <m:oMath>
        <m:r>
          <w:rPr>
            <w:rFonts w:ascii="Cambria Math" w:hAnsi="Cambria Math"/>
          </w:rPr>
          <m:t>i</m:t>
        </m:r>
      </m:oMath>
      <w:r w:rsidR="00D951EA" w:rsidRPr="00097432">
        <w:t xml:space="preserve">  </w:t>
      </w:r>
      <w:r w:rsidR="00367F77" w:rsidRPr="00097432">
        <w:t xml:space="preserve">and </w:t>
      </w:r>
      <m:oMath>
        <m:sSub>
          <m:sSubPr>
            <m:ctrlPr>
              <w:rPr>
                <w:rFonts w:ascii="Cambria Math" w:hAnsi="Cambria Math"/>
              </w:rPr>
            </m:ctrlPr>
          </m:sSubPr>
          <m:e>
            <m:r>
              <w:rPr>
                <w:rFonts w:ascii="Cambria Math" w:hAnsi="Cambria Math"/>
              </w:rPr>
              <m:t>η</m:t>
            </m:r>
          </m:e>
          <m:sub>
            <m:r>
              <w:rPr>
                <w:rFonts w:ascii="Cambria Math" w:hAnsi="Cambria Math"/>
              </w:rPr>
              <m:t>π</m:t>
            </m:r>
          </m:sub>
        </m:sSub>
      </m:oMath>
      <w:r w:rsidR="00284399" w:rsidRPr="00097432">
        <w:t xml:space="preserve"> </w:t>
      </w:r>
      <w:r w:rsidR="0000324B" w:rsidRPr="00097432">
        <w:t xml:space="preserve">denotes </w:t>
      </w:r>
      <w:r w:rsidR="00367F77" w:rsidRPr="00097432">
        <w:t>the</w:t>
      </w:r>
      <w:r w:rsidR="00284399" w:rsidRPr="00097432">
        <w:t xml:space="preserve"> </w:t>
      </w:r>
      <w:r w:rsidR="00D951EA" w:rsidRPr="00097432">
        <w:t>indirect</w:t>
      </w:r>
      <w:r w:rsidR="001634F3" w:rsidRPr="00097432">
        <w:t xml:space="preserve"> vaccine effectiveness</w:t>
      </w:r>
      <w:r w:rsidR="00D92215" w:rsidRPr="00097432">
        <w:t xml:space="preserve"> at </w:t>
      </w:r>
      <w:r w:rsidRPr="00097432">
        <w:rPr>
          <w:rFonts w:hint="eastAsia"/>
        </w:rPr>
        <w:t xml:space="preserve">coverage </w:t>
      </w:r>
      <m:oMath>
        <m:r>
          <w:rPr>
            <w:rFonts w:ascii="Cambria Math" w:hAnsi="Cambria Math"/>
          </w:rPr>
          <m:t>π</m:t>
        </m:r>
      </m:oMath>
      <w:r w:rsidR="001634F3" w:rsidRPr="00097432">
        <w:t xml:space="preserve">. </w:t>
      </w:r>
      <w:r w:rsidRPr="00097432">
        <w:rPr>
          <w:rFonts w:hint="eastAsia"/>
        </w:rPr>
        <w:t xml:space="preserve">Thus, </w:t>
      </w:r>
      <w:r w:rsidR="002363B7" w:rsidRPr="00097432">
        <w:rPr>
          <w:rFonts w:hint="eastAsia"/>
        </w:rPr>
        <w:t>u</w:t>
      </w:r>
      <w:r w:rsidR="001E5B2B" w:rsidRPr="00097432">
        <w:t>nvaccinated</w:t>
      </w:r>
      <w:r w:rsidR="001634F3" w:rsidRPr="00097432">
        <w:t xml:space="preserve"> individuals</w:t>
      </w:r>
      <w:r w:rsidR="000F5F59" w:rsidRPr="00097432">
        <w:t xml:space="preserve">, </w:t>
      </w:r>
      <w:r w:rsidR="00412CDE" w:rsidRPr="00097432">
        <w:t xml:space="preserve">comprising   </w:t>
      </w:r>
      <m:oMath>
        <m:r>
          <m:rPr>
            <m:sty m:val="p"/>
          </m:rPr>
          <w:rPr>
            <w:rFonts w:ascii="Cambria Math" w:hAnsi="Cambria Math"/>
          </w:rPr>
          <m:t>1-</m:t>
        </m:r>
        <m:r>
          <w:rPr>
            <w:rFonts w:ascii="Cambria Math" w:hAnsi="Cambria Math"/>
          </w:rPr>
          <m:t>π</m:t>
        </m:r>
      </m:oMath>
      <w:r w:rsidR="00412CDE" w:rsidRPr="00097432">
        <w:rPr>
          <w:rFonts w:hint="eastAsia"/>
        </w:rPr>
        <w:t xml:space="preserve"> of the population</w:t>
      </w:r>
      <w:r w:rsidR="002363B7" w:rsidRPr="00097432">
        <w:rPr>
          <w:rFonts w:hint="eastAsia"/>
        </w:rPr>
        <w:t>,</w:t>
      </w:r>
      <w:r w:rsidR="0040123F" w:rsidRPr="00097432">
        <w:t xml:space="preserve"> </w:t>
      </w:r>
      <w:r w:rsidR="002363B7" w:rsidRPr="00097432">
        <w:rPr>
          <w:rFonts w:hint="eastAsia"/>
        </w:rPr>
        <w:t>s</w:t>
      </w:r>
      <w:r w:rsidR="000F5F59" w:rsidRPr="00097432">
        <w:t xml:space="preserve">till benefit from </w:t>
      </w:r>
      <w:r w:rsidR="00D951EA" w:rsidRPr="00097432">
        <w:t>indirect</w:t>
      </w:r>
      <w:r w:rsidR="000F5F59" w:rsidRPr="00097432">
        <w:t xml:space="preserve"> </w:t>
      </w:r>
      <w:r w:rsidR="002363B7" w:rsidRPr="00097432">
        <w:rPr>
          <w:rFonts w:hint="eastAsia"/>
        </w:rPr>
        <w:t xml:space="preserve">protection </w:t>
      </w:r>
      <m:oMath>
        <m:r>
          <m:rPr>
            <m:sty m:val="p"/>
          </m:rPr>
          <w:rPr>
            <w:rFonts w:ascii="Cambria Math" w:hAnsi="Cambria Math"/>
          </w:rPr>
          <m:t>1-</m:t>
        </m:r>
        <m:sSub>
          <m:sSubPr>
            <m:ctrlPr>
              <w:rPr>
                <w:rFonts w:ascii="Cambria Math" w:hAnsi="Cambria Math"/>
              </w:rPr>
            </m:ctrlPr>
          </m:sSubPr>
          <m:e>
            <m:r>
              <w:rPr>
                <w:rFonts w:ascii="Cambria Math" w:hAnsi="Cambria Math"/>
              </w:rPr>
              <m:t>η</m:t>
            </m:r>
          </m:e>
          <m:sub>
            <m:r>
              <w:rPr>
                <w:rFonts w:ascii="Cambria Math" w:hAnsi="Cambria Math"/>
              </w:rPr>
              <m:t>π</m:t>
            </m:r>
          </m:sub>
        </m:sSub>
      </m:oMath>
      <w:r w:rsidR="00F91B5E" w:rsidRPr="00097432">
        <w:t>.</w:t>
      </w:r>
      <w:r w:rsidR="00D7029B" w:rsidRPr="00097432">
        <w:t xml:space="preserve"> </w:t>
      </w:r>
      <w:r w:rsidR="002363B7" w:rsidRPr="00097432">
        <w:rPr>
          <w:rFonts w:hint="eastAsia"/>
        </w:rPr>
        <w:t xml:space="preserve">We estimated </w:t>
      </w:r>
      <m:oMath>
        <m:sSub>
          <m:sSubPr>
            <m:ctrlPr>
              <w:rPr>
                <w:rFonts w:ascii="Cambria Math" w:hAnsi="Cambria Math"/>
              </w:rPr>
            </m:ctrlPr>
          </m:sSubPr>
          <m:e>
            <m:r>
              <w:rPr>
                <w:rFonts w:ascii="Cambria Math" w:hAnsi="Cambria Math"/>
              </w:rPr>
              <m:t>η</m:t>
            </m:r>
          </m:e>
          <m:sub>
            <m:r>
              <w:rPr>
                <w:rFonts w:ascii="Cambria Math" w:hAnsi="Cambria Math"/>
              </w:rPr>
              <m:t>π</m:t>
            </m:r>
          </m:sub>
        </m:sSub>
      </m:oMath>
      <w:r w:rsidR="000F5F59" w:rsidRPr="00097432">
        <w:t xml:space="preserve"> </w:t>
      </w:r>
      <w:r w:rsidR="00FA02DE" w:rsidRPr="00097432">
        <w:rPr>
          <w:rFonts w:hint="eastAsia"/>
        </w:rPr>
        <w:t xml:space="preserve">from </w:t>
      </w:r>
      <w:r w:rsidR="00FA02DE" w:rsidRPr="00097432">
        <w:rPr>
          <w:rFonts w:hint="eastAsia"/>
        </w:rPr>
        <w:lastRenderedPageBreak/>
        <w:t xml:space="preserve">reduction in </w:t>
      </w:r>
      <w:r w:rsidR="00D80970" w:rsidRPr="00097432">
        <w:rPr>
          <w:rFonts w:hint="eastAsia"/>
        </w:rPr>
        <w:t>incide</w:t>
      </w:r>
      <w:r w:rsidR="006E435E" w:rsidRPr="00097432">
        <w:t xml:space="preserve">nce rates among unvaccinated individuals </w:t>
      </w:r>
      <w:r w:rsidR="00FA02DE" w:rsidRPr="00097432">
        <w:rPr>
          <w:rFonts w:hint="eastAsia"/>
        </w:rPr>
        <w:t xml:space="preserve">observed </w:t>
      </w:r>
      <w:r w:rsidR="00986407" w:rsidRPr="00097432">
        <w:t>in a</w:t>
      </w:r>
      <w:r w:rsidR="006E435E" w:rsidRPr="00097432">
        <w:t xml:space="preserve"> randomized trial</w:t>
      </w:r>
      <w:r w:rsidR="00FA02DE" w:rsidRPr="00097432">
        <w:rPr>
          <w:rFonts w:hint="eastAsia"/>
        </w:rPr>
        <w:t xml:space="preserve"> </w:t>
      </w:r>
      <w:r w:rsidR="006E435E" w:rsidRPr="00097432">
        <w:t>conducted in Matlab, Bangladesh</w:t>
      </w:r>
      <w:r w:rsidR="00FA02DE" w:rsidRPr="00097432">
        <w:rPr>
          <w:rFonts w:hint="eastAsia"/>
        </w:rPr>
        <w:t xml:space="preserve"> using </w:t>
      </w:r>
      <w:r w:rsidR="00FA02DE" w:rsidRPr="00097432">
        <w:t>Bayesian beta regression</w:t>
      </w:r>
      <w:r w:rsidR="00FA02DE" w:rsidRPr="00097432">
        <w:rPr>
          <w:rFonts w:hint="eastAsia"/>
        </w:rPr>
        <w:t>.</w:t>
      </w:r>
      <w:r w:rsidR="006E435E" w:rsidRPr="00097432">
        <w:fldChar w:fldCharType="begin"/>
      </w:r>
      <w:r w:rsidR="00345AF1">
        <w:instrText xml:space="preserve"> ADDIN ZOTERO_ITEM CSL_CITATION {"citationID":"4VFwGMEW","properties":{"formattedCitation":"\\super 11,36\\nosupersub{}","plainCitation":"11,36","noteIndex":0},"citationItems":[{"id":"EgwuGF5k/N5wRjVQd","uris":["http://zotero.org/users/local/xDVOxgbN/items/37LE7P3K"],"itemData":{"id":"PKsbrXh4/qtt9F9M4","type":"article-journal","container-title":"PLoS Medicine","DOI":"10.1371/journal.pmed.0040336","ISSN":"1549-1676","issue":"11","journalAbbreviation":"PLoS Med","language":"en","page":"e336","source":"DOI.org (Crossref)","title":"Controlling Endemic Cholera with Oral Vaccines","volume":"4","author":[{"family":"Longini","given":"Ira M"},{"family":"Nizam","given":"Azhar"},{"family":"Ali","given":"Mohammad"},{"family":"Yunus","given":"Mohammad"},{"family":"Shenvi","given":"Neeta"},{"family":"Clemens","given":"John D"}],"editor":[{"family":"Von Seidlein","given":"Lorenz"}],"issued":{"date-parts":[["2007",11,27]]}}},{"id":"EgwuGF5k/bVyeal5U","uris":["http://zotero.org/users/local/xDVOxgbN/items/3QIMSM7G"],"itemData":{"id":"PKsbrXh4/0QHTqP8j","type":"article-journal","container-title":"The Lancet","DOI":"10.1016/S0140-6736(05)66550-6","ISSN":"01406736","issue":"9479","journalAbbreviation":"The Lancet","language":"en","license":"https://www.elsevier.com/tdm/userlicense/1.0/","page":"44-49","source":"DOI.org (Crossref)","title":"Herd immunity conferred by killed oral cholera vaccines in Bangladesh: a reanalysis","title-short":"Herd immunity conferred by killed oral cholera vaccines in Bangladesh","volume":"366","author":[{"family":"Ali","given":"Mohammad"},{"family":"Emch","given":"Michael"},{"family":"Von Seidlein","given":"Lorenz"},{"family":"Yunus","given":"Mohammad"},{"family":"Sack","given":"David A"},{"family":"Rao","given":"Malla"},{"family":"Holmgren","given":"Jan"},{"family":"Clemens","given":"John D"}],"issued":{"date-parts":[["2005",7]]}}}],"schema":"https://github.com/citation-style-language/schema/raw/master/csl-citation.json"} </w:instrText>
      </w:r>
      <w:r w:rsidR="006E435E" w:rsidRPr="00097432">
        <w:fldChar w:fldCharType="separate"/>
      </w:r>
      <w:r w:rsidR="005377FB" w:rsidRPr="00097432">
        <w:rPr>
          <w:rFonts w:cs="Times New Roman"/>
          <w:vertAlign w:val="superscript"/>
        </w:rPr>
        <w:t>11,36</w:t>
      </w:r>
      <w:r w:rsidR="006E435E" w:rsidRPr="00097432">
        <w:fldChar w:fldCharType="end"/>
      </w:r>
      <w:r w:rsidR="000F5F59" w:rsidRPr="00097432">
        <w:t xml:space="preserve"> (</w:t>
      </w:r>
      <w:r w:rsidR="0007624C" w:rsidRPr="00097432">
        <w:t xml:space="preserve">Supplementary Information </w:t>
      </w:r>
      <w:r w:rsidR="00F91B5E" w:rsidRPr="00097432">
        <w:rPr>
          <w:b/>
          <w:bCs/>
        </w:rPr>
        <w:t xml:space="preserve">S2 </w:t>
      </w:r>
      <w:r w:rsidR="00F91B5E" w:rsidRPr="00097432">
        <w:t>and</w:t>
      </w:r>
      <w:r w:rsidR="00F91B5E" w:rsidRPr="00097432">
        <w:rPr>
          <w:b/>
          <w:bCs/>
        </w:rPr>
        <w:t xml:space="preserve"> </w:t>
      </w:r>
      <w:r w:rsidR="00FE65CE" w:rsidRPr="00097432">
        <w:rPr>
          <w:b/>
          <w:bCs/>
        </w:rPr>
        <w:t>Figure</w:t>
      </w:r>
      <w:r w:rsidR="000F5F59" w:rsidRPr="00097432">
        <w:rPr>
          <w:b/>
          <w:bCs/>
        </w:rPr>
        <w:t xml:space="preserve"> S</w:t>
      </w:r>
      <w:r w:rsidR="001571FC" w:rsidRPr="00097432">
        <w:rPr>
          <w:b/>
          <w:bCs/>
        </w:rPr>
        <w:t>1</w:t>
      </w:r>
      <w:r w:rsidR="000F5F59" w:rsidRPr="00097432">
        <w:t>)</w:t>
      </w:r>
      <w:r w:rsidR="00FA02DE" w:rsidRPr="00097432">
        <w:rPr>
          <w:rFonts w:hint="eastAsia"/>
        </w:rPr>
        <w:t>.</w:t>
      </w:r>
      <w:r w:rsidR="00BF0842" w:rsidRPr="00097432">
        <w:rPr>
          <w:rFonts w:hint="eastAsia"/>
        </w:rPr>
        <w:t xml:space="preserve"> </w:t>
      </w:r>
      <w:r w:rsidR="00747E9A" w:rsidRPr="00097432">
        <w:t xml:space="preserve">The </w:t>
      </w:r>
      <w:r w:rsidR="00FC3D58" w:rsidRPr="00097432">
        <w:t xml:space="preserve">cumulative </w:t>
      </w:r>
      <w:r w:rsidR="00747E9A" w:rsidRPr="00097432">
        <w:t>number of cases</w:t>
      </w:r>
      <w:r w:rsidR="009F0610" w:rsidRPr="00097432">
        <w:t xml:space="preserve">, </w:t>
      </w:r>
      <m:oMath>
        <m:sSub>
          <m:sSubPr>
            <m:ctrlPr>
              <w:rPr>
                <w:rFonts w:ascii="Cambria Math" w:hAnsi="Cambria Math"/>
              </w:rPr>
            </m:ctrlPr>
          </m:sSubPr>
          <m:e>
            <m:r>
              <w:rPr>
                <w:rFonts w:ascii="Cambria Math" w:hAnsi="Cambria Math"/>
              </w:rPr>
              <m:t>C</m:t>
            </m:r>
          </m:e>
          <m:sub>
            <m:r>
              <w:rPr>
                <w:rFonts w:ascii="Cambria Math" w:hAnsi="Cambria Math"/>
              </w:rPr>
              <m:t>i</m:t>
            </m:r>
            <m:r>
              <m:rPr>
                <m:sty m:val="p"/>
              </m:rPr>
              <w:rPr>
                <w:rFonts w:ascii="Cambria Math" w:hAnsi="Cambria Math"/>
              </w:rPr>
              <m:t>,</m:t>
            </m:r>
            <m:r>
              <w:rPr>
                <w:rFonts w:ascii="Cambria Math" w:hAnsi="Cambria Math"/>
              </w:rPr>
              <m:t>π</m:t>
            </m:r>
            <m:r>
              <m:rPr>
                <m:sty m:val="p"/>
              </m:rPr>
              <w:rPr>
                <w:rFonts w:ascii="Cambria Math" w:hAnsi="Cambria Math"/>
              </w:rPr>
              <m:t>,</m:t>
            </m:r>
            <m:r>
              <w:rPr>
                <w:rFonts w:ascii="Cambria Math" w:hAnsi="Cambria Math"/>
              </w:rPr>
              <m:t>τ</m:t>
            </m:r>
          </m:sub>
        </m:sSub>
      </m:oMath>
      <w:r w:rsidR="009F0610" w:rsidRPr="00097432">
        <w:t xml:space="preserve">, </w:t>
      </w:r>
      <w:r w:rsidR="0000324B" w:rsidRPr="00097432">
        <w:t xml:space="preserve">for age group </w:t>
      </w:r>
      <m:oMath>
        <m:r>
          <w:rPr>
            <w:rFonts w:ascii="Cambria Math" w:hAnsi="Cambria Math"/>
          </w:rPr>
          <m:t>i</m:t>
        </m:r>
      </m:oMath>
      <w:r w:rsidR="00A22AAC" w:rsidRPr="00097432">
        <w:rPr>
          <w:rFonts w:hint="eastAsia"/>
        </w:rPr>
        <w:t>,</w:t>
      </w:r>
      <w:r w:rsidR="0000324B" w:rsidRPr="00097432">
        <w:t xml:space="preserve"> </w:t>
      </w:r>
      <w:r w:rsidR="00747E9A" w:rsidRPr="00097432">
        <w:t xml:space="preserve">under </w:t>
      </w:r>
      <w:r w:rsidR="009F0610" w:rsidRPr="00097432">
        <w:t>a</w:t>
      </w:r>
      <w:r w:rsidR="00747E9A" w:rsidRPr="00097432">
        <w:t xml:space="preserve"> vaccination campaign</w:t>
      </w:r>
      <w:r w:rsidR="0000324B" w:rsidRPr="00097432">
        <w:t xml:space="preserve"> initiated at time </w:t>
      </w:r>
      <m:oMath>
        <m:r>
          <w:rPr>
            <w:rFonts w:ascii="Cambria Math" w:hAnsi="Cambria Math"/>
          </w:rPr>
          <m:t>τ</m:t>
        </m:r>
      </m:oMath>
      <w:r w:rsidR="00747E9A" w:rsidRPr="00097432">
        <w:t xml:space="preserve"> with coverage </w:t>
      </w:r>
      <m:oMath>
        <m:r>
          <w:rPr>
            <w:rFonts w:ascii="Cambria Math" w:hAnsi="Cambria Math"/>
          </w:rPr>
          <m:t>π</m:t>
        </m:r>
      </m:oMath>
      <w:r w:rsidR="00A22AAC" w:rsidRPr="00097432">
        <w:rPr>
          <w:rFonts w:hint="eastAsia"/>
        </w:rPr>
        <w:t xml:space="preserve"> </w:t>
      </w:r>
      <w:r w:rsidR="00461F83" w:rsidRPr="00097432">
        <w:rPr>
          <w:rFonts w:hint="eastAsia"/>
        </w:rPr>
        <w:t>was c</w:t>
      </w:r>
      <w:r w:rsidR="00856B6B" w:rsidRPr="00097432">
        <w:rPr>
          <w:rFonts w:hint="eastAsia"/>
        </w:rPr>
        <w:t xml:space="preserve">alculated </w:t>
      </w:r>
      <w:r w:rsidR="00747E9A" w:rsidRPr="00097432">
        <w:t>as</w:t>
      </w:r>
      <w:r w:rsidR="000F5F59" w:rsidRPr="00097432">
        <w:t>:</w:t>
      </w:r>
    </w:p>
    <w:p w14:paraId="627A9D1A" w14:textId="77777777" w:rsidR="0000324B" w:rsidRPr="00097432" w:rsidRDefault="0000324B" w:rsidP="00F57F15"/>
    <w:p w14:paraId="4C0ABF4C" w14:textId="07A910A9" w:rsidR="00922420" w:rsidRPr="00097432" w:rsidRDefault="00000000" w:rsidP="00F57F15">
      <m:oMathPara>
        <m:oMath>
          <m:sSub>
            <m:sSubPr>
              <m:ctrlPr>
                <w:rPr>
                  <w:rFonts w:ascii="Cambria Math" w:hAnsi="Cambria Math"/>
                </w:rPr>
              </m:ctrlPr>
            </m:sSubPr>
            <m:e>
              <m:r>
                <w:rPr>
                  <w:rFonts w:ascii="Cambria Math" w:hAnsi="Cambria Math"/>
                </w:rPr>
                <m:t>C</m:t>
              </m:r>
            </m:e>
            <m:sub>
              <m:r>
                <w:rPr>
                  <w:rFonts w:ascii="Cambria Math" w:hAnsi="Cambria Math"/>
                </w:rPr>
                <m:t>i</m:t>
              </m:r>
              <m:r>
                <m:rPr>
                  <m:sty m:val="p"/>
                </m:rPr>
                <w:rPr>
                  <w:rFonts w:ascii="Cambria Math" w:hAnsi="Cambria Math"/>
                </w:rPr>
                <m:t>,</m:t>
              </m:r>
              <m:r>
                <w:rPr>
                  <w:rFonts w:ascii="Cambria Math" w:hAnsi="Cambria Math"/>
                </w:rPr>
                <m:t>π</m:t>
              </m:r>
              <m:r>
                <m:rPr>
                  <m:sty m:val="p"/>
                </m:rPr>
                <w:rPr>
                  <w:rFonts w:ascii="Cambria Math" w:hAnsi="Cambria Math"/>
                </w:rPr>
                <m:t>,</m:t>
              </m:r>
              <m:r>
                <w:rPr>
                  <w:rFonts w:ascii="Cambria Math" w:hAnsi="Cambria Math"/>
                </w:rPr>
                <m:t>τ</m:t>
              </m:r>
            </m:sub>
          </m:sSub>
          <m:r>
            <m:rPr>
              <m:sty m:val="p"/>
            </m:rPr>
            <w:rPr>
              <w:rFonts w:ascii="Cambria Math" w:hAnsi="Cambria Math"/>
            </w:rPr>
            <m:t>=</m:t>
          </m:r>
          <m:nary>
            <m:naryPr>
              <m:chr m:val="∑"/>
              <m:limLoc m:val="subSup"/>
              <m:ctrlPr>
                <w:rPr>
                  <w:rFonts w:ascii="Cambria Math" w:hAnsi="Cambria Math"/>
                </w:rPr>
              </m:ctrlPr>
            </m:naryPr>
            <m:sub>
              <m:r>
                <w:rPr>
                  <w:rFonts w:ascii="Cambria Math" w:hAnsi="Cambria Math"/>
                </w:rPr>
                <m:t>t</m:t>
              </m:r>
              <m:r>
                <m:rPr>
                  <m:sty m:val="p"/>
                </m:rPr>
                <w:rPr>
                  <w:rFonts w:ascii="Cambria Math" w:hAnsi="Cambria Math"/>
                </w:rPr>
                <m:t>=1</m:t>
              </m:r>
            </m:sub>
            <m:sup>
              <m:r>
                <w:rPr>
                  <w:rFonts w:ascii="Cambria Math" w:hAnsi="Cambria Math"/>
                </w:rPr>
                <m:t>T</m:t>
              </m:r>
            </m:sup>
            <m:e>
              <m:sSub>
                <m:sSubPr>
                  <m:ctrlPr>
                    <w:rPr>
                      <w:rFonts w:ascii="Cambria Math" w:hAnsi="Cambria Math"/>
                    </w:rPr>
                  </m:ctrlPr>
                </m:sSubPr>
                <m:e>
                  <m:r>
                    <w:rPr>
                      <w:rFonts w:ascii="Cambria Math" w:hAnsi="Cambria Math"/>
                    </w:rPr>
                    <m:t>I</m:t>
                  </m:r>
                </m:e>
                <m:sub>
                  <m:r>
                    <w:rPr>
                      <w:rFonts w:ascii="Cambria Math" w:hAnsi="Cambria Math"/>
                    </w:rPr>
                    <m:t>t</m:t>
                  </m:r>
                  <m:r>
                    <m:rPr>
                      <m:sty m:val="p"/>
                    </m:rPr>
                    <w:rPr>
                      <w:rFonts w:ascii="Cambria Math" w:hAnsi="Cambria Math"/>
                    </w:rPr>
                    <m:t>,</m:t>
                  </m:r>
                  <m:r>
                    <w:rPr>
                      <w:rFonts w:ascii="Cambria Math" w:hAnsi="Cambria Math"/>
                    </w:rPr>
                    <m:t>i</m:t>
                  </m:r>
                </m:sub>
              </m:sSub>
              <m:d>
                <m:dPr>
                  <m:begChr m:val="["/>
                  <m:endChr m:val="]"/>
                  <m:ctrlPr>
                    <w:rPr>
                      <w:rFonts w:ascii="Cambria Math" w:hAnsi="Cambria Math"/>
                      <w:i/>
                    </w:rPr>
                  </m:ctrlPr>
                </m:dPr>
                <m:e>
                  <m:r>
                    <m:rPr>
                      <m:sty m:val="p"/>
                    </m:rPr>
                    <w:rPr>
                      <w:rFonts w:ascii="Cambria Math" w:hAnsi="Cambria Math"/>
                    </w:rPr>
                    <m:t>1-</m:t>
                  </m:r>
                  <m:r>
                    <m:rPr>
                      <m:sty m:val="b"/>
                    </m:rPr>
                    <w:rPr>
                      <w:rFonts w:ascii="Cambria Math" w:hAnsi="Cambria Math"/>
                    </w:rPr>
                    <m:t>1</m:t>
                  </m:r>
                  <m:d>
                    <m:dPr>
                      <m:ctrlPr>
                        <w:rPr>
                          <w:rFonts w:ascii="Cambria Math" w:hAnsi="Cambria Math"/>
                          <w:b/>
                          <w:bCs/>
                        </w:rPr>
                      </m:ctrlPr>
                    </m:dPr>
                    <m:e>
                      <m:r>
                        <w:rPr>
                          <w:rFonts w:ascii="Cambria Math" w:hAnsi="Cambria Math"/>
                        </w:rPr>
                        <m:t>t</m:t>
                      </m:r>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δ</m:t>
                      </m:r>
                    </m:e>
                  </m:d>
                  <m:sSub>
                    <m:sSubPr>
                      <m:ctrlPr>
                        <w:rPr>
                          <w:rFonts w:ascii="Cambria Math" w:hAnsi="Cambria Math"/>
                        </w:rPr>
                      </m:ctrlPr>
                    </m:sSubPr>
                    <m:e>
                      <m:r>
                        <w:rPr>
                          <w:rFonts w:ascii="Cambria Math" w:hAnsi="Cambria Math"/>
                        </w:rPr>
                        <m:t>P</m:t>
                      </m:r>
                    </m:e>
                    <m:sub>
                      <m:r>
                        <w:rPr>
                          <w:rFonts w:ascii="Cambria Math" w:hAnsi="Cambria Math"/>
                        </w:rPr>
                        <m:t>i</m:t>
                      </m:r>
                      <m:r>
                        <m:rPr>
                          <m:sty m:val="p"/>
                        </m:rPr>
                        <w:rPr>
                          <w:rFonts w:ascii="Cambria Math" w:hAnsi="Cambria Math"/>
                        </w:rPr>
                        <m:t xml:space="preserve">, </m:t>
                      </m:r>
                      <m:r>
                        <w:rPr>
                          <w:rFonts w:ascii="Cambria Math" w:hAnsi="Cambria Math"/>
                        </w:rPr>
                        <m:t>π</m:t>
                      </m:r>
                    </m:sub>
                  </m:sSub>
                </m:e>
              </m:d>
            </m:e>
          </m:nary>
          <m:r>
            <w:rPr>
              <w:rFonts w:ascii="Cambria Math" w:hAnsi="Cambria Math"/>
            </w:rPr>
            <m:t>,</m:t>
          </m:r>
        </m:oMath>
      </m:oMathPara>
    </w:p>
    <w:p w14:paraId="505DEA06" w14:textId="77777777" w:rsidR="00FC3D58" w:rsidRPr="00097432" w:rsidRDefault="00FC3D58" w:rsidP="00F57F15"/>
    <w:p w14:paraId="1C038619" w14:textId="3CC6BCAA" w:rsidR="00BF0842" w:rsidRPr="00097432" w:rsidRDefault="008F0DD3" w:rsidP="007B6AC6">
      <w:pPr>
        <w:rPr>
          <w:lang w:val="en-US"/>
        </w:rPr>
      </w:pPr>
      <w:r w:rsidRPr="00097432">
        <w:rPr>
          <w:rFonts w:hint="eastAsia"/>
        </w:rPr>
        <w:t>where</w:t>
      </w:r>
      <w:r w:rsidR="000F5F59" w:rsidRPr="00097432">
        <w:t xml:space="preserve"> </w:t>
      </w:r>
      <m:oMath>
        <m:sSub>
          <m:sSubPr>
            <m:ctrlPr>
              <w:rPr>
                <w:rFonts w:ascii="Cambria Math" w:hAnsi="Cambria Math"/>
              </w:rPr>
            </m:ctrlPr>
          </m:sSubPr>
          <m:e>
            <m:r>
              <w:rPr>
                <w:rFonts w:ascii="Cambria Math" w:hAnsi="Cambria Math"/>
              </w:rPr>
              <m:t>I</m:t>
            </m:r>
          </m:e>
          <m:sub>
            <m:r>
              <w:rPr>
                <w:rFonts w:ascii="Cambria Math" w:hAnsi="Cambria Math"/>
              </w:rPr>
              <m:t>t</m:t>
            </m:r>
            <m:r>
              <m:rPr>
                <m:sty m:val="p"/>
              </m:rPr>
              <w:rPr>
                <w:rFonts w:ascii="Cambria Math" w:hAnsi="Cambria Math"/>
              </w:rPr>
              <m:t>,</m:t>
            </m:r>
            <m:r>
              <w:rPr>
                <w:rFonts w:ascii="Cambria Math" w:hAnsi="Cambria Math"/>
              </w:rPr>
              <m:t>i</m:t>
            </m:r>
            <m:r>
              <m:rPr>
                <m:sty m:val="p"/>
              </m:rPr>
              <w:rPr>
                <w:rFonts w:ascii="Cambria Math" w:hAnsi="Cambria Math"/>
              </w:rPr>
              <m:t>,</m:t>
            </m:r>
          </m:sub>
        </m:sSub>
      </m:oMath>
      <w:r w:rsidR="00763376" w:rsidRPr="00097432">
        <w:t xml:space="preserve"> </w:t>
      </w:r>
      <w:r w:rsidRPr="00097432">
        <w:rPr>
          <w:rFonts w:hint="eastAsia"/>
        </w:rPr>
        <w:t xml:space="preserve">is the </w:t>
      </w:r>
      <w:r w:rsidR="00747E9A" w:rsidRPr="00097432">
        <w:t xml:space="preserve">incidence at time </w:t>
      </w:r>
      <m:oMath>
        <m:r>
          <w:rPr>
            <w:rFonts w:ascii="Cambria Math" w:hAnsi="Cambria Math"/>
          </w:rPr>
          <m:t>t</m:t>
        </m:r>
      </m:oMath>
      <w:r w:rsidR="00FC3D58" w:rsidRPr="00097432">
        <w:t xml:space="preserve"> for age group </w:t>
      </w:r>
      <m:oMath>
        <m:r>
          <w:rPr>
            <w:rFonts w:ascii="Cambria Math" w:hAnsi="Cambria Math"/>
          </w:rPr>
          <m:t>i</m:t>
        </m:r>
      </m:oMath>
      <w:r w:rsidR="00FC3D58" w:rsidRPr="00097432">
        <w:t xml:space="preserve"> and</w:t>
      </w:r>
      <w:r w:rsidR="009F0610" w:rsidRPr="00097432">
        <w:t xml:space="preserve"> </w:t>
      </w:r>
      <m:oMath>
        <m:r>
          <m:rPr>
            <m:sty m:val="b"/>
          </m:rPr>
          <w:rPr>
            <w:rFonts w:ascii="Cambria Math" w:hAnsi="Cambria Math"/>
          </w:rPr>
          <m:t>1</m:t>
        </m:r>
        <m:d>
          <m:dPr>
            <m:ctrlPr>
              <w:rPr>
                <w:rFonts w:ascii="Cambria Math" w:hAnsi="Cambria Math"/>
                <w:b/>
                <w:bCs/>
              </w:rPr>
            </m:ctrlPr>
          </m:dPr>
          <m:e>
            <m:r>
              <w:rPr>
                <w:rFonts w:ascii="Cambria Math" w:hAnsi="Cambria Math"/>
              </w:rPr>
              <m:t>x</m:t>
            </m:r>
          </m:e>
        </m:d>
      </m:oMath>
      <w:r w:rsidRPr="00097432">
        <w:rPr>
          <w:rFonts w:hint="eastAsia"/>
          <w:b/>
          <w:bCs/>
        </w:rPr>
        <w:t xml:space="preserve"> </w:t>
      </w:r>
      <w:r w:rsidRPr="00097432">
        <w:rPr>
          <w:rFonts w:hint="eastAsia"/>
        </w:rPr>
        <w:t>is an i</w:t>
      </w:r>
      <w:r w:rsidR="00FC3D58" w:rsidRPr="00097432">
        <w:t xml:space="preserve">ndicator function </w:t>
      </w:r>
      <w:r w:rsidR="000F5F59" w:rsidRPr="00097432">
        <w:t xml:space="preserve">that </w:t>
      </w:r>
      <w:r w:rsidR="00FC3D58" w:rsidRPr="00097432">
        <w:t xml:space="preserve">equals 1 if </w:t>
      </w:r>
      <m:oMath>
        <m:r>
          <w:rPr>
            <w:rFonts w:ascii="Cambria Math" w:hAnsi="Cambria Math"/>
          </w:rPr>
          <m:t>x</m:t>
        </m:r>
      </m:oMath>
      <w:r w:rsidR="00FC3D58" w:rsidRPr="00097432">
        <w:t xml:space="preserve"> is true and </w:t>
      </w:r>
      <w:r w:rsidR="000F5F59" w:rsidRPr="00097432">
        <w:t>0</w:t>
      </w:r>
      <w:r w:rsidR="00FC3D58" w:rsidRPr="00097432">
        <w:t xml:space="preserve"> otherwise.</w:t>
      </w:r>
      <w:r w:rsidR="0000324B" w:rsidRPr="00097432">
        <w:t xml:space="preserve"> </w:t>
      </w:r>
      <w:r w:rsidR="000F5F59" w:rsidRPr="00097432">
        <w:t xml:space="preserve">The </w:t>
      </w:r>
      <w:r w:rsidRPr="00097432">
        <w:rPr>
          <w:rFonts w:hint="eastAsia"/>
        </w:rPr>
        <w:t>term</w:t>
      </w:r>
      <w:r w:rsidR="000F5F59" w:rsidRPr="00097432">
        <w:t xml:space="preserve"> </w:t>
      </w:r>
      <m:oMath>
        <m:r>
          <w:rPr>
            <w:rFonts w:ascii="Cambria Math" w:hAnsi="Cambria Math"/>
          </w:rPr>
          <m:t>δ</m:t>
        </m:r>
      </m:oMath>
      <w:r w:rsidR="000F5F59" w:rsidRPr="00097432">
        <w:t xml:space="preserve"> </w:t>
      </w:r>
      <w:r w:rsidRPr="00097432">
        <w:rPr>
          <w:rFonts w:hint="eastAsia"/>
        </w:rPr>
        <w:t xml:space="preserve">captures </w:t>
      </w:r>
      <w:r w:rsidR="000F5F59" w:rsidRPr="00097432">
        <w:t>delay</w:t>
      </w:r>
      <w:r w:rsidR="00B44701" w:rsidRPr="00097432">
        <w:t>s</w:t>
      </w:r>
      <w:r w:rsidRPr="00097432">
        <w:rPr>
          <w:rFonts w:hint="eastAsia"/>
        </w:rPr>
        <w:t xml:space="preserve"> for c</w:t>
      </w:r>
      <w:r w:rsidR="005107E2" w:rsidRPr="00097432">
        <w:rPr>
          <w:rFonts w:hint="eastAsia"/>
        </w:rPr>
        <w:t>a</w:t>
      </w:r>
      <w:r w:rsidRPr="00097432">
        <w:rPr>
          <w:rFonts w:hint="eastAsia"/>
        </w:rPr>
        <w:t xml:space="preserve">mpaign implementation and the development of vaccine-derived immunity, and </w:t>
      </w:r>
      <m:oMath>
        <m:r>
          <w:rPr>
            <w:rFonts w:ascii="Cambria Math" w:hAnsi="Cambria Math"/>
          </w:rPr>
          <m:t>T</m:t>
        </m:r>
      </m:oMath>
      <w:r w:rsidR="000F5F59" w:rsidRPr="00097432">
        <w:t xml:space="preserve"> denotes the outbreak's end date. </w:t>
      </w:r>
      <w:r w:rsidR="009F0610" w:rsidRPr="00097432">
        <w:rPr>
          <w:lang w:val="en-US"/>
        </w:rPr>
        <w:t xml:space="preserve">Overall, </w:t>
      </w:r>
      <w:r w:rsidRPr="00097432">
        <w:rPr>
          <w:rFonts w:hint="eastAsia"/>
          <w:lang w:val="en-US"/>
        </w:rPr>
        <w:t>we</w:t>
      </w:r>
      <w:r w:rsidR="009F0610" w:rsidRPr="00097432">
        <w:rPr>
          <w:lang w:val="en-US"/>
        </w:rPr>
        <w:t xml:space="preserve"> simulated</w:t>
      </w:r>
      <w:r w:rsidR="00CB3517" w:rsidRPr="00097432">
        <w:rPr>
          <w:lang w:val="en-US"/>
        </w:rPr>
        <w:t xml:space="preserve"> </w:t>
      </w:r>
      <w:r w:rsidR="00461F83" w:rsidRPr="00097432">
        <w:rPr>
          <w:rFonts w:hint="eastAsia"/>
          <w:lang w:val="en-US"/>
        </w:rPr>
        <w:t>ORIs</w:t>
      </w:r>
      <w:r w:rsidR="00CB3517" w:rsidRPr="00097432">
        <w:rPr>
          <w:lang w:val="en-US"/>
        </w:rPr>
        <w:t xml:space="preserve"> in</w:t>
      </w:r>
      <w:r w:rsidR="009F0610" w:rsidRPr="00097432">
        <w:rPr>
          <w:lang w:val="en-US"/>
        </w:rPr>
        <w:t xml:space="preserve"> each of </w:t>
      </w:r>
      <w:r w:rsidR="00CB3517" w:rsidRPr="00097432">
        <w:rPr>
          <w:lang w:val="en-US"/>
        </w:rPr>
        <w:t xml:space="preserve">the </w:t>
      </w:r>
      <w:r w:rsidR="009F0610" w:rsidRPr="00097432">
        <w:rPr>
          <w:lang w:val="en-US"/>
        </w:rPr>
        <w:t>1,</w:t>
      </w:r>
      <w:r w:rsidR="00C56397" w:rsidRPr="00097432">
        <w:rPr>
          <w:rFonts w:hint="eastAsia"/>
          <w:lang w:val="en-US"/>
        </w:rPr>
        <w:t xml:space="preserve">192 </w:t>
      </w:r>
      <w:r w:rsidR="009F0610" w:rsidRPr="00097432">
        <w:rPr>
          <w:lang w:val="en-US"/>
        </w:rPr>
        <w:t>outbreaks</w:t>
      </w:r>
      <w:r w:rsidRPr="00097432">
        <w:rPr>
          <w:rFonts w:hint="eastAsia"/>
          <w:lang w:val="en-US"/>
        </w:rPr>
        <w:t xml:space="preserve">, exploring </w:t>
      </w:r>
      <w:r w:rsidRPr="00097432">
        <w:rPr>
          <w:lang w:val="en-US"/>
        </w:rPr>
        <w:t>various</w:t>
      </w:r>
      <w:r w:rsidRPr="00097432">
        <w:rPr>
          <w:rFonts w:hint="eastAsia"/>
          <w:lang w:val="en-US"/>
        </w:rPr>
        <w:t xml:space="preserve"> </w:t>
      </w:r>
      <w:r w:rsidR="009F0610" w:rsidRPr="00097432">
        <w:rPr>
          <w:lang w:val="en-US"/>
        </w:rPr>
        <w:t>vaccination coverage</w:t>
      </w:r>
      <w:r w:rsidR="00D80970" w:rsidRPr="00097432">
        <w:rPr>
          <w:rFonts w:hint="eastAsia"/>
          <w:lang w:val="en-US"/>
        </w:rPr>
        <w:t xml:space="preserve"> level</w:t>
      </w:r>
      <w:r w:rsidR="00274651" w:rsidRPr="00097432">
        <w:rPr>
          <w:lang w:val="en-US"/>
        </w:rPr>
        <w:t>s</w:t>
      </w:r>
      <w:r w:rsidR="00CB3517" w:rsidRPr="00097432">
        <w:rPr>
          <w:lang w:val="en-US"/>
        </w:rPr>
        <w:t xml:space="preserve">, </w:t>
      </w:r>
      <w:r w:rsidR="009F0610" w:rsidRPr="00097432">
        <w:rPr>
          <w:lang w:val="en-US"/>
        </w:rPr>
        <w:t xml:space="preserve">campaign timing, </w:t>
      </w:r>
      <w:r w:rsidR="00CB3517" w:rsidRPr="00097432">
        <w:rPr>
          <w:lang w:val="en-US"/>
        </w:rPr>
        <w:t xml:space="preserve">and </w:t>
      </w:r>
      <w:r w:rsidRPr="00097432">
        <w:rPr>
          <w:rFonts w:hint="eastAsia"/>
          <w:lang w:val="en-US"/>
        </w:rPr>
        <w:t>tr</w:t>
      </w:r>
      <w:r w:rsidR="00CB3517" w:rsidRPr="00097432">
        <w:rPr>
          <w:lang w:val="en-US"/>
        </w:rPr>
        <w:t>iggers (</w:t>
      </w:r>
      <w:r w:rsidR="00CE75ED" w:rsidRPr="00097432">
        <w:rPr>
          <w:lang w:val="en-US"/>
        </w:rPr>
        <w:t>outbreak onset-triggered</w:t>
      </w:r>
      <w:r w:rsidR="009F0610" w:rsidRPr="00097432">
        <w:rPr>
          <w:lang w:val="en-US"/>
        </w:rPr>
        <w:t xml:space="preserve"> or case-triggered</w:t>
      </w:r>
      <w:r w:rsidR="00CB3517" w:rsidRPr="00097432">
        <w:rPr>
          <w:lang w:val="en-US"/>
        </w:rPr>
        <w:t>)</w:t>
      </w:r>
      <w:r w:rsidR="00523E62" w:rsidRPr="00097432">
        <w:t xml:space="preserve"> (</w:t>
      </w:r>
      <w:r w:rsidR="00523E62" w:rsidRPr="00097432">
        <w:rPr>
          <w:b/>
          <w:bCs/>
        </w:rPr>
        <w:t xml:space="preserve">Table </w:t>
      </w:r>
      <w:r w:rsidR="00523E62" w:rsidRPr="00097432">
        <w:rPr>
          <w:rFonts w:hint="eastAsia"/>
          <w:b/>
          <w:bCs/>
        </w:rPr>
        <w:t>2</w:t>
      </w:r>
      <w:r w:rsidR="00523E62" w:rsidRPr="00097432">
        <w:t>)</w:t>
      </w:r>
      <w:r w:rsidRPr="00097432">
        <w:rPr>
          <w:rFonts w:hint="eastAsia"/>
          <w:lang w:val="en-US"/>
        </w:rPr>
        <w:t>. We sampled</w:t>
      </w:r>
      <w:r w:rsidR="009F0610" w:rsidRPr="00097432">
        <w:rPr>
          <w:lang w:val="en-US"/>
        </w:rPr>
        <w:t xml:space="preserve"> 200 parameter sets </w:t>
      </w:r>
      <w:r w:rsidRPr="00097432">
        <w:rPr>
          <w:rFonts w:hint="eastAsia"/>
          <w:lang w:val="en-US"/>
        </w:rPr>
        <w:t>via a</w:t>
      </w:r>
      <w:r w:rsidR="009F0610" w:rsidRPr="00097432">
        <w:rPr>
          <w:lang w:val="en-US"/>
        </w:rPr>
        <w:t xml:space="preserve"> Sobol low-discrepancy sequence</w:t>
      </w:r>
      <w:r w:rsidR="00CB3517" w:rsidRPr="00097432">
        <w:rPr>
          <w:lang w:val="en-US"/>
        </w:rPr>
        <w:t xml:space="preserve"> (</w:t>
      </w:r>
      <w:r w:rsidR="00CB3517" w:rsidRPr="00097432">
        <w:rPr>
          <w:b/>
          <w:bCs/>
          <w:lang w:val="en-US"/>
        </w:rPr>
        <w:t xml:space="preserve">Table </w:t>
      </w:r>
      <w:r w:rsidR="00523E62" w:rsidRPr="00097432">
        <w:rPr>
          <w:rFonts w:hint="eastAsia"/>
          <w:b/>
          <w:bCs/>
          <w:lang w:val="en-US"/>
        </w:rPr>
        <w:t>3</w:t>
      </w:r>
      <w:r w:rsidR="00D80970" w:rsidRPr="00097432">
        <w:rPr>
          <w:rFonts w:hint="eastAsia"/>
          <w:lang w:val="en-US"/>
        </w:rPr>
        <w:t xml:space="preserve"> and </w:t>
      </w:r>
      <w:r w:rsidR="0007624C" w:rsidRPr="00097432">
        <w:rPr>
          <w:lang w:val="en-US"/>
        </w:rPr>
        <w:t xml:space="preserve">Supplementary Information </w:t>
      </w:r>
      <w:r w:rsidR="00F95618" w:rsidRPr="00097432">
        <w:rPr>
          <w:b/>
          <w:bCs/>
          <w:lang w:val="en-US"/>
        </w:rPr>
        <w:t>S3</w:t>
      </w:r>
      <w:r w:rsidR="00CB3517" w:rsidRPr="00097432">
        <w:rPr>
          <w:lang w:val="en-US"/>
        </w:rPr>
        <w:t>)</w:t>
      </w:r>
      <w:r w:rsidRPr="00097432">
        <w:rPr>
          <w:rFonts w:hint="eastAsia"/>
          <w:lang w:val="en-US"/>
        </w:rPr>
        <w:t xml:space="preserve">, yielding varying estimates of ORI impact. </w:t>
      </w:r>
      <w:r w:rsidR="005107E2" w:rsidRPr="00097432">
        <w:rPr>
          <w:lang w:val="en-US"/>
        </w:rPr>
        <w:t>Results</w:t>
      </w:r>
      <w:r w:rsidRPr="00097432">
        <w:rPr>
          <w:rFonts w:hint="eastAsia"/>
          <w:lang w:val="en-US"/>
        </w:rPr>
        <w:t xml:space="preserve"> ar</w:t>
      </w:r>
      <w:r w:rsidR="00A44904" w:rsidRPr="00097432">
        <w:rPr>
          <w:lang w:val="en-US"/>
        </w:rPr>
        <w:t xml:space="preserve">e </w:t>
      </w:r>
      <w:r w:rsidRPr="00097432">
        <w:rPr>
          <w:rFonts w:hint="eastAsia"/>
          <w:lang w:val="en-US"/>
        </w:rPr>
        <w:t xml:space="preserve">reported </w:t>
      </w:r>
      <w:r w:rsidR="00427DD4" w:rsidRPr="00097432">
        <w:rPr>
          <w:lang w:val="en-US"/>
        </w:rPr>
        <w:t xml:space="preserve">as </w:t>
      </w:r>
      <w:r w:rsidR="00FB487E" w:rsidRPr="00097432">
        <w:rPr>
          <w:lang w:val="en-US"/>
        </w:rPr>
        <w:t>median</w:t>
      </w:r>
      <w:r w:rsidR="00427DD4" w:rsidRPr="00097432">
        <w:rPr>
          <w:lang w:val="en-US"/>
        </w:rPr>
        <w:t>s</w:t>
      </w:r>
      <w:r w:rsidR="00FB487E" w:rsidRPr="00097432">
        <w:rPr>
          <w:lang w:val="en-US"/>
        </w:rPr>
        <w:t xml:space="preserve"> with </w:t>
      </w:r>
      <w:r w:rsidR="009130AF" w:rsidRPr="00097432">
        <w:rPr>
          <w:rFonts w:hint="eastAsia"/>
          <w:lang w:val="en-US"/>
        </w:rPr>
        <w:t>interquartile range (IQR)</w:t>
      </w:r>
      <w:r w:rsidR="00FB487E" w:rsidRPr="00097432">
        <w:rPr>
          <w:lang w:val="en-US"/>
        </w:rPr>
        <w:t xml:space="preserve">. </w:t>
      </w:r>
      <w:r w:rsidR="00BF0842" w:rsidRPr="00097432">
        <w:rPr>
          <w:rFonts w:hint="eastAsia"/>
          <w:lang w:val="en-US"/>
        </w:rPr>
        <w:t xml:space="preserve"> </w:t>
      </w:r>
    </w:p>
    <w:p w14:paraId="7B3E9384" w14:textId="77777777" w:rsidR="008F5A35" w:rsidRPr="00097432" w:rsidRDefault="008F5A35" w:rsidP="007B6AC6"/>
    <w:p w14:paraId="7F43ACC4" w14:textId="6B6A7FF3" w:rsidR="007B6AC6" w:rsidRPr="00097432" w:rsidRDefault="008F5A35" w:rsidP="007B6AC6">
      <w:r w:rsidRPr="001E41A9">
        <w:rPr>
          <w:rFonts w:hint="eastAsia"/>
          <w:highlight w:val="yellow"/>
        </w:rPr>
        <w:t xml:space="preserve">In addition to </w:t>
      </w:r>
      <w:r w:rsidRPr="001E41A9">
        <w:rPr>
          <w:highlight w:val="yellow"/>
        </w:rPr>
        <w:t>evaluating the impact of ORIs at the level</w:t>
      </w:r>
      <w:r w:rsidR="002007F1" w:rsidRPr="002007F1">
        <w:rPr>
          <w:highlight w:val="yellow"/>
        </w:rPr>
        <w:t xml:space="preserve"> </w:t>
      </w:r>
      <w:r w:rsidR="002007F1">
        <w:rPr>
          <w:rFonts w:hint="eastAsia"/>
          <w:highlight w:val="yellow"/>
        </w:rPr>
        <w:t xml:space="preserve">of </w:t>
      </w:r>
      <w:r w:rsidR="002007F1" w:rsidRPr="001E41A9">
        <w:rPr>
          <w:highlight w:val="yellow"/>
        </w:rPr>
        <w:t>individual outbreak</w:t>
      </w:r>
      <w:r w:rsidR="002007F1">
        <w:rPr>
          <w:rFonts w:hint="eastAsia"/>
          <w:highlight w:val="yellow"/>
        </w:rPr>
        <w:t>s</w:t>
      </w:r>
      <w:r w:rsidRPr="001E41A9">
        <w:rPr>
          <w:highlight w:val="yellow"/>
        </w:rPr>
        <w:t>,</w:t>
      </w:r>
      <w:r w:rsidRPr="001E41A9">
        <w:rPr>
          <w:rFonts w:hint="eastAsia"/>
          <w:highlight w:val="yellow"/>
        </w:rPr>
        <w:t xml:space="preserve"> </w:t>
      </w:r>
      <w:r w:rsidRPr="001E41A9">
        <w:rPr>
          <w:highlight w:val="yellow"/>
        </w:rPr>
        <w:t xml:space="preserve">we also estimated their </w:t>
      </w:r>
      <w:r w:rsidR="002007F1">
        <w:rPr>
          <w:rFonts w:hint="eastAsia"/>
          <w:highlight w:val="yellow"/>
        </w:rPr>
        <w:t xml:space="preserve">overall global </w:t>
      </w:r>
      <w:r w:rsidR="001E41A9" w:rsidRPr="001E41A9">
        <w:rPr>
          <w:rFonts w:hint="eastAsia"/>
          <w:highlight w:val="yellow"/>
        </w:rPr>
        <w:t>i</w:t>
      </w:r>
      <w:r w:rsidRPr="001E41A9">
        <w:rPr>
          <w:highlight w:val="yellow"/>
        </w:rPr>
        <w:t>mpact</w:t>
      </w:r>
      <w:r w:rsidR="001E41A9" w:rsidRPr="001E41A9">
        <w:rPr>
          <w:rFonts w:hint="eastAsia"/>
          <w:highlight w:val="yellow"/>
        </w:rPr>
        <w:t xml:space="preserve"> </w:t>
      </w:r>
      <w:r w:rsidR="002007F1">
        <w:rPr>
          <w:rFonts w:hint="eastAsia"/>
          <w:highlight w:val="yellow"/>
        </w:rPr>
        <w:t xml:space="preserve">by aggregating the effects </w:t>
      </w:r>
      <w:r w:rsidR="001E41A9" w:rsidRPr="001E41A9">
        <w:rPr>
          <w:rFonts w:hint="eastAsia"/>
          <w:highlight w:val="yellow"/>
        </w:rPr>
        <w:t xml:space="preserve">across multiple outbreaks </w:t>
      </w:r>
      <w:r w:rsidR="002007F1">
        <w:rPr>
          <w:rFonts w:hint="eastAsia"/>
          <w:highlight w:val="yellow"/>
        </w:rPr>
        <w:t xml:space="preserve">under a constrained </w:t>
      </w:r>
      <w:r w:rsidR="001E41A9" w:rsidRPr="001E41A9">
        <w:rPr>
          <w:rFonts w:hint="eastAsia"/>
          <w:highlight w:val="yellow"/>
        </w:rPr>
        <w:t>OCV supply</w:t>
      </w:r>
      <w:r w:rsidRPr="001E41A9">
        <w:rPr>
          <w:highlight w:val="yellow"/>
        </w:rPr>
        <w:t>.</w:t>
      </w:r>
      <w:r w:rsidRPr="00097432">
        <w:rPr>
          <w:rFonts w:hint="eastAsia"/>
        </w:rPr>
        <w:t xml:space="preserve"> Specifically, we</w:t>
      </w:r>
      <w:r w:rsidR="007B6AC6" w:rsidRPr="00097432">
        <w:t xml:space="preserve"> modeled the deployment of approximately 38 million </w:t>
      </w:r>
      <w:r w:rsidR="001E41A9">
        <w:rPr>
          <w:rFonts w:hint="eastAsia"/>
        </w:rPr>
        <w:t xml:space="preserve">doses of OCVs </w:t>
      </w:r>
      <w:r w:rsidR="007B6AC6" w:rsidRPr="00097432">
        <w:t xml:space="preserve">administered </w:t>
      </w:r>
      <w:r w:rsidR="001E41A9" w:rsidRPr="0020460F">
        <w:rPr>
          <w:rFonts w:hint="eastAsia"/>
          <w:highlight w:val="yellow"/>
        </w:rPr>
        <w:t xml:space="preserve">in </w:t>
      </w:r>
      <w:r w:rsidR="0020460F" w:rsidRPr="0020460F">
        <w:rPr>
          <w:rFonts w:hint="eastAsia"/>
          <w:highlight w:val="yellow"/>
        </w:rPr>
        <w:t>reactive c</w:t>
      </w:r>
      <w:r w:rsidR="001E41A9" w:rsidRPr="0020460F">
        <w:rPr>
          <w:rFonts w:hint="eastAsia"/>
          <w:highlight w:val="yellow"/>
        </w:rPr>
        <w:t>ampaigns</w:t>
      </w:r>
      <w:r w:rsidR="001E41A9">
        <w:rPr>
          <w:rFonts w:hint="eastAsia"/>
        </w:rPr>
        <w:t xml:space="preserve"> </w:t>
      </w:r>
      <w:r w:rsidR="007B6AC6" w:rsidRPr="00097432">
        <w:t xml:space="preserve">globally from the creation of the stockpile through 2020, based on the </w:t>
      </w:r>
      <w:r w:rsidR="0001799C" w:rsidRPr="0001799C">
        <w:rPr>
          <w:rFonts w:hint="eastAsia"/>
          <w:highlight w:val="yellow"/>
        </w:rPr>
        <w:t>Global Task Force on Cholera Control (</w:t>
      </w:r>
      <w:r w:rsidR="007B6AC6" w:rsidRPr="0001799C">
        <w:rPr>
          <w:highlight w:val="yellow"/>
        </w:rPr>
        <w:t>GTFCC</w:t>
      </w:r>
      <w:r w:rsidR="0001799C" w:rsidRPr="0001799C">
        <w:rPr>
          <w:rFonts w:hint="eastAsia"/>
          <w:highlight w:val="yellow"/>
        </w:rPr>
        <w:t>)</w:t>
      </w:r>
      <w:r w:rsidR="007B6AC6" w:rsidRPr="00097432">
        <w:t xml:space="preserve"> dashboard</w:t>
      </w:r>
      <w:r w:rsidR="007B6AC6" w:rsidRPr="00097432">
        <w:rPr>
          <w:rFonts w:hint="eastAsia"/>
        </w:rPr>
        <w:t>.</w:t>
      </w:r>
      <w:r w:rsidR="007B6AC6" w:rsidRPr="00097432">
        <w:fldChar w:fldCharType="begin"/>
      </w:r>
      <w:r w:rsidR="007B6AC6" w:rsidRPr="00097432">
        <w:instrText xml:space="preserve"> ADDIN ZOTERO_ITEM CSL_CITATION {"citationID":"sRbe03pR","properties":{"formattedCitation":"\\super 34\\nosupersub{}","plainCitation":"34","noteIndex":0},"citationItems":[{"id":15101,"uris":["http://zotero.org/users/7663102/items/TX7JU4AF"],"itemData":{"id":15101,"type":"webpage","title":"GTFCC OCV Dashboard","URL":"https://apps.epicentre-msf.org/public/app/gtfcc","accessed":{"date-parts":[["2024",11,7]]},"citation-key":"GTFCCOCVDashboard"}}],"schema":"https://github.com/citation-style-language/schema/raw/master/csl-citation.json"} </w:instrText>
      </w:r>
      <w:r w:rsidR="007B6AC6" w:rsidRPr="00097432">
        <w:fldChar w:fldCharType="separate"/>
      </w:r>
      <w:r w:rsidR="007B6AC6" w:rsidRPr="00097432">
        <w:rPr>
          <w:rFonts w:cs="Times New Roman"/>
          <w:vertAlign w:val="superscript"/>
        </w:rPr>
        <w:t>34</w:t>
      </w:r>
      <w:r w:rsidR="007B6AC6" w:rsidRPr="00097432">
        <w:fldChar w:fldCharType="end"/>
      </w:r>
      <w:r w:rsidR="007B6AC6" w:rsidRPr="00097432">
        <w:rPr>
          <w:rFonts w:hint="eastAsia"/>
        </w:rPr>
        <w:t xml:space="preserve"> </w:t>
      </w:r>
      <w:r w:rsidR="007B6AC6" w:rsidRPr="00097432">
        <w:t xml:space="preserve">Because this supply was insufficient to cover all outbreaks in the dataset, we simulated historical vaccine allocation by year. Specifically, for each year, we randomly sampled outbreaks (without replacement) that began in that year and assigned each enough vaccine to cover its target population, continuing this process until the annual number of doses deployed was matched. This sampling procedure was repeated for all years, and the entire process was iterated 200 times. For each iteration, we calculated the overall health impact by aggregating the effect across sampled outbreaks. </w:t>
      </w:r>
      <w:r w:rsidR="007B6AC6" w:rsidRPr="00097432">
        <w:lastRenderedPageBreak/>
        <w:t xml:space="preserve">These results were then summarized to estimate the </w:t>
      </w:r>
      <w:r w:rsidR="004647EB" w:rsidRPr="004647EB">
        <w:rPr>
          <w:rFonts w:hint="eastAsia"/>
          <w:highlight w:val="yellow"/>
        </w:rPr>
        <w:t>overall</w:t>
      </w:r>
      <w:r w:rsidR="007B6AC6" w:rsidRPr="004647EB">
        <w:rPr>
          <w:highlight w:val="yellow"/>
        </w:rPr>
        <w:t xml:space="preserve"> impact</w:t>
      </w:r>
      <w:r w:rsidR="007B6AC6" w:rsidRPr="00097432">
        <w:t xml:space="preserve"> of global OCV use through 2020</w:t>
      </w:r>
      <w:r w:rsidR="007B6AC6" w:rsidRPr="00097432">
        <w:rPr>
          <w:rFonts w:hint="eastAsia"/>
        </w:rPr>
        <w:t>.</w:t>
      </w:r>
    </w:p>
    <w:p w14:paraId="351F8BC9" w14:textId="77777777" w:rsidR="007B6AC6" w:rsidRPr="00097432" w:rsidRDefault="007B6AC6" w:rsidP="00F57F15"/>
    <w:p w14:paraId="650C961B" w14:textId="2100EE5B" w:rsidR="00573D44" w:rsidRPr="00097432" w:rsidRDefault="00926006" w:rsidP="00F57F15">
      <w:pPr>
        <w:rPr>
          <w:lang w:val="en-US"/>
        </w:rPr>
      </w:pPr>
      <w:r w:rsidRPr="00097432">
        <w:rPr>
          <w:rFonts w:hint="eastAsia"/>
        </w:rPr>
        <w:t>O</w:t>
      </w:r>
      <w:r w:rsidR="008F0DD3" w:rsidRPr="00097432">
        <w:rPr>
          <w:rFonts w:hint="eastAsia"/>
        </w:rPr>
        <w:t>ur</w:t>
      </w:r>
      <w:r w:rsidR="00F40085" w:rsidRPr="00097432">
        <w:rPr>
          <w:rFonts w:hint="eastAsia"/>
          <w:lang w:val="en-US"/>
        </w:rPr>
        <w:t xml:space="preserve"> </w:t>
      </w:r>
      <w:r w:rsidR="000F5F59" w:rsidRPr="00097432">
        <w:rPr>
          <w:lang w:val="en-US"/>
        </w:rPr>
        <w:t xml:space="preserve">modeling </w:t>
      </w:r>
      <w:r w:rsidR="002F33F3" w:rsidRPr="00097432">
        <w:rPr>
          <w:lang w:val="en-US"/>
        </w:rPr>
        <w:t>approach</w:t>
      </w:r>
      <w:r w:rsidR="000F5F59" w:rsidRPr="00097432">
        <w:rPr>
          <w:lang w:val="en-US"/>
        </w:rPr>
        <w:t xml:space="preserve"> </w:t>
      </w:r>
      <w:r w:rsidR="001F327A" w:rsidRPr="00097432">
        <w:rPr>
          <w:rFonts w:hint="eastAsia"/>
        </w:rPr>
        <w:t xml:space="preserve">focuses on the immediate impact of </w:t>
      </w:r>
      <w:r w:rsidR="00683CD6" w:rsidRPr="00097432">
        <w:t>ORI</w:t>
      </w:r>
      <w:r w:rsidR="001F327A" w:rsidRPr="00097432">
        <w:rPr>
          <w:rFonts w:hint="eastAsia"/>
        </w:rPr>
        <w:t xml:space="preserve"> during ongoing outbreaks and </w:t>
      </w:r>
      <w:r w:rsidR="008F5A35" w:rsidRPr="00097432">
        <w:rPr>
          <w:rFonts w:hint="eastAsia"/>
        </w:rPr>
        <w:t xml:space="preserve">does not account for </w:t>
      </w:r>
      <w:r w:rsidR="00683CD6" w:rsidRPr="00097432">
        <w:rPr>
          <w:rFonts w:hint="eastAsia"/>
        </w:rPr>
        <w:t>potential additional benefits</w:t>
      </w:r>
      <w:r w:rsidR="004A1600" w:rsidRPr="00097432">
        <w:rPr>
          <w:rFonts w:hint="eastAsia"/>
        </w:rPr>
        <w:t>,</w:t>
      </w:r>
      <w:r w:rsidR="004A1600" w:rsidRPr="00097432">
        <w:t xml:space="preserve"> such as the prevention of future outbreaks in the same population. </w:t>
      </w:r>
      <w:r w:rsidR="001F327A" w:rsidRPr="00097432">
        <w:rPr>
          <w:rFonts w:hint="eastAsia"/>
        </w:rPr>
        <w:t xml:space="preserve">This assumption reflects the </w:t>
      </w:r>
      <w:r w:rsidR="004A1600" w:rsidRPr="00097432">
        <w:rPr>
          <w:rFonts w:hint="eastAsia"/>
        </w:rPr>
        <w:t>l</w:t>
      </w:r>
      <w:r w:rsidR="004A1600" w:rsidRPr="00097432">
        <w:t>imited duration of population-level protection expected from single-dose campaigns</w:t>
      </w:r>
      <w:r w:rsidR="004A1600" w:rsidRPr="00097432">
        <w:rPr>
          <w:rFonts w:hint="eastAsia"/>
        </w:rPr>
        <w:t xml:space="preserve">, </w:t>
      </w:r>
      <w:r w:rsidR="001F327A" w:rsidRPr="00097432">
        <w:rPr>
          <w:rFonts w:hint="eastAsia"/>
        </w:rPr>
        <w:t>given the waning of immunity conferred by single-dose regimens</w:t>
      </w:r>
      <w:r w:rsidR="004A1600" w:rsidRPr="00097432">
        <w:rPr>
          <w:rFonts w:hint="eastAsia"/>
        </w:rPr>
        <w:t xml:space="preserve"> and</w:t>
      </w:r>
      <w:r w:rsidR="001F327A" w:rsidRPr="00097432">
        <w:rPr>
          <w:rFonts w:hint="eastAsia"/>
        </w:rPr>
        <w:t xml:space="preserve"> population mobility</w:t>
      </w:r>
      <w:r w:rsidR="00345AF1">
        <w:rPr>
          <w:rFonts w:hint="eastAsia"/>
        </w:rPr>
        <w:t>.</w:t>
      </w:r>
      <w:r w:rsidR="00345AF1">
        <w:fldChar w:fldCharType="begin"/>
      </w:r>
      <w:r w:rsidR="00345AF1">
        <w:instrText xml:space="preserve"> ADDIN ZOTERO_ITEM CSL_CITATION {"citationID":"zg76TUrS","properties":{"formattedCitation":"\\super 37\\nosupersub{}","plainCitation":"37","noteIndex":0},"citationItems":[{"id":9927,"uris":["http://zotero.org/users/7663102/items/VME6ZAW8"],"itemData":{"id":9927,"type":"article-journal","abstract":"Background Oral cholera vaccination is an approach to preventing outbreaks in at-risk settings and controlling cholera in endemic settings. However, vaccine-derived herd immunity may be short-lived due to interactions between human mobility and imperfect or waning vaccine efficacy. As the supply and utilization of oral cholera vaccines grows, critical questions related to herd immunity are emerging, including: who should be targeted; when should revaccination be performed; and why have cholera outbreaks occurred in recently vaccinated populations? Methods and findings We use mathematical models to simulate routine and mass oral cholera vaccination in populations with varying degrees of migration, transmission intensity, and vaccine coverage. We show that migration and waning vaccine efficacy strongly influence the duration of herd immunity while birth and death rates have relatively minimal impacts. As compared to either periodic mass vaccination or routine vaccination alone, a community could be protected longer by a blended “Mass and Maintain” strategy. We show that vaccination may be best targeted at populations with intermediate degrees of mobility as compared to communities with very high or very low population turnover. Using a case study of an internally displaced person camp in South Sudan which underwent high-coverage mass vaccination in 2014 and 2015, we show that waning vaccine direct effects and high population turnover rendered the camp over 80% susceptible at the time of the cholera outbreak beginning in October 2016. Conclusions Oral cholera vaccines can be powerful tools for quickly protecting a population for a period of time that depends critically on vaccine coverage, vaccine efficacy over time, and the rate of population turnover through human mobility. Due to waning herd immunity, epidemics in vaccinated communities are possible but become less likely through complementary interventions or data-driven revaccination strategies.","container-title":"PLOS Neglected Tropical Diseases","DOI":"10.1371/journal.pntd.0006257","ISSN":"1935-2735","issue":"2","journalAbbreviation":"PLOS Neglected Tropical Diseases","language":"en","note":"publisher: Public Library of Science","page":"e0006257","source":"PLoS Journals","title":"Prolonging herd immunity to cholera via vaccination: Accounting for human mobility and waning vaccine effects","title-short":"Prolonging herd immunity to cholera via vaccination","volume":"12","author":[{"family":"Peak","given":"Corey M."},{"family":"Reilly","given":"Amanda L."},{"family":"Azman","given":"Andrew S."},{"family":"Buckee","given":"Caroline O."}],"issued":{"date-parts":[["2018",2,28]]},"citation-key":"peakProlongingHerdImmunity2018a"}}],"schema":"https://github.com/citation-style-language/schema/raw/master/csl-citation.json"} </w:instrText>
      </w:r>
      <w:r w:rsidR="00345AF1">
        <w:fldChar w:fldCharType="separate"/>
      </w:r>
      <w:r w:rsidR="00345AF1" w:rsidRPr="00345AF1">
        <w:rPr>
          <w:rFonts w:cs="Times New Roman"/>
          <w:vertAlign w:val="superscript"/>
        </w:rPr>
        <w:t>37</w:t>
      </w:r>
      <w:r w:rsidR="00345AF1">
        <w:fldChar w:fldCharType="end"/>
      </w:r>
      <w:r w:rsidR="00573D44" w:rsidRPr="00097432">
        <w:rPr>
          <w:rFonts w:hint="eastAsia"/>
          <w:lang w:val="en-US"/>
        </w:rPr>
        <w:t xml:space="preserve"> </w:t>
      </w:r>
      <w:r w:rsidR="004A1600" w:rsidRPr="00097432">
        <w:rPr>
          <w:rFonts w:hint="eastAsia"/>
          <w:lang w:val="en-US"/>
        </w:rPr>
        <w:t>Moreover,</w:t>
      </w:r>
      <w:r w:rsidR="008F5A35" w:rsidRPr="00097432">
        <w:rPr>
          <w:rFonts w:hint="eastAsia"/>
          <w:lang w:val="en-US"/>
        </w:rPr>
        <w:t xml:space="preserve"> </w:t>
      </w:r>
      <w:r w:rsidR="004A1600" w:rsidRPr="00097432">
        <w:rPr>
          <w:rFonts w:hint="eastAsia"/>
          <w:lang w:val="en-US"/>
        </w:rPr>
        <w:t>we modeled</w:t>
      </w:r>
      <w:r w:rsidR="008F5A35" w:rsidRPr="00097432">
        <w:rPr>
          <w:rFonts w:hint="eastAsia"/>
        </w:rPr>
        <w:t xml:space="preserve"> each population independently</w:t>
      </w:r>
      <w:r w:rsidR="004A1600" w:rsidRPr="00097432">
        <w:rPr>
          <w:rFonts w:hint="eastAsia"/>
        </w:rPr>
        <w:t xml:space="preserve">, without considering </w:t>
      </w:r>
      <w:r w:rsidR="008F5A35" w:rsidRPr="00097432">
        <w:rPr>
          <w:rFonts w:hint="eastAsia"/>
        </w:rPr>
        <w:t xml:space="preserve">potential cross-population effects </w:t>
      </w:r>
      <w:r w:rsidR="008F5A35" w:rsidRPr="00097432">
        <w:t>from outbreaks or vaccination campaigns</w:t>
      </w:r>
      <w:r w:rsidR="008F5A35" w:rsidRPr="00097432">
        <w:rPr>
          <w:rFonts w:hint="eastAsia"/>
        </w:rPr>
        <w:t xml:space="preserve">. </w:t>
      </w:r>
      <w:r w:rsidR="004A1600" w:rsidRPr="00097432">
        <w:t>All code and datasets used in the analysis</w:t>
      </w:r>
      <w:r w:rsidR="004A1600" w:rsidRPr="00097432">
        <w:rPr>
          <w:lang w:val="en-US"/>
        </w:rPr>
        <w:t xml:space="preserve"> </w:t>
      </w:r>
      <w:r w:rsidR="004A1600" w:rsidRPr="00097432">
        <w:rPr>
          <w:rFonts w:hint="eastAsia"/>
          <w:lang w:val="en-US"/>
        </w:rPr>
        <w:t xml:space="preserve">are publicly available </w:t>
      </w:r>
      <w:r w:rsidR="003D2B3E" w:rsidRPr="00097432">
        <w:rPr>
          <w:lang w:val="en-US"/>
        </w:rPr>
        <w:t xml:space="preserve">in a </w:t>
      </w:r>
      <w:r w:rsidR="00573D44" w:rsidRPr="00097432">
        <w:rPr>
          <w:lang w:val="en-US"/>
        </w:rPr>
        <w:t>GitHub repository.</w:t>
      </w:r>
      <w:r w:rsidR="00573D44" w:rsidRPr="00097432">
        <w:rPr>
          <w:lang w:val="en-US"/>
        </w:rPr>
        <w:fldChar w:fldCharType="begin"/>
      </w:r>
      <w:r w:rsidR="00345AF1">
        <w:rPr>
          <w:lang w:val="en-US"/>
        </w:rPr>
        <w:instrText xml:space="preserve"> ADDIN ZOTERO_ITEM CSL_CITATION {"citationID":"oEswjDVR","properties":{"formattedCitation":"\\super 38\\nosupersub{}","plainCitation":"38","noteIndex":0},"citationItems":[{"id":15236,"uris":["http://zotero.org/users/7663102/items/45PHHFTZ"],"itemData":{"id":15236,"type":"software","title":"cholera-outbreak-vaccine-impact-modeling","URL":"https://github.com/kimfinale/cholera-outbreak-vaccine-impact-modeling","author":[{"family":"Kim","given":"Jong-Hoon"}],"issued":{"date-parts":[["2024"]]},"citation-key":"kimCholeraoutbreakvaccineimpactmodeling2024"}}],"schema":"https://github.com/citation-style-language/schema/raw/master/csl-citation.json"} </w:instrText>
      </w:r>
      <w:r w:rsidR="00573D44" w:rsidRPr="00097432">
        <w:rPr>
          <w:lang w:val="en-US"/>
        </w:rPr>
        <w:fldChar w:fldCharType="separate"/>
      </w:r>
      <w:r w:rsidR="00345AF1" w:rsidRPr="00345AF1">
        <w:rPr>
          <w:rFonts w:cs="Times New Roman"/>
          <w:vertAlign w:val="superscript"/>
        </w:rPr>
        <w:t>38</w:t>
      </w:r>
      <w:r w:rsidR="00573D44" w:rsidRPr="00097432">
        <w:rPr>
          <w:lang w:val="en-US"/>
        </w:rPr>
        <w:fldChar w:fldCharType="end"/>
      </w:r>
    </w:p>
    <w:bookmarkEnd w:id="13"/>
    <w:p w14:paraId="028E450E" w14:textId="77777777" w:rsidR="00A137EB" w:rsidRPr="00097432" w:rsidRDefault="00A137EB" w:rsidP="00F57F15">
      <w:pPr>
        <w:rPr>
          <w:lang w:val="en-US"/>
        </w:rPr>
      </w:pPr>
    </w:p>
    <w:p w14:paraId="2708E5A8" w14:textId="31DF5630" w:rsidR="002A5036" w:rsidRPr="00097432" w:rsidRDefault="002A5036" w:rsidP="00F57F15">
      <w:r w:rsidRPr="00097432">
        <w:rPr>
          <w:b/>
        </w:rPr>
        <w:t>Table 1</w:t>
      </w:r>
      <w:r w:rsidRPr="00097432">
        <w:t>. Model parameters.</w:t>
      </w:r>
    </w:p>
    <w:tbl>
      <w:tblPr>
        <w:tblW w:w="955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70"/>
        <w:gridCol w:w="3780"/>
        <w:gridCol w:w="1105"/>
      </w:tblGrid>
      <w:tr w:rsidR="00156EEE" w:rsidRPr="00097432" w14:paraId="75729607" w14:textId="77777777" w:rsidTr="00F31227">
        <w:trPr>
          <w:trHeight w:val="141"/>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1CE7D185" w14:textId="61C324BE" w:rsidR="00156EEE" w:rsidRPr="00097432" w:rsidRDefault="00156EEE" w:rsidP="002914FA">
            <w:pPr>
              <w:spacing w:line="240" w:lineRule="auto"/>
            </w:pPr>
            <w:r w:rsidRPr="00097432">
              <w:t>Description</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045D97DD" w14:textId="77777777" w:rsidR="00156EEE" w:rsidRPr="00097432" w:rsidRDefault="00156EEE" w:rsidP="002914FA">
            <w:pPr>
              <w:spacing w:line="240" w:lineRule="auto"/>
            </w:pPr>
            <w:r w:rsidRPr="00097432">
              <w:t>Values</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1597A3C6" w14:textId="77777777" w:rsidR="00156EEE" w:rsidRPr="00097432" w:rsidRDefault="00156EEE" w:rsidP="002914FA">
            <w:pPr>
              <w:spacing w:line="240" w:lineRule="auto"/>
            </w:pPr>
            <w:r w:rsidRPr="00097432">
              <w:t>Source</w:t>
            </w:r>
          </w:p>
        </w:tc>
      </w:tr>
      <w:tr w:rsidR="002A5036" w:rsidRPr="00097432" w14:paraId="3E0F5B27" w14:textId="77777777" w:rsidTr="00156EEE">
        <w:trPr>
          <w:trHeight w:val="231"/>
        </w:trPr>
        <w:tc>
          <w:tcPr>
            <w:tcW w:w="9555" w:type="dxa"/>
            <w:gridSpan w:val="3"/>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47F28619" w14:textId="5519F8A3" w:rsidR="002A5036" w:rsidRPr="00097432" w:rsidRDefault="009E0F60" w:rsidP="002914FA">
            <w:pPr>
              <w:spacing w:line="240" w:lineRule="auto"/>
              <w:rPr>
                <w:rFonts w:eastAsia="Aptos"/>
                <w:i/>
                <w:iCs/>
              </w:rPr>
            </w:pPr>
            <w:r w:rsidRPr="00097432">
              <w:rPr>
                <w:i/>
                <w:iCs/>
              </w:rPr>
              <w:t>Parameter</w:t>
            </w:r>
            <w:r w:rsidR="004870F7" w:rsidRPr="00097432">
              <w:rPr>
                <w:i/>
                <w:iCs/>
              </w:rPr>
              <w:t>s</w:t>
            </w:r>
            <w:r w:rsidRPr="00097432">
              <w:rPr>
                <w:i/>
                <w:iCs/>
              </w:rPr>
              <w:t xml:space="preserve"> varied</w:t>
            </w:r>
          </w:p>
        </w:tc>
      </w:tr>
      <w:tr w:rsidR="000218B3" w:rsidRPr="00097432" w14:paraId="741EE81E" w14:textId="77777777" w:rsidTr="00F31227">
        <w:trPr>
          <w:trHeight w:val="735"/>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2B8726A7" w14:textId="7C8E74AB" w:rsidR="000218B3" w:rsidRPr="00097432" w:rsidRDefault="000218B3" w:rsidP="002914FA">
            <w:pPr>
              <w:spacing w:line="240" w:lineRule="auto"/>
            </w:pPr>
            <w:r w:rsidRPr="00097432">
              <w:t>Direct v</w:t>
            </w:r>
            <w:r w:rsidRPr="00097432">
              <w:rPr>
                <w:rFonts w:eastAsia="Aptos"/>
              </w:rPr>
              <w:t>accine eff</w:t>
            </w:r>
            <w:r w:rsidR="00412CDE" w:rsidRPr="00097432">
              <w:rPr>
                <w:rFonts w:hint="eastAsia"/>
              </w:rPr>
              <w:t>ectiveness</w:t>
            </w:r>
            <w:r w:rsidRPr="00097432">
              <w:t xml:space="preserve"> by one dose of OCV for the &lt; 5 yo and 5+ yo,</w:t>
            </w:r>
            <w:r w:rsidR="00D71B88" w:rsidRPr="00097432">
              <w:rPr>
                <w:rFonts w:hint="eastAsia"/>
              </w:rPr>
              <w:t xml:space="preserve"> </w:t>
            </w:r>
            <w:r w:rsidRPr="00097432">
              <w:t>respectively.</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7AE29507" w14:textId="6C8E02A5" w:rsidR="000218B3" w:rsidRPr="00097432" w:rsidRDefault="000218B3" w:rsidP="002914FA">
            <w:pPr>
              <w:spacing w:line="240" w:lineRule="auto"/>
              <w:rPr>
                <w:lang w:val="it-CH"/>
              </w:rPr>
            </w:pPr>
            <w:r w:rsidRPr="00097432">
              <w:rPr>
                <w:lang w:val="it-CH"/>
              </w:rPr>
              <w:t xml:space="preserve">30% </w:t>
            </w:r>
            <w:r w:rsidR="009E0F60" w:rsidRPr="00097432">
              <w:rPr>
                <w:lang w:val="it-CH"/>
              </w:rPr>
              <w:t xml:space="preserve">[95% CI: 15%, 42%] </w:t>
            </w:r>
            <w:r w:rsidRPr="00097432">
              <w:rPr>
                <w:lang w:val="it-CH"/>
              </w:rPr>
              <w:t xml:space="preserve">(&lt; 5 yo) and 64% </w:t>
            </w:r>
            <w:r w:rsidR="009E0F60" w:rsidRPr="00097432">
              <w:rPr>
                <w:lang w:val="it-CH"/>
              </w:rPr>
              <w:t xml:space="preserve">[95% CI: 58%, 70%] </w:t>
            </w:r>
            <w:r w:rsidRPr="00097432">
              <w:rPr>
                <w:lang w:val="it-CH"/>
              </w:rPr>
              <w:t>(5+ yo)</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617C2EDE" w14:textId="207F6D93" w:rsidR="000218B3" w:rsidRPr="00097432" w:rsidRDefault="00095C04" w:rsidP="002914FA">
            <w:pPr>
              <w:spacing w:line="240" w:lineRule="auto"/>
              <w:rPr>
                <w:rFonts w:eastAsia="Aptos"/>
              </w:rPr>
            </w:pPr>
            <w:r w:rsidRPr="00097432">
              <w:fldChar w:fldCharType="begin"/>
            </w:r>
            <w:r w:rsidR="000B5A14" w:rsidRPr="00097432">
              <w:instrText xml:space="preserve"> ADDIN ZOTERO_ITEM CSL_CITATION {"citationID":"MfwbXI3Q","properties":{"formattedCitation":"\\super 28\\nosupersub{}","plainCitation":"28","noteIndex":0},"citationItems":[{"id":9742,"uris":["http://zotero.org/users/7663102/items/DFCIX2GR"],"itemData":{"id":9742,"type":"article-journal","container-title":"The Lancet Infectious Diseases","DOI":"10.1016/S1473-3099(17)30359-6","ISSN":"1473-3099, 1474-4457","issue":"10","journalAbbreviation":"Lancet Inf Dis","language":"English","note":"publisher: Elsevier\nPMID: 28729167","page":"1080-1088","source":"www.thelancet.com","title":"Protection against cholera from killed whole-cell oral cholera vaccines: a systematic review and meta-analysis","title-short":"Protection against cholera from killed whole-cell oral cholera vaccines","volume":"17","author":[{"family":"Bi","given":"Qifang"},{"family":"Ferreras","given":"Eva"},{"family":"Pezzoli","given":"Lorenzo"},{"family":"Legros","given":"Dominique"},{"family":"Ivers","given":"Louise C."},{"family":"Date","given":"Kashmira"},{"family":"Qadri","given":"Firdausi"},{"family":"Digilio","given":"Laura"},{"family":"Sack","given":"David A."},{"family":"Ali","given":"Mohammad"},{"family":"Lessler","given":"Justin"},{"family":"Luquero","given":"Francisco J."},{"family":"Azman","given":"Andrew S."},{"family":"Cavailler","given":"Philippe"},{"family":"Date","given":"Kashmira"},{"family":"Sreenivasan","given":"Nandini"},{"family":"Matzger","given":"Helen"},{"family":"Luquero","given":"Francisco"},{"family":"Grais","given":"Rebecca"},{"family":"Wiesner","given":"Lale"},{"family":"Ko","given":"Melissa"},{"family":"Rouzier","given":"Vanessa"},{"family":"Peak","given":"Corey"},{"family":"Qadri","given":"Firdausi"},{"family":"Landegger","given":"Justine"},{"family":"Lynch","given":"Julia"},{"family":"Azman","given":"Andrew"},{"family":"Sack","given":"David"},{"family":"Henkens","given":"Myriam"},{"family":"Ciglenecki","given":"Iza"},{"family":"Ivers","given":"Louise"},{"family":"Diggle","given":"Emma"},{"family":"Weiss","given":"Mitchell"},{"family":"Hinman","given":"Alan"},{"family":"Maina","given":"Kahindo"},{"family":"Mirza","given":"Imran"},{"family":"Gimeno","given":"Guillermo"},{"family":"Levine","given":"Myron"}],"issued":{"date-parts":[["2017",10,1]]},"citation-key":"biProtectionCholeraKilled2017"}}],"schema":"https://github.com/citation-style-language/schema/raw/master/csl-citation.json"} </w:instrText>
            </w:r>
            <w:r w:rsidRPr="00097432">
              <w:fldChar w:fldCharType="separate"/>
            </w:r>
            <w:r w:rsidR="0016770F" w:rsidRPr="00097432">
              <w:rPr>
                <w:rFonts w:cs="Times New Roman"/>
                <w:vertAlign w:val="superscript"/>
              </w:rPr>
              <w:t>28</w:t>
            </w:r>
            <w:r w:rsidRPr="00097432">
              <w:fldChar w:fldCharType="end"/>
            </w:r>
          </w:p>
        </w:tc>
      </w:tr>
      <w:tr w:rsidR="009E0F60" w:rsidRPr="00097432" w14:paraId="727DBC2A" w14:textId="77777777" w:rsidTr="00F31227">
        <w:trPr>
          <w:trHeight w:val="303"/>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37783895" w14:textId="3BC05A62" w:rsidR="009E0F60" w:rsidRPr="00097432" w:rsidRDefault="009E0F60" w:rsidP="002914FA">
            <w:pPr>
              <w:spacing w:line="240" w:lineRule="auto"/>
            </w:pPr>
            <w:r w:rsidRPr="00097432">
              <w:t>Campaign duration</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1A1F8226" w14:textId="4D8BFD02" w:rsidR="009E0F60" w:rsidRPr="00097432" w:rsidRDefault="009E0F60" w:rsidP="002914FA">
            <w:pPr>
              <w:spacing w:line="240" w:lineRule="auto"/>
            </w:pPr>
            <w:r w:rsidRPr="00097432">
              <w:t>5 [range: 3-14] days</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45D0B35C" w14:textId="230086BC" w:rsidR="009E0F60" w:rsidRPr="00097432" w:rsidRDefault="009E0F60" w:rsidP="002914FA">
            <w:pPr>
              <w:spacing w:line="240" w:lineRule="auto"/>
            </w:pPr>
            <w:r w:rsidRPr="00097432">
              <w:fldChar w:fldCharType="begin"/>
            </w:r>
            <w:r w:rsidR="00345AF1">
              <w:instrText xml:space="preserve"> ADDIN ZOTERO_ITEM CSL_CITATION {"citationID":"8Wjg9rtk","properties":{"formattedCitation":"\\super 31\\nosupersub{}","plainCitation":"31","noteIndex":0},"citationItems":[{"id":"EgwuGF5k/Z2CCv85Z","uris":["http://zotero.org/users/local/xDVOxgbN/items/5UAYTNFT"],"itemData":{"id":132,"type":"article-journal","abstract":"Vaccination is a key intervention to prevent and control cholera in conjunction with water, sanitation and hygiene activities. An oral cholera vaccine (OCV) stockpile was established by the World Health Organization (WHO) in 2013. We reviewed its use from July 2013 to all of 2018 in order to assess its role in cholera control. We computed information related to OCV deployments and campaigns conducted including setting, target population, timelines, delivery strategy, reported adverse events, coverage achieved, and costs. In 2013-2018, a total of 83,509,941 OCV doses have been requested by 24 countries, of which 55,409,160 were approved and 36,066,010 eventually shipped in 83 deployments, resulting in 104 vaccination campaigns in 22 countries. OCVs had in general high uptake (mean administrative coverage 1st dose campaign at 90.3%; 2nd dose campaign at 88.2%; mean survey-estimated two-dose coverage at 69.9%, at least one dose at 84.6%) No serious adverse events were reported. Campaigns were organized quickly (five days median duration). In emergency settings, the longest delay was from the occurrence of the emergency to requesting OCV (median: 26</w:instrText>
            </w:r>
            <w:r w:rsidR="00345AF1">
              <w:rPr>
                <w:rFonts w:ascii="Arial" w:hAnsi="Arial"/>
              </w:rPr>
              <w:instrText> </w:instrText>
            </w:r>
            <w:r w:rsidR="00345AF1">
              <w:instrText xml:space="preserve">days). The mean cost of administering one dose of vaccine was 2.98 USD. The OCV stockpile is an important public health resource. OCVs were generally well accepted by the population and their use demonstrated to be safe and feasible in all settings. OCV was an inexpensive intervention, although timing was a limiting factor for emergency use. The dynamic created by the establishment of the OCV stockpile has played a role in the increased use of the vaccine by setting in motion a virtuous cycle by which better monitoring and evaluation leads to better campaign organization, better cholera control, and more requests being generated. Further work is needed to improve timeliness of response and contextualize strategies for OCV delivery in the various settings.","container-title":"Vaccine","DOI":"10.1016/j.vaccine.2019.08.086","ISSN":"1873-2518","issue":"Suppl 1","journalAbbreviation":"Vaccine","language":"eng","note":"PMID: 31519444\nPMCID: PMC10967685","page":"A132-A140","source":"PubMed","title":"Global oral cholera vaccine use, 2013-2018","volume":"38 Suppl 1","author":[{"family":"Pezzoli","given":"Lorenzo"},{"literal":"Oral Cholera Vaccine Working Group of the Global Task Force on Cholera Control"}],"issued":{"date-parts":[["2020",2,29]]}}}],"schema":"https://github.com/citation-style-language/schema/raw/master/csl-citation.json"} </w:instrText>
            </w:r>
            <w:r w:rsidRPr="00097432">
              <w:fldChar w:fldCharType="separate"/>
            </w:r>
            <w:r w:rsidR="00900C32" w:rsidRPr="00097432">
              <w:rPr>
                <w:rFonts w:cs="Times New Roman"/>
                <w:vertAlign w:val="superscript"/>
              </w:rPr>
              <w:t>31</w:t>
            </w:r>
            <w:r w:rsidRPr="00097432">
              <w:fldChar w:fldCharType="end"/>
            </w:r>
          </w:p>
        </w:tc>
      </w:tr>
      <w:tr w:rsidR="009E0F60" w:rsidRPr="00097432" w14:paraId="4490F237" w14:textId="77777777" w:rsidTr="00F31227">
        <w:trPr>
          <w:trHeight w:val="708"/>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1B3D0B60" w14:textId="721572E2" w:rsidR="009E0F60" w:rsidRPr="00097432" w:rsidRDefault="009E0F60" w:rsidP="002914FA">
            <w:pPr>
              <w:snapToGrid w:val="0"/>
              <w:spacing w:line="240" w:lineRule="auto"/>
            </w:pPr>
            <w:r w:rsidRPr="00097432">
              <w:t xml:space="preserve">Indirect vaccine </w:t>
            </w:r>
            <w:r w:rsidR="00412CDE" w:rsidRPr="00097432">
              <w:t>effectiveness</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0FEA1F2B" w14:textId="74ED0BE3" w:rsidR="009E0F60" w:rsidRPr="00097432" w:rsidRDefault="009E0F60" w:rsidP="002914FA">
            <w:pPr>
              <w:snapToGrid w:val="0"/>
              <w:spacing w:line="240" w:lineRule="auto"/>
            </w:pPr>
            <w:r w:rsidRPr="00097432">
              <w:t>7</w:t>
            </w:r>
            <w:r w:rsidR="00DC360A">
              <w:rPr>
                <w:rFonts w:hint="eastAsia"/>
              </w:rPr>
              <w:t>7.</w:t>
            </w:r>
            <w:r w:rsidRPr="00097432">
              <w:t>9% [</w:t>
            </w:r>
            <w:r w:rsidR="00124F65" w:rsidRPr="00097432">
              <w:rPr>
                <w:rFonts w:hint="eastAsia"/>
              </w:rPr>
              <w:t>95% CrI:</w:t>
            </w:r>
            <w:r w:rsidR="00DC360A">
              <w:rPr>
                <w:rFonts w:hint="eastAsia"/>
              </w:rPr>
              <w:t xml:space="preserve"> 54.5</w:t>
            </w:r>
            <w:r w:rsidRPr="00097432">
              <w:t xml:space="preserve"> – 9</w:t>
            </w:r>
            <w:r w:rsidR="00DC360A">
              <w:rPr>
                <w:rFonts w:hint="eastAsia"/>
              </w:rPr>
              <w:t>1</w:t>
            </w:r>
            <w:r w:rsidRPr="00097432">
              <w:t>] and 9</w:t>
            </w:r>
            <w:r w:rsidR="00DC360A">
              <w:rPr>
                <w:rFonts w:hint="eastAsia"/>
              </w:rPr>
              <w:t>5</w:t>
            </w:r>
            <w:r w:rsidRPr="00097432">
              <w:t>% [</w:t>
            </w:r>
            <w:r w:rsidR="00124F65" w:rsidRPr="00097432">
              <w:rPr>
                <w:rFonts w:hint="eastAsia"/>
              </w:rPr>
              <w:t xml:space="preserve">95% CrI: </w:t>
            </w:r>
            <w:r w:rsidR="00DC360A">
              <w:rPr>
                <w:rFonts w:hint="eastAsia"/>
              </w:rPr>
              <w:t xml:space="preserve">58.4 </w:t>
            </w:r>
            <w:r w:rsidR="00DC360A">
              <w:t>–</w:t>
            </w:r>
            <w:r w:rsidR="00DC360A">
              <w:rPr>
                <w:rFonts w:hint="eastAsia"/>
              </w:rPr>
              <w:t xml:space="preserve"> 99.6</w:t>
            </w:r>
            <w:r w:rsidRPr="00097432">
              <w:t>] at 60% and 90% vaccine coverage</w:t>
            </w:r>
            <w:r w:rsidR="00274651" w:rsidRPr="00097432">
              <w:t>s</w:t>
            </w:r>
            <w:r w:rsidRPr="00097432">
              <w:t xml:space="preserve">, respectively. (Supplementary Information </w:t>
            </w:r>
            <w:r w:rsidRPr="00097432">
              <w:rPr>
                <w:b/>
                <w:bCs/>
              </w:rPr>
              <w:t>S</w:t>
            </w:r>
            <w:r w:rsidR="00F57AD3" w:rsidRPr="00097432">
              <w:rPr>
                <w:b/>
                <w:bCs/>
              </w:rPr>
              <w:t>3</w:t>
            </w:r>
            <w:r w:rsidR="00A80FF7" w:rsidRPr="00A80FF7">
              <w:rPr>
                <w:rFonts w:hint="eastAsia"/>
              </w:rPr>
              <w:t xml:space="preserve"> and </w:t>
            </w:r>
            <w:r w:rsidR="00A80FF7">
              <w:rPr>
                <w:rFonts w:hint="eastAsia"/>
                <w:b/>
                <w:bCs/>
              </w:rPr>
              <w:t>Figure S1</w:t>
            </w:r>
            <w:r w:rsidRPr="00097432">
              <w:t>)</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23BA7E6D" w14:textId="77777777" w:rsidR="009E0F60" w:rsidRPr="00097432" w:rsidRDefault="009E0F60" w:rsidP="002914FA">
            <w:pPr>
              <w:snapToGrid w:val="0"/>
              <w:spacing w:line="240" w:lineRule="auto"/>
            </w:pPr>
          </w:p>
        </w:tc>
      </w:tr>
      <w:tr w:rsidR="009E0F60" w:rsidRPr="00097432" w14:paraId="677A7BAA" w14:textId="77777777" w:rsidTr="00F31227">
        <w:trPr>
          <w:trHeight w:val="474"/>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28ABD2A9" w14:textId="647DF3DA" w:rsidR="009E0F60" w:rsidRPr="00097432" w:rsidRDefault="009E0F60" w:rsidP="002914FA">
            <w:pPr>
              <w:spacing w:line="240" w:lineRule="auto"/>
            </w:pPr>
            <w:r w:rsidRPr="00097432">
              <w:t>Delay in vaccine-derived protection</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31A6152B" w14:textId="77777777" w:rsidR="009E0F60" w:rsidRPr="00097432" w:rsidRDefault="009E0F60" w:rsidP="002914FA">
            <w:pPr>
              <w:spacing w:line="240" w:lineRule="auto"/>
            </w:pPr>
            <w:r w:rsidRPr="00097432">
              <w:t>10.5 [range: 3, 21] days</w:t>
            </w:r>
          </w:p>
          <w:p w14:paraId="62BD6E8A" w14:textId="27C4F7D3" w:rsidR="00095C04" w:rsidRPr="00097432" w:rsidRDefault="00095C04" w:rsidP="002914FA">
            <w:pPr>
              <w:spacing w:line="240" w:lineRule="auto"/>
            </w:pPr>
            <w:r w:rsidRPr="00097432">
              <w:t xml:space="preserve">(Supplementary </w:t>
            </w:r>
            <w:r w:rsidR="003632A2" w:rsidRPr="00097432">
              <w:t>Information</w:t>
            </w:r>
            <w:r w:rsidRPr="00097432">
              <w:t xml:space="preserve"> </w:t>
            </w:r>
            <w:r w:rsidRPr="00097432">
              <w:rPr>
                <w:b/>
                <w:bCs/>
              </w:rPr>
              <w:t>S</w:t>
            </w:r>
            <w:r w:rsidR="00D00F48" w:rsidRPr="00097432">
              <w:rPr>
                <w:rFonts w:hint="eastAsia"/>
                <w:b/>
                <w:bCs/>
              </w:rPr>
              <w:t>4</w:t>
            </w:r>
            <w:r w:rsidRPr="00097432">
              <w:t>)</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18469979" w14:textId="0F39DC1C" w:rsidR="009E0F60" w:rsidRPr="00097432" w:rsidRDefault="00095C04" w:rsidP="002914FA">
            <w:pPr>
              <w:spacing w:line="240" w:lineRule="auto"/>
            </w:pPr>
            <w:r w:rsidRPr="00097432">
              <w:fldChar w:fldCharType="begin"/>
            </w:r>
            <w:r w:rsidR="00345AF1">
              <w:instrText xml:space="preserve"> ADDIN ZOTERO_ITEM CSL_CITATION {"citationID":"LdGf3KKL","properties":{"formattedCitation":"\\super 39\\uc0\\u8211{}47\\nosupersub{}","plainCitation":"39–47","noteIndex":0},"citationItems":[{"id":"EgwuGF5k/UPDcwlHQ","uris":["http://zotero.org/users/local/xDVOxgbN/items/VMBJ3ILL"],"itemData":{"id":4,"type":"article-journal","abstract":"INTRODUCTION: In cholera endemic areas, the periodicity of cholera outbreaks remains unpredictable, making it difficult to organize preventive efforts. Lack of data on duration of protection conferred by oral cholera vaccines further makes it difficult to determine when to deploy preemptive vaccination. We report on the immunogenicity and waning of immunity to Shanchol™ in Lukanga Swamps.\nMETHODS: We enrolled a cohort of 223 participants aged between 18 and 65 years old from whom serum samples were collected at baseline, day 28 before administration of the second dose, and consecutively at 6, 12, 24, 30, 36, and 48 months. Vibriocidal antibody titres were measured and expressed as geometric mean titres. Box plots and 95% CI were computed at each visit for both Inaba and Ogawa. Seroconversion was defined as a four fold or greater increase in antibody titres compared to baseline titres.\nRESULTS: Overall, seroconversion again</w:instrText>
            </w:r>
            <w:r w:rsidR="00345AF1">
              <w:rPr>
                <w:rFonts w:hint="eastAsia"/>
              </w:rPr>
              <w:instrText xml:space="preserve">st V. cholerae Inaba and Ogawa after 1st dose was 35/134 (26%) and 34/134 (25%) respectively. We observed a statistical difference in seroconversion between the two subgroups of baseline titres (low &lt;80 and high </w:instrText>
            </w:r>
            <w:r w:rsidR="00345AF1">
              <w:rPr>
                <w:rFonts w:hint="eastAsia"/>
              </w:rPr>
              <w:instrText>≥</w:instrText>
            </w:r>
            <w:r w:rsidR="00345AF1">
              <w:rPr>
                <w:rFonts w:hint="eastAsia"/>
              </w:rPr>
              <w:instrText>80) for both Inaba (p = 0.02) and Ogawa (p</w:instrText>
            </w:r>
            <w:r w:rsidR="00345AF1">
              <w:instrText>&lt;0.0001). From a baseline of 13.58, anti-Ogawa GMT increased to 21.95 after the first dose, but rapidly waned to 14.52, 13.13, and 12.78 at months 6, 12 and 24 respectively, and then increased to 13.21, 18.67 and 23.65 at months 30, 36 and 48 respectively. A similar trend was observed for anti-Inaba GMT across the same time points.\nCONCLUSION: We found that Shanchol™ was immunogenic in our study population and that vibriocidal antibodies may not be a good marker for long-term immunity. The observed rise in titres after 36 months suggests natural exposure, and this may be a critical time window opening for natural transmission in an endemic areas. We recommend re-vaccination at this time point in high risk areas.","container-title":"PloS One","DOI":"10.1371/journal.pone.0262239","ISSN":"1932-6203","issue":"1","journalAbbreviation":"PLoS One","language":"eng","note":"PMID: 34986195\nPMCID: PMC8730422","page":"e0262239","source":"PubMed","title":"Immunogenicity and waning immunity from the oral cholera vaccine (Shanchol™) in adults residing in Lukanga Swamps of Zambia","volume":"17","author":[{"family":"Ng Ombe","given":"Harriet"},{"family":"Simuyandi","given":"Michelo"},{"family":"Mwaba","given":"John"},{"family":"Luchen","given":"Charlie Chaluma"},{"family":"Alabi","given":"Peter"},{"family":"Chilyabanyama","given":"Obvious Nchimunya"},{"family":"Mubanga","given":"Cynthia"},{"family":"Hatyoka","given":"Luiza Miyanda"},{"family":"Muchimba","given":"Mutinta"},{"family":"Bosomprah","given":"Samuel"},{"family":"Chilengi","given":"Roma"},{"family":"Kwenda","given":"Geoffrey"},{"family":"Chisenga","given":"Caroline Cleopatra"}],"issued":{"date-parts":[["2022"]]}}},{"id":"EgwuGF5k/3pLpL7PN","uris":["http://zotero.org/users/local/xDVOxgbN/items/3XUCD5LV"],"itemData":{"id":7,"type":"article-journal","abstract":"Immune responses after one and two doses of the reformulated killed oral cholera vaccine were measured in a double-blind, randomized, placebo-controlled trial of 77 adults aged 18-40 years and 77 children aged 1-17 years residing in Kolkata, India. 65% of adults and 87% of children and 46% of adults and 82% of children exhibited a &gt; or =4-fold rise in serum Vibrio cholerae O1 vibriocidal antibody titers from baseline following dose 1 and 2, respectively. Responses to V. cholerae O139 were less pronounced but followed a similar pattern. We demonstrate that in a cholera-endemic area, the vaccine elicited vibriocidal responses after a single-dose of the vaccine.","container-title":"Vaccine","DOI":"10.1016/j.vaccine.2009.09.008","ISSN":"1873-2518","issue":"49","journalAbbreviation":"Vaccine","language":"eng","note":"PMID: 19761838","page":"6887-6893","source":"PubMed","title":"Immune responses following one and two doses of the reformulated, bivalent, killed, whole-cell, oral cholera vaccine among adults and children in Kolkata, India: a randomized, placebo-controlled trial","title-short":"Immune responses following one and two doses of the reformulated, bivalent, killed, whole-cell, oral cholera vaccine among adults and children in Kolkata, India","volume":"27","author":[{"family":"Kanungo","given":"Suman"},{"family":"Paisley","given":"Allison"},{"family":"Lopez","given":"Anna Lena"},{"family":"Bhattacharya","given":"Mihir"},{"family":"Manna","given":"Byomkesh"},{"family":"Kim","given":"Deok Ryun"},{"family":"Han","given":"Seung Hyun"},{"family":"Attridge","given":"Stephen"},{"family":"Carbis","given":"Rodney"},{"family":"Rao","given":"Raman"},{"family":"Holmgren","given":"Jan"},{"family":"Clemens","given":"John D."},{"family":"Sur","given":"Dipika"}],"issued":{"date-parts":[["2009",11,16]]}}},{"id":"EgwuGF5k/qcwvtkC1","uris":["http://zotero.org/users/local/xDVOxgbN/items/PQEELNWL"],"itemData":{"id":17,"type":"article-journal","abstract":"After the large influx of Rohingya nationals (termed Forcibly Displaced Myanmar National; FDMN) from Rakhine State of Myanmar to Cox's Bazar in Bangladesh, it was apparent that outbreaks of cholera was very likely in this setting where people were living under adverse water and sanitation conditions. Large campaigns of oral cholera vaccine (OCV) were carried out as a preemptive measure to control cholera epidemics. The aim of the study was to evaluate the immune responses of healthy adults and children after administration of two doses of OCV at 14 days interval in FDMN population and compare with the response observed in Bangladeshi's vaccinated earlier. A cross-sectional immunogenicity study was conducted among FDMNs of three age cohort; in adults (18+years; n = 83), in older children (6-17 years; n = 63) and in younger children (1-5 years; n = 80). Capillary blood was collected at three time points to measure vibriocidal antibodies using either plasma or dried blood spot (DBS) specimens. There was a significant increase of responder frequency of vibriocidal antibody titer at day 14 in all groups for Vibrio cholerae O1 (Ogawa/Inaba: adults-64%/64%, older children-70%/89% and younger children-51%/75%). There was no overall difference of vibriocidal antibody titer between FDMN and Bangladeshi population at baseline (p = 0.07-0.08) and at day 14, day 28 in all age groups for both serotypes. The seroconversion rate and geometric mean titer (GMT) of either serotype were comparable using both plasma and DBS specimens. These results showed that OCV is capable of inducing robust immune responses in adults and children among the FDMN population which is comparable to that seen in Bangladeshi participants in different age groups or that reported from other cholera endemic countries. Our results also suggest that the displaced population were exposed to V. cholerae prior to seeking shelter in Bangladesh.","container-title":"PLoS neglected tropical diseases","DOI":"10.1371/journal.pntd.0007989","ISSN":"1935-2735","issue":"3","journalAbbreviation":"PLoS Negl Trop Dis","language":"eng","note":"PMID: 32176695\nPMCID: PMC7075546","page":"e0007989","source":"PubMed","title":"Immunogenicity of a killed bivalent whole cell oral cholera vaccine in forcibly displaced Myanmar nationals in Cox's Bazar, Bangladesh","volume":"14","author":[{"family":"Chowdhury","given":"Fahima"},{"family":"Bhuiyan","given":"Taufiqur Rahman"},{"family":"Akter","given":"Afroza"},{"family":"Bhuiyan","given":"Md Saruar"},{"family":"Khan","given":"Ashraful Islam"},{"family":"Hossain","given":"Motaher"},{"family":"Tauheed","given":"Imam"},{"family":"Ahmed","given":"Tasnuva"},{"family":"Islam","given":"Shaumik"},{"family":"Rafique","given":"Tanzeem Ahmed"},{"family":"Siddique","given":"Shah Alam"},{"family":"Harun","given":"Nabila Binta"},{"family":"Islam","given":"Khaleda"},{"family":"Clemens","given":"John D."},{"family":"Qadri","given":"Firdausi"}],"issued":{"date-parts":[["2020",3]]}}},{"id":"EgwuGF5k/4u14LcVq","uris":["http://zotero.org/users/local/xDVOxgbN/items/ZG8J3XZ6"],"itemData":{"id":20,"type":"article-journal","container-title":"PLOS ONE","DOI":"10.1371/journal.pone.0218033","ISSN":"1932-6203","issue":"6","journalAbbreviation":"PLoS ONE","language":"en","page":"e0218033","source":"DOI.org (Crossref)","title":"Safety and immunogenicity of a killed bivalent (O1 and O139) whole-cell oral cholera vaccine in adults and children in Vellore, South India","volume":"14","author":[{"family":"Raghava Mohan","given":"Venkata"},{"family":"Raj","given":"Santosh"},{"family":"Dhingra","given":"Mandeep Singh"},{"family":"Aloysia D’Cor","given":"Naveena"},{"family":"Singh","given":"Ajit Pal"},{"family":"Saluja","given":"Tarun"},{"family":"Kim","given":"Deok Ryun"},{"family":"Midde","given":"Venkat Jayanth"},{"family":"Kim","given":"Yanghee"},{"family":"Vemula","given":"Sridhar"},{"family":"Narla","given":"Santhosh Kumar"},{"family":"Sah","given":"Binod"},{"family":"Ali","given":"Mohammad"}],"editor":[{"family":"Borrow","given":"Ray"}],"issued":{"date-parts":[["2019",6,18]]}}},{"id":"EgwuGF5k/MEiMcdvb","uris":["http://zotero.org/users/local/xDVOxgbN/items/TP75RAGU"],"itemData":{"id":22,"type":"article-journal","abstract":"BACKGROUND: Studies of the immunogenicity of the killed bivalent whole cell oral cholera vaccine, Shanchol, have been performed in historically cholera-endemic areas of Asia. There is a need to assess the immunogenicity of the vaccine in Haiti and other populations without historical exposure to Vibrio cholerae.\nMETHODOLOGY/PRINCIPAL FINDINGS: We measured imm</w:instrText>
            </w:r>
            <w:r w:rsidR="00345AF1">
              <w:rPr>
                <w:rFonts w:hint="eastAsia"/>
              </w:rPr>
              <w:instrText>une responses after administration of Shanchol, in 25 adults, 51 older children (6-17 years), and 47 younger children (1-5 years) in Haiti, where cholera was introduced in 2010. A</w:instrText>
            </w:r>
            <w:r w:rsidR="00345AF1">
              <w:rPr>
                <w:rFonts w:hint="eastAsia"/>
              </w:rPr>
              <w:instrText>≥</w:instrText>
            </w:r>
            <w:r w:rsidR="00345AF1">
              <w:rPr>
                <w:rFonts w:hint="eastAsia"/>
              </w:rPr>
              <w:instrText>4-fold increase in vibriocidal antibody titer against V. cholerae O1 Ogawa was observed in 91% of adults, 74% of older children, and 73% of younger children after two doses of Shanchol; similar responses were observed against the Inaba serotype. A</w:instrText>
            </w:r>
            <w:r w:rsidR="00345AF1">
              <w:rPr>
                <w:rFonts w:hint="eastAsia"/>
              </w:rPr>
              <w:instrText>≥</w:instrText>
            </w:r>
            <w:r w:rsidR="00345AF1">
              <w:rPr>
                <w:rFonts w:hint="eastAsia"/>
              </w:rPr>
              <w:instrText>2-fold increase in serum O-antigen specific polysaccharide IgA antibody levels aga</w:instrText>
            </w:r>
            <w:r w:rsidR="00345AF1">
              <w:instrText>inst V. cholerae O1 Ogawa was observed in 59% of adults, 45% of older children, and 61% of younger children; similar responses were observed against the Inaba serotype. We compared immune responses in Haitian individuals with age- and blood group-matched individuals from Bangladesh, a historically cholera-endemic area. The geometric mean vibriocidal titers after the first dose of vaccine were lower in Haitian than in Bangladeshi vaccinees. However, the mean vibriocidal titers did not differ between the two groups after the second dose of the vaccine.\nCONCLUSIONS/SIGNIFICANCE: A killed bivalent whole cell oral cholera vaccine, Shanchol, is highly immunogenic in Haitian adults and children. A two-dose regimen may be important in Haiti, and other populations lacking previous repeated exposures to V. cholerae.","container-title":"PLoS neglected tropical diseases","DOI":"10.1371/journal.pntd.0002828","ISSN":"1935-2735","issue":"5","journalAbbreviation":"PLoS Negl Trop Dis","language":"eng","note":"PMID: 24786645\nPMCID: PMC4006712","page":"e2828","source":"PubMed","title":"Immunogenicity of a killed bivalent (O1 and O139) whole cell oral cholera vaccine, Shanchol, in Haiti","volume":"8","author":[{"family":"Charles","given":"Richelle C."},{"family":"Hilaire","given":"Isabelle J."},{"family":"Mayo-Smith","given":"Leslie M."},{"family":"Teng","given":"Jessica E."},{"family":"Jerome","given":"J. Gregory"},{"family":"Franke","given":"Molly F."},{"family":"Saha","given":"Amit"},{"family":"Yu","given":"Yanan"},{"family":"Kováč","given":"Paul"},{"family":"Calderwood","given":"Stephen B."},{"family":"Ryan","given":"Edward T."},{"family":"LaRocque","given":"Regina C."},{"family":"Almazor","given":"Charles P."},{"family":"Qadri","given":"Firdausi"},{"family":"Ivers","given":"Louise C."},{"family":"Harris","given":"Jason B."}],"issued":{"date-parts":[["2014",5]]}}},{"id":"EgwuGF5k/xlwLEQSU","uris":["http://zotero.org/users/local/xDVOxgbN/items/885T83T7"],"itemData":{"id":28,"type":"article-journal","abstract":"Cholera is a diarrheal disease caused by Vibrio cholerae that continues to be a major public health concern in populations without access to safe water. IgG- and IgA-secreting memory B cells (MBC) targeting the V. cholerae O-specific polysaccharide (OSP) correlate with protection from infection in persons exposed to V. cholerae and may be a major determinant of long-term protection against cholera. Shanchol, a widely used oral cholera vaccine (OCV), stimulates OSP MBC responses in only some people after vaccination, and the gut microbiota is a possible determinant of variable immune responses observed after OCV. Using 16S rRNA sequencing of feces from the time of vaccination, we compared the gut microbiota among adults with and without MBC responses to OCV. Gut microbial diversity measures were not associated with MBC isotype or OSP-specific responses, but individuals with a higher abundance of Clostridiales and lower abundance of Enterobacterales were more likely to develop an MBC response. We applied protein-normalized fecal supernatants of high and low MBC responders to THP-1-derived human macrophages to investigate the effect of microbial factors at the time of vaccination. Feces from individuals with higher MBC responses induced significantly different IL-1β and IL-6 levels than individuals with lower responses, indicating that the gut microbiota at the time of vaccination may \"prime\" the mucosal immune response to vaccine antigens. Our results suggest the gut microbiota could impact immune responses to OCVs, and further study of microbial metabolites as potential vaccine adjuvants is warranted.","container-title":"Infection and Immunity","DOI":"10.1128/IAI.00217-21","ISSN":"1098-5522","issue":"9","journalAbbreviation":"Infect Immun","language":"eng","note":"PMID: 34228490\nPMCID: PMC8370679","page":"e0021721","source":"PubMed","title":"Gut Microbiota and Development of Vibrio cholerae-Specific Long-Term Memory B Cells in Adults after Whole-Cell Killed Oral Cholera Vaccine","volume":"89","author":[{"family":"Chac","given":"Denise"},{"family":"Bhuiyan","given":"Taufiqur R."},{"family":"Saha","given":"Amit"},{"family":"Alam","given":"Mohammad M."},{"family":"Salma","given":"Umme"},{"family":"Jahan","given":"Nusrat"},{"family":"Chowdhury","given":"Fahima"},{"family":"Khan","given":"Ashraful I."},{"family":"Ryan","given":"Edward T."},{"family":"LaRocque","given":"Regina"},{"family":"Harris","given":"Jason B."},{"family":"Qadri","given":"Firdausi"},{"family":"Weil","given":"Ana A."}],"issued":{"date-parts":[["2021",8,16]]}}},{"id":"EgwuGF5k/Ab3tKABC","uris":["http://zotero.org/users/local/xDVOxgbN/items/MD4Y8M2Z"],"itemData":{"id":30,"type":"article-journal","abstract":"As part of a phase 4, randomized, double-blind, placebo-controlled trial to assess the immunogenicity and safety of PXVX0200 in children and adolescents aged 2-17 years, a subset of 73 adolescent subjects aged 12-17 years was followed for 2 years after vaccination and had blood collected for antibody assays on days 1, 11, 29, 91, 181, 365, 547, and 730. Endpoints included serum vibriocidal antibody (SVA) seroconversion, defined as a 4-fold or greater rise in antibody titer over baseline; geometric mean titers (GMTs); and geometric mean fold increase (GMFI) over baseline. Serum vibriocidal antibody seroconversion persisted in most subjects, with a rate of 64.5% noted at day 730. Geometric mean titers and GMFI both peaked at day 11 and remained greater than baseline at all time points, including day 730. Vaccination with PXVX0200 produces an immune response which persists for at least 2 years in adolescents aged 12-17 years.","container-title":"The American Journal of Tropical Medicine and Hygiene","DOI":"10.4269/ajtmh.20-1576","ISSN":"1476-1645","issue":"5","journalAbbreviation":"Am J Trop Med Hyg","language":"eng","note":"PMID: 33819178\nPMCID: PMC8103473","page":"1758-1760","source":"PubMed","title":"Long-Term Immunogenicity of Live Oral Cholera Vaccine CVD 103-HgR in Adolescents Aged 12-17 Years in the United States","volume":"104","author":[{"family":"McCarty","given":"James M."},{"family":"Cassie","given":"David"},{"family":"Bedell","given":"Lisa"},{"family":"Lock","given":"Michael D."},{"family":"Bennett","given":"Sean"}],"issued":{"date-parts":[["2021",4,5]]}}},{"id":"EgwuGF5k/6BXRJpee","uris":["http://zotero.org/users/local/xDVOxgbN/items/3GSEZ5VI"],"itemData":{"id":33,"type":"article-journal","container-title":"Vaccine","DOI":"10.1016/j.vaccine.2017.12.062","ISSN":"0264410X","issue":"6","journalAbbreviation":"Vaccine","language":"en","page":"833-840","source":"DOI.org (Crossref)","title":"Safety and immunogenicity of single-dose live oral cholera vaccine strain CVD 103-HgR in healthy adults age 18–45","volume":"36","author":[{"family":"McCarty","given":"James M."},{"family":"Lock","given":"Michael D."},{"family":"Hunt","given":"Kristin M."},{"family":"Simon","given":"Jakub K."},{"family":"Gurwith","given":"Marc"}],"issued":{"date-parts":[["2018",2]]}}},{"id":"EgwuGF5k/3PlEbxC7","uris":["http://zotero.org/users/local/xDVOxgbN/items/88EEN4QJ"],"itemData":{"id":25,"type":"article-journal","abstract":"BACKGROUND: The World Health Organization (WHO) recommends the use of oral cholera vaccines (OCVs) as part of an integrated control program, both in highly endemic settings and during cholera epidemics. The available and internationally recommended WHO-prequalified OCVs (Dukoral, Shanchol, Euvichol) contain multiple heat and formalin-killed V. cholerae strains of Inaba and Ogawa serotypes. MSD Wellcome Trust Hilleman Laboratories Pvt. Ltd. in technical collaboration with University of Gothenburg, Sweden has developed a new single strain OCV, Hillchol. This vaccine consists of formaldehyde-inactivated whole cell El Tor V. cholerae O1 bacteria engineered into the Hikojima serotype for stable expression of both the Ogawa (AB) and Inaba (AC) LPS antigens on the bacterial surface. We evaluated the safety and immunogenicity of this novel and potentially much less expensive OCV in comparison with Shanchol.\nMETHODS: We conducted a randomized, non-infer</w:instrText>
            </w:r>
            <w:r w:rsidR="00345AF1">
              <w:rPr>
                <w:rFonts w:hint="eastAsia"/>
              </w:rPr>
              <w:instrText>iority, age-descending clinical trial of OCV (Hillchol vs. Shanchol) in the Mirpur area of Dhaka city from July 2016 to May 2017. This study was carried out in three different age cohorts (1-&lt;5, 5-17 and </w:instrText>
            </w:r>
            <w:r w:rsidR="00345AF1">
              <w:rPr>
                <w:rFonts w:hint="eastAsia"/>
              </w:rPr>
              <w:instrText>≥</w:instrText>
            </w:r>
            <w:r w:rsidR="00345AF1">
              <w:rPr>
                <w:rFonts w:hint="eastAsia"/>
              </w:rPr>
              <w:instrText xml:space="preserve">18 years old). Two doses of vaccine were given at </w:instrText>
            </w:r>
            <w:r w:rsidR="00345AF1">
              <w:instrText xml:space="preserve">14 days intervals to 560 healthy participants.\nFINDINGS: No serious adverse events were reported. There were no significant differences in the rates of adverse events between the test vaccine (Hillchol) and the comparator (Shanchol) group. Serum vibriocidal antibody responses in all age groups combined were comparable for all the O1 Ogawa (59% vs. 67%; 90% CI of difference: -14.55, -0.84) and Inaba (70% vs. 71%; 90% CI of difference: -7.24, 5.77) serotypes, showing that the Hillchol vaccine was non-inferior to Shanchol. This new vaccine was also non-inferior to Shanchol in the different age strata.\nCONCLUSION: The safety and immunogenicity profile of the new OCV Hillchol is comparable to Shanchol in persons residing in a cholera-endemic setting. ClinicalTrials.gov number: NCT02823899.","container-title":"Vaccine","DOI":"10.1016/j.vaccine.2021.06.069","ISSN":"1873-2518","issue":"32","journalAbbreviation":"Vaccine","language":"eng","note":"PMID: 34218960","page":"4450-4457","source":"PubMed","title":"A phase I/II study to evaluate safety, tolerability and immunogenicity of Hillchol®, an inactivated single Hikojima strain based oral cholera vaccine, in a sequentially age descending population in Bangladesh","volume":"39","author":[{"family":"Chowdhury","given":"Fahima"},{"family":"Ali Syed","given":"Khalid"},{"family":"Akter","given":"Afroza"},{"family":"Rahman Bhuiyan","given":"Taufiqur"},{"family":"Tauheed","given":"Imam"},{"family":"Khaton","given":"Fatema"},{"family":"Biswas","given":"Rajib"},{"family":"Ferdous","given":"Jannatul"},{"family":"Al Banna","given":"Hasan"},{"family":"Ross","given":"Allen G."},{"family":"Mc Millan","given":"Nigel"},{"family":"Sharma","given":"Tarun"},{"family":"Kanchan","given":"Vibhu"},{"family":"Pal Singh","given":"Ajit"},{"family":"Gill","given":"Davinder"},{"family":"Lebens","given":"Michael"},{"family":"Nordqvist","given":"Stefan"},{"family":"Holmgren","given":"Jan"},{"family":"Clemens","given":"John D."},{"family":"Qadri","given":"Firdausi"}],"issued":{"date-parts":[["2021",7,22]]}}}],"schema":"https://github.com/citation-style-language/schema/raw/master/csl-citation.json"} </w:instrText>
            </w:r>
            <w:r w:rsidRPr="00097432">
              <w:fldChar w:fldCharType="separate"/>
            </w:r>
            <w:r w:rsidR="00345AF1" w:rsidRPr="00345AF1">
              <w:rPr>
                <w:rFonts w:cs="Times New Roman"/>
                <w:vertAlign w:val="superscript"/>
              </w:rPr>
              <w:t>39–47</w:t>
            </w:r>
            <w:r w:rsidRPr="00097432">
              <w:fldChar w:fldCharType="end"/>
            </w:r>
          </w:p>
        </w:tc>
      </w:tr>
      <w:tr w:rsidR="009E0F60" w:rsidRPr="00097432" w14:paraId="05A8F725" w14:textId="77777777" w:rsidTr="00492617">
        <w:trPr>
          <w:trHeight w:val="258"/>
        </w:trPr>
        <w:tc>
          <w:tcPr>
            <w:tcW w:w="9555" w:type="dxa"/>
            <w:gridSpan w:val="3"/>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7FF218A9" w14:textId="27C11A5A" w:rsidR="009E0F60" w:rsidRPr="00097432" w:rsidRDefault="009E0F60" w:rsidP="002914FA">
            <w:pPr>
              <w:spacing w:line="240" w:lineRule="auto"/>
              <w:rPr>
                <w:i/>
                <w:iCs/>
              </w:rPr>
            </w:pPr>
            <w:r w:rsidRPr="00097432">
              <w:rPr>
                <w:i/>
                <w:iCs/>
              </w:rPr>
              <w:t>Parameters fixed</w:t>
            </w:r>
          </w:p>
        </w:tc>
      </w:tr>
      <w:tr w:rsidR="009E0F60" w:rsidRPr="00097432" w14:paraId="64C31095" w14:textId="77777777" w:rsidTr="00F31227">
        <w:trPr>
          <w:trHeight w:val="276"/>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79952882" w14:textId="05CDA222" w:rsidR="009E0F60" w:rsidRPr="00097432" w:rsidRDefault="009E0F60" w:rsidP="002914FA">
            <w:pPr>
              <w:spacing w:line="240" w:lineRule="auto"/>
              <w:rPr>
                <w:rFonts w:eastAsia="Aptos"/>
              </w:rPr>
            </w:pPr>
            <w:r w:rsidRPr="00097432">
              <w:t>Vaccine coverage</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6A400E11" w14:textId="1F78762A" w:rsidR="009E0F60" w:rsidRPr="00097432" w:rsidRDefault="009E0F60" w:rsidP="002914FA">
            <w:pPr>
              <w:spacing w:line="240" w:lineRule="auto"/>
              <w:rPr>
                <w:rFonts w:eastAsia="Aptos"/>
              </w:rPr>
            </w:pPr>
            <w:r w:rsidRPr="00097432">
              <w:t>60% - 90%</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36689258" w14:textId="77777777" w:rsidR="009E0F60" w:rsidRPr="00097432" w:rsidRDefault="009E0F60" w:rsidP="002914FA">
            <w:pPr>
              <w:spacing w:line="240" w:lineRule="auto"/>
            </w:pPr>
          </w:p>
        </w:tc>
      </w:tr>
      <w:tr w:rsidR="009E0F60" w:rsidRPr="00097432" w14:paraId="450612AA" w14:textId="77777777" w:rsidTr="00492617">
        <w:trPr>
          <w:trHeight w:val="303"/>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453C241A" w14:textId="4FD2E02F" w:rsidR="009E0F60" w:rsidRPr="00097432" w:rsidRDefault="009E0F60" w:rsidP="002914FA">
            <w:pPr>
              <w:spacing w:line="240" w:lineRule="auto"/>
            </w:pPr>
            <w:r w:rsidRPr="00097432">
              <w:t xml:space="preserve">Proportion of moderate and severe </w:t>
            </w:r>
            <w:r w:rsidR="003D5658" w:rsidRPr="00097432">
              <w:rPr>
                <w:rFonts w:hint="eastAsia"/>
              </w:rPr>
              <w:t>cholera</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2F41DDED" w14:textId="593DA37C" w:rsidR="00005E29" w:rsidRPr="00097432" w:rsidRDefault="009E0F60" w:rsidP="002914FA">
            <w:pPr>
              <w:spacing w:line="240" w:lineRule="auto"/>
            </w:pPr>
            <w:r w:rsidRPr="00097432">
              <w:t>0.</w:t>
            </w:r>
            <w:r w:rsidR="003D5658" w:rsidRPr="00097432">
              <w:rPr>
                <w:rFonts w:hint="eastAsia"/>
              </w:rPr>
              <w:t>7</w:t>
            </w:r>
            <w:r w:rsidR="00005E29" w:rsidRPr="00097432">
              <w:rPr>
                <w:rFonts w:hint="eastAsia"/>
              </w:rPr>
              <w:t>8</w:t>
            </w:r>
            <w:r w:rsidR="003D5658" w:rsidRPr="00097432">
              <w:rPr>
                <w:rFonts w:hint="eastAsia"/>
              </w:rPr>
              <w:t>,</w:t>
            </w:r>
            <w:r w:rsidRPr="00097432">
              <w:t xml:space="preserve"> 0.</w:t>
            </w:r>
            <w:r w:rsidR="003D5658" w:rsidRPr="00097432">
              <w:rPr>
                <w:rFonts w:hint="eastAsia"/>
              </w:rPr>
              <w:t>22</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0CEB96D5" w14:textId="2E3AC77C" w:rsidR="009E0F60" w:rsidRPr="00097432" w:rsidRDefault="00A137EB" w:rsidP="002914FA">
            <w:pPr>
              <w:spacing w:line="240" w:lineRule="auto"/>
            </w:pPr>
            <w:r w:rsidRPr="00097432">
              <w:fldChar w:fldCharType="begin"/>
            </w:r>
            <w:r w:rsidR="00345AF1">
              <w:instrText xml:space="preserve"> ADDIN ZOTERO_ITEM CSL_CITATION {"citationID":"d7alqCh4","properties":{"formattedCitation":"\\super 48\\nosupersub{}","plainCitation":"48","noteIndex":0},"citationItems":[{"id":"EgwuGF5k/mN8JfTlq","uris":["http://zotero.org/users/7663102/items/YRSLQCQL"],"itemData":{"id":15779,"type":"article-journal","abstract":"Zambia experienced the largest cholera outbreak in the country history in 2023–2024 in the capital, Lusaka. This study aimed to identify the clinical characteristics of the adult patients hospitalized at the community and referral cholera treatment centers (CTCs) to determine factors associated with their severe clinical outcomes during the outbreak.Clinical information on the adult patients with cholera in the community and referral CTCs was retrospectively analyzed. Clinical factors associated with the fatal outcome were explored by multivariate analysis, using Firth's penalized logistic regression.A total of 6578 adult cases were identified. The overall case fatality rate was 1.0% (51 of 5020), and it was highest in a referral CTC specializing in patients with underlying conditions (4.1% [32 of 772]). In the multivariate analysis, age (odds ratio, 1.05 [95% confidence interval, 1.02–1.09]), human immunodeficiency virus infections (5.68 [2.12–15.30]), diabetes mellitus (8.21 [1.38–34.00]), and severe dehydration at admission (5.97 [1.29–56.94]) were independently correlated with fatal outcomes.Clinical factors, including age, underlying conditions, and disease severity at admission, were shown to be associated with severe clinical outcomes in adult patients with cholera. Enhanced case management strategies targeted for such high-risk groups might be beneficial in reducing the case fatality rate during cholera outbreaks.","container-title":"Open Forum Infectious Diseases","DOI":"10.1093/ofid/ofaf277","ISSN":"2328-8957","issue":"6","journalAbbreviation":"Open Forum Infectious Diseases","page":"ofaf277","source":"Silverchair","title":"Clinical Characteristics of 6578 Adult Patients With Cholera Admitted to Community and Referral Cholera Treatment Centers in Lusaka, Zambia, October 2023 to April 2024","volume":"12","author":[{"family":"Mbewe","given":"Nyuma"},{"family":"Imamura","given":"Tadatsugu"},{"family":"Sivile","given":"Suilanji"},{"family":"Sinkala","given":"Annel"},{"family":"Zulu","given":"Paul"},{"family":"Chanda","given":"Chitalu"},{"family":"Naik","given":"Neil"},{"family":"Kalima","given":"Nawa"},{"family":"Tepa","given":"Roy"},{"family":"Mwewa","given":"Kabaso"},{"family":"Kapololwe","given":"Kenneth"},{"family":"Mugala","given":"Anchindika"},{"family":"Mweemba","given":"Aggrey"},{"family":"Simwaba","given":"Davie"},{"family":"Kapina","given":"Muzala"},{"family":"Mwangilwa","given":"Kelvin"},{"family":"Nambeya","given":"Lalisa"},{"family":"Msiska","given":"Sophia"},{"family":"Choonga","given":"Aspha"},{"family":"Chirwa","given":"Bob"},{"family":"Mitsushima","given":"Shingo"},{"family":"Tsuchihashi","given":"Yuuki"},{"family":"Kapata","given":"Nathan"},{"family":"Kamigaki","given":"Taro"},{"family":"Mulenga","given":"Lloyd"},{"family":"Chilengi","given":"Roma"}],"issued":{"date-parts":[["2025",6,1]]},"citation-key":"mbewe2025a"}}],"schema":"https://github.com/citation-style-language/schema/raw/master/csl-citation.json"} </w:instrText>
            </w:r>
            <w:r w:rsidRPr="00097432">
              <w:fldChar w:fldCharType="separate"/>
            </w:r>
            <w:r w:rsidR="00345AF1" w:rsidRPr="00345AF1">
              <w:rPr>
                <w:rFonts w:cs="Times New Roman"/>
                <w:vertAlign w:val="superscript"/>
              </w:rPr>
              <w:t>48</w:t>
            </w:r>
            <w:r w:rsidRPr="00097432">
              <w:fldChar w:fldCharType="end"/>
            </w:r>
          </w:p>
        </w:tc>
      </w:tr>
      <w:tr w:rsidR="009E0F60" w:rsidRPr="00097432" w14:paraId="7F9EB49F" w14:textId="77777777" w:rsidTr="00492617">
        <w:trPr>
          <w:trHeight w:val="330"/>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43EBA2B1" w14:textId="0E7E57B9" w:rsidR="009E0F60" w:rsidRPr="00097432" w:rsidRDefault="009E0F60" w:rsidP="002914FA">
            <w:pPr>
              <w:spacing w:line="240" w:lineRule="auto"/>
            </w:pPr>
            <w:r w:rsidRPr="00097432">
              <w:lastRenderedPageBreak/>
              <w:t>Disability weight for moderate and severe</w:t>
            </w:r>
            <w:r w:rsidR="003D5658" w:rsidRPr="00097432">
              <w:rPr>
                <w:rFonts w:hint="eastAsia"/>
              </w:rPr>
              <w:t xml:space="preserve"> diarrhea</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7B5B904E" w14:textId="5E075BCC" w:rsidR="002C1FE4" w:rsidRPr="00097432" w:rsidRDefault="009E0F60" w:rsidP="002C1FE4">
            <w:pPr>
              <w:spacing w:line="240" w:lineRule="auto"/>
            </w:pPr>
            <w:r w:rsidRPr="00097432">
              <w:t>0.188</w:t>
            </w:r>
            <w:r w:rsidR="003D5658" w:rsidRPr="00097432">
              <w:rPr>
                <w:rFonts w:hint="eastAsia"/>
              </w:rPr>
              <w:t>,</w:t>
            </w:r>
            <w:r w:rsidRPr="00097432">
              <w:t xml:space="preserve"> 0.247</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02BBF47B" w14:textId="3B7D2348" w:rsidR="009E0F60" w:rsidRPr="00097432" w:rsidRDefault="009E0F60" w:rsidP="002914FA">
            <w:pPr>
              <w:spacing w:line="240" w:lineRule="auto"/>
              <w:rPr>
                <w:b/>
              </w:rPr>
            </w:pPr>
            <w:r w:rsidRPr="00097432">
              <w:fldChar w:fldCharType="begin"/>
            </w:r>
            <w:r w:rsidR="00345AF1">
              <w:instrText xml:space="preserve"> ADDIN ZOTERO_ITEM CSL_CITATION {"citationID":"0eguGnVv","properties":{"formattedCitation":"\\super 49\\nosupersub{}","plainCitation":"49","noteIndex":0},"citationItems":[{"id":"EgwuGF5k/tPKkak3B","uris":["http://zotero.org/users/local/xDVOxgbN/items/R6VATLF7"],"itemData":{"id":60,"type":"article-journal","abstract":"BACKGROUND: The Global Burden of Diseases, Injuries, and Risk Factors Study 2017 (GBD 2017) includes a comprehensive assessment of incidence, prevalence, and years lived with disability (YLDs) for 354 causes in 195 countries and territories from 1990 to 2017. Previous GBD studies have shown how the decline of mortality rates from 1990 to 2016 has led to an increase in life expectancy, an ageing global population, and an expansion of the non-fatal burden of disease and injury. These studies have also shown how a substantial portion of the world's population experiences non-fatal health loss with considerable heterogeneity among different causes, locations, ages, and sexes. Ongoing objectives of the GBD study include increasing the level of estimation detail, improving analytical strategies, and increasing the amount of high-quality data.\nMETHODS: We estimated incidence and prevalence for 354 diseases and injuries and 3484 sequelae. We used an updated and extensive body of literature studies, survey data, surveillance data, inpatient admission records, outpatient visit records, and health insurance claims, and additionally used results from cause of death models to inform estimates using a total of 68</w:instrText>
            </w:r>
            <w:r w:rsidR="00345AF1">
              <w:rPr>
                <w:rFonts w:ascii="Arial" w:hAnsi="Arial"/>
              </w:rPr>
              <w:instrText> </w:instrText>
            </w:r>
            <w:r w:rsidR="00345AF1">
              <w:instrText>781 data sources. Newly available clinical data from India, Iran, Japan, Jordan, Nepal, China, Brazil, Norway, and Italy were incorporated, as well as updated claims data from the USA and new claims data from Taiwan (province of China) and Singapore. We used DisMod-MR 2.1, a Bayesian meta-regression tool, as the main method of estimation, ensuring consistency between rates of incidence, prevalence, remission, and cause of death for each condition. YLDs were estimated as the product of a prevalence estimate and a disability weight for health states of each mutually exclusive sequela, adjusted for comorbidity. We updated the Socio-demographic Index (SDI), a summary development indicator of income per capita, years of schooling, and total fertility rate. Additionally, we calculated differences between male and female YLDs to identify divergent trends across sexes. GBD 2017 complies with the Guidelines for Accurate and Transparent Health Estimates Reporting.\nFINDINGS: Globally, for females, the causes with the greatest age-standardised prevalence were oral disorders, headache disorders, and haemoglobinopathies and haemolytic anaemias in both 1990 and 2017. For males, the causes with the greatest age-standardised prevalence were oral disorders, headache disorders, and tuberculosis including latent tuberculosis infection in both 1990 and 2017. In terms of YLDs, low back pain, headache disorders, and dietary iron deficiency were the leading Level 3 causes of YLD counts in 1990, whereas low back pain, headache disorders, and depressive disorders were the leading causes in 2017 for both sexes combined. All-cause age-standardised YLD rates decreased by 3·9% (95% uncertainty interval [UI] 3·1-4·6) from 1990 to 2017; however, the all-age YLD rate increased by 7·2% (6·0-8·4) while the total sum of global YLDs increased from 562 million (421-723) to 853 million (642-1100). The increases for males and females were similar, with increases in all-age YLD rates of 7·9% (6·6-9·2) for males and 6·5% (5·4-7·7) for females. We found significant differences between males and females in terms of age-standardised prevalence estimates for multiple causes. The causes with the greatest relative differences between sexes in 2017 included substance use disorders (3018 cases [95% UI 2782-3252] per 100</w:instrText>
            </w:r>
            <w:r w:rsidR="00345AF1">
              <w:rPr>
                <w:rFonts w:ascii="Arial" w:hAnsi="Arial"/>
              </w:rPr>
              <w:instrText> </w:instrText>
            </w:r>
            <w:r w:rsidR="00345AF1">
              <w:instrText>000 in males vs s1400 [1279-1524] per 100</w:instrText>
            </w:r>
            <w:r w:rsidR="00345AF1">
              <w:rPr>
                <w:rFonts w:ascii="Arial" w:hAnsi="Arial"/>
              </w:rPr>
              <w:instrText> </w:instrText>
            </w:r>
            <w:r w:rsidR="00345AF1">
              <w:instrText xml:space="preserve">000 in females), transport injuries (3322 [3082-3583] vs 2336 [2154-2535]), and self-harm and interpersonal violence (3265 [2943-3630] vs 5643 [5057-6302]).\nINTERPRETATION: Global all-cause age-standardised YLD rates have improved only slightly over a period spanning nearly three decades. However, the magnitude of the non-fatal disease burden has expanded globally, with increasing numbers of people who have a wide spectrum of conditions. A subset of conditions has remained globally pervasive since 1990, whereas other conditions have displayed more dynamic trends, with different ages, sexes, and geographies across the globe experiencing varying burdens and trends of health loss. This study emphasises how global improvements in premature mortality for select conditions have led to older populations with complex and potentially expensive diseases, yet also highlights global achievements in certain domains of disease and injury.\nFUNDING: Bill &amp; Melinda Gates Foundation.","container-title":"Lancet (London, England)","DOI":"10.1016/S0140-6736(18)32279-7","ISSN":"1474-547X","issue":"10159","journalAbbreviation":"Lancet","language":"eng","note":"PMID: 30496104\nPMCID: PMC6227754","page":"1789-1858","source":"PubMed","title":"Global, regional, and national incidence, prevalence, and years lived with disability for 354 diseases and injuries for 195 countries and territories, 1990-2017: a systematic analysis for the Global Burden of Disease Study 2017","title-short":"Global, regional, and national incidence, prevalence, and years lived with disability for 354 diseases and injuries for 195 countries and territories, 1990-2017","volume":"392","author":[{"literal":"GBD 2017 Disease and Injury Incidence and Prevalence Collaborators"}],"issued":{"date-parts":[["2018",11,10]]}}}],"schema":"https://github.com/citation-style-language/schema/raw/master/csl-citation.json"} </w:instrText>
            </w:r>
            <w:r w:rsidRPr="00097432">
              <w:fldChar w:fldCharType="separate"/>
            </w:r>
            <w:r w:rsidR="00345AF1" w:rsidRPr="00345AF1">
              <w:rPr>
                <w:rFonts w:cs="Times New Roman"/>
                <w:vertAlign w:val="superscript"/>
              </w:rPr>
              <w:t>49</w:t>
            </w:r>
            <w:r w:rsidRPr="00097432">
              <w:fldChar w:fldCharType="end"/>
            </w:r>
          </w:p>
        </w:tc>
      </w:tr>
      <w:tr w:rsidR="009E0F60" w:rsidRPr="00097432" w14:paraId="1C92917E" w14:textId="77777777" w:rsidTr="00F31227">
        <w:trPr>
          <w:trHeight w:val="69"/>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1082DE83" w14:textId="77777777" w:rsidR="009E0F60" w:rsidRPr="00097432" w:rsidRDefault="009E0F60" w:rsidP="002914FA">
            <w:pPr>
              <w:spacing w:line="240" w:lineRule="auto"/>
            </w:pPr>
            <w:r w:rsidRPr="00097432">
              <w:t>Vaccine cost of procurement</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079EFCF1" w14:textId="19890AFC" w:rsidR="009E0F60" w:rsidRPr="00097432" w:rsidRDefault="00124F65" w:rsidP="002914FA">
            <w:pPr>
              <w:spacing w:line="240" w:lineRule="auto"/>
            </w:pPr>
            <w:r w:rsidRPr="00097432">
              <w:t>US</w:t>
            </w:r>
            <w:r w:rsidRPr="00097432">
              <w:rPr>
                <w:rFonts w:hint="eastAsia"/>
              </w:rPr>
              <w:t xml:space="preserve">$ </w:t>
            </w:r>
            <w:r w:rsidR="009E0F60" w:rsidRPr="00097432">
              <w:t>1.65</w:t>
            </w:r>
            <w:r w:rsidRPr="00097432">
              <w:rPr>
                <w:rFonts w:hint="eastAsia"/>
              </w:rPr>
              <w:t xml:space="preserve"> per dose</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795A699C" w14:textId="367E2953" w:rsidR="009E0F60" w:rsidRPr="00097432" w:rsidRDefault="009E0F60" w:rsidP="002914FA">
            <w:pPr>
              <w:spacing w:line="240" w:lineRule="auto"/>
            </w:pPr>
            <w:r w:rsidRPr="00097432">
              <w:fldChar w:fldCharType="begin"/>
            </w:r>
            <w:r w:rsidR="00345AF1">
              <w:instrText xml:space="preserve"> ADDIN ZOTERO_ITEM CSL_CITATION {"citationID":"VWBpK4rj","properties":{"formattedCitation":"\\super 50\\nosupersub{}","plainCitation":"50","noteIndex":0},"citationItems":[{"id":"EgwuGF5k/jJs5uOQK","uris":["http://zotero.org/users/local/xDVOxgbN/items/PLH872SC"],"itemData":{"id":177,"type":"report","title":"Oral cholera vaccine (OCV) price data","URL":"https://www.unicef.org/supply/media/22781/file/OCV-vaccines-prices-29102024.pdf","author":[{"literal":"UNICEF"}],"issued":{"date-parts":[["2024",10,24]]}}}],"schema":"https://github.com/citation-style-language/schema/raw/master/csl-citation.json"} </w:instrText>
            </w:r>
            <w:r w:rsidRPr="00097432">
              <w:fldChar w:fldCharType="separate"/>
            </w:r>
            <w:r w:rsidR="00345AF1" w:rsidRPr="00345AF1">
              <w:rPr>
                <w:rFonts w:cs="Times New Roman"/>
                <w:vertAlign w:val="superscript"/>
              </w:rPr>
              <w:t>50</w:t>
            </w:r>
            <w:r w:rsidRPr="00097432">
              <w:fldChar w:fldCharType="end"/>
            </w:r>
          </w:p>
        </w:tc>
      </w:tr>
      <w:tr w:rsidR="009E0F60" w:rsidRPr="00097432" w14:paraId="1F7FC7C0" w14:textId="77777777" w:rsidTr="00F31227">
        <w:trPr>
          <w:trHeight w:val="159"/>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787826CC" w14:textId="77777777" w:rsidR="009E0F60" w:rsidRPr="00097432" w:rsidRDefault="009E0F60" w:rsidP="002914FA">
            <w:pPr>
              <w:spacing w:line="240" w:lineRule="auto"/>
            </w:pPr>
            <w:r w:rsidRPr="00097432">
              <w:t>Vaccine delivery cost</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34756868" w14:textId="39772C81" w:rsidR="009E0F60" w:rsidRPr="00097432" w:rsidRDefault="00124F65" w:rsidP="002914FA">
            <w:pPr>
              <w:spacing w:line="240" w:lineRule="auto"/>
            </w:pPr>
            <w:r w:rsidRPr="00097432">
              <w:t>US</w:t>
            </w:r>
            <w:r w:rsidRPr="00097432">
              <w:rPr>
                <w:rFonts w:hint="eastAsia"/>
              </w:rPr>
              <w:t xml:space="preserve">$ </w:t>
            </w:r>
            <w:r w:rsidR="009E0F60" w:rsidRPr="00097432">
              <w:t>2.32</w:t>
            </w:r>
            <w:r w:rsidRPr="00097432">
              <w:rPr>
                <w:rFonts w:hint="eastAsia"/>
              </w:rPr>
              <w:t xml:space="preserve"> per dose</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173320D8" w14:textId="7A60D7F3" w:rsidR="009E0F60" w:rsidRPr="00097432" w:rsidRDefault="009E0F60" w:rsidP="002914FA">
            <w:pPr>
              <w:spacing w:line="240" w:lineRule="auto"/>
            </w:pPr>
            <w:r w:rsidRPr="00097432">
              <w:fldChar w:fldCharType="begin"/>
            </w:r>
            <w:r w:rsidR="00345AF1">
              <w:instrText xml:space="preserve"> ADDIN ZOTERO_ITEM CSL_CITATION {"citationID":"kpdM5hoz","properties":{"formattedCitation":"\\super 51\\nosupersub{}","plainCitation":"51","noteIndex":0},"citationItems":[{"id":"EgwuGF5k/YR7QtusJ","uris":["http://zotero.org/users/local/xDVOxgbN/items/DTMJLIS6"],"itemData":{"id":48,"type":"article-journal","abstract":"Cholera poses a substantial health burden in the developing world due to both epidemic and endemic diseases. The World Health Organization recommends oral cholera vaccines for mass vaccination campaigns in addition to traditional prevention practices and treatments in resource-poor settings. In many developing countries like Bangladesh, the major challenge behind implementing mass vaccination campaigns concerns the affordability of the oral cholera vaccine (OCV). Vaccination of children with OCV is not only an impactful approach for controlling cholera at the population level and reducing childhood morbidity but is also considered more cost-effective than vaccinating all ages. The aim of the study was to estimate the cost of an OCV campaign for children from a societal perspective using empirical study. A total of 66,311 children aged 1 to 14 years old were fully vaccinated with two doses of the OCV Shanchol while 9,035 individuals received one dose of this vaccine. The estimated societal cost per individual for full vaccination was US$ 6.11, which includes the cost of vaccine delivery estimated at US$ 1.95. The cost per single dose was estimated at US$ 2.86. The total provider cost for full vaccination was estimated at US$ 6.01 and the recipient cost at US$ 0.10. Our estimation of OCV delivery costs for children was relatively higher than what was found in a similar mass OCV campaign for all age groups, indicating that there may be additional cost factors to consider in targeted vaccine campaigns. This analysis provides useful benchmarks for the possible costs related to delivery of OCV to children and future OCV cost-effectiveness models should factor in these possible cost disparities. Attempts to reduce the cost per dose are likely to have a greater impact on the cost of similar vaccination campaigns in many resource-poor settings.","container-title":"Vaccine: X","DOI":"10.1016/j.jvacx.2022.100247","ISSN":"2590-1362","journalAbbreviation":"Vaccine X","language":"eng","note":"PMID: 36545347\nPMCID: PMC9761845","page":"100247","source":"PubMed","title":"Cost of oral cholera vaccine delivery in a mass immunization program for children in urban Bangladesh","volume":"12","author":[{"family":"Sarker","given":"Abdur Razzaque"},{"family":"Khan","given":"Ashraful Islam"},{"family":"Islam","given":"Md Taufiqul"},{"family":"Chowdhury","given":"Fahima"},{"family":"Khanam","given":"Farhana"},{"family":"Kang","given":"Sophie"},{"family":"Ahmmed","given":"Faisal"},{"family":"Im","given":"Justin"},{"family":"Kim","given":"Deok Ryun"},{"family":"Tadesse","given":"Birkneh Tilahun"},{"family":"Ahmed","given":"Tasnuva"},{"family":"Aziz","given":"Asma Binte"},{"family":"Hoque","given":"Masuma"},{"family":"Park","given":"Juyeon"},{"family":"Liu","given":"Xinxue"},{"family":"Pak","given":"Gideok"},{"family":"Zaman","given":"Khalequ"},{"family":"Marks","given":"Florian"},{"family":"Kim","given":"Jerome H."},{"family":"Clemens","given":"John D."},{"family":"Qadri","given":"Firdausi"}],"issued":{"date-parts":[["2022",12]]}}}],"schema":"https://github.com/citation-style-language/schema/raw/master/csl-citation.json"} </w:instrText>
            </w:r>
            <w:r w:rsidRPr="00097432">
              <w:fldChar w:fldCharType="separate"/>
            </w:r>
            <w:r w:rsidR="00345AF1" w:rsidRPr="00345AF1">
              <w:rPr>
                <w:rFonts w:cs="Times New Roman"/>
                <w:vertAlign w:val="superscript"/>
              </w:rPr>
              <w:t>51</w:t>
            </w:r>
            <w:r w:rsidRPr="00097432">
              <w:fldChar w:fldCharType="end"/>
            </w:r>
          </w:p>
        </w:tc>
      </w:tr>
      <w:tr w:rsidR="009E0F60" w:rsidRPr="00097432" w14:paraId="7DFB77D1" w14:textId="77777777" w:rsidTr="00F31227">
        <w:trPr>
          <w:trHeight w:val="267"/>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2F0F4C11" w14:textId="77777777" w:rsidR="009E0F60" w:rsidRPr="00097432" w:rsidRDefault="009E0F60" w:rsidP="002914FA">
            <w:pPr>
              <w:spacing w:line="240" w:lineRule="auto"/>
            </w:pPr>
            <w:r w:rsidRPr="00097432">
              <w:t>Vaccine shipping cost</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78E5F054" w14:textId="2BF32B3A" w:rsidR="009E0F60" w:rsidRPr="00097432" w:rsidRDefault="00124F65" w:rsidP="002914FA">
            <w:pPr>
              <w:spacing w:line="240" w:lineRule="auto"/>
            </w:pPr>
            <w:r w:rsidRPr="00097432">
              <w:t>US</w:t>
            </w:r>
            <w:r w:rsidRPr="00097432">
              <w:rPr>
                <w:rFonts w:hint="eastAsia"/>
              </w:rPr>
              <w:t xml:space="preserve">$ </w:t>
            </w:r>
            <w:r w:rsidR="009E0F60" w:rsidRPr="00097432">
              <w:t>0.06</w:t>
            </w:r>
            <w:r w:rsidRPr="00097432">
              <w:rPr>
                <w:rFonts w:hint="eastAsia"/>
              </w:rPr>
              <w:t xml:space="preserve"> per dose</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2841C3A6" w14:textId="79440E7D" w:rsidR="009E0F60" w:rsidRPr="00097432" w:rsidRDefault="009E0F60" w:rsidP="002914FA">
            <w:pPr>
              <w:spacing w:line="240" w:lineRule="auto"/>
            </w:pPr>
            <w:r w:rsidRPr="00097432">
              <w:fldChar w:fldCharType="begin"/>
            </w:r>
            <w:r w:rsidR="00345AF1">
              <w:instrText xml:space="preserve"> ADDIN ZOTERO_ITEM CSL_CITATION {"citationID":"1GcOTK6s","properties":{"formattedCitation":"\\super 52\\nosupersub{}","plainCitation":"52","noteIndex":0},"citationItems":[{"id":"EgwuGF5k/wp8FKPxt","uris":["http://zotero.org/users/local/xDVOxgbN/items/97GK8G7I"],"itemData":{"id":180,"type":"report","title":"Emergency stockpile availability - oral cholera vaccine","URL":"https://www.unicef.org/supply/media/22091/file/EmergencyStockpileAvailabilityReportOCV11112024.pdf","author":[{"literal":"UNICEF"}],"issued":{"date-parts":[["2024",11,11]]}}}],"schema":"https://github.com/citation-style-language/schema/raw/master/csl-citation.json"} </w:instrText>
            </w:r>
            <w:r w:rsidRPr="00097432">
              <w:fldChar w:fldCharType="separate"/>
            </w:r>
            <w:r w:rsidR="00345AF1" w:rsidRPr="00345AF1">
              <w:rPr>
                <w:rFonts w:cs="Times New Roman"/>
                <w:vertAlign w:val="superscript"/>
              </w:rPr>
              <w:t>52</w:t>
            </w:r>
            <w:r w:rsidRPr="00097432">
              <w:fldChar w:fldCharType="end"/>
            </w:r>
          </w:p>
        </w:tc>
      </w:tr>
      <w:tr w:rsidR="009E0F60" w:rsidRPr="00097432" w14:paraId="32FA29E2" w14:textId="77777777" w:rsidTr="00F31227">
        <w:trPr>
          <w:trHeight w:val="231"/>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652504E1" w14:textId="77777777" w:rsidR="009E0F60" w:rsidRPr="00097432" w:rsidRDefault="009E0F60" w:rsidP="002914FA">
            <w:pPr>
              <w:spacing w:line="240" w:lineRule="auto"/>
            </w:pPr>
            <w:r w:rsidRPr="00097432">
              <w:t>Cost to patient for cholera hospitalization and outpatient services</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583914C9" w14:textId="1FF805E3" w:rsidR="009E0F60" w:rsidRPr="00097432" w:rsidRDefault="009E0F60" w:rsidP="002914FA">
            <w:pPr>
              <w:spacing w:line="240" w:lineRule="auto"/>
            </w:pPr>
            <w:r w:rsidRPr="00097432">
              <w:t>US</w:t>
            </w:r>
            <w:r w:rsidR="00B42B4E" w:rsidRPr="00097432">
              <w:rPr>
                <w:rFonts w:hint="eastAsia"/>
              </w:rPr>
              <w:t>$</w:t>
            </w:r>
            <w:r w:rsidR="00A75DA3" w:rsidRPr="00097432">
              <w:t xml:space="preserve"> </w:t>
            </w:r>
            <w:r w:rsidRPr="00097432">
              <w:t>109.32 and US</w:t>
            </w:r>
            <w:r w:rsidR="00B42B4E" w:rsidRPr="00097432">
              <w:rPr>
                <w:rFonts w:hint="eastAsia"/>
              </w:rPr>
              <w:t>$</w:t>
            </w:r>
            <w:r w:rsidR="00A75DA3" w:rsidRPr="00097432">
              <w:t xml:space="preserve"> </w:t>
            </w:r>
            <w:r w:rsidRPr="00097432">
              <w:t>16.06</w:t>
            </w:r>
            <w:r w:rsidR="00124F65" w:rsidRPr="00097432">
              <w:rPr>
                <w:rFonts w:hint="eastAsia"/>
              </w:rPr>
              <w:t xml:space="preserve"> per patient</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20DF5630" w14:textId="032D6DBD" w:rsidR="009E0F60" w:rsidRPr="00097432" w:rsidRDefault="009E0F60" w:rsidP="002914FA">
            <w:pPr>
              <w:spacing w:line="240" w:lineRule="auto"/>
            </w:pPr>
            <w:r w:rsidRPr="00097432">
              <w:fldChar w:fldCharType="begin"/>
            </w:r>
            <w:r w:rsidR="00345AF1">
              <w:instrText xml:space="preserve"> ADDIN ZOTERO_ITEM CSL_CITATION {"citationID":"kRquHjg2","properties":{"formattedCitation":"\\super 53\\nosupersub{}","plainCitation":"53","noteIndex":0},"citationItems":[{"id":"EgwuGF5k/nNSqVHr3","uris":["http://zotero.org/users/local/xDVOxgbN/items/QF5FTZ85"],"itemData":{"id":51,"type":"article-journal","abstract":"Objectives\n              To estimate the economic burden of cholera in Africa.\n            \n            \n              Settings\n              Cholera affected 44 countries in Africa.\n            \n            \n              Participants\n              The analysis used data from public sources in Africa published until September 2019.\n            \n            \n              Methods\n              Based on existing data from field-based cost-of-illness studies, estimated cholera incidence rates, and reported cholera cases to WHO, this research estimates the economic burden of cholera in Africa from a societal perspective with 2015 as the base year. The estimate included out-of-pocket costs, public health system costs, productivity loss related to illness and an optional productivity loss related to premature deaths valued by the human capital approach. As various input data such as cholera incidence, hospitalisation rates and the number of workdays lost were not well defined, a series of scenario analyses and uncertainty analyses, accounting for unknowns and data variability, was conducted. Similarly, the value of time lost due to illness and deaths using the human capital approach was explored through scenario analyses.\n            \n            \n              Results\n              In 2015, an estimated 1</w:instrText>
            </w:r>
            <w:r w:rsidR="00345AF1">
              <w:rPr>
                <w:rFonts w:ascii="Arial" w:hAnsi="Arial"/>
              </w:rPr>
              <w:instrText> </w:instrText>
            </w:r>
            <w:r w:rsidR="00345AF1">
              <w:instrText>008</w:instrText>
            </w:r>
            <w:r w:rsidR="00345AF1">
              <w:rPr>
                <w:rFonts w:ascii="Arial" w:hAnsi="Arial"/>
              </w:rPr>
              <w:instrText> </w:instrText>
            </w:r>
            <w:r w:rsidR="00345AF1">
              <w:instrText>642 cases in 44 African countries resulted in an economic burden of US$130</w:instrText>
            </w:r>
            <w:r w:rsidR="00345AF1">
              <w:rPr>
                <w:rFonts w:ascii="Arial" w:hAnsi="Arial"/>
              </w:rPr>
              <w:instrText> </w:instrText>
            </w:r>
            <w:r w:rsidR="00345AF1">
              <w:instrText>million from cholera-related illness and its treatment. When the estimated 38</w:instrText>
            </w:r>
            <w:r w:rsidR="00345AF1">
              <w:rPr>
                <w:rFonts w:ascii="Arial" w:hAnsi="Arial"/>
              </w:rPr>
              <w:instrText> </w:instrText>
            </w:r>
            <w:r w:rsidR="00345AF1">
              <w:instrText>104 cholera deaths were included in the analysis, the economic burden increased to US$1</w:instrText>
            </w:r>
            <w:r w:rsidR="00345AF1">
              <w:rPr>
                <w:rFonts w:ascii="Arial" w:hAnsi="Arial"/>
              </w:rPr>
              <w:instrText> </w:instrText>
            </w:r>
            <w:r w:rsidR="00345AF1">
              <w:instrText>billion or international $2.4</w:instrText>
            </w:r>
            <w:r w:rsidR="00345AF1">
              <w:rPr>
                <w:rFonts w:ascii="Arial" w:hAnsi="Arial"/>
              </w:rPr>
              <w:instrText> </w:instrText>
            </w:r>
            <w:r w:rsidR="00345AF1">
              <w:instrText>billion for the same year. At the same time, when only the 71</w:instrText>
            </w:r>
            <w:r w:rsidR="00345AF1">
              <w:rPr>
                <w:rFonts w:ascii="Arial" w:hAnsi="Arial"/>
              </w:rPr>
              <w:instrText> </w:instrText>
            </w:r>
            <w:r w:rsidR="00345AF1">
              <w:instrText>126 cases and 937 deaths reported to the WHO are considered, the economic burden was only US$68</w:instrText>
            </w:r>
            <w:r w:rsidR="00345AF1">
              <w:rPr>
                <w:rFonts w:ascii="Arial" w:hAnsi="Arial"/>
              </w:rPr>
              <w:instrText> </w:instrText>
            </w:r>
            <w:r w:rsidR="00345AF1">
              <w:instrText>million for the year 2015. The estimates of economic burden are thus heavily dependent on the cholera incidence rate, how time lost due to illness and deaths are calculated, hospitalisation rates and hospitalisation costs.\n            \n            \n              Conclusion\n              The findings can be used as an economic justification for cholera control in Africa and for generating value-for-money evidence to underpin Ending Cholera</w:instrText>
            </w:r>
            <w:r w:rsidR="00345AF1">
              <w:rPr>
                <w:rFonts w:cs="Aptos"/>
              </w:rPr>
              <w:instrText>—</w:instrText>
            </w:r>
            <w:r w:rsidR="00345AF1">
              <w:instrText xml:space="preserve">A Global Roadmap to 2030 with considerations to study limitations.","container-title":"BMJ Open","DOI":"10.1136/bmjopen-2020-044615","ISSN":"2044-6055, 2044-6055","issue":"3","journalAbbreviation":"BMJ Open","language":"en","page":"e044615","source":"DOI.org (Crossref)","title":"Model-based estimation of the economic burden of cholera in Africa","volume":"11","author":[{"family":"Mogasale","given":"Vittal"},{"family":"Ngogoyo","given":"Samuel Mwaura"},{"family":"Mogasale","given":"Vijayalaxmi V"}],"issued":{"date-parts":[["2021",3]]}}}],"schema":"https://github.com/citation-style-language/schema/raw/master/csl-citation.json"} </w:instrText>
            </w:r>
            <w:r w:rsidRPr="00097432">
              <w:fldChar w:fldCharType="separate"/>
            </w:r>
            <w:r w:rsidR="00345AF1" w:rsidRPr="00345AF1">
              <w:rPr>
                <w:rFonts w:cs="Times New Roman"/>
                <w:vertAlign w:val="superscript"/>
              </w:rPr>
              <w:t>53</w:t>
            </w:r>
            <w:r w:rsidRPr="00097432">
              <w:fldChar w:fldCharType="end"/>
            </w:r>
          </w:p>
        </w:tc>
      </w:tr>
      <w:tr w:rsidR="009E0F60" w:rsidRPr="00097432" w14:paraId="32C46DF0" w14:textId="77777777" w:rsidTr="00F31227">
        <w:trPr>
          <w:trHeight w:val="600"/>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362B306F" w14:textId="77777777" w:rsidR="009E0F60" w:rsidRPr="00097432" w:rsidRDefault="009E0F60" w:rsidP="002914FA">
            <w:pPr>
              <w:spacing w:line="240" w:lineRule="auto"/>
            </w:pPr>
            <w:r w:rsidRPr="00097432">
              <w:t>Cost to public system for cholera hospitalization and outpatient services</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31EDDD07" w14:textId="7CB56EDF" w:rsidR="009E0F60" w:rsidRPr="00097432" w:rsidRDefault="009E0F60" w:rsidP="002914FA">
            <w:pPr>
              <w:spacing w:line="240" w:lineRule="auto"/>
            </w:pPr>
            <w:r w:rsidRPr="00097432">
              <w:t>US</w:t>
            </w:r>
            <w:r w:rsidR="00B42B4E" w:rsidRPr="00097432">
              <w:rPr>
                <w:rFonts w:hint="eastAsia"/>
              </w:rPr>
              <w:t>$</w:t>
            </w:r>
            <w:r w:rsidR="002419C3" w:rsidRPr="00097432">
              <w:rPr>
                <w:rFonts w:hint="eastAsia"/>
              </w:rPr>
              <w:t xml:space="preserve"> </w:t>
            </w:r>
            <w:r w:rsidRPr="00097432">
              <w:t>184.97 and US</w:t>
            </w:r>
            <w:r w:rsidR="00B42B4E" w:rsidRPr="00097432">
              <w:rPr>
                <w:rFonts w:hint="eastAsia"/>
              </w:rPr>
              <w:t>$</w:t>
            </w:r>
            <w:r w:rsidR="002419C3" w:rsidRPr="00097432">
              <w:rPr>
                <w:rFonts w:hint="eastAsia"/>
              </w:rPr>
              <w:t xml:space="preserve"> </w:t>
            </w:r>
            <w:r w:rsidRPr="00097432">
              <w:t>7.99</w:t>
            </w:r>
            <w:r w:rsidR="00124F65" w:rsidRPr="00097432">
              <w:rPr>
                <w:rFonts w:hint="eastAsia"/>
              </w:rPr>
              <w:t xml:space="preserve"> per patient</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0D45330F" w14:textId="27793D08" w:rsidR="009E0F60" w:rsidRPr="00097432" w:rsidRDefault="009E0F60" w:rsidP="002914FA">
            <w:pPr>
              <w:spacing w:line="240" w:lineRule="auto"/>
            </w:pPr>
            <w:r w:rsidRPr="00097432">
              <w:fldChar w:fldCharType="begin"/>
            </w:r>
            <w:r w:rsidR="00345AF1">
              <w:instrText xml:space="preserve"> ADDIN ZOTERO_ITEM CSL_CITATION {"citationID":"zXdOPTGH","properties":{"formattedCitation":"\\super 53\\nosupersub{}","plainCitation":"53","noteIndex":0},"citationItems":[{"id":"EgwuGF5k/nNSqVHr3","uris":["http://zotero.org/users/local/xDVOxgbN/items/QF5FTZ85"],"itemData":{"id":51,"type":"article-journal","abstract":"Objectives\n              To estimate the economic burden of cholera in Africa.\n            \n            \n              Settings\n              Cholera affected 44 countries in Africa.\n            \n            \n              Participants\n              The analysis used data from public sources in Africa published until September 2019.\n            \n            \n              Methods\n              Based on existing data from field-based cost-of-illness studies, estimated cholera incidence rates, and reported cholera cases to WHO, this research estimates the economic burden of cholera in Africa from a societal perspective with 2015 as the base year. The estimate included out-of-pocket costs, public health system costs, productivity loss related to illness and an optional productivity loss related to premature deaths valued by the human capital approach. As various input data such as cholera incidence, hospitalisation rates and the number of workdays lost were not well defined, a series of scenario analyses and uncertainty analyses, accounting for unknowns and data variability, was conducted. Similarly, the value of time lost due to illness and deaths using the human capital approach was explored through scenario analyses.\n            \n            \n              Results\n              In 2015, an estimated 1</w:instrText>
            </w:r>
            <w:r w:rsidR="00345AF1">
              <w:rPr>
                <w:rFonts w:ascii="Arial" w:hAnsi="Arial"/>
              </w:rPr>
              <w:instrText> </w:instrText>
            </w:r>
            <w:r w:rsidR="00345AF1">
              <w:instrText>008</w:instrText>
            </w:r>
            <w:r w:rsidR="00345AF1">
              <w:rPr>
                <w:rFonts w:ascii="Arial" w:hAnsi="Arial"/>
              </w:rPr>
              <w:instrText> </w:instrText>
            </w:r>
            <w:r w:rsidR="00345AF1">
              <w:instrText>642 cases in 44 African countries resulted in an economic burden of US$130</w:instrText>
            </w:r>
            <w:r w:rsidR="00345AF1">
              <w:rPr>
                <w:rFonts w:ascii="Arial" w:hAnsi="Arial"/>
              </w:rPr>
              <w:instrText> </w:instrText>
            </w:r>
            <w:r w:rsidR="00345AF1">
              <w:instrText>million from cholera-related illness and its treatment. When the estimated 38</w:instrText>
            </w:r>
            <w:r w:rsidR="00345AF1">
              <w:rPr>
                <w:rFonts w:ascii="Arial" w:hAnsi="Arial"/>
              </w:rPr>
              <w:instrText> </w:instrText>
            </w:r>
            <w:r w:rsidR="00345AF1">
              <w:instrText>104 cholera deaths were included in the analysis, the economic burden increased to US$1</w:instrText>
            </w:r>
            <w:r w:rsidR="00345AF1">
              <w:rPr>
                <w:rFonts w:ascii="Arial" w:hAnsi="Arial"/>
              </w:rPr>
              <w:instrText> </w:instrText>
            </w:r>
            <w:r w:rsidR="00345AF1">
              <w:instrText>billion or international $2.4</w:instrText>
            </w:r>
            <w:r w:rsidR="00345AF1">
              <w:rPr>
                <w:rFonts w:ascii="Arial" w:hAnsi="Arial"/>
              </w:rPr>
              <w:instrText> </w:instrText>
            </w:r>
            <w:r w:rsidR="00345AF1">
              <w:instrText>billion for the same year. At the same time, when only the 71</w:instrText>
            </w:r>
            <w:r w:rsidR="00345AF1">
              <w:rPr>
                <w:rFonts w:ascii="Arial" w:hAnsi="Arial"/>
              </w:rPr>
              <w:instrText> </w:instrText>
            </w:r>
            <w:r w:rsidR="00345AF1">
              <w:instrText>126 cases and 937 deaths reported to the WHO are considered, the economic burden was only US$68</w:instrText>
            </w:r>
            <w:r w:rsidR="00345AF1">
              <w:rPr>
                <w:rFonts w:ascii="Arial" w:hAnsi="Arial"/>
              </w:rPr>
              <w:instrText> </w:instrText>
            </w:r>
            <w:r w:rsidR="00345AF1">
              <w:instrText>million for the year 2015. The estimates of economic burden are thus heavily dependent on the cholera incidence rate, how time lost due to illness and deaths are calculated, hospitalisation rates and hospitalisation costs.\n            \n            \n              Conclusion\n              The findings can be used as an economic justification for cholera control in Africa and for generating value-for-money evidence to underpin Ending Cholera</w:instrText>
            </w:r>
            <w:r w:rsidR="00345AF1">
              <w:rPr>
                <w:rFonts w:cs="Aptos"/>
              </w:rPr>
              <w:instrText>—</w:instrText>
            </w:r>
            <w:r w:rsidR="00345AF1">
              <w:instrText xml:space="preserve">A Global Roadmap to 2030 with considerations to study limitations.","container-title":"BMJ Open","DOI":"10.1136/bmjopen-2020-044615","ISSN":"2044-6055, 2044-6055","issue":"3","journalAbbreviation":"BMJ Open","language":"en","page":"e044615","source":"DOI.org (Crossref)","title":"Model-based estimation of the economic burden of cholera in Africa","volume":"11","author":[{"family":"Mogasale","given":"Vittal"},{"family":"Ngogoyo","given":"Samuel Mwaura"},{"family":"Mogasale","given":"Vijayalaxmi V"}],"issued":{"date-parts":[["2021",3]]}}}],"schema":"https://github.com/citation-style-language/schema/raw/master/csl-citation.json"} </w:instrText>
            </w:r>
            <w:r w:rsidRPr="00097432">
              <w:fldChar w:fldCharType="separate"/>
            </w:r>
            <w:r w:rsidR="00345AF1" w:rsidRPr="00345AF1">
              <w:rPr>
                <w:rFonts w:cs="Times New Roman"/>
                <w:vertAlign w:val="superscript"/>
              </w:rPr>
              <w:t>53</w:t>
            </w:r>
            <w:r w:rsidRPr="00097432">
              <w:fldChar w:fldCharType="end"/>
            </w:r>
          </w:p>
        </w:tc>
      </w:tr>
      <w:tr w:rsidR="009E0F60" w:rsidRPr="00097432" w14:paraId="72F71062" w14:textId="77777777" w:rsidTr="00F31227">
        <w:trPr>
          <w:trHeight w:val="321"/>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6CED1273" w14:textId="77777777" w:rsidR="009E0F60" w:rsidRPr="00097432" w:rsidRDefault="009E0F60" w:rsidP="002914FA">
            <w:pPr>
              <w:spacing w:line="240" w:lineRule="auto"/>
            </w:pPr>
            <w:bookmarkStart w:id="20" w:name="_Hlk203504036"/>
            <w:r w:rsidRPr="00097432">
              <w:t>Number of workdays lost to patients and caregivers</w:t>
            </w:r>
            <w:bookmarkEnd w:id="20"/>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5DE9A4C9" w14:textId="450016F1" w:rsidR="009E0F60" w:rsidRPr="00097432" w:rsidRDefault="00046B2E" w:rsidP="002914FA">
            <w:pPr>
              <w:spacing w:line="240" w:lineRule="auto"/>
            </w:pPr>
            <w:r w:rsidRPr="00097432">
              <w:rPr>
                <w:rFonts w:hint="eastAsia"/>
              </w:rPr>
              <w:t>6</w:t>
            </w:r>
            <w:r w:rsidR="009E0F60" w:rsidRPr="00097432">
              <w:t>.</w:t>
            </w:r>
            <w:r w:rsidRPr="00097432">
              <w:rPr>
                <w:rFonts w:hint="eastAsia"/>
              </w:rPr>
              <w:t>5</w:t>
            </w:r>
            <w:r w:rsidR="009E0F60" w:rsidRPr="00097432">
              <w:t xml:space="preserve"> and 3.</w:t>
            </w:r>
            <w:r w:rsidR="00426D3F" w:rsidRPr="00097432">
              <w:rPr>
                <w:rFonts w:hint="eastAsia"/>
              </w:rPr>
              <w:t>3</w:t>
            </w:r>
            <w:r w:rsidR="009E0F60" w:rsidRPr="00097432">
              <w:t xml:space="preserve"> days</w:t>
            </w:r>
            <w:r w:rsidR="00426D3F" w:rsidRPr="00097432">
              <w:rPr>
                <w:rFonts w:hint="eastAsia"/>
              </w:rPr>
              <w:t xml:space="preserve"> </w:t>
            </w:r>
            <w:r w:rsidR="00426D3F" w:rsidRPr="00097432">
              <w:t xml:space="preserve">(Supplementary Information </w:t>
            </w:r>
            <w:r w:rsidR="00426D3F" w:rsidRPr="00097432">
              <w:rPr>
                <w:b/>
                <w:bCs/>
              </w:rPr>
              <w:t>S</w:t>
            </w:r>
            <w:r w:rsidR="009206B5" w:rsidRPr="00097432">
              <w:rPr>
                <w:rFonts w:hint="eastAsia"/>
                <w:b/>
                <w:bCs/>
              </w:rPr>
              <w:t>5</w:t>
            </w:r>
            <w:r w:rsidR="00426D3F" w:rsidRPr="00097432">
              <w:t>)</w:t>
            </w:r>
            <w:r w:rsidR="00426D3F" w:rsidRPr="00097432">
              <w:rPr>
                <w:rFonts w:hint="eastAsia"/>
              </w:rPr>
              <w:t xml:space="preserve"> </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67639925" w14:textId="118FC202" w:rsidR="009E0F60" w:rsidRPr="00097432" w:rsidRDefault="00426D3F" w:rsidP="002914FA">
            <w:pPr>
              <w:spacing w:line="240" w:lineRule="auto"/>
            </w:pPr>
            <w:r w:rsidRPr="00097432">
              <w:fldChar w:fldCharType="begin"/>
            </w:r>
            <w:r w:rsidR="00345AF1">
              <w:instrText xml:space="preserve"> ADDIN ZOTERO_ITEM CSL_CITATION {"citationID":"3r7x5XVj","properties":{"formattedCitation":"\\super 54\\uc0\\u8211{}57\\nosupersub{}","plainCitation":"54–57","noteIndex":0},"citationItems":[{"id":11233,"uris":["http://zotero.org/users/7663102/items/V9W3WPPZ"],"itemData":{"id":11233,"type":"article-journal","abstract":"Cholera remains an important public health problem in many low- and middle-income countries. Vaccination has been recommended as a possible intervention for the prevention and control of cholera. Evidence, especially data on disease burden, cost-of-illness, delivery costs and cost-effectiveness to support a wider use of vaccine is still weak. This study aims at estimating the cost-of-illness of cholera to households and health facilities in Machinga and Zomba Districts, Malawi. A cross-sectional study using retrospectively collected cost data was undertaken in this investigation. One hundred patients were purposefully selected for the assessment of the household cost-of-illness and four cholera treatment centres and one health facility were selected for the assessment conducted in health facilities. Data collected for the assessment in households included direct and indirect costs borne by cholera patients and their families while only direct costs were considered for the assessment conducted in health facilities. Whenever possible, descriptive and regression analysis were used to assess difference in mean costs between groups of patients. The average costs to patients' households and health facilities for treating an episode of cholera amounted to US$65.6 and US$59.7 in 2016 for households and health facilities, respectively equivalent to international dollars (I$) 249.9 and 227.5 the same year. Costs incurred in treating a cholera episode were proportional to duration of hospital stay. Moreover, 52% of households used coping strategies to compensate for direct and indirect costs imposed by the disease. Both households and health facilities could avert significant treatment expenditures through a broader use of pre-emptive cholera vaccination. These findings have direct policy implications regarding priority investments for the prevention and control of cholera.","container-title":"PloS One","DOI":"10.1371/journal.pone.0185041","ISSN":"1932-6203","issue":"9","journalAbbreviation":"PLoS One","language":"eng","note":"PMID: 28934285\nPMCID: PMC5608291","page":"e0185041","source":"PubMed","title":"Cost-of-illness of cholera to households and health facilities in rural Malawi","volume":"12","author":[{"family":"Ilboudo","given":"Patrick G."},{"family":"Huang","given":"Xiao Xian"},{"family":"Ngwira","given":"Bagrey"},{"family":"Mwanyungwe","given":"Abel"},{"family":"Mogasale","given":"Vittal"},{"family":"Mengel","given":"Martin A."},{"family":"Cavailler","given":"Philippe"},{"family":"Gessner","given":"Bradford D."},{"family":"Le Gargasson","given":"Jean-Bernard"}],"issued":{"date-parts":[["2017"]]},"citation-key":"ilboudoCostofillnessCholeraHouseholds2017"}},{"id":15771,"uris":["http://zotero.org/users/7663102/items/ACGR2WNR"],"itemData":{"id":15771,"type":"article-journal","abstract":"INTRODUCTION: Ghana experienced its worst cholera outbreak in three decades in 2014. Evidence of cholera economic costs on affected households has been limited. This study aimed at determining economic costs on households affected by the  cholera outbreak in a Coastal Region of Ghana.\nMETHODS: Two districts; High and Low Incidence Areas (HIA and LIA) were selected in comparative cost analysis and disease impact on affected households assessed based on scientifically documented economic indicators. A total of 418 (282 HIA and 136 LIA) households that experienced at least one case of cholera infection were interviewed. Direct and indirect costs were estimated. Correlates of household's cholera infection were estimated using Tobit Regression model in STATA 13.\nRESULTS: Average direct cost to households in HIA amounted to USD 106.88, almost 2 folds higher than LIA (USD 62.02). Potential cost saving of an episode of cholera is USD 99,201.28 in LIA and raises almost 8 folds in HIA (USD 782,611.60). Households in lowest income category had the highest incidence of cholera (0.073) compared to other categories plus other factors were significant in explaining cholera incidence.\nCONCLUSIONS: The study showed considerable differences in HIA and LIA costs with higher household economic impact of cholera on the lowest income category. Results underscore the need for pragmatic policy interventions  to avert recurrent outbreaks and emphasis huge potential  cost saving with reducing  cholera cases.","container-title":"Health Economics Review","DOI":"10.1186/s13561-017-0182-2","ISSN":"2191-1991","issue":"1","journalAbbreviation":"Health Econ Rev","language":"eng","note":"PMID: 29204727\nPMCID: PMC5714944","page":"45","source":"PubMed","title":"Economic evaluation of 2014 cholera outbreak in Ghana: a household cost analysis","title-short":"Economic evaluation of 2014 cholera outbreak in Ghana","volume":"7","author":[{"family":"Awalime","given":"Dziedzom Kwesi"},{"family":"Davies-Teye","given":"Bernard Bright K."},{"family":"Vanotoo","given":"Linda A."},{"family":"Owoo","given":"Nkechi S."},{"family":"Nketiah-Amponsah","given":"Edward"}],"issued":{"date-parts":[["2017",12,4]]},"citation-key":"awalime2017"}},{"id":15762,"uris":["http://zotero.org/users/7663102/items/YQELS69B"],"itemData":{"id":15762,"type":"article-journal","abstract":"Economic analyses of cholera immunization programmes require estimates of the costs of cholera. The Diseases of the Most Impoverished programme measured the public, provider, and patient costs of culture-confirmed cholera in four study sites with endemic cholera using a combination of hospital- and community-based studies. Families with culture-proven cases were surveyed at home 7 and 14 days after confirmation of illness. Public costs were measured at local health facilities using a micro-costing methodology. Hospital-based studies found that the costs of severe cholera were USD 32 and 47 in Matlab and Beira. Community-based studies in North Jakarta and Kolkata found that cholera cases cost between USD 28 and USD 206, depending on hospitalization. Patient costs of illness as a percentage of average monthly income were 21% and 65% for hospitalized cases in Kolkata and North Jakarta, respectively. This burden on families is not captured by studies that adopt a provider perspective.","container-title":"Epidemiology and infection","DOI":"10.1017/S0950268811000513","ISSN":"0950-2688","issue":"3","journalAbbreviation":"Epidemiol Infect","note":"PMID: 21554781\nPMCID: PMC3824392","page":"10.1017/S0950268811000513","source":"PubMed Central","title":"Costs of Illness Due to Endemic Cholera","volume":"140","author":[{"family":"Poulos","given":"C."},{"family":"Riewpaiboon","given":"A."},{"family":"Stewart","given":"J.F."},{"family":"Clemens","given":"J."},{"family":"Guh","given":"S."},{"family":"Agtini","given":"M."},{"family":"Sur","given":"D."},{"family":"Islam","given":"Z."},{"family":"Lucas","given":"M."},{"family":"Whittington","given":"D."}],"issued":{"date-parts":[["2012",3]]},"citation-key":"poulos2012"}},{"id":11077,"uris":["http://zotero.org/users/7663102/items/RSS9DN2G"],"itemData":{"id":11077,"type":"article-journal","abstract":"BACKGROUND: The World Health Organization (WHO) recommends oral cholera vaccines (OCVs) as a supplementary tool to conventional prevention of cholera. Dukoral, a killed whole-cell two-dose OCV, was used in a mass vaccination campaign in 2009 in Zanzibar. Public and private costs of illness (COI) due to endemic cholera and costs of the mass vaccination campaign were estimated to assess the cost-effectiveness of OCV for this particular campaign from both the health care provider and the societal perspective.\nMETHODOLOGY/PRINCIPAL FINDINGS: Public and private COI were obtained from interviews with local experts, with patients from three outbreaks and from reports and record review. Cost data for the vaccination campaign were collected based on actual expenditure and planned budget data. A static cohort of 50,000 individuals was examined, including herd protection. Primary outcome measures were incremental cost-effectiveness ratios (ICER) per death, per case and per disability-adjusted life-year (DALY) averted. One-way sensitivity and threshold analyses were conducted. The ICER was evaluated with regard to WHO criteria for cost-effectiveness. Base-case ICERs were USD 750,000 per death averted, USD 6,000 per case averted and USD 30,000 per DALY averted, without differences between the health care provider and the societal perspective. Threshold analyses using Shanchol and assuming high incidence and case-fatality rate indicated that the purchase price per course would have to be as low as USD 1.2 to render the mass vaccination campaign cost-effective from a health care provider perspective (societal perspective: USD 1.3).\nCONCLUSIONS/SIGNIFICANCE: Based on empirical and site-specific cost and effectiveness data from Zanzibar, the 2009 mass vaccination campaign was cost-ineffective mainly due to the relatively high OCV purchase price and a relatively low incidence. However, mass vaccination campaigns in Zanzibar to control endemic cholera may meet criteria for cost-effectiveness under certain circumstances, especially in high-incidence areas and at OCV prices below USD 1.3.","container-title":"PLoS neglected tropical diseases","DOI":"10.1371/journal.pntd.0001844","ISSN":"1935-2735","issue":"10","journalAbbreviation":"PLoS Negl Trop Dis","language":"eng","note":"PMID: 23056660\nPMCID: PMC3464297","page":"e1844","source":"PubMed","title":"Costs of illness due to cholera, costs of immunization and cost-effectiveness of an oral cholera mass vaccination campaign in Zanzibar","volume":"6","author":[{"family":"Schaetti","given":"Christian"},{"family":"Weiss","given":"Mitchell G."},{"family":"Ali","given":"Said M."},{"family":"Chaignat","given":"Claire-Lise"},{"family":"Khatib","given":"Ahmed M."},{"family":"Reyburn","given":"Rita"},{"family":"Duintjer Tebbens","given":"Radboud J."},{"family":"Hutubessy","given":"Raymond"}],"issued":{"date-parts":[["2012"]]},"citation-key":"schaettiCostsIllnessDue2012"}}],"schema":"https://github.com/citation-style-language/schema/raw/master/csl-citation.json"} </w:instrText>
            </w:r>
            <w:r w:rsidRPr="00097432">
              <w:fldChar w:fldCharType="separate"/>
            </w:r>
            <w:r w:rsidR="00345AF1" w:rsidRPr="00345AF1">
              <w:rPr>
                <w:rFonts w:cs="Times New Roman"/>
                <w:vertAlign w:val="superscript"/>
              </w:rPr>
              <w:t>54–57</w:t>
            </w:r>
            <w:r w:rsidRPr="00097432">
              <w:fldChar w:fldCharType="end"/>
            </w:r>
          </w:p>
        </w:tc>
      </w:tr>
      <w:tr w:rsidR="009E0F60" w:rsidRPr="00097432" w14:paraId="01E1F358" w14:textId="77777777" w:rsidTr="000A3B2F">
        <w:trPr>
          <w:trHeight w:val="411"/>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27623D3A" w14:textId="77777777" w:rsidR="009E0F60" w:rsidRPr="00097432" w:rsidRDefault="009E0F60" w:rsidP="002914FA">
            <w:pPr>
              <w:spacing w:line="240" w:lineRule="auto"/>
            </w:pPr>
            <w:r w:rsidRPr="00097432">
              <w:t>Mean age of infection</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7ED3AAB1" w14:textId="0BFD05C6" w:rsidR="009E0F60" w:rsidRPr="00097432" w:rsidRDefault="00840303" w:rsidP="002914FA">
            <w:pPr>
              <w:spacing w:line="240" w:lineRule="auto"/>
            </w:pPr>
            <w:r w:rsidRPr="00097432">
              <w:rPr>
                <w:rFonts w:hint="eastAsia"/>
              </w:rPr>
              <w:t>25</w:t>
            </w:r>
            <w:r w:rsidR="009E0F60" w:rsidRPr="00097432">
              <w:t xml:space="preserve"> years</w:t>
            </w:r>
            <w:r w:rsidR="00F31227" w:rsidRPr="00097432">
              <w:t xml:space="preserve"> (Supplementary Information </w:t>
            </w:r>
            <w:r w:rsidR="00F31227" w:rsidRPr="00097432">
              <w:rPr>
                <w:b/>
                <w:bCs/>
              </w:rPr>
              <w:t>S</w:t>
            </w:r>
            <w:r w:rsidR="009206B5" w:rsidRPr="00097432">
              <w:rPr>
                <w:rFonts w:hint="eastAsia"/>
                <w:b/>
                <w:bCs/>
              </w:rPr>
              <w:t>6</w:t>
            </w:r>
            <w:r w:rsidR="00F31227" w:rsidRPr="00097432">
              <w:t>)</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1948333A" w14:textId="165399DB" w:rsidR="009E0F60" w:rsidRPr="00097432" w:rsidRDefault="00435373" w:rsidP="002914FA">
            <w:pPr>
              <w:spacing w:line="240" w:lineRule="auto"/>
            </w:pPr>
            <w:r w:rsidRPr="00097432">
              <w:fldChar w:fldCharType="begin"/>
            </w:r>
            <w:r w:rsidR="00345AF1">
              <w:instrText xml:space="preserve"> ADDIN ZOTERO_ITEM CSL_CITATION {"citationID":"H9OFUo3x","properties":{"formattedCitation":"\\super 58\\uc0\\u8211{}60\\nosupersub{}","plainCitation":"58–60","noteIndex":0},"citationItems":[{"id":15219,"uris":["http://zotero.org/users/7663102/items/QL96HDTE"],"itemData":{"id":15219,"type":"article-journal","abstract":"Cholera remains an important public health challenge globally. Several pandemics have occurred in different parts of the world and have been epidemiologically linked by different researchers to illustrate how the cases were spread and how they were related to index cases. Even though the risk factors associated with the 2014 cholera outbreak were investigated extensively, the link between index cases and the source of infection was not investigated to help break the transmission process. This study sought to show how the index cases from various districts of the Greater Accra Region may have been linked.","container-title":"BMC Public Health","DOI":"10.1186/s12889-017-4803-9","ISSN":"1471-2458","issue":"1","journalAbbreviation":"BMC Public Health","page":"801","source":"BioMed Central","title":"Epidemiological link of a major cholera outbreak in Greater Accra region of Ghana, 2014","volume":"17","author":[{"family":"Ohene-Adjei","given":"Kennedy"},{"family":"Kenu","given":"Ernest"},{"family":"Bandoh","given":"Delia Akosua"},{"family":"Addo","given":"Prince Nii Ossah"},{"family":"Noora","given":"Charles Lwanga"},{"family":"Nortey","given":"Priscillia"},{"family":"Afari","given":"Edwin Andrew"}],"issued":{"date-parts":[["2017",10,11]]},"citation-key":"ohene-adjeiEpidemiologicalLinkMajor2017"}},{"id":15227,"uris":["http://zotero.org/users/7663102/items/RC3T956G"],"itemData":{"id":15227,"type":"article-journal","abstract":"Background\nOral cholera vaccines represent a new effective tool to fight cholera and are licensed as two-dose regimens with 2–4 weeks between doses. Evidence from previous studies suggests that a single dose of oral cholera vaccine might provide substantial direct protection against cholera. During a cholera outbreak in May, 2015, in Juba, South Sudan, the Ministry of Health, Médecins Sans Frontières, and partners engaged in the first field deployment of a single dose of oral cholera vaccine to enhance the outbreak response. We did a vaccine effectiveness study in conjunction with this large public health intervention.\nMethods\nWe did a case-cohort study, combining information on the vaccination status and disease outcomes from a random cohort recruited from throughout the city of Juba with that from all the cases detected. Eligible cases were those aged 1 year or older on the first day of the vaccination campaign who sought care for diarrhoea at all three cholera treatment centres and seven rehydration posts throughout Juba. Confirmed cases were suspected cases who tested positive to PCR for Vibrio cholerae O1. We estimated the short-term protection (direct and indirect) conferred by one dose of cholera vaccine (Shanchol, Shantha Biotechnics, Hyderabad, India).\nFindings\nBetween Aug 9, 2015, and Sept 29, 2015, we enrolled 87 individuals with suspected cholera, and an 898-person cohort from throughout Juba. Of the 87 individuals with suspected cholera, 34 were classified as cholera positive, 52 as cholera negative, and one had indeterminate results. Of the 858 cohort members who completed a follow-up visit, none developed clinical cholera during follow-up. The unadjusted single-dose vaccine effectiveness was 80·2% (95% CI 61·5–100·0) and after adjusting for potential confounders was 87·3% (70·2–100·0).\nInterpretation\nOne dose of Shanchol was effective in preventing medically attended cholera in this study. These results support the use of a single-dose strategy in outbreaks in similar epidemiological settings.\nFunding\nMédecins Sans Frontières.","container-title":"The Lancet Global Health","DOI":"10.1016/S2214-109X(16)30211-X","ISSN":"2214-109X","issue":"11","journalAbbreviation":"The Lancet Global Health","page":"e856-e863","source":"ScienceDirect","title":"Effectiveness of one dose of oral cholera vaccine in response to an outbreak: a case-cohort study","title-short":"Effectiveness of one dose of oral cholera vaccine in response to an outbreak","volume":"4","author":[{"family":"Azman","given":"Andrew S"},{"family":"Parker","given":"Lucy A"},{"family":"Rumunu","given":"John"},{"family":"Tadesse","given":"Fisseha"},{"family":"Grandesso","given":"Francesco"},{"family":"Deng","given":"Lul L"},{"family":"Lino","given":"Richard Laku"},{"family":"Bior","given":"Bior K"},{"family":"Lasuba","given":"Michael"},{"family":"Page","given":"Anne-Laure"},{"family":"Ontweka","given":"Lameck"},{"family":"Llosa","given":"Augusto E"},{"family":"Cohuet","given":"Sandra"},{"family":"Pezzoli","given":"Lorenzo"},{"family":"Sodjinou","given":"Dossou Vincent"},{"family":"Abubakar","given":"Abdinasir"},{"family":"Debes","given":"Amanda K"},{"family":"Mpairwe","given":"Allan M"},{"family":"Wamala","given":"Joseph F"},{"family":"Jamet","given":"Christine"},{"family":"Lessler","given":"Justin"},{"family":"Sack","given":"David A"},{"family":"Quilici","given":"Marie-Laure"},{"family":"Ciglenecki","given":"Iza"},{"family":"Luquero","given":"Francisco J"}],"issued":{"date-parts":[["2016",11,1]]},"citation-key":"azmanEffectivenessOneDose2016"}},{"id":9687,"uris":["http://zotero.org/users/7663102/items/G3RTRMXR"],"itemData":{"id":9687,"type":"article-journal","abstract":"Large-scale cholera outbreaks have shown the limits of traditional response strategies.1 The devastating consequences of cholera epidemics in vulnerable populations have opened a debate about ways to improve preparedness and response plans. Two documents, issued by the World Health Organization (WHO) in 2010 and 2011, have also stimulated debate: a revised position paper regarding oral cholera vaccines2 and the prequalification of the cholera vaccine Shanchol (Shantha Biotech).3 The two oral cholera vaccines currently prequalified by the WHO are killed whole-cell Vibrio cholerae serogroup O1 vaccines: Shanchol also contains V. cholerae serogroup O139, and Dukoral (Crucell) contains a recombinant cholera toxin . . .","container-title":"New England Journal of Medicine","DOI":"10.1056/NEJMoa1312680","ISSN":"0028-4793","issue":"22","note":"publisher: Massachusetts Medical Society\n_eprint: https://doi.org/10.1056/NEJMoa1312680\nPMID: 24869721","page":"2111-2120","source":"Taylor and Francis+NEJM","title":"Use of Vibrio cholerae Vaccine in an Outbreak in Guinea","volume":"370","author":[{"family":"Luquero","given":"Francisco J."},{"family":"Grout","given":"Lise"},{"family":"Ciglenecki","given":"Iza"},{"family":"Sakoba","given":"Keita"},{"family":"Traore","given":"Bala"},{"family":"Heile","given":"Melat"},{"family":"Diallo","given":"Alpha Amadou"},{"family":"Itama","given":"Christian"},{"family":"Page","given":"Anne-Laure"},{"family":"Quilici","given":"Marie-Laure"},{"family":"Mengel","given":"Martin A."},{"family":"Eiros","given":"Jose Maria"},{"family":"Serafini","given":"Micaela"},{"family":"Legros","given":"Dominique"},{"family":"Grais","given":"Rebecca F."}],"issued":{"date-parts":[["2014",5,29]]},"citation-key":"luqueroUseVibrioCholerae2014"}}],"schema":"https://github.com/citation-style-language/schema/raw/master/csl-citation.json"} </w:instrText>
            </w:r>
            <w:r w:rsidRPr="00097432">
              <w:fldChar w:fldCharType="separate"/>
            </w:r>
            <w:r w:rsidR="00345AF1" w:rsidRPr="00345AF1">
              <w:rPr>
                <w:rFonts w:cs="Times New Roman"/>
                <w:vertAlign w:val="superscript"/>
              </w:rPr>
              <w:t>58–60</w:t>
            </w:r>
            <w:r w:rsidRPr="00097432">
              <w:fldChar w:fldCharType="end"/>
            </w:r>
          </w:p>
        </w:tc>
      </w:tr>
      <w:tr w:rsidR="009E0F60" w:rsidRPr="00097432" w14:paraId="51A20051" w14:textId="77777777" w:rsidTr="00F31227">
        <w:trPr>
          <w:trHeight w:val="20"/>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612BDE6D" w14:textId="77777777" w:rsidR="009E0F60" w:rsidRPr="00097432" w:rsidRDefault="009E0F60" w:rsidP="002914FA">
            <w:pPr>
              <w:spacing w:line="240" w:lineRule="auto"/>
            </w:pPr>
            <w:r w:rsidRPr="00097432">
              <w:t>Duration of illness</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6B00E16C" w14:textId="18FC6262" w:rsidR="009E0F60" w:rsidRPr="00097432" w:rsidRDefault="006B138A" w:rsidP="002914FA">
            <w:pPr>
              <w:spacing w:line="240" w:lineRule="auto"/>
            </w:pPr>
            <w:r w:rsidRPr="00097432">
              <w:t xml:space="preserve">2 </w:t>
            </w:r>
            <w:r w:rsidR="009E0F60" w:rsidRPr="00097432">
              <w:t>days</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1BD4E6AB" w14:textId="02D2185C" w:rsidR="009E0F60" w:rsidRPr="00097432" w:rsidRDefault="006B138A" w:rsidP="002914FA">
            <w:pPr>
              <w:spacing w:line="240" w:lineRule="auto"/>
              <w:rPr>
                <w:lang w:val="en-US"/>
              </w:rPr>
            </w:pPr>
            <w:r w:rsidRPr="00097432">
              <w:rPr>
                <w:lang w:val="en-US"/>
              </w:rPr>
              <w:fldChar w:fldCharType="begin"/>
            </w:r>
            <w:r w:rsidR="00345AF1">
              <w:rPr>
                <w:lang w:val="en-US"/>
              </w:rPr>
              <w:instrText xml:space="preserve"> ADDIN ZOTERO_ITEM CSL_CITATION {"citationID":"RWE0UhUX","properties":{"formattedCitation":"\\super 61\\nosupersub{}","plainCitation":"61","noteIndex":0},"citationItems":[{"id":8579,"uris":["http://zotero.org/users/7663102/items/7L4JD8RL"],"itemData":{"id":8579,"type":"article-journal","abstract":"BACKGROUND: Multiple Vibrio cholerae infections in the same household are common. The objective of this study was to examine the incidence of V. cholerae infection and associated clinical symptoms in household contacts of patients with cholera and to identify risk factors for development of severe dehydration in this cohort.\nMETHODS: Household contacts of hospitalized patients with cholera were observed with frequent clinical assessments and collection of serum and rectal swab samples for culture for a period of 21 days after presentation of the index case.\nRESULTS: One-half (460 of 944) of all contacts reported diarrhea during the study period, and symptoms most frequently began 2 days after presentation of the index case. Antibiotics were used by 199 (43%) of 460 contacts with diarrhea. Results of rectal swab cultures for V. cholerae were positive for 202 (21%) of 944 contacts, and 148 (73%) infected contacts experienced diarrhea. Significant dehydration developed in 26 contacts; predictors of dehydration included vomiting, each additional day of diarrhea, and blood group O status.\nCONCLUSIONS: In urban Bangladesh, the burden of diarrheal illness among household contacts of patients with cholera is higher than was previously estimated, and prophylactic intervention is feasible, because the majority of symptomatic cases of V. cholerae infection in contacts begin soon after presentation of the index case. Re-evaluation of targeted chemoprophylaxis for household contacts of patients with cholera may be warranted.","container-title":"Clinical Infectious Diseases: An Official Publication of the Infectious Diseases Society of America","DOI":"10.1086/644779","ISSN":"1537-6591","issue":"10","journalAbbreviation":"Clin Infect Dis","language":"eng","note":"PMID: 19842974\nPMCID: PMC2783773","page":"1473-1479","source":"PubMed","title":"Clinical outcomes in household contacts of patients with cholera in Bangladesh","volume":"49","author":[{"family":"Weil","given":"Ana A."},{"family":"Khan","given":"Ashraful I."},{"family":"Chowdhury","given":"Fahima"},{"family":"Larocque","given":"Regina C."},{"family":"Faruque","given":"A. S. G."},{"family":"Ryan","given":"Edward T."},{"family":"Calderwood","given":"Stephen B."},{"family":"Qadri","given":"Firdausi"},{"family":"Harris","given":"Jason B."}],"issued":{"date-parts":[["2009",11,15]]},"citation-key":"weilClinicalOutcomesHousehold2009"}}],"schema":"https://github.com/citation-style-language/schema/raw/master/csl-citation.json"} </w:instrText>
            </w:r>
            <w:r w:rsidRPr="00097432">
              <w:rPr>
                <w:lang w:val="en-US"/>
              </w:rPr>
              <w:fldChar w:fldCharType="separate"/>
            </w:r>
            <w:r w:rsidR="00345AF1" w:rsidRPr="00345AF1">
              <w:rPr>
                <w:rFonts w:cs="Times New Roman"/>
                <w:vertAlign w:val="superscript"/>
              </w:rPr>
              <w:t>61</w:t>
            </w:r>
            <w:r w:rsidRPr="00097432">
              <w:rPr>
                <w:lang w:val="en-US"/>
              </w:rPr>
              <w:fldChar w:fldCharType="end"/>
            </w:r>
          </w:p>
        </w:tc>
      </w:tr>
      <w:tr w:rsidR="009E0F60" w:rsidRPr="00097432" w14:paraId="0CD45435" w14:textId="77777777" w:rsidTr="00F31227">
        <w:trPr>
          <w:trHeight w:val="20"/>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0570D882" w14:textId="72FC834B" w:rsidR="009E0F60" w:rsidRPr="00097432" w:rsidRDefault="009E0F60" w:rsidP="002914FA">
            <w:pPr>
              <w:spacing w:line="240" w:lineRule="auto"/>
            </w:pPr>
            <w:r w:rsidRPr="00097432">
              <w:t xml:space="preserve">Life expectancy at </w:t>
            </w:r>
            <w:r w:rsidR="00704994" w:rsidRPr="00097432">
              <w:rPr>
                <w:rFonts w:hint="eastAsia"/>
              </w:rPr>
              <w:t>a given age</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552EA6B4" w14:textId="1D6C0BA3" w:rsidR="009E0F60" w:rsidRPr="00097432" w:rsidRDefault="009E0F60" w:rsidP="002914FA">
            <w:pPr>
              <w:spacing w:line="240" w:lineRule="auto"/>
            </w:pPr>
            <w:r w:rsidRPr="00097432">
              <w:t>Varies by year and country</w:t>
            </w:r>
            <w:r w:rsidR="00C064B8" w:rsidRPr="00097432">
              <w:rPr>
                <w:rFonts w:hint="eastAsia"/>
              </w:rPr>
              <w:t>; 4</w:t>
            </w:r>
            <w:r w:rsidR="000A3B2F" w:rsidRPr="00097432">
              <w:rPr>
                <w:rFonts w:hint="eastAsia"/>
              </w:rPr>
              <w:t xml:space="preserve">2.7 [IQR: </w:t>
            </w:r>
            <w:r w:rsidR="000B5A14" w:rsidRPr="00097432">
              <w:rPr>
                <w:rFonts w:hint="eastAsia"/>
              </w:rPr>
              <w:t>42.2, IQR: 42.2</w:t>
            </w:r>
            <w:r w:rsidR="000A3B2F" w:rsidRPr="00097432">
              <w:rPr>
                <w:rFonts w:hint="eastAsia"/>
              </w:rPr>
              <w:t>]</w:t>
            </w:r>
            <w:r w:rsidR="00C064B8" w:rsidRPr="00097432">
              <w:rPr>
                <w:rFonts w:hint="eastAsia"/>
              </w:rPr>
              <w:t xml:space="preserve"> year of life expectancy for </w:t>
            </w:r>
            <w:r w:rsidR="00FD2750" w:rsidRPr="00097432">
              <w:t>25-year-olds</w:t>
            </w:r>
            <w:r w:rsidR="000B5A14" w:rsidRPr="00097432">
              <w:rPr>
                <w:rFonts w:hint="eastAsia"/>
              </w:rPr>
              <w:t xml:space="preserve"> during </w:t>
            </w:r>
            <w:r w:rsidR="00C064B8" w:rsidRPr="00097432">
              <w:rPr>
                <w:rFonts w:hint="eastAsia"/>
              </w:rPr>
              <w:t>2010</w:t>
            </w:r>
            <w:r w:rsidR="000B5A14" w:rsidRPr="00097432">
              <w:rPr>
                <w:rFonts w:hint="eastAsia"/>
              </w:rPr>
              <w:t>-2020</w:t>
            </w:r>
            <w:r w:rsidR="00C064B8" w:rsidRPr="00097432">
              <w:rPr>
                <w:rFonts w:hint="eastAsia"/>
              </w:rPr>
              <w:t>.</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79BE190F" w14:textId="2EA27277" w:rsidR="009E0F60" w:rsidRPr="00097432" w:rsidRDefault="009E0F60" w:rsidP="002914FA">
            <w:pPr>
              <w:spacing w:line="240" w:lineRule="auto"/>
            </w:pPr>
            <w:r w:rsidRPr="00097432">
              <w:fldChar w:fldCharType="begin"/>
            </w:r>
            <w:r w:rsidR="00345AF1">
              <w:instrText xml:space="preserve"> ADDIN ZOTERO_ITEM CSL_CITATION {"citationID":"4nYdmZTD","properties":{"formattedCitation":"\\super 62\\nosupersub{}","plainCitation":"62","noteIndex":0},"citationItems":[{"id":"EgwuGF5k/6leJb187","uris":["http://zotero.org/users/local/xDVOxgbN/items/3FE5DRB2"],"itemData":{"id":182,"type":"dataset","title":"World Population Prospects 2024, Online Edition","URL":"https://population.un.org/wpp/Download/Standard/Mortality/","author":[{"literal":"United Nations, Department of Economic and Social Affairs, Population Division"}],"issued":{"date-parts":[["2024"]]}}}],"schema":"https://github.com/citation-style-language/schema/raw/master/csl-citation.json"} </w:instrText>
            </w:r>
            <w:r w:rsidRPr="00097432">
              <w:fldChar w:fldCharType="separate"/>
            </w:r>
            <w:r w:rsidR="00345AF1" w:rsidRPr="00345AF1">
              <w:rPr>
                <w:rFonts w:cs="Times New Roman"/>
                <w:vertAlign w:val="superscript"/>
              </w:rPr>
              <w:t>62</w:t>
            </w:r>
            <w:r w:rsidRPr="00097432">
              <w:fldChar w:fldCharType="end"/>
            </w:r>
          </w:p>
        </w:tc>
      </w:tr>
      <w:tr w:rsidR="009E0F60" w:rsidRPr="00097432" w14:paraId="70D64914" w14:textId="77777777" w:rsidTr="00F31227">
        <w:trPr>
          <w:trHeight w:val="20"/>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00FFB387" w14:textId="5B7B26A5" w:rsidR="009E0F60" w:rsidRPr="00097432" w:rsidRDefault="009E0F60" w:rsidP="002914FA">
            <w:pPr>
              <w:spacing w:line="240" w:lineRule="auto"/>
            </w:pPr>
            <w:r w:rsidRPr="00097432">
              <w:t xml:space="preserve">Age distribution </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6C96E389" w14:textId="0E3FB1AD" w:rsidR="009E0F60" w:rsidRPr="00097432" w:rsidRDefault="009E0F60" w:rsidP="002914FA">
            <w:pPr>
              <w:spacing w:line="240" w:lineRule="auto"/>
            </w:pPr>
            <w:r w:rsidRPr="00097432">
              <w:t>Varies by year and country</w:t>
            </w:r>
            <w:r w:rsidR="00B752FA" w:rsidRPr="00097432">
              <w:rPr>
                <w:rFonts w:hint="eastAsia"/>
              </w:rPr>
              <w:t>; 1</w:t>
            </w:r>
            <w:r w:rsidR="00E85B7A" w:rsidRPr="00097432">
              <w:rPr>
                <w:rFonts w:hint="eastAsia"/>
              </w:rPr>
              <w:t>6.4</w:t>
            </w:r>
            <w:r w:rsidR="00B752FA" w:rsidRPr="00097432">
              <w:rPr>
                <w:rFonts w:hint="eastAsia"/>
              </w:rPr>
              <w:t>%</w:t>
            </w:r>
            <w:r w:rsidR="002612A7" w:rsidRPr="00097432">
              <w:rPr>
                <w:rFonts w:hint="eastAsia"/>
              </w:rPr>
              <w:t xml:space="preserve"> [IQR: </w:t>
            </w:r>
            <w:r w:rsidR="00E85B7A" w:rsidRPr="00097432">
              <w:rPr>
                <w:rFonts w:hint="eastAsia"/>
              </w:rPr>
              <w:t>16.0, 16.9</w:t>
            </w:r>
            <w:r w:rsidR="002612A7" w:rsidRPr="00097432">
              <w:rPr>
                <w:rFonts w:hint="eastAsia"/>
              </w:rPr>
              <w:t>]</w:t>
            </w:r>
            <w:r w:rsidR="00B752FA" w:rsidRPr="00097432">
              <w:rPr>
                <w:rFonts w:hint="eastAsia"/>
              </w:rPr>
              <w:t xml:space="preserve"> of the population is under five </w:t>
            </w:r>
            <w:r w:rsidR="000A3B2F" w:rsidRPr="00097432">
              <w:rPr>
                <w:rFonts w:hint="eastAsia"/>
              </w:rPr>
              <w:t>during</w:t>
            </w:r>
            <w:r w:rsidR="00B752FA" w:rsidRPr="00097432">
              <w:rPr>
                <w:rFonts w:hint="eastAsia"/>
              </w:rPr>
              <w:t xml:space="preserve"> 2010</w:t>
            </w:r>
            <w:r w:rsidR="000A3B2F" w:rsidRPr="00097432">
              <w:rPr>
                <w:rFonts w:hint="eastAsia"/>
              </w:rPr>
              <w:t xml:space="preserve"> - 2020</w:t>
            </w:r>
            <w:r w:rsidR="00B752FA" w:rsidRPr="00097432">
              <w:rPr>
                <w:rFonts w:hint="eastAsia"/>
              </w:rPr>
              <w:t>.</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73A3E006" w14:textId="3A8610BF" w:rsidR="009E0F60" w:rsidRPr="00097432" w:rsidRDefault="009E0F60" w:rsidP="002914FA">
            <w:pPr>
              <w:spacing w:line="240" w:lineRule="auto"/>
            </w:pPr>
            <w:r w:rsidRPr="00097432">
              <w:fldChar w:fldCharType="begin"/>
            </w:r>
            <w:r w:rsidR="00345AF1">
              <w:instrText xml:space="preserve"> ADDIN ZOTERO_ITEM CSL_CITATION {"citationID":"iv5Ferq7","properties":{"formattedCitation":"\\super 62\\nosupersub{}","plainCitation":"62","noteIndex":0},"citationItems":[{"id":"EgwuGF5k/6leJb187","uris":["http://zotero.org/users/local/xDVOxgbN/items/3FE5DRB2"],"itemData":{"id":182,"type":"dataset","title":"World Population Prospects 2024, Online Edition","URL":"https://population.un.org/wpp/Download/Standard/Mortality/","author":[{"literal":"United Nations, Department of Economic and Social Affairs, Population Division"}],"issued":{"date-parts":[["2024"]]}}}],"schema":"https://github.com/citation-style-language/schema/raw/master/csl-citation.json"} </w:instrText>
            </w:r>
            <w:r w:rsidRPr="00097432">
              <w:fldChar w:fldCharType="separate"/>
            </w:r>
            <w:r w:rsidR="00345AF1" w:rsidRPr="00345AF1">
              <w:rPr>
                <w:rFonts w:cs="Times New Roman"/>
                <w:vertAlign w:val="superscript"/>
              </w:rPr>
              <w:t>62</w:t>
            </w:r>
            <w:r w:rsidRPr="00097432">
              <w:fldChar w:fldCharType="end"/>
            </w:r>
          </w:p>
        </w:tc>
      </w:tr>
      <w:tr w:rsidR="009E0F60" w:rsidRPr="00097432" w14:paraId="10CE8787" w14:textId="77777777" w:rsidTr="00F31227">
        <w:trPr>
          <w:trHeight w:val="258"/>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0F0FEDD5" w14:textId="77777777" w:rsidR="009E0F60" w:rsidRPr="00097432" w:rsidRDefault="009E0F60" w:rsidP="002914FA">
            <w:pPr>
              <w:spacing w:line="240" w:lineRule="auto"/>
            </w:pPr>
            <w:r w:rsidRPr="00097432">
              <w:t>Gross Domestic Product (GDP)</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7123BC93" w14:textId="13D91183" w:rsidR="009E0F60" w:rsidRPr="00097432" w:rsidRDefault="009E0F60" w:rsidP="000A3B2F">
            <w:pPr>
              <w:spacing w:line="240" w:lineRule="auto"/>
            </w:pPr>
            <w:r w:rsidRPr="00097432">
              <w:t>Varies by year and country</w:t>
            </w:r>
            <w:r w:rsidR="00B752FA" w:rsidRPr="00097432">
              <w:rPr>
                <w:rFonts w:hint="eastAsia"/>
              </w:rPr>
              <w:t>; 1</w:t>
            </w:r>
            <w:r w:rsidR="000A3B2F" w:rsidRPr="00097432">
              <w:rPr>
                <w:rFonts w:hint="eastAsia"/>
              </w:rPr>
              <w:t xml:space="preserve"> </w:t>
            </w:r>
            <w:r w:rsidR="00B752FA" w:rsidRPr="00097432">
              <w:rPr>
                <w:rFonts w:hint="eastAsia"/>
              </w:rPr>
              <w:t xml:space="preserve">665 </w:t>
            </w:r>
            <w:r w:rsidR="002612A7" w:rsidRPr="00097432">
              <w:rPr>
                <w:rFonts w:hint="eastAsia"/>
              </w:rPr>
              <w:t>[</w:t>
            </w:r>
            <w:r w:rsidR="000A3B2F" w:rsidRPr="00097432">
              <w:rPr>
                <w:rFonts w:hint="eastAsia"/>
              </w:rPr>
              <w:t xml:space="preserve">IQR: </w:t>
            </w:r>
            <w:r w:rsidR="000A3B2F" w:rsidRPr="00097432">
              <w:rPr>
                <w:lang w:val="en-US"/>
              </w:rPr>
              <w:t>1</w:t>
            </w:r>
            <w:r w:rsidR="000A3B2F" w:rsidRPr="00097432">
              <w:rPr>
                <w:rFonts w:hint="eastAsia"/>
                <w:lang w:val="en-US"/>
              </w:rPr>
              <w:t xml:space="preserve"> </w:t>
            </w:r>
            <w:r w:rsidR="000A3B2F" w:rsidRPr="00097432">
              <w:rPr>
                <w:lang w:val="en-US"/>
              </w:rPr>
              <w:t>621</w:t>
            </w:r>
            <w:r w:rsidR="000A3B2F" w:rsidRPr="00097432">
              <w:rPr>
                <w:rFonts w:hint="eastAsia"/>
                <w:lang w:val="en-US"/>
              </w:rPr>
              <w:t xml:space="preserve">, </w:t>
            </w:r>
            <w:r w:rsidR="000A3B2F" w:rsidRPr="00097432">
              <w:rPr>
                <w:lang w:val="en-US"/>
              </w:rPr>
              <w:t>1</w:t>
            </w:r>
            <w:r w:rsidR="000A3B2F" w:rsidRPr="00097432">
              <w:rPr>
                <w:rFonts w:hint="eastAsia"/>
                <w:lang w:val="en-US"/>
              </w:rPr>
              <w:t xml:space="preserve"> </w:t>
            </w:r>
            <w:r w:rsidR="000A3B2F" w:rsidRPr="00097432">
              <w:rPr>
                <w:lang w:val="en-US"/>
              </w:rPr>
              <w:t>706</w:t>
            </w:r>
            <w:r w:rsidR="002612A7" w:rsidRPr="00097432">
              <w:rPr>
                <w:rFonts w:hint="eastAsia"/>
              </w:rPr>
              <w:t>]</w:t>
            </w:r>
            <w:r w:rsidR="000A3B2F" w:rsidRPr="00097432">
              <w:rPr>
                <w:rFonts w:hint="eastAsia"/>
              </w:rPr>
              <w:t xml:space="preserve"> </w:t>
            </w:r>
            <w:r w:rsidR="00B752FA" w:rsidRPr="00097432">
              <w:rPr>
                <w:rFonts w:hint="eastAsia"/>
              </w:rPr>
              <w:t xml:space="preserve">US$ </w:t>
            </w:r>
            <w:r w:rsidR="000A3B2F" w:rsidRPr="00097432">
              <w:rPr>
                <w:rFonts w:hint="eastAsia"/>
              </w:rPr>
              <w:t>during 2010-2020</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2055A603" w14:textId="17F74589" w:rsidR="009E0F60" w:rsidRPr="00097432" w:rsidRDefault="009E0F60" w:rsidP="002914FA">
            <w:pPr>
              <w:spacing w:line="240" w:lineRule="auto"/>
            </w:pPr>
            <w:r w:rsidRPr="00097432">
              <w:fldChar w:fldCharType="begin"/>
            </w:r>
            <w:r w:rsidR="00345AF1">
              <w:instrText xml:space="preserve"> ADDIN ZOTERO_ITEM CSL_CITATION {"citationID":"Jra589pD","properties":{"formattedCitation":"\\super 63\\nosupersub{}","plainCitation":"63","noteIndex":0},"citationItems":[{"id":"EgwuGF5k/xbAzyDr0","uris":["http://zotero.org/users/local/xDVOxgbN/items/G7M42ZDC"],"itemData":{"id":183,"type":"dataset","title":"GDP per capita (current US$)","URL":"https://data.worldbank.org/indicator/NY.GDP.PCAP.CD","author":[{"literal":"World Bank Group"}]}}],"schema":"https://github.com/citation-style-language/schema/raw/master/csl-citation.json"} </w:instrText>
            </w:r>
            <w:r w:rsidRPr="00097432">
              <w:fldChar w:fldCharType="separate"/>
            </w:r>
            <w:r w:rsidR="00345AF1" w:rsidRPr="00345AF1">
              <w:rPr>
                <w:rFonts w:cs="Times New Roman"/>
                <w:vertAlign w:val="superscript"/>
              </w:rPr>
              <w:t>63</w:t>
            </w:r>
            <w:r w:rsidRPr="00097432">
              <w:fldChar w:fldCharType="end"/>
            </w:r>
          </w:p>
        </w:tc>
      </w:tr>
      <w:tr w:rsidR="009E0F60" w:rsidRPr="00097432" w14:paraId="202B5DC3" w14:textId="77777777" w:rsidTr="000B5A14">
        <w:trPr>
          <w:trHeight w:val="636"/>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40353E5B" w14:textId="1AB0FF86" w:rsidR="009E0F60" w:rsidRPr="00097432" w:rsidRDefault="005627AF" w:rsidP="002914FA">
            <w:pPr>
              <w:spacing w:line="240" w:lineRule="auto"/>
            </w:pPr>
            <w:r w:rsidRPr="00097432">
              <w:rPr>
                <w:rFonts w:hint="eastAsia"/>
              </w:rPr>
              <w:t>P</w:t>
            </w:r>
            <w:r w:rsidR="009E0F60" w:rsidRPr="00097432">
              <w:t>opulation in workforce</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55A60A2A" w14:textId="75599014" w:rsidR="009E0F60" w:rsidRPr="00097432" w:rsidRDefault="009E0F60" w:rsidP="002914FA">
            <w:pPr>
              <w:spacing w:line="240" w:lineRule="auto"/>
            </w:pPr>
            <w:r w:rsidRPr="00097432">
              <w:t>Varies by year and country</w:t>
            </w:r>
            <w:r w:rsidR="00300523" w:rsidRPr="00097432">
              <w:rPr>
                <w:rFonts w:hint="eastAsia"/>
              </w:rPr>
              <w:t>; around 6</w:t>
            </w:r>
            <w:r w:rsidR="000A3B2F" w:rsidRPr="00097432">
              <w:rPr>
                <w:rFonts w:hint="eastAsia"/>
              </w:rPr>
              <w:t>8.1</w:t>
            </w:r>
            <w:r w:rsidR="00300523" w:rsidRPr="00097432">
              <w:rPr>
                <w:rFonts w:hint="eastAsia"/>
              </w:rPr>
              <w:t xml:space="preserve">% </w:t>
            </w:r>
            <w:r w:rsidR="002612A7" w:rsidRPr="00097432">
              <w:rPr>
                <w:rFonts w:hint="eastAsia"/>
              </w:rPr>
              <w:t>[</w:t>
            </w:r>
            <w:r w:rsidR="000A3B2F" w:rsidRPr="00097432">
              <w:rPr>
                <w:rFonts w:hint="eastAsia"/>
              </w:rPr>
              <w:t>IQR: 67.9, 68.4</w:t>
            </w:r>
            <w:r w:rsidR="002612A7" w:rsidRPr="00097432">
              <w:rPr>
                <w:rFonts w:hint="eastAsia"/>
              </w:rPr>
              <w:t xml:space="preserve">] </w:t>
            </w:r>
            <w:r w:rsidR="00300523" w:rsidRPr="00097432">
              <w:rPr>
                <w:rFonts w:hint="eastAsia"/>
              </w:rPr>
              <w:t xml:space="preserve">in </w:t>
            </w:r>
            <w:r w:rsidR="000A3B2F" w:rsidRPr="00097432">
              <w:rPr>
                <w:rFonts w:hint="eastAsia"/>
              </w:rPr>
              <w:t>during 2010-2020</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1598C0DB" w14:textId="1D7F2CD1" w:rsidR="009E0F60" w:rsidRPr="00097432" w:rsidRDefault="009E0F60" w:rsidP="002914FA">
            <w:pPr>
              <w:spacing w:line="240" w:lineRule="auto"/>
            </w:pPr>
            <w:r w:rsidRPr="00097432">
              <w:fldChar w:fldCharType="begin"/>
            </w:r>
            <w:r w:rsidR="00345AF1">
              <w:instrText xml:space="preserve"> ADDIN ZOTERO_ITEM CSL_CITATION {"citationID":"yTDeW786","properties":{"formattedCitation":"\\super 64\\nosupersub{}","plainCitation":"64","noteIndex":0},"citationItems":[{"id":"EgwuGF5k/cS2b3F4R","uris":["http://zotero.org/users/local/xDVOxgbN/items/KHDLL3B7"],"itemData":{"id":184,"type":"dataset","title":"Labor force participation rate, total (% of total population ages 15-64) (modeled ILO estimate)","URL":"https://data.worldbank.org/indicator/SL.TLF.ACTI.ZS?end=2023&amp;start=1960","author":[{"literal":"World Bank Group"}]}}],"schema":"https://github.com/citation-style-language/schema/raw/master/csl-citation.json"} </w:instrText>
            </w:r>
            <w:r w:rsidRPr="00097432">
              <w:fldChar w:fldCharType="separate"/>
            </w:r>
            <w:r w:rsidR="00345AF1" w:rsidRPr="00345AF1">
              <w:rPr>
                <w:rFonts w:cs="Times New Roman"/>
                <w:vertAlign w:val="superscript"/>
              </w:rPr>
              <w:t>64</w:t>
            </w:r>
            <w:r w:rsidRPr="00097432">
              <w:fldChar w:fldCharType="end"/>
            </w:r>
          </w:p>
        </w:tc>
      </w:tr>
    </w:tbl>
    <w:p w14:paraId="5CA0217C" w14:textId="77777777" w:rsidR="00C83BF5" w:rsidRPr="00097432" w:rsidRDefault="00C83BF5" w:rsidP="00F57F15"/>
    <w:p w14:paraId="6ED97674" w14:textId="41453ABF" w:rsidR="000D35EF" w:rsidRPr="00097432" w:rsidRDefault="007D27C4" w:rsidP="00F57F15">
      <w:pPr>
        <w:pStyle w:val="Heading3"/>
      </w:pPr>
      <w:bookmarkStart w:id="21" w:name="_Toc184909202"/>
      <w:r w:rsidRPr="00097432">
        <w:t>Campaign triggers and assumptions</w:t>
      </w:r>
      <w:bookmarkEnd w:id="21"/>
    </w:p>
    <w:p w14:paraId="1F6F0435" w14:textId="19B9AFF1" w:rsidR="00835FBC" w:rsidRPr="00097432" w:rsidRDefault="00863A7D" w:rsidP="00F57F15">
      <w:r w:rsidRPr="00097432">
        <w:rPr>
          <w:rFonts w:hint="eastAsia"/>
        </w:rPr>
        <w:t xml:space="preserve">ORIs were triggered </w:t>
      </w:r>
      <w:r w:rsidR="00DC7502" w:rsidRPr="00097432">
        <w:rPr>
          <w:rFonts w:hint="eastAsia"/>
        </w:rPr>
        <w:t>either at</w:t>
      </w:r>
      <w:r w:rsidR="0088440C" w:rsidRPr="00097432">
        <w:rPr>
          <w:rFonts w:hint="eastAsia"/>
        </w:rPr>
        <w:t xml:space="preserve"> </w:t>
      </w:r>
      <w:r w:rsidR="007D27C4" w:rsidRPr="00097432">
        <w:t>the outbreak</w:t>
      </w:r>
      <w:r w:rsidR="0088440C" w:rsidRPr="00097432">
        <w:rPr>
          <w:rFonts w:hint="eastAsia"/>
        </w:rPr>
        <w:t xml:space="preserve"> onset </w:t>
      </w:r>
      <w:r w:rsidR="00B72D9A" w:rsidRPr="00097432">
        <w:t>(</w:t>
      </w:r>
      <w:r w:rsidR="00CE75ED" w:rsidRPr="00097432">
        <w:t>outbreak onset-triggered</w:t>
      </w:r>
      <w:r w:rsidR="00B72D9A" w:rsidRPr="00097432">
        <w:t xml:space="preserve">) </w:t>
      </w:r>
      <w:r w:rsidR="00DC7502" w:rsidRPr="00097432">
        <w:rPr>
          <w:rFonts w:hint="eastAsia"/>
        </w:rPr>
        <w:t>or when</w:t>
      </w:r>
      <w:r w:rsidR="007D27C4" w:rsidRPr="00097432">
        <w:t xml:space="preserve"> the cumulative number of reported symptomatic cases</w:t>
      </w:r>
      <w:r w:rsidR="006C3069" w:rsidRPr="00097432">
        <w:rPr>
          <w:rFonts w:hint="eastAsia"/>
        </w:rPr>
        <w:t xml:space="preserve"> reached certain thresholds</w:t>
      </w:r>
      <w:r w:rsidR="00B72D9A" w:rsidRPr="00097432">
        <w:t xml:space="preserve"> (case-</w:t>
      </w:r>
      <w:r w:rsidR="00B72D9A" w:rsidRPr="00097432">
        <w:lastRenderedPageBreak/>
        <w:t>triggered)</w:t>
      </w:r>
      <w:r w:rsidR="00793D57" w:rsidRPr="00097432">
        <w:t xml:space="preserve"> (</w:t>
      </w:r>
      <w:r w:rsidR="00793D57" w:rsidRPr="00097432">
        <w:rPr>
          <w:b/>
          <w:bCs/>
        </w:rPr>
        <w:t>Table 2</w:t>
      </w:r>
      <w:r w:rsidR="00793D57" w:rsidRPr="00097432">
        <w:t>)</w:t>
      </w:r>
      <w:r w:rsidR="004F1918" w:rsidRPr="00097432">
        <w:t xml:space="preserve">. </w:t>
      </w:r>
      <w:r w:rsidR="0088440C" w:rsidRPr="00097432">
        <w:rPr>
          <w:rFonts w:hint="eastAsia"/>
        </w:rPr>
        <w:t xml:space="preserve">The </w:t>
      </w:r>
      <w:r w:rsidR="00CE75ED" w:rsidRPr="00097432">
        <w:rPr>
          <w:rFonts w:hint="eastAsia"/>
        </w:rPr>
        <w:t>outbreak onset-triggered</w:t>
      </w:r>
      <w:r w:rsidR="00BA5EA7" w:rsidRPr="00097432">
        <w:t xml:space="preserve"> </w:t>
      </w:r>
      <w:r w:rsidR="0088440C" w:rsidRPr="00097432">
        <w:rPr>
          <w:rFonts w:hint="eastAsia"/>
        </w:rPr>
        <w:t xml:space="preserve">approach </w:t>
      </w:r>
      <w:r w:rsidR="00156EEE" w:rsidRPr="00097432">
        <w:rPr>
          <w:rFonts w:hint="eastAsia"/>
        </w:rPr>
        <w:t>highlight</w:t>
      </w:r>
      <w:r w:rsidR="0088440C" w:rsidRPr="00097432">
        <w:rPr>
          <w:rFonts w:hint="eastAsia"/>
        </w:rPr>
        <w:t>s</w:t>
      </w:r>
      <w:r w:rsidR="00BA5EA7" w:rsidRPr="00097432">
        <w:t xml:space="preserve"> how </w:t>
      </w:r>
      <w:r w:rsidR="00EB360C" w:rsidRPr="00097432">
        <w:rPr>
          <w:rFonts w:hint="eastAsia"/>
        </w:rPr>
        <w:t xml:space="preserve">campaign </w:t>
      </w:r>
      <w:r w:rsidR="00BA5EA7" w:rsidRPr="00097432">
        <w:t xml:space="preserve">delays influence </w:t>
      </w:r>
      <w:r w:rsidR="00835FBC" w:rsidRPr="00097432">
        <w:rPr>
          <w:rFonts w:hint="eastAsia"/>
        </w:rPr>
        <w:t>the impact of ORI</w:t>
      </w:r>
      <w:r w:rsidR="00BA5EA7" w:rsidRPr="00097432">
        <w:t xml:space="preserve">, </w:t>
      </w:r>
      <w:r w:rsidR="00156EEE" w:rsidRPr="00097432">
        <w:rPr>
          <w:rFonts w:hint="eastAsia"/>
        </w:rPr>
        <w:t xml:space="preserve">offering </w:t>
      </w:r>
      <w:r w:rsidR="00BA5EA7" w:rsidRPr="00097432">
        <w:t xml:space="preserve">insights into the </w:t>
      </w:r>
      <w:r w:rsidR="00EB360C" w:rsidRPr="00097432">
        <w:rPr>
          <w:rFonts w:hint="eastAsia"/>
        </w:rPr>
        <w:t>interplay</w:t>
      </w:r>
      <w:r w:rsidR="00BA5EA7" w:rsidRPr="00097432">
        <w:t xml:space="preserve"> between </w:t>
      </w:r>
      <w:r w:rsidR="00835FBC" w:rsidRPr="00097432">
        <w:t>the</w:t>
      </w:r>
      <w:r w:rsidR="00835FBC" w:rsidRPr="00097432">
        <w:rPr>
          <w:rFonts w:hint="eastAsia"/>
        </w:rPr>
        <w:t xml:space="preserve"> </w:t>
      </w:r>
      <w:r w:rsidR="00156EEE" w:rsidRPr="00097432">
        <w:rPr>
          <w:rFonts w:hint="eastAsia"/>
        </w:rPr>
        <w:t xml:space="preserve">timing and </w:t>
      </w:r>
      <w:r w:rsidR="00835FBC" w:rsidRPr="00097432">
        <w:rPr>
          <w:rFonts w:hint="eastAsia"/>
        </w:rPr>
        <w:t xml:space="preserve">the </w:t>
      </w:r>
      <w:r w:rsidR="00156EEE" w:rsidRPr="00097432">
        <w:rPr>
          <w:rFonts w:hint="eastAsia"/>
        </w:rPr>
        <w:t>impact</w:t>
      </w:r>
      <w:r w:rsidR="00835FBC" w:rsidRPr="00097432">
        <w:rPr>
          <w:rFonts w:hint="eastAsia"/>
        </w:rPr>
        <w:t xml:space="preserve"> of ORI</w:t>
      </w:r>
      <w:r w:rsidR="00BA5EA7" w:rsidRPr="00097432">
        <w:t xml:space="preserve">. </w:t>
      </w:r>
      <w:r w:rsidR="00DC7502" w:rsidRPr="00097432">
        <w:rPr>
          <w:rFonts w:hint="eastAsia"/>
        </w:rPr>
        <w:t>T</w:t>
      </w:r>
      <w:r w:rsidR="00EB360C" w:rsidRPr="00097432">
        <w:rPr>
          <w:rFonts w:hint="eastAsia"/>
        </w:rPr>
        <w:t xml:space="preserve">he </w:t>
      </w:r>
      <w:r w:rsidR="00156EEE" w:rsidRPr="00097432">
        <w:rPr>
          <w:rFonts w:hint="eastAsia"/>
        </w:rPr>
        <w:t>c</w:t>
      </w:r>
      <w:r w:rsidR="00BA5EA7" w:rsidRPr="00097432">
        <w:t>ase-</w:t>
      </w:r>
      <w:r w:rsidR="007E7344" w:rsidRPr="00097432">
        <w:t>t</w:t>
      </w:r>
      <w:r w:rsidR="00BA5EA7" w:rsidRPr="00097432">
        <w:t xml:space="preserve">riggered </w:t>
      </w:r>
      <w:r w:rsidR="00EB360C" w:rsidRPr="00097432">
        <w:rPr>
          <w:rFonts w:hint="eastAsia"/>
        </w:rPr>
        <w:t>approach</w:t>
      </w:r>
      <w:r w:rsidR="00BA5EA7" w:rsidRPr="00097432">
        <w:t xml:space="preserve"> </w:t>
      </w:r>
      <w:r w:rsidRPr="00097432">
        <w:rPr>
          <w:rFonts w:hint="eastAsia"/>
        </w:rPr>
        <w:t xml:space="preserve">adds additional </w:t>
      </w:r>
      <w:r w:rsidR="00BA5EA7" w:rsidRPr="00097432">
        <w:t xml:space="preserve">real-world </w:t>
      </w:r>
      <w:r w:rsidR="00FD2750" w:rsidRPr="00097432">
        <w:t>delays</w:t>
      </w:r>
      <w:r w:rsidR="00BA5EA7" w:rsidRPr="00097432">
        <w:t xml:space="preserve"> </w:t>
      </w:r>
      <w:proofErr w:type="gramStart"/>
      <w:r w:rsidR="00EB360C" w:rsidRPr="00097432">
        <w:rPr>
          <w:rFonts w:hint="eastAsia"/>
        </w:rPr>
        <w:t>in</w:t>
      </w:r>
      <w:proofErr w:type="gramEnd"/>
      <w:r w:rsidR="00EB360C" w:rsidRPr="00097432">
        <w:rPr>
          <w:rFonts w:hint="eastAsia"/>
        </w:rPr>
        <w:t xml:space="preserve"> which </w:t>
      </w:r>
      <w:r w:rsidR="00156EEE" w:rsidRPr="00097432">
        <w:rPr>
          <w:rFonts w:hint="eastAsia"/>
        </w:rPr>
        <w:t xml:space="preserve">the </w:t>
      </w:r>
      <w:r w:rsidR="00FD2750" w:rsidRPr="00097432">
        <w:t>exact</w:t>
      </w:r>
      <w:r w:rsidR="00156EEE" w:rsidRPr="00097432">
        <w:rPr>
          <w:rFonts w:hint="eastAsia"/>
        </w:rPr>
        <w:t xml:space="preserve"> start dat</w:t>
      </w:r>
      <w:r w:rsidR="00704994" w:rsidRPr="00097432">
        <w:rPr>
          <w:rFonts w:hint="eastAsia"/>
        </w:rPr>
        <w:t>e</w:t>
      </w:r>
      <w:r w:rsidR="00156EEE" w:rsidRPr="00097432">
        <w:rPr>
          <w:rFonts w:hint="eastAsia"/>
        </w:rPr>
        <w:t xml:space="preserve"> may be uncertain</w:t>
      </w:r>
      <w:r w:rsidRPr="00097432">
        <w:rPr>
          <w:rFonts w:hint="eastAsia"/>
        </w:rPr>
        <w:t xml:space="preserve"> </w:t>
      </w:r>
      <w:r w:rsidR="00DC7502" w:rsidRPr="00097432">
        <w:rPr>
          <w:rFonts w:hint="eastAsia"/>
        </w:rPr>
        <w:t xml:space="preserve">(e.g., because of poor surveillance) </w:t>
      </w:r>
      <w:r w:rsidRPr="00097432">
        <w:rPr>
          <w:rFonts w:hint="eastAsia"/>
        </w:rPr>
        <w:t xml:space="preserve">and an ORI is triggered only after some </w:t>
      </w:r>
      <w:r w:rsidR="00576A40">
        <w:rPr>
          <w:rFonts w:hint="eastAsia"/>
        </w:rPr>
        <w:t>threshold</w:t>
      </w:r>
      <w:r w:rsidRPr="00097432">
        <w:rPr>
          <w:rFonts w:hint="eastAsia"/>
        </w:rPr>
        <w:t xml:space="preserve"> number </w:t>
      </w:r>
      <w:r w:rsidR="00156EEE" w:rsidRPr="00097432">
        <w:rPr>
          <w:rFonts w:hint="eastAsia"/>
        </w:rPr>
        <w:t xml:space="preserve">of cases </w:t>
      </w:r>
      <w:r w:rsidRPr="00097432">
        <w:rPr>
          <w:rFonts w:hint="eastAsia"/>
        </w:rPr>
        <w:t xml:space="preserve">is reached. </w:t>
      </w:r>
      <w:r w:rsidR="00EB360C" w:rsidRPr="00097432">
        <w:rPr>
          <w:rFonts w:hint="eastAsia"/>
        </w:rPr>
        <w:t xml:space="preserve">Under the case-triggered approach, </w:t>
      </w:r>
      <w:r w:rsidR="00703B27" w:rsidRPr="00097432">
        <w:rPr>
          <w:rFonts w:hint="eastAsia"/>
        </w:rPr>
        <w:t>the same cumulative</w:t>
      </w:r>
      <w:r w:rsidR="00EB360C" w:rsidRPr="00097432">
        <w:rPr>
          <w:rFonts w:hint="eastAsia"/>
        </w:rPr>
        <w:t>-</w:t>
      </w:r>
      <w:r w:rsidR="00703B27" w:rsidRPr="00097432">
        <w:rPr>
          <w:rFonts w:hint="eastAsia"/>
        </w:rPr>
        <w:t>case</w:t>
      </w:r>
      <w:r w:rsidR="00EB360C" w:rsidRPr="00097432">
        <w:rPr>
          <w:rFonts w:hint="eastAsia"/>
        </w:rPr>
        <w:t xml:space="preserve"> threshold could trigger </w:t>
      </w:r>
      <w:r w:rsidRPr="00097432">
        <w:rPr>
          <w:rFonts w:hint="eastAsia"/>
        </w:rPr>
        <w:t>ORIs</w:t>
      </w:r>
      <w:r w:rsidR="006951DB" w:rsidRPr="00097432">
        <w:rPr>
          <w:rFonts w:hint="eastAsia"/>
        </w:rPr>
        <w:t xml:space="preserve"> earlier</w:t>
      </w:r>
      <w:r w:rsidR="00703B27" w:rsidRPr="00097432">
        <w:rPr>
          <w:rFonts w:hint="eastAsia"/>
        </w:rPr>
        <w:t xml:space="preserve"> </w:t>
      </w:r>
      <w:r w:rsidR="00EB360C" w:rsidRPr="00097432">
        <w:rPr>
          <w:rFonts w:hint="eastAsia"/>
        </w:rPr>
        <w:t>in</w:t>
      </w:r>
      <w:r w:rsidR="00703B27" w:rsidRPr="00097432">
        <w:rPr>
          <w:rFonts w:hint="eastAsia"/>
        </w:rPr>
        <w:t xml:space="preserve"> </w:t>
      </w:r>
      <w:r w:rsidRPr="00097432">
        <w:rPr>
          <w:rFonts w:hint="eastAsia"/>
        </w:rPr>
        <w:t xml:space="preserve">more rapidly growing </w:t>
      </w:r>
      <w:r w:rsidR="00703B27" w:rsidRPr="00097432">
        <w:rPr>
          <w:rFonts w:hint="eastAsia"/>
        </w:rPr>
        <w:t xml:space="preserve">outbreaks </w:t>
      </w:r>
      <w:r w:rsidRPr="00097432">
        <w:rPr>
          <w:rFonts w:hint="eastAsia"/>
        </w:rPr>
        <w:t>and later</w:t>
      </w:r>
      <w:r w:rsidR="00703B27" w:rsidRPr="00097432">
        <w:rPr>
          <w:rFonts w:hint="eastAsia"/>
        </w:rPr>
        <w:t xml:space="preserve"> </w:t>
      </w:r>
      <w:r w:rsidR="00EB360C" w:rsidRPr="00097432">
        <w:rPr>
          <w:rFonts w:hint="eastAsia"/>
        </w:rPr>
        <w:t xml:space="preserve">in </w:t>
      </w:r>
      <w:r w:rsidRPr="00097432">
        <w:rPr>
          <w:rFonts w:hint="eastAsia"/>
        </w:rPr>
        <w:t xml:space="preserve">more slowly growing </w:t>
      </w:r>
      <w:r w:rsidR="00EB360C" w:rsidRPr="00097432">
        <w:rPr>
          <w:rFonts w:hint="eastAsia"/>
        </w:rPr>
        <w:t>outbreaks</w:t>
      </w:r>
      <w:r w:rsidR="00AD127C" w:rsidRPr="00097432">
        <w:t xml:space="preserve">. </w:t>
      </w:r>
    </w:p>
    <w:p w14:paraId="2232AEB4" w14:textId="77777777" w:rsidR="00835FBC" w:rsidRPr="00097432" w:rsidRDefault="00835FBC" w:rsidP="00F57F15"/>
    <w:p w14:paraId="33D67D64" w14:textId="039F7E7B" w:rsidR="00BA5EA7" w:rsidRPr="00097432" w:rsidRDefault="00AD127C" w:rsidP="00F57F15">
      <w:r w:rsidRPr="00097432">
        <w:t>Vaccine coverage</w:t>
      </w:r>
      <w:r w:rsidR="00835FBC" w:rsidRPr="00097432">
        <w:rPr>
          <w:rFonts w:hint="eastAsia"/>
        </w:rPr>
        <w:t xml:space="preserve"> levels</w:t>
      </w:r>
      <w:r w:rsidRPr="00097432">
        <w:t xml:space="preserve"> were</w:t>
      </w:r>
      <w:r w:rsidR="008F78FF" w:rsidRPr="00097432">
        <w:rPr>
          <w:rFonts w:hint="eastAsia"/>
        </w:rPr>
        <w:t xml:space="preserve"> varied from</w:t>
      </w:r>
      <w:r w:rsidRPr="00097432">
        <w:t xml:space="preserve"> 60</w:t>
      </w:r>
      <w:r w:rsidR="007C3BBC" w:rsidRPr="00097432">
        <w:rPr>
          <w:rFonts w:hint="eastAsia"/>
        </w:rPr>
        <w:t>%</w:t>
      </w:r>
      <w:r w:rsidRPr="00097432">
        <w:t xml:space="preserve"> to 9</w:t>
      </w:r>
      <w:r w:rsidR="007B1232" w:rsidRPr="00097432">
        <w:rPr>
          <w:rFonts w:hint="eastAsia"/>
        </w:rPr>
        <w:t>0</w:t>
      </w:r>
      <w:r w:rsidR="007C3BBC" w:rsidRPr="00097432">
        <w:rPr>
          <w:rFonts w:hint="eastAsia"/>
        </w:rPr>
        <w:t>%</w:t>
      </w:r>
      <w:r w:rsidR="00FC073F" w:rsidRPr="00097432">
        <w:t xml:space="preserve"> of the </w:t>
      </w:r>
      <w:r w:rsidR="007C3BBC" w:rsidRPr="00097432">
        <w:rPr>
          <w:rFonts w:hint="eastAsia"/>
        </w:rPr>
        <w:t xml:space="preserve">affected </w:t>
      </w:r>
      <w:r w:rsidR="00FC073F" w:rsidRPr="00097432">
        <w:t>population</w:t>
      </w:r>
      <w:r w:rsidR="007C3BBC" w:rsidRPr="00097432">
        <w:t>—</w:t>
      </w:r>
      <w:r w:rsidR="007C3BBC" w:rsidRPr="00097432">
        <w:rPr>
          <w:rFonts w:hint="eastAsia"/>
        </w:rPr>
        <w:t>an a</w:t>
      </w:r>
      <w:r w:rsidR="00FC073F" w:rsidRPr="00097432">
        <w:t>dministrative unit</w:t>
      </w:r>
      <w:r w:rsidR="007B1232" w:rsidRPr="00097432">
        <w:rPr>
          <w:rFonts w:hint="eastAsia"/>
        </w:rPr>
        <w:t xml:space="preserve"> </w:t>
      </w:r>
      <w:r w:rsidR="007C3BBC" w:rsidRPr="00097432">
        <w:rPr>
          <w:rFonts w:hint="eastAsia"/>
        </w:rPr>
        <w:t>where</w:t>
      </w:r>
      <w:r w:rsidR="007B1232" w:rsidRPr="00097432">
        <w:rPr>
          <w:rFonts w:hint="eastAsia"/>
        </w:rPr>
        <w:t xml:space="preserve"> </w:t>
      </w:r>
      <w:r w:rsidR="00FC073F" w:rsidRPr="00097432">
        <w:t xml:space="preserve">the outbreak </w:t>
      </w:r>
      <w:r w:rsidR="007C3BBC" w:rsidRPr="00097432">
        <w:rPr>
          <w:rFonts w:hint="eastAsia"/>
        </w:rPr>
        <w:t xml:space="preserve">was </w:t>
      </w:r>
      <w:r w:rsidR="007B1232" w:rsidRPr="00097432">
        <w:rPr>
          <w:rFonts w:hint="eastAsia"/>
        </w:rPr>
        <w:t>reported</w:t>
      </w:r>
      <w:r w:rsidR="00FC073F" w:rsidRPr="00097432">
        <w:t>. The vaccine coverage</w:t>
      </w:r>
      <w:r w:rsidR="00274651" w:rsidRPr="00097432">
        <w:t>s</w:t>
      </w:r>
      <w:r w:rsidR="00FC073F" w:rsidRPr="00097432">
        <w:t xml:space="preserve"> </w:t>
      </w:r>
      <w:r w:rsidRPr="00097432">
        <w:t xml:space="preserve">were </w:t>
      </w:r>
      <w:r w:rsidR="008F78FF" w:rsidRPr="00097432">
        <w:rPr>
          <w:rFonts w:hint="eastAsia"/>
        </w:rPr>
        <w:t xml:space="preserve">chosen </w:t>
      </w:r>
      <w:r w:rsidR="007C3BBC" w:rsidRPr="00097432">
        <w:rPr>
          <w:rFonts w:hint="eastAsia"/>
        </w:rPr>
        <w:t xml:space="preserve">based on trends </w:t>
      </w:r>
      <w:r w:rsidRPr="00097432">
        <w:t>observ</w:t>
      </w:r>
      <w:r w:rsidR="007C3BBC" w:rsidRPr="00097432">
        <w:rPr>
          <w:rFonts w:hint="eastAsia"/>
        </w:rPr>
        <w:t>ed in</w:t>
      </w:r>
      <w:r w:rsidRPr="00097432">
        <w:t xml:space="preserve"> global OCV campaigns </w:t>
      </w:r>
      <w:r w:rsidR="007C3BBC" w:rsidRPr="00097432">
        <w:rPr>
          <w:rFonts w:hint="eastAsia"/>
        </w:rPr>
        <w:t>(</w:t>
      </w:r>
      <w:r w:rsidRPr="00097432">
        <w:t>2013-2018</w:t>
      </w:r>
      <w:r w:rsidR="007C3BBC" w:rsidRPr="00097432">
        <w:rPr>
          <w:rFonts w:hint="eastAsia"/>
        </w:rPr>
        <w:t>)</w:t>
      </w:r>
      <w:r w:rsidRPr="00097432">
        <w:rPr>
          <w:vertAlign w:val="superscript"/>
        </w:rPr>
        <w:fldChar w:fldCharType="begin"/>
      </w:r>
      <w:r w:rsidR="00345AF1">
        <w:rPr>
          <w:vertAlign w:val="superscript"/>
        </w:rPr>
        <w:instrText xml:space="preserve"> ADDIN ZOTERO_ITEM CSL_CITATION {"citationID":"z3pjC9qr","properties":{"formattedCitation":"\\super 65\\nosupersub{}","plainCitation":"65","noteIndex":0},"citationItems":[{"id":"EgwuGF5k/s1lcojhQ","uris":["http://zotero.org/users/local/xDVOxgbN/items/5PWNK5TK"],"itemData":{"id":"GW3NO5R3/ZlSFqfwP","type":"article-journal","container-title":"Vaccine","DOI":"10.1016/j.vaccine.2019.08.086","ISSN":"0264410X","journalAbbreviation":"Vaccine","language":"en","page":"A132-A140","source":"DOI.org (Crossref)","title":"Global oral cholera vaccine use, 2013–2018","volume":"38","author":[{"family":"Pezzoli","given":"Lorenzo"}],"issued":{"date-parts":[["2020",2]]}}}],"schema":"https://github.com/citation-style-language/schema/raw/master/csl-citation.json"} </w:instrText>
      </w:r>
      <w:r w:rsidRPr="00097432">
        <w:rPr>
          <w:vertAlign w:val="superscript"/>
        </w:rPr>
        <w:fldChar w:fldCharType="separate"/>
      </w:r>
      <w:r w:rsidR="00345AF1" w:rsidRPr="00345AF1">
        <w:rPr>
          <w:rFonts w:cs="Times New Roman"/>
          <w:vertAlign w:val="superscript"/>
        </w:rPr>
        <w:t>65</w:t>
      </w:r>
      <w:r w:rsidRPr="00097432">
        <w:rPr>
          <w:vertAlign w:val="superscript"/>
        </w:rPr>
        <w:fldChar w:fldCharType="end"/>
      </w:r>
      <w:r w:rsidRPr="00097432">
        <w:t xml:space="preserve"> and a recent campaign</w:t>
      </w:r>
      <w:r w:rsidR="0099516B" w:rsidRPr="00097432">
        <w:t xml:space="preserve"> </w:t>
      </w:r>
      <w:r w:rsidRPr="00097432">
        <w:t>in Ethiopia.</w:t>
      </w:r>
      <w:r w:rsidRPr="00097432">
        <w:rPr>
          <w:vertAlign w:val="superscript"/>
        </w:rPr>
        <w:fldChar w:fldCharType="begin"/>
      </w:r>
      <w:r w:rsidR="00345AF1">
        <w:rPr>
          <w:vertAlign w:val="superscript"/>
        </w:rPr>
        <w:instrText xml:space="preserve"> ADDIN ZOTERO_ITEM CSL_CITATION {"citationID":"BwRgO3HF","properties":{"formattedCitation":"\\super 66\\nosupersub{}","plainCitation":"66","noteIndex":0},"citationItems":[{"id":14931,"uris":["http://zotero.org/users/7663102/items/W7FJQA5W"],"itemData":{"id":14931,"type":"article-journal","abstract":"Background\nCholera outbreaks in Ethiopia necessitate frequent mass oral cholera vaccine (OCV) campaigns. Despite this, there is a notable absence of a comprehensive summary of these campaigns. Understanding national OCV vaccination history is essential to design appropriate and effective cholera control strategies. Here, we aimed to retrospectively review all OCV vaccination campaigns conducted across Ethiopia between 2019 and 2023.\n\nMethods\nThe OCV request records from 2019 to October 2023 and vaccination campaign reports for the period from 2019 to December 2023 were retrospectively accessed from the Ethiopia Public Health Institute (EPHI) database. Descriptive analysis was conducted using the retrospective data collected.\n\nResults\nFrom 2019 to October 2023, Ethiopian government requested 32 044 576 OCV doses (31 899 576 doses to global stockpile; 145 000 doses to outside of stockpile). Around 66.3% of requested doses were approved; of which 90.4% were received. Fifteen OCV campaigns (12 reactive and 3 pre-emptive) were conducted, including five two-dose campaigns with varying dose intervals and single-dose campaigns partially in 2019 and entirely in 2021, 2022 and 2023. Overall vaccine administrative coverage was high; except for Tigray region (41.8% in the 1st round; 2nd round didn't occur). The vaccine administrative coverage records were documented, but no OCV coverage survey data was available.\n\nConclusions\nThis study represents the first comprehensive review of OCV campaigns in Ethiopia spanning the last five years. Its findings offer valuable insights into informing future cholera control strategies, underscoring the importance of monitoring and evaluation despite resource constraints. Addressing the limitations in coverage survey data availability is crucial for enhancing the efficacy of future campaigns.","container-title":"Clinical Infectious Diseases: An Official Publication of the Infectious Diseases Society of America","DOI":"10.1093/cid/ciae194","ISSN":"1058-4838","issue":"Suppl 1","journalAbbreviation":"Clin Infect Dis","note":"PMID: 38996040\nPMCID: PMC11244176","page":"S20-S32","source":"PubMed Central","title":"Comprehensive Review on the Use of Oral Cholera Vaccine (OCV) in Ethiopia: 2019 to 2023","title-short":"Comprehensive Review on the Use of Oral Cholera Vaccine (OCV) in Ethiopia","volume":"79","author":[{"family":"Edosa","given":"Moti"},{"family":"Jeon","given":"Yeonji"},{"family":"Gedefaw","given":"Abel"},{"family":"Hailu","given":"Dejene"},{"family":"Mesfin Getachew","given":"Edlawit"},{"family":"Mogeni","given":"Ondari D"},{"family":"Jang","given":"Geun Hyeog"},{"family":"Mukasa","given":"David"},{"family":"Yeshitela","given":"Biruk"},{"family":"Getahun","given":"Tomas"},{"family":"Lynch","given":"Julia"},{"family":"Bouhenia","given":"Malika"},{"family":"Worku Demlie","given":"Yeshambel"},{"family":"Hussen","given":"Mukemil"},{"family":"Wossen","given":"Mesfin"},{"family":"Teferi","given":"Mekonnen"},{"family":"Park","given":"Se Eun"}],"issued":{"date-parts":[["2024",7,12]]},"citation-key":"edosaComprehensiveReviewUse2024"}}],"schema":"https://github.com/citation-style-language/schema/raw/master/csl-citation.json"} </w:instrText>
      </w:r>
      <w:r w:rsidRPr="00097432">
        <w:rPr>
          <w:vertAlign w:val="superscript"/>
        </w:rPr>
        <w:fldChar w:fldCharType="separate"/>
      </w:r>
      <w:r w:rsidR="00345AF1" w:rsidRPr="00345AF1">
        <w:rPr>
          <w:rFonts w:cs="Times New Roman"/>
          <w:vertAlign w:val="superscript"/>
        </w:rPr>
        <w:t>66</w:t>
      </w:r>
      <w:r w:rsidRPr="00097432">
        <w:rPr>
          <w:vertAlign w:val="superscript"/>
        </w:rPr>
        <w:fldChar w:fldCharType="end"/>
      </w:r>
      <w:r w:rsidRPr="00097432">
        <w:t xml:space="preserve"> </w:t>
      </w:r>
      <w:bookmarkStart w:id="22" w:name="_Hlk183345059"/>
      <w:r w:rsidR="007C3BBC" w:rsidRPr="00097432">
        <w:rPr>
          <w:rFonts w:hint="eastAsia"/>
        </w:rPr>
        <w:t>We</w:t>
      </w:r>
      <w:r w:rsidRPr="00097432">
        <w:t xml:space="preserve"> </w:t>
      </w:r>
      <w:r w:rsidR="007C3BBC" w:rsidRPr="00097432">
        <w:rPr>
          <w:rFonts w:hint="eastAsia"/>
        </w:rPr>
        <w:t>selected</w:t>
      </w:r>
      <w:r w:rsidRPr="00097432">
        <w:t xml:space="preserve"> 75% </w:t>
      </w:r>
      <w:r w:rsidR="0099516B" w:rsidRPr="00097432">
        <w:t xml:space="preserve">coverage </w:t>
      </w:r>
      <w:r w:rsidR="007C3BBC" w:rsidRPr="00097432">
        <w:rPr>
          <w:rFonts w:hint="eastAsia"/>
        </w:rPr>
        <w:t>as a</w:t>
      </w:r>
      <w:r w:rsidRPr="00097432">
        <w:t xml:space="preserve"> representative value for a single-dose regimen </w:t>
      </w:r>
      <w:r w:rsidR="007C3BBC" w:rsidRPr="00097432">
        <w:rPr>
          <w:rFonts w:hint="eastAsia"/>
        </w:rPr>
        <w:t xml:space="preserve">, reflecting </w:t>
      </w:r>
      <w:r w:rsidR="008F78FF" w:rsidRPr="00097432">
        <w:rPr>
          <w:rFonts w:hint="eastAsia"/>
        </w:rPr>
        <w:t xml:space="preserve">estimated </w:t>
      </w:r>
      <w:r w:rsidRPr="00097432">
        <w:t>coverage</w:t>
      </w:r>
      <w:r w:rsidR="007C3BBC" w:rsidRPr="00097432">
        <w:rPr>
          <w:rFonts w:hint="eastAsia"/>
        </w:rPr>
        <w:t xml:space="preserve"> level</w:t>
      </w:r>
      <w:r w:rsidR="00274651" w:rsidRPr="00097432">
        <w:t>s</w:t>
      </w:r>
      <w:r w:rsidRPr="00097432">
        <w:t xml:space="preserve"> </w:t>
      </w:r>
      <w:r w:rsidR="007C3BBC" w:rsidRPr="00097432">
        <w:rPr>
          <w:rFonts w:hint="eastAsia"/>
        </w:rPr>
        <w:t xml:space="preserve">typically observed </w:t>
      </w:r>
      <w:r w:rsidRPr="00097432">
        <w:t xml:space="preserve">during OCV </w:t>
      </w:r>
      <w:r w:rsidR="007C3BBC" w:rsidRPr="00097432">
        <w:rPr>
          <w:rFonts w:hint="eastAsia"/>
        </w:rPr>
        <w:t>responses in</w:t>
      </w:r>
      <w:r w:rsidRPr="00097432">
        <w:t xml:space="preserve"> humanitarian crises or outbreaks (</w:t>
      </w:r>
      <w:r w:rsidR="00363CA5" w:rsidRPr="00097432">
        <w:t xml:space="preserve">Supplementary Information </w:t>
      </w:r>
      <w:r w:rsidR="000F1A86" w:rsidRPr="00097432">
        <w:rPr>
          <w:b/>
          <w:bCs/>
        </w:rPr>
        <w:t>S</w:t>
      </w:r>
      <w:r w:rsidR="009206B5" w:rsidRPr="00097432">
        <w:rPr>
          <w:rFonts w:hint="eastAsia"/>
          <w:b/>
          <w:bCs/>
        </w:rPr>
        <w:t>7</w:t>
      </w:r>
      <w:r w:rsidRPr="00097432">
        <w:t>).</w:t>
      </w:r>
      <w:bookmarkEnd w:id="22"/>
      <w:r w:rsidR="003763C0" w:rsidRPr="00097432">
        <w:rPr>
          <w:rFonts w:hint="eastAsia"/>
        </w:rPr>
        <w:t xml:space="preserve"> T</w:t>
      </w:r>
      <w:r w:rsidR="007D27C4" w:rsidRPr="00097432">
        <w:t>he delay in protective immunity post-vaccination</w:t>
      </w:r>
      <w:r w:rsidR="003763C0" w:rsidRPr="00097432">
        <w:rPr>
          <w:rFonts w:hint="eastAsia"/>
        </w:rPr>
        <w:t xml:space="preserve"> was </w:t>
      </w:r>
      <w:r w:rsidR="00C34272" w:rsidRPr="00097432">
        <w:rPr>
          <w:rFonts w:hint="eastAsia"/>
        </w:rPr>
        <w:t xml:space="preserve">chosen </w:t>
      </w:r>
      <w:r w:rsidR="007D27C4" w:rsidRPr="00097432">
        <w:t>reflecting the time required for seroconversion</w:t>
      </w:r>
      <w:r w:rsidR="00722F43" w:rsidRPr="00097432">
        <w:rPr>
          <w:rFonts w:hint="eastAsia"/>
        </w:rPr>
        <w:t xml:space="preserve"> as a proxy</w:t>
      </w:r>
      <w:r w:rsidR="00E1583D" w:rsidRPr="00097432">
        <w:rPr>
          <w:vertAlign w:val="superscript"/>
        </w:rPr>
        <w:fldChar w:fldCharType="begin"/>
      </w:r>
      <w:r w:rsidR="00345AF1">
        <w:rPr>
          <w:vertAlign w:val="superscript"/>
        </w:rPr>
        <w:instrText xml:space="preserve"> ADDIN ZOTERO_ITEM CSL_CITATION {"citationID":"nvNCU5Za","properties":{"formattedCitation":"\\super 39\\uc0\\u8211{}47\\nosupersub{}","plainCitation":"39–47","noteIndex":0},"citationItems":[{"id":"EgwuGF5k/UPDcwlHQ","uris":["http://zotero.org/users/local/xDVOxgbN/items/VMBJ3ILL"],"itemData":{"id":4,"type":"article-journal","abstract":"INTRODUCTION: In cholera endemic areas, the periodicity of cholera outbreaks remains unpredictable, making it difficult to organize preventive efforts. Lack of data on duration of protection conferred by oral cholera vaccines further makes it difficult to determine when to deploy preemptive vaccination. We report on the immunogenicity and waning of immunity to Shanchol™ in Lukanga Swamps.\nMETHODS: We enrolled a cohort of 223 participants aged between 18 and 65 years old from whom serum samples were collected at baseline, day 28 before administration of the second dose, and consecutively at 6, 12, 24, 30, 36, and 48 months. Vibriocidal antibody titres were measured and expressed as geometric mean titres. Box plots and 95% CI were computed at each visit for both Inaba and Ogawa. Seroconversion was defined as a four fold or greater increase in antibody titres compared to baseline titres.\nRESULTS: Overall, seroconversion again</w:instrText>
      </w:r>
      <w:r w:rsidR="00345AF1">
        <w:rPr>
          <w:rFonts w:hint="eastAsia"/>
          <w:vertAlign w:val="superscript"/>
        </w:rPr>
        <w:instrText xml:space="preserve">st V. cholerae Inaba and Ogawa after 1st dose was 35/134 (26%) and 34/134 (25%) respectively. We observed a statistical difference in seroconversion between the two subgroups of baseline titres (low &lt;80 and high </w:instrText>
      </w:r>
      <w:r w:rsidR="00345AF1">
        <w:rPr>
          <w:rFonts w:hint="eastAsia"/>
          <w:vertAlign w:val="superscript"/>
        </w:rPr>
        <w:instrText>≥</w:instrText>
      </w:r>
      <w:r w:rsidR="00345AF1">
        <w:rPr>
          <w:rFonts w:hint="eastAsia"/>
          <w:vertAlign w:val="superscript"/>
        </w:rPr>
        <w:instrText>80) for both Inaba (p = 0.02) and Ogawa (p</w:instrText>
      </w:r>
      <w:r w:rsidR="00345AF1">
        <w:rPr>
          <w:vertAlign w:val="superscript"/>
        </w:rPr>
        <w:instrText>&lt;0.0001). From a baseline of 13.58, anti-Ogawa GMT increased to 21.95 after the first dose, but rapidly waned to 14.52, 13.13, and 12.78 at months 6, 12 and 24 respectively, and then increased to 13.21, 18.67 and 23.65 at months 30, 36 and 48 respectively. A similar trend was observed for anti-Inaba GMT across the same time points.\nCONCLUSION: We found that Shanchol™ was immunogenic in our study population and that vibriocidal antibodies may not be a good marker for long-term immunity. The observed rise in titres after 36 months suggests natural exposure, and this may be a critical time window opening for natural transmission in an endemic areas. We recommend re-vaccination at this time point in high risk areas.","container-title":"PloS One","DOI":"10.1371/journal.pone.0262239","ISSN":"1932-6203","issue":"1","journalAbbreviation":"PLoS One","language":"eng","note":"PMID: 34986195\nPMCID: PMC8730422","page":"e0262239","source":"PubMed","title":"Immunogenicity and waning immunity from the oral cholera vaccine (Shanchol™) in adults residing in Lukanga Swamps of Zambia","volume":"17","author":[{"family":"Ng Ombe","given":"Harriet"},{"family":"Simuyandi","given":"Michelo"},{"family":"Mwaba","given":"John"},{"family":"Luchen","given":"Charlie Chaluma"},{"family":"Alabi","given":"Peter"},{"family":"Chilyabanyama","given":"Obvious Nchimunya"},{"family":"Mubanga","given":"Cynthia"},{"family":"Hatyoka","given":"Luiza Miyanda"},{"family":"Muchimba","given":"Mutinta"},{"family":"Bosomprah","given":"Samuel"},{"family":"Chilengi","given":"Roma"},{"family":"Kwenda","given":"Geoffrey"},{"family":"Chisenga","given":"Caroline Cleopatra"}],"issued":{"date-parts":[["2022"]]}}},{"id":"EgwuGF5k/3pLpL7PN","uris":["http://zotero.org/users/local/xDVOxgbN/items/3XUCD5LV"],"itemData":{"id":7,"type":"article-journal","abstract":"Immune responses after one and two doses of the reformulated killed oral cholera vaccine were measured in a double-blind, randomized, placebo-controlled trial of 77 adults aged 18-40 years and 77 children aged 1-17 years residing in Kolkata, India. 65% of adults and 87% of children and 46% of adults and 82% of children exhibited a &gt; or =4-fold rise in serum Vibrio cholerae O1 vibriocidal antibody titers from baseline following dose 1 and 2, respectively. Responses to V. cholerae O139 were less pronounced but followed a similar pattern. We demonstrate that in a cholera-endemic area, the vaccine elicited vibriocidal responses after a single-dose of the vaccine.","container-title":"Vaccine","DOI":"10.1016/j.vaccine.2009.09.008","ISSN":"1873-2518","issue":"49","journalAbbreviation":"Vaccine","language":"eng","note":"PMID: 19761838","page":"6887-6893","source":"PubMed","title":"Immune responses following one and two doses of the reformulated, bivalent, killed, whole-cell, oral cholera vaccine among adults and children in Kolkata, India: a randomized, placebo-controlled trial","title-short":"Immune responses following one and two doses of the reformulated, bivalent, killed, whole-cell, oral cholera vaccine among adults and children in Kolkata, India","volume":"27","author":[{"family":"Kanungo","given":"Suman"},{"family":"Paisley","given":"Allison"},{"family":"Lopez","given":"Anna Lena"},{"family":"Bhattacharya","given":"Mihir"},{"family":"Manna","given":"Byomkesh"},{"family":"Kim","given":"Deok Ryun"},{"family":"Han","given":"Seung Hyun"},{"family":"Attridge","given":"Stephen"},{"family":"Carbis","given":"Rodney"},{"family":"Rao","given":"Raman"},{"family":"Holmgren","given":"Jan"},{"family":"Clemens","given":"John D."},{"family":"Sur","given":"Dipika"}],"issued":{"date-parts":[["2009",11,16]]}}},{"id":"EgwuGF5k/qcwvtkC1","uris":["http://zotero.org/users/local/xDVOxgbN/items/PQEELNWL"],"itemData":{"id":17,"type":"article-journal","abstract":"After the large influx of Rohingya nationals (termed Forcibly Displaced Myanmar National; FDMN) from Rakhine State of Myanmar to Cox's Bazar in Bangladesh, it was apparent that outbreaks of cholera was very likely in this setting where people were living under adverse water and sanitation conditions. Large campaigns of oral cholera vaccine (OCV) were carried out as a preemptive measure to control cholera epidemics. The aim of the study was to evaluate the immune responses of healthy adults and children after administration of two doses of OCV at 14 days interval in FDMN population and compare with the response observed in Bangladeshi's vaccinated earlier. A cross-sectional immunogenicity study was conducted among FDMNs of three age cohort; in adults (18+years; n = 83), in older children (6-17 years; n = 63) and in younger children (1-5 years; n = 80). Capillary blood was collected at three time points to measure vibriocidal antibodies using either plasma or dried blood spot (DBS) specimens. There was a significant increase of responder frequency of vibriocidal antibody titer at day 14 in all groups for Vibrio cholerae O1 (Ogawa/Inaba: adults-64%/64%, older children-70%/89% and younger children-51%/75%). There was no overall difference of vibriocidal antibody titer between FDMN and Bangladeshi population at baseline (p = 0.07-0.08) and at day 14, day 28 in all age groups for both serotypes. The seroconversion rate and geometric mean titer (GMT) of either serotype were comparable using both plasma and DBS specimens. These results showed that OCV is capable of inducing robust immune responses in adults and children among the FDMN population which is comparable to that seen in Bangladeshi participants in different age groups or that reported from other cholera endemic countries. Our results also suggest that the displaced population were exposed to V. cholerae prior to seeking shelter in Bangladesh.","container-title":"PLoS neglected tropical diseases","DOI":"10.1371/journal.pntd.0007989","ISSN":"1935-2735","issue":"3","journalAbbreviation":"PLoS Negl Trop Dis","language":"eng","note":"PMID: 32176695\nPMCID: PMC7075546","page":"e0007989","source":"PubMed","title":"Immunogenicity of a killed bivalent whole cell oral cholera vaccine in forcibly displaced Myanmar nationals in Cox's Bazar, Bangladesh","volume":"14","author":[{"family":"Chowdhury","given":"Fahima"},{"family":"Bhuiyan","given":"Taufiqur Rahman"},{"family":"Akter","given":"Afroza"},{"family":"Bhuiyan","given":"Md Saruar"},{"family":"Khan","given":"Ashraful Islam"},{"family":"Hossain","given":"Motaher"},{"family":"Tauheed","given":"Imam"},{"family":"Ahmed","given":"Tasnuva"},{"family":"Islam","given":"Shaumik"},{"family":"Rafique","given":"Tanzeem Ahmed"},{"family":"Siddique","given":"Shah Alam"},{"family":"Harun","given":"Nabila Binta"},{"family":"Islam","given":"Khaleda"},{"family":"Clemens","given":"John D."},{"family":"Qadri","given":"Firdausi"}],"issued":{"date-parts":[["2020",3]]}}},{"id":"EgwuGF5k/4u14LcVq","uris":["http://zotero.org/users/local/xDVOxgbN/items/ZG8J3XZ6"],"itemData":{"id":20,"type":"article-journal","container-title":"PLOS ONE","DOI":"10.1371/journal.pone.0218033","ISSN":"1932-6203","issue":"6","journalAbbreviation":"PLoS ONE","language":"en","page":"e0218033","source":"DOI.org (Crossref)","title":"Safety and immunogenicity of a killed bivalent (O1 and O139) whole-cell oral cholera vaccine in adults and children in Vellore, South India","volume":"14","author":[{"family":"Raghava Mohan","given":"Venkata"},{"family":"Raj","given":"Santosh"},{"family":"Dhingra","given":"Mandeep Singh"},{"family":"Aloysia D’Cor","given":"Naveena"},{"family":"Singh","given":"Ajit Pal"},{"family":"Saluja","given":"Tarun"},{"family":"Kim","given":"Deok Ryun"},{"family":"Midde","given":"Venkat Jayanth"},{"family":"Kim","given":"Yanghee"},{"family":"Vemula","given":"Sridhar"},{"family":"Narla","given":"Santhosh Kumar"},{"family":"Sah","given":"Binod"},{"family":"Ali","given":"Mohammad"}],"editor":[{"family":"Borrow","given":"Ray"}],"issued":{"date-parts":[["2019",6,18]]}}},{"id":"EgwuGF5k/MEiMcdvb","uris":["http://zotero.org/users/local/xDVOxgbN/items/TP75RAGU"],"itemData":{"id":22,"type":"article-journal","abstract":"BACKGROUND: Studies of the immunogenicity of the killed bivalent whole cell oral cholera vaccine, Shanchol, have been performed in historically cholera-endemic areas of Asia. There is a need to assess the immunogenicity of the vaccine in Haiti and other populations without historical exposure to Vibrio cholerae.\nMETHODOLOGY/PRINCIPAL FINDINGS: We measured imm</w:instrText>
      </w:r>
      <w:r w:rsidR="00345AF1">
        <w:rPr>
          <w:rFonts w:hint="eastAsia"/>
          <w:vertAlign w:val="superscript"/>
        </w:rPr>
        <w:instrText>une responses after administration of Shanchol, in 25 adults, 51 older children (6-17 years), and 47 younger children (1-5 years) in Haiti, where cholera was introduced in 2010. A</w:instrText>
      </w:r>
      <w:r w:rsidR="00345AF1">
        <w:rPr>
          <w:rFonts w:hint="eastAsia"/>
          <w:vertAlign w:val="superscript"/>
        </w:rPr>
        <w:instrText>≥</w:instrText>
      </w:r>
      <w:r w:rsidR="00345AF1">
        <w:rPr>
          <w:rFonts w:hint="eastAsia"/>
          <w:vertAlign w:val="superscript"/>
        </w:rPr>
        <w:instrText>4-fold increase in vibriocidal antibody titer against V. cholerae O1 Ogawa was observed in 91% of adults, 74% of older children, and 73% of younger children after two doses of Shanchol; similar responses were observed against the Inaba serotype. A</w:instrText>
      </w:r>
      <w:r w:rsidR="00345AF1">
        <w:rPr>
          <w:rFonts w:hint="eastAsia"/>
          <w:vertAlign w:val="superscript"/>
        </w:rPr>
        <w:instrText>≥</w:instrText>
      </w:r>
      <w:r w:rsidR="00345AF1">
        <w:rPr>
          <w:rFonts w:hint="eastAsia"/>
          <w:vertAlign w:val="superscript"/>
        </w:rPr>
        <w:instrText>2-fold increase in serum O-antigen specific polysaccharide IgA antibody levels aga</w:instrText>
      </w:r>
      <w:r w:rsidR="00345AF1">
        <w:rPr>
          <w:vertAlign w:val="superscript"/>
        </w:rPr>
        <w:instrText>inst V. cholerae O1 Ogawa was observed in 59% of adults, 45% of older children, and 61% of younger children; similar responses were observed against the Inaba serotype. We compared immune responses in Haitian individuals with age- and blood group-matched individuals from Bangladesh, a historically cholera-endemic area. The geometric mean vibriocidal titers after the first dose of vaccine were lower in Haitian than in Bangladeshi vaccinees. However, the mean vibriocidal titers did not differ between the two groups after the second dose of the vaccine.\nCONCLUSIONS/SIGNIFICANCE: A killed bivalent whole cell oral cholera vaccine, Shanchol, is highly immunogenic in Haitian adults and children. A two-dose regimen may be important in Haiti, and other populations lacking previous repeated exposures to V. cholerae.","container-title":"PLoS neglected tropical diseases","DOI":"10.1371/journal.pntd.0002828","ISSN":"1935-2735","issue":"5","journalAbbreviation":"PLoS Negl Trop Dis","language":"eng","note":"PMID: 24786645\nPMCID: PMC4006712","page":"e2828","source":"PubMed","title":"Immunogenicity of a killed bivalent (O1 and O139) whole cell oral cholera vaccine, Shanchol, in Haiti","volume":"8","author":[{"family":"Charles","given":"Richelle C."},{"family":"Hilaire","given":"Isabelle J."},{"family":"Mayo-Smith","given":"Leslie M."},{"family":"Teng","given":"Jessica E."},{"family":"Jerome","given":"J. Gregory"},{"family":"Franke","given":"Molly F."},{"family":"Saha","given":"Amit"},{"family":"Yu","given":"Yanan"},{"family":"Kováč","given":"Paul"},{"family":"Calderwood","given":"Stephen B."},{"family":"Ryan","given":"Edward T."},{"family":"LaRocque","given":"Regina C."},{"family":"Almazor","given":"Charles P."},{"family":"Qadri","given":"Firdausi"},{"family":"Ivers","given":"Louise C."},{"family":"Harris","given":"Jason B."}],"issued":{"date-parts":[["2014",5]]}}},{"id":"EgwuGF5k/xlwLEQSU","uris":["http://zotero.org/users/local/xDVOxgbN/items/885T83T7"],"itemData":{"id":28,"type":"article-journal","abstract":"Cholera is a diarrheal disease caused by Vibrio cholerae that continues to be a major public health concern in populations without access to safe water. IgG- and IgA-secreting memory B cells (MBC) targeting the V. cholerae O-specific polysaccharide (OSP) correlate with protection from infection in persons exposed to V. cholerae and may be a major determinant of long-term protection against cholera. Shanchol, a widely used oral cholera vaccine (OCV), stimulates OSP MBC responses in only some people after vaccination, and the gut microbiota is a possible determinant of variable immune responses observed after OCV. Using 16S rRNA sequencing of feces from the time of vaccination, we compared the gut microbiota among adults with and without MBC responses to OCV. Gut microbial diversity measures were not associated with MBC isotype or OSP-specific responses, but individuals with a higher abundance of Clostridiales and lower abundance of Enterobacterales were more likely to develop an MBC response. We applied protein-normalized fecal supernatants of high and low MBC responders to THP-1-derived human macrophages to investigate the effect of microbial factors at the time of vaccination. Feces from individuals with higher MBC responses induced significantly different IL-1β and IL-6 levels than individuals with lower responses, indicating that the gut microbiota at the time of vaccination may \"prime\" the mucosal immune response to vaccine antigens. Our results suggest the gut microbiota could impact immune responses to OCVs, and further study of microbial metabolites as potential vaccine adjuvants is warranted.","container-title":"Infection and Immunity","DOI":"10.1128/IAI.00217-21","ISSN":"1098-5522","issue":"9","journalAbbreviation":"Infect Immun","language":"eng","note":"PMID: 34228490\nPMCID: PMC8370679","page":"e0021721","source":"PubMed","title":"Gut Microbiota and Development of Vibrio cholerae-Specific Long-Term Memory B Cells in Adults after Whole-Cell Killed Oral Cholera Vaccine","volume":"89","author":[{"family":"Chac","given":"Denise"},{"family":"Bhuiyan","given":"Taufiqur R."},{"family":"Saha","given":"Amit"},{"family":"Alam","given":"Mohammad M."},{"family":"Salma","given":"Umme"},{"family":"Jahan","given":"Nusrat"},{"family":"Chowdhury","given":"Fahima"},{"family":"Khan","given":"Ashraful I."},{"family":"Ryan","given":"Edward T."},{"family":"LaRocque","given":"Regina"},{"family":"Harris","given":"Jason B."},{"family":"Qadri","given":"Firdausi"},{"family":"Weil","given":"Ana A."}],"issued":{"date-parts":[["2021",8,16]]}}},{"id":"EgwuGF5k/Ab3tKABC","uris":["http://zotero.org/users/local/xDVOxgbN/items/MD4Y8M2Z"],"itemData":{"id":30,"type":"article-journal","abstract":"As part of a phase 4, randomized, double-blind, placebo-controlled trial to assess the immunogenicity and safety of PXVX0200 in children and adolescents aged 2-17 years, a subset of 73 adolescent subjects aged 12-17 years was followed for 2 years after vaccination and had blood collected for antibody assays on days 1, 11, 29, 91, 181, 365, 547, and 730. Endpoints included serum vibriocidal antibody (SVA) seroconversion, defined as a 4-fold or greater rise in antibody titer over baseline; geometric mean titers (GMTs); and geometric mean fold increase (GMFI) over baseline. Serum vibriocidal antibody seroconversion persisted in most subjects, with a rate of 64.5% noted at day 730. Geometric mean titers and GMFI both peaked at day 11 and remained greater than baseline at all time points, including day 730. Vaccination with PXVX0200 produces an immune response which persists for at least 2 years in adolescents aged 12-17 years.","container-title":"The American Journal of Tropical Medicine and Hygiene","DOI":"10.4269/ajtmh.20-1576","ISSN":"1476-1645","issue":"5","journalAbbreviation":"Am J Trop Med Hyg","language":"eng","note":"PMID: 33819178\nPMCID: PMC8103473","page":"1758-1760","source":"PubMed","title":"Long-Term Immunogenicity of Live Oral Cholera Vaccine CVD 103-HgR in Adolescents Aged 12-17 Years in the United States","volume":"104","author":[{"family":"McCarty","given":"James M."},{"family":"Cassie","given":"David"},{"family":"Bedell","given":"Lisa"},{"family":"Lock","given":"Michael D."},{"family":"Bennett","given":"Sean"}],"issued":{"date-parts":[["2021",4,5]]}}},{"id":"EgwuGF5k/6BXRJpee","uris":["http://zotero.org/users/local/xDVOxgbN/items/3GSEZ5VI"],"itemData":{"id":33,"type":"article-journal","container-title":"Vaccine","DOI":"10.1016/j.vaccine.2017.12.062","ISSN":"0264410X","issue":"6","journalAbbreviation":"Vaccine","language":"en","page":"833-840","source":"DOI.org (Crossref)","title":"Safety and immunogenicity of single-dose live oral cholera vaccine strain CVD 103-HgR in healthy adults age 18–45","volume":"36","author":[{"family":"McCarty","given":"James M."},{"family":"Lock","given":"Michael D."},{"family":"Hunt","given":"Kristin M."},{"family":"Simon","given":"Jakub K."},{"family":"Gurwith","given":"Marc"}],"issued":{"date-parts":[["2018",2]]}}},{"id":"EgwuGF5k/3PlEbxC7","uris":["http://zotero.org/users/local/xDVOxgbN/items/88EEN4QJ"],"itemData":{"id":25,"type":"article-journal","abstract":"BACKGROUND: The World Health Organization (WHO) recommends the use of oral cholera vaccines (OCVs) as part of an integrated control program, both in highly endemic settings and during cholera epidemics. The available and internationally recommended WHO-prequalified OCVs (Dukoral, Shanchol, Euvichol) contain multiple heat and formalin-killed V. cholerae strains of Inaba and Ogawa serotypes. MSD Wellcome Trust Hilleman Laboratories Pvt. Ltd. in technical collaboration with University of Gothenburg, Sweden has developed a new single strain OCV, Hillchol. This vaccine consists of formaldehyde-inactivated whole cell El Tor V. cholerae O1 bacteria engineered into the Hikojima serotype for stable expression of both the Ogawa (AB) and Inaba (AC) LPS antigens on the bacterial surface. We evaluated the safety and immunogenicity of this novel and potentially much less expensive OCV in comparison with Shanchol.\nMETHODS: We conducted a randomized, non-infer</w:instrText>
      </w:r>
      <w:r w:rsidR="00345AF1">
        <w:rPr>
          <w:rFonts w:hint="eastAsia"/>
          <w:vertAlign w:val="superscript"/>
        </w:rPr>
        <w:instrText>iority, age-descending clinical trial of OCV (Hillchol vs. Shanchol) in the Mirpur area of Dhaka city from July 2016 to May 2017. This study was carried out in three different age cohorts (1-&lt;5, 5-17 and </w:instrText>
      </w:r>
      <w:r w:rsidR="00345AF1">
        <w:rPr>
          <w:rFonts w:hint="eastAsia"/>
          <w:vertAlign w:val="superscript"/>
        </w:rPr>
        <w:instrText>≥</w:instrText>
      </w:r>
      <w:r w:rsidR="00345AF1">
        <w:rPr>
          <w:rFonts w:hint="eastAsia"/>
          <w:vertAlign w:val="superscript"/>
        </w:rPr>
        <w:instrText xml:space="preserve">18 years old). Two doses of vaccine were given at </w:instrText>
      </w:r>
      <w:r w:rsidR="00345AF1">
        <w:rPr>
          <w:vertAlign w:val="superscript"/>
        </w:rPr>
        <w:instrText xml:space="preserve">14 days intervals to 560 healthy participants.\nFINDINGS: No serious adverse events were reported. There were no significant differences in the rates of adverse events between the test vaccine (Hillchol) and the comparator (Shanchol) group. Serum vibriocidal antibody responses in all age groups combined were comparable for all the O1 Ogawa (59% vs. 67%; 90% CI of difference: -14.55, -0.84) and Inaba (70% vs. 71%; 90% CI of difference: -7.24, 5.77) serotypes, showing that the Hillchol vaccine was non-inferior to Shanchol. This new vaccine was also non-inferior to Shanchol in the different age strata.\nCONCLUSION: The safety and immunogenicity profile of the new OCV Hillchol is comparable to Shanchol in persons residing in a cholera-endemic setting. ClinicalTrials.gov number: NCT02823899.","container-title":"Vaccine","DOI":"10.1016/j.vaccine.2021.06.069","ISSN":"1873-2518","issue":"32","journalAbbreviation":"Vaccine","language":"eng","note":"PMID: 34218960","page":"4450-4457","source":"PubMed","title":"A phase I/II study to evaluate safety, tolerability and immunogenicity of Hillchol®, an inactivated single Hikojima strain based oral cholera vaccine, in a sequentially age descending population in Bangladesh","volume":"39","author":[{"family":"Chowdhury","given":"Fahima"},{"family":"Ali Syed","given":"Khalid"},{"family":"Akter","given":"Afroza"},{"family":"Rahman Bhuiyan","given":"Taufiqur"},{"family":"Tauheed","given":"Imam"},{"family":"Khaton","given":"Fatema"},{"family":"Biswas","given":"Rajib"},{"family":"Ferdous","given":"Jannatul"},{"family":"Al Banna","given":"Hasan"},{"family":"Ross","given":"Allen G."},{"family":"Mc Millan","given":"Nigel"},{"family":"Sharma","given":"Tarun"},{"family":"Kanchan","given":"Vibhu"},{"family":"Pal Singh","given":"Ajit"},{"family":"Gill","given":"Davinder"},{"family":"Lebens","given":"Michael"},{"family":"Nordqvist","given":"Stefan"},{"family":"Holmgren","given":"Jan"},{"family":"Clemens","given":"John D."},{"family":"Qadri","given":"Firdausi"}],"issued":{"date-parts":[["2021",7,22]]}}}],"schema":"https://github.com/citation-style-language/schema/raw/master/csl-citation.json"} </w:instrText>
      </w:r>
      <w:r w:rsidR="00E1583D" w:rsidRPr="00097432">
        <w:rPr>
          <w:vertAlign w:val="superscript"/>
        </w:rPr>
        <w:fldChar w:fldCharType="separate"/>
      </w:r>
      <w:r w:rsidR="00345AF1" w:rsidRPr="00345AF1">
        <w:rPr>
          <w:rFonts w:cs="Times New Roman"/>
          <w:vertAlign w:val="superscript"/>
        </w:rPr>
        <w:t>39–47</w:t>
      </w:r>
      <w:r w:rsidR="00E1583D" w:rsidRPr="00097432">
        <w:rPr>
          <w:vertAlign w:val="superscript"/>
        </w:rPr>
        <w:fldChar w:fldCharType="end"/>
      </w:r>
      <w:r w:rsidR="00E1583D" w:rsidRPr="00097432">
        <w:t xml:space="preserve"> </w:t>
      </w:r>
      <w:r w:rsidR="00722F43" w:rsidRPr="00097432">
        <w:rPr>
          <w:rFonts w:hint="eastAsia"/>
        </w:rPr>
        <w:t xml:space="preserve">, which </w:t>
      </w:r>
      <w:r w:rsidR="00EA7B2D" w:rsidRPr="00097432">
        <w:t>occur between</w:t>
      </w:r>
      <w:r w:rsidR="00E1583D" w:rsidRPr="00097432">
        <w:t xml:space="preserve"> 3 to 28 days</w:t>
      </w:r>
      <w:r w:rsidR="00000724" w:rsidRPr="00097432">
        <w:rPr>
          <w:rFonts w:hint="eastAsia"/>
        </w:rPr>
        <w:t xml:space="preserve"> (most often </w:t>
      </w:r>
      <w:r w:rsidR="00221068" w:rsidRPr="00097432">
        <w:t>7 to 14 days</w:t>
      </w:r>
      <w:r w:rsidR="00000724" w:rsidRPr="00097432">
        <w:rPr>
          <w:rFonts w:hint="eastAsia"/>
        </w:rPr>
        <w:t xml:space="preserve">) following the first </w:t>
      </w:r>
      <w:r w:rsidR="00E1583D" w:rsidRPr="00097432">
        <w:t xml:space="preserve">dose in a two-dose </w:t>
      </w:r>
      <w:r w:rsidR="00EA7B2D" w:rsidRPr="00097432">
        <w:t>regimen</w:t>
      </w:r>
      <w:r w:rsidR="00E1583D" w:rsidRPr="00097432">
        <w:rPr>
          <w:vertAlign w:val="superscript"/>
        </w:rPr>
        <w:fldChar w:fldCharType="begin"/>
      </w:r>
      <w:r w:rsidR="00345AF1">
        <w:rPr>
          <w:vertAlign w:val="superscript"/>
        </w:rPr>
        <w:instrText xml:space="preserve"> ADDIN ZOTERO_ITEM CSL_CITATION {"citationID":"jjgfrtW4","properties":{"formattedCitation":"\\super 39,41\\uc0\\u8211{}44\\nosupersub{}","plainCitation":"39,41–44","noteIndex":0},"citationItems":[{"id":"EgwuGF5k/xlwLEQSU","uris":["http://zotero.org/users/local/xDVOxgbN/items/885T83T7"],"itemData":{"id":28,"type":"article-journal","abstract":"Cholera is a diarrheal disease caused by Vibrio cholerae that continues to be a major public health concern in populations without access to safe water. IgG- and IgA-secreting memory B cells (MBC) targeting the V. cholerae O-specific polysaccharide (OSP) correlate with protection from infection in persons exposed to V. cholerae and may be a major determinant of long-term protection against cholera. Shanchol, a widely used oral cholera vaccine (OCV), stimulates OSP MBC responses in only some people after vaccination, and the gut microbiota is a possible determinant of variable immune responses observed after OCV. Using 16S rRNA sequencing of feces from the time of vaccination, we compared the gut microbiota among adults with and without MBC responses to OCV. Gut microbial diversity measures were not associated with MBC isotype or OSP-specific responses, but individuals with a higher abundance of Clostridiales and lower abundance of Enterobacterales were more likely to develop an MBC response. We applied protein-normalized fecal supernatants of high and low MBC responders to THP-1-derived human macrophages to investigate the effect of microbial factors at the time of vaccination. Feces from individuals with higher MBC responses induced significantly different IL-1β and IL-6 levels than individuals with lower responses, indicating that the gut microbiota at the time of vaccination may \"prime\" the mucosal immune response to vaccine antigens. Our results suggest the gut microbiota could impact immune responses to OCVs, and further study of microbial metabolites as potential vaccine adjuvants is warranted.","container-title":"Infection and Immunity","DOI":"10.1128/IAI.00217-21","ISSN":"1098-5522","issue":"9","journalAbbreviation":"Infect Immun","language":"eng","note":"PMID: 34228490\nPMCID: PMC8370679","page":"e0021721","source":"PubMed","title":"Gut Microbiota and Development of Vibrio cholerae-Specific Long-Term Memory B Cells in Adults after Whole-Cell Killed Oral Cholera Vaccine","volume":"89","author":[{"family":"Chac","given":"Denise"},{"family":"Bhuiyan","given":"Taufiqur R."},{"family":"Saha","given":"Amit"},{"family":"Alam","given":"Mohammad M."},{"family":"Salma","given":"Umme"},{"family":"Jahan","given":"Nusrat"},{"family":"Chowdhury","given":"Fahima"},{"family":"Khan","given":"Ashraful I."},{"family":"Ryan","given":"Edward T."},{"family":"LaRocque","given":"Regina"},{"family":"Harris","given":"Jason B."},{"family":"Qadri","given":"Firdausi"},{"family":"Weil","given":"Ana A."}],"issued":{"date-parts":[["2021",8,16]]}}},{"id":"EgwuGF5k/UPDcwlHQ","uris":["http://zotero.org/users/local/xDVOxgbN/items/VMBJ3ILL"],"itemData":{"id":4,"type":"article-journal","abstract":"INTRODUCTION: In cholera endemic areas, the periodicity of cholera outbreaks remains unpredictable, making it difficult to organize preventive efforts. Lack of data on duration of protection conferred by oral cholera vaccines further makes it difficult to determine when to deploy preemptive vaccination. We report on the immunogenicity and waning of immunity to Shanchol™ in Lukanga Swamps.\nMETHODS: We enrolled a cohort of 223 participants aged between 18 and 65 years old from whom serum samples were collected at baseline, day 28 before administration of the second dose, and consecutively at 6, 12, 24, 30, 36, and 48 months. Vibriocidal antibody titres were measured and expressed as geometric mean titres. Box plots and 95% CI were computed at each visit for both Inaba and Ogawa. Seroconversion was defined as a four fold or greater increase in antibody titres compared to baseline titres.\nRESULTS: Overall, seroconversion against V. cholerae Inaba and Ogawa after 1st dose was 35/134 (26%) and 34/134 (25%</w:instrText>
      </w:r>
      <w:r w:rsidR="00345AF1">
        <w:rPr>
          <w:rFonts w:hint="eastAsia"/>
          <w:vertAlign w:val="superscript"/>
        </w:rPr>
        <w:instrText xml:space="preserve">) respectively. We observed a statistical difference in seroconversion between the two subgroups of baseline titres (low &lt;80 and high </w:instrText>
      </w:r>
      <w:r w:rsidR="00345AF1">
        <w:rPr>
          <w:rFonts w:hint="eastAsia"/>
          <w:vertAlign w:val="superscript"/>
        </w:rPr>
        <w:instrText>≥</w:instrText>
      </w:r>
      <w:r w:rsidR="00345AF1">
        <w:rPr>
          <w:rFonts w:hint="eastAsia"/>
          <w:vertAlign w:val="superscript"/>
        </w:rPr>
        <w:instrText>80) for both Inaba (p = 0.02) and Ogawa (p&lt;0.0001). From a baseline of 13.58, anti-Ogawa GMT increased to 21.95 after th</w:instrText>
      </w:r>
      <w:r w:rsidR="00345AF1">
        <w:rPr>
          <w:vertAlign w:val="superscript"/>
        </w:rPr>
        <w:instrText>e first dose, but rapidly waned to 14.52, 13.13, and 12.78 at months 6, 12 and 24 respectively, and then increased to 13.21, 18.67 and 23.65 at months 30, 36 and 48 respectively. A similar trend was observed for anti-Inaba GMT across the same time points.\nCONCLUSION: We found that Shanchol™ was immunogenic in our study population and that vibriocidal antibodies may not be a good marker for long-term immunity. The observed rise in titres after 36 months suggests natural exposure, and this may be a critical time window opening for natural transmission in an endemic areas. We recommend re-vaccination at this time point in high risk areas.","container-title":"PloS One","DOI":"10.1371/journal.pone.0262239","ISSN":"1932-6203","issue":"1","journalAbbreviation":"PLoS One","language":"eng","note":"PMID: 34986195\nPMCID: PMC8730422","page":"e0262239","source":"PubMed","title":"Immunogenicity and waning immunity from the oral cholera vaccine (Shanchol™) in adults residing in Lukanga Swamps of Zambia","volume":"17","author":[{"family":"Ng Ombe","given":"Harriet"},{"family":"Simuyandi","given":"Michelo"},{"family":"Mwaba","given":"John"},{"family":"Luchen","given":"Charlie Chaluma"},{"family":"Alabi","given":"Peter"},{"family":"Chilyabanyama","given":"Obvious Nchimunya"},{"family":"Mubanga","given":"Cynthia"},{"family":"Hatyoka","given":"Luiza Miyanda"},{"family":"Muchimba","given":"Mutinta"},{"family":"Bosomprah","given":"Samuel"},{"family":"Chilengi","given":"Roma"},{"family":"Kwenda","given":"Geoffrey"},{"family":"Chisenga","given":"Caroline Cleopatra"}],"issued":{"date-parts":[["2022"]]}}},{"id":"EgwuGF5k/qcwvtkC1","uris":["http://zotero.org/users/local/xDVOxgbN/items/PQEELNWL"],"itemData":{"id":17,"type":"article-journal","abstract":"After the large influx of Rohingya nationals (termed Forcibly Displaced Myanmar National; FDMN) from Rakhine State of Myanmar to Cox's Bazar in Bangladesh, it was apparent that outbreaks of cholera was very likely in this setting where people were living under adverse water and sanitation conditions. Large campaigns of oral cholera vaccine (OCV) were carried out as a preemptive measure to control cholera epidemics. The aim of the study was to evaluate the immune responses of healthy adults and children after administration of two doses of OCV at 14 days interval in FDMN population and compare with the response observed in Bangladeshi's vaccinated earlier. A cross-sectional immunogenicity study was conducted among FDMNs of three age cohort; in adults (18+years; n = 83), in older children (6-17 years; n = 63) and in younger children (1-5 years; n = 80). Capillary blood was collected at three time points to measure vibriocidal antibodies using either plasma or dried blood spot (DBS) specimens. There was a significant increase of responder frequency of vibriocidal antibody titer at day 14 in all groups for Vibrio cholerae O1 (Ogawa/Inaba: adults-64%/64%, older children-70%/89% and younger children-51%/75%). There was no overall difference of vibriocidal antibody titer between FDMN and Bangladeshi population at baseline (p = 0.07-0.08) and at day 14, day 28 in all age groups for both serotypes. The seroconversion rate and geometric mean titer (GMT) of either serotype were comparable using both plasma and DBS specimens. These results showed that OCV is capable of inducing robust immune responses in adults and children among the FDMN population which is comparable to that seen in Bangladeshi participants in different age groups or that reported from other cholera endemic countries. Our results also suggest that the displaced population were exposed to V. cholerae prior to seeking shelter in Bangladesh.","container-title":"PLoS neglected tropical diseases","DOI":"10.1371/journal.pntd.0007989","ISSN":"1935-2735","issue":"3","journalAbbreviation":"PLoS Negl Trop Dis","language":"eng","note":"PMID: 32176695\nPMCID: PMC7075546","page":"e0007989","source":"PubMed","title":"Immunogenicity of a killed bivalent whole cell oral cholera vaccine in forcibly displaced Myanmar nationals in Cox's Bazar, Bangladesh","volume":"14","author":[{"family":"Chowdhury","given":"Fahima"},{"family":"Bhuiyan","given":"Taufiqur Rahman"},{"family":"Akter","given":"Afroza"},{"family":"Bhuiyan","given":"Md Saruar"},{"family":"Khan","given":"Ashraful Islam"},{"family":"Hossain","given":"Motaher"},{"family":"Tauheed","given":"Imam"},{"family":"Ahmed","given":"Tasnuva"},{"family":"Islam","given":"Shaumik"},{"family":"Rafique","given":"Tanzeem Ahmed"},{"family":"Siddique","given":"Shah Alam"},{"family":"Harun","given":"Nabila Binta"},{"family":"Islam","given":"Khaleda"},{"family":"Clemens","given":"John D."},{"family":"Qadri","given":"Firdausi"}],"issued":{"date-parts":[["2020",3]]}}},{"id":"EgwuGF5k/4u14LcVq","uris":["http://zotero.org/users/local/xDVOxgbN/items/ZG8J3XZ6"],"itemData":{"id":20,"type":"article-journal","container-title":"PLOS ONE","DOI":"10.1371/journal.pone.0218033","ISSN":"1932-6203","issue":"6","journalAbbreviation":"PLoS ONE","language":"en","page":"e0218033","source":"DOI.org (Crossref)","title":"Safety and immunogenicity of a killed bivalent (O1 and O139) whole-cell oral cholera vaccine in adults and children in Vellore, South India","volume":"14","author":[{"family":"Raghava Mohan","given":"Venkata"},{"family":"Raj","given":"Santosh"},{"family":"Dhingra","given":"Mandeep Singh"},{"family":"Aloysia D’Cor","given":"Naveena"},{"family":"Singh","given":"Ajit Pal"},{"family":"Saluja","given":"Tarun"},{"family":"Kim","given":"Deok Ryun"},{"family":"Midde","given":"Venkat Jayanth"},{"family":"Kim","given":"Yanghee"},{"family":"Vemula","given":"Sridhar"},{"family":"Narla","given":"Santhosh Kumar"},{"family":"Sah","given":"Binod"},{"family":"Ali","given":"Mohammad"}],"editor":[{"family":"Borrow","given":"Ray"}],"issued":{"date-parts":[["2019",6,18]]}}},{"id":"EgwuGF5k/MEiMcdvb","uris":["http://zotero.org/users/local/xDVOxgbN/items/TP75RAGU"],"itemData":{"id":22,"type":"article-journal","abstract":"BACKGROUND: Studies of the immunogenicity of the killed bivalent whole cell oral cholera vaccine, Shanchol, have been performed in historically cholera-endemic areas of Asia. There is a need to assess the immunogenicity of the vaccine in Haiti and other populations without historical exposure to Vibrio cholerae.\nMETHODOLOGY/PRINCIPAL FINDINGS: We measured immune res</w:instrText>
      </w:r>
      <w:r w:rsidR="00345AF1">
        <w:rPr>
          <w:rFonts w:hint="eastAsia"/>
          <w:vertAlign w:val="superscript"/>
        </w:rPr>
        <w:instrText>ponses after administration of Shanchol, in 25 adults, 51 older children (6-17 years), and 47 younger children (1-5 years) in Haiti, where cholera was introduced in 2010. A</w:instrText>
      </w:r>
      <w:r w:rsidR="00345AF1">
        <w:rPr>
          <w:rFonts w:hint="eastAsia"/>
          <w:vertAlign w:val="superscript"/>
        </w:rPr>
        <w:instrText>≥</w:instrText>
      </w:r>
      <w:r w:rsidR="00345AF1">
        <w:rPr>
          <w:rFonts w:hint="eastAsia"/>
          <w:vertAlign w:val="superscript"/>
        </w:rPr>
        <w:instrText>4-fold increase in vibriocidal antibody titer against V. cholerae O1 Ogawa was observed in 91% of adults, 74% of older children, and 73% of younger children after two doses of Shanchol; similar responses were observed against the Inaba serotype. A</w:instrText>
      </w:r>
      <w:r w:rsidR="00345AF1">
        <w:rPr>
          <w:rFonts w:hint="eastAsia"/>
          <w:vertAlign w:val="superscript"/>
        </w:rPr>
        <w:instrText>≥</w:instrText>
      </w:r>
      <w:r w:rsidR="00345AF1">
        <w:rPr>
          <w:rFonts w:hint="eastAsia"/>
          <w:vertAlign w:val="superscript"/>
        </w:rPr>
        <w:instrText>2-fold increase in serum O-antigen specific polysaccharide IgA antibody levels against V.</w:instrText>
      </w:r>
      <w:r w:rsidR="00345AF1">
        <w:rPr>
          <w:vertAlign w:val="superscript"/>
        </w:rPr>
        <w:instrText xml:space="preserve"> cholerae O1 Ogawa was observed in 59% of adults, 45% of older children, and 61% of younger children; similar responses were observed against the Inaba serotype. We compared immune responses in Haitian individuals with age- and blood group-matched individuals from Bangladesh, a historically cholera-endemic area. The geometric mean vibriocidal titers after the first dose of vaccine were lower in Haitian than in Bangladeshi vaccinees. However, the mean vibriocidal titers did not differ between the two groups after the second dose of the vaccine.\nCONCLUSIONS/SIGNIFICANCE: A killed bivalent whole cell oral cholera vaccine, Shanchol, is highly immunogenic in Haitian adults and children. A two-dose regimen may be important in Haiti, and other populations lacking previous repeated exposures to V. cholerae.","container-title":"PLoS neglected tropical diseases","DOI":"10.1371/journal.pntd.0002828","ISSN":"1935-2735","issue":"5","journalAbbreviation":"PLoS Negl Trop Dis","language":"eng","note":"PMID: 24786645\nPMCID: PMC4006712","page":"e2828","source":"PubMed","title":"Immunogenicity of a killed bivalent (O1 and O139) whole cell oral cholera vaccine, Shanchol, in Haiti","volume":"8","author":[{"family":"Charles","given":"Richelle C."},{"family":"Hilaire","given":"Isabelle J."},{"family":"Mayo-Smith","given":"Leslie M."},{"family":"Teng","given":"Jessica E."},{"family":"Jerome","given":"J. Gregory"},{"family":"Franke","given":"Molly F."},{"family":"Saha","given":"Amit"},{"family":"Yu","given":"Yanan"},{"family":"Kováč","given":"Paul"},{"family":"Calderwood","given":"Stephen B."},{"family":"Ryan","given":"Edward T."},{"family":"LaRocque","given":"Regina C."},{"family":"Almazor","given":"Charles P."},{"family":"Qadri","given":"Firdausi"},{"family":"Ivers","given":"Louise C."},{"family":"Harris","given":"Jason B."}],"issued":{"date-parts":[["2014",5]]}}}],"schema":"https://github.com/citation-style-language/schema/raw/master/csl-citation.json"} </w:instrText>
      </w:r>
      <w:r w:rsidR="00E1583D" w:rsidRPr="00097432">
        <w:rPr>
          <w:vertAlign w:val="superscript"/>
        </w:rPr>
        <w:fldChar w:fldCharType="separate"/>
      </w:r>
      <w:r w:rsidR="00345AF1" w:rsidRPr="00345AF1">
        <w:rPr>
          <w:rFonts w:cs="Times New Roman"/>
          <w:vertAlign w:val="superscript"/>
        </w:rPr>
        <w:t>39,41–44</w:t>
      </w:r>
      <w:r w:rsidR="00E1583D" w:rsidRPr="00097432">
        <w:rPr>
          <w:vertAlign w:val="superscript"/>
        </w:rPr>
        <w:fldChar w:fldCharType="end"/>
      </w:r>
      <w:r w:rsidR="00BA5EA7" w:rsidRPr="00097432">
        <w:t xml:space="preserve"> (</w:t>
      </w:r>
      <w:r w:rsidR="00363CA5" w:rsidRPr="00097432">
        <w:t xml:space="preserve">Supplementary Information </w:t>
      </w:r>
      <w:r w:rsidR="00C3213E" w:rsidRPr="00097432">
        <w:rPr>
          <w:b/>
          <w:bCs/>
        </w:rPr>
        <w:t>S</w:t>
      </w:r>
      <w:r w:rsidR="009206B5" w:rsidRPr="00097432">
        <w:rPr>
          <w:rFonts w:hint="eastAsia"/>
          <w:b/>
          <w:bCs/>
        </w:rPr>
        <w:t>7</w:t>
      </w:r>
      <w:r w:rsidR="00BA5EA7" w:rsidRPr="00097432">
        <w:t>)</w:t>
      </w:r>
      <w:r w:rsidR="00EA7B2D" w:rsidRPr="00097432">
        <w:t xml:space="preserve">. </w:t>
      </w:r>
    </w:p>
    <w:p w14:paraId="26D6E135" w14:textId="77777777" w:rsidR="00CC549A" w:rsidRPr="00097432" w:rsidRDefault="00CC549A" w:rsidP="00F57F15"/>
    <w:p w14:paraId="6A131D4B" w14:textId="0B0A50B6" w:rsidR="00984293" w:rsidRPr="00097432" w:rsidRDefault="00984293" w:rsidP="00F57F15">
      <w:r w:rsidRPr="00097432">
        <w:rPr>
          <w:b/>
        </w:rPr>
        <w:t>Table 2</w:t>
      </w:r>
      <w:r w:rsidRPr="00097432">
        <w:t xml:space="preserve">. </w:t>
      </w:r>
      <w:r w:rsidR="00576A40">
        <w:rPr>
          <w:rFonts w:hint="eastAsia"/>
        </w:rPr>
        <w:t xml:space="preserve">Model settings for ORI (single-dose </w:t>
      </w:r>
      <w:r w:rsidRPr="00097432">
        <w:t>OCV campaign</w:t>
      </w:r>
      <w:r w:rsidR="00576A40">
        <w:rPr>
          <w:rFonts w:hint="eastAsia"/>
        </w:rPr>
        <w:t>)</w:t>
      </w:r>
      <w:r w:rsidRPr="00097432">
        <w:t xml:space="preserve"> settings</w:t>
      </w:r>
    </w:p>
    <w:tbl>
      <w:tblPr>
        <w:tblW w:w="94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80"/>
        <w:gridCol w:w="7560"/>
      </w:tblGrid>
      <w:tr w:rsidR="0091006A" w:rsidRPr="00097432" w14:paraId="171316E9" w14:textId="77777777" w:rsidTr="00E01854">
        <w:tc>
          <w:tcPr>
            <w:tcW w:w="1880" w:type="dxa"/>
            <w:tcMar>
              <w:top w:w="100" w:type="dxa"/>
              <w:left w:w="100" w:type="dxa"/>
              <w:bottom w:w="100" w:type="dxa"/>
              <w:right w:w="100" w:type="dxa"/>
            </w:tcMar>
          </w:tcPr>
          <w:p w14:paraId="7A57B849" w14:textId="77777777" w:rsidR="00984293" w:rsidRPr="00097432" w:rsidRDefault="00984293" w:rsidP="00C34272">
            <w:pPr>
              <w:spacing w:line="240" w:lineRule="auto"/>
            </w:pPr>
            <w:r w:rsidRPr="00097432">
              <w:t>OCV campaign feature</w:t>
            </w:r>
          </w:p>
        </w:tc>
        <w:tc>
          <w:tcPr>
            <w:tcW w:w="7560" w:type="dxa"/>
            <w:tcMar>
              <w:top w:w="100" w:type="dxa"/>
              <w:left w:w="100" w:type="dxa"/>
              <w:bottom w:w="100" w:type="dxa"/>
              <w:right w:w="100" w:type="dxa"/>
            </w:tcMar>
            <w:vAlign w:val="center"/>
          </w:tcPr>
          <w:p w14:paraId="1245B3E5" w14:textId="1A0B7137" w:rsidR="00984293" w:rsidRPr="00097432" w:rsidRDefault="00984293" w:rsidP="00C34272">
            <w:pPr>
              <w:spacing w:line="240" w:lineRule="auto"/>
            </w:pPr>
            <w:r w:rsidRPr="00097432">
              <w:t xml:space="preserve">Model settings that </w:t>
            </w:r>
            <w:r w:rsidR="007658FC" w:rsidRPr="00097432">
              <w:t>wer</w:t>
            </w:r>
            <w:r w:rsidRPr="00097432">
              <w:t>e tested</w:t>
            </w:r>
          </w:p>
        </w:tc>
      </w:tr>
      <w:tr w:rsidR="004669B4" w:rsidRPr="00097432" w14:paraId="4A13A8D9" w14:textId="77777777" w:rsidTr="00C34272">
        <w:trPr>
          <w:trHeight w:val="546"/>
        </w:trPr>
        <w:tc>
          <w:tcPr>
            <w:tcW w:w="1880" w:type="dxa"/>
            <w:tcMar>
              <w:top w:w="100" w:type="dxa"/>
              <w:left w:w="100" w:type="dxa"/>
              <w:bottom w:w="100" w:type="dxa"/>
              <w:right w:w="100" w:type="dxa"/>
            </w:tcMar>
          </w:tcPr>
          <w:p w14:paraId="1FA027BF" w14:textId="09911AB7" w:rsidR="004669B4" w:rsidRPr="00097432" w:rsidRDefault="004669B4" w:rsidP="00C34272">
            <w:pPr>
              <w:spacing w:line="240" w:lineRule="auto"/>
            </w:pPr>
            <w:r w:rsidRPr="00097432">
              <w:t>Campaign coverage</w:t>
            </w:r>
          </w:p>
        </w:tc>
        <w:tc>
          <w:tcPr>
            <w:tcW w:w="7560" w:type="dxa"/>
            <w:tcMar>
              <w:top w:w="100" w:type="dxa"/>
              <w:left w:w="100" w:type="dxa"/>
              <w:bottom w:w="100" w:type="dxa"/>
              <w:right w:w="100" w:type="dxa"/>
            </w:tcMar>
          </w:tcPr>
          <w:p w14:paraId="5E2199BC" w14:textId="277DE6FA" w:rsidR="004669B4" w:rsidRPr="00097432" w:rsidRDefault="00195CA7" w:rsidP="00C34272">
            <w:pPr>
              <w:spacing w:line="240" w:lineRule="auto"/>
            </w:pPr>
            <w:r w:rsidRPr="00195CA7">
              <w:t xml:space="preserve">Targeted the entire population of the affected administrative area. Coverage ranged from 60% to 90% in 5% increments. Main text presents </w:t>
            </w:r>
            <w:proofErr w:type="gramStart"/>
            <w:r w:rsidRPr="00195CA7">
              <w:t>results</w:t>
            </w:r>
            <w:proofErr w:type="gramEnd"/>
            <w:r w:rsidRPr="00195CA7">
              <w:t xml:space="preserve"> for 60%, 75%, and 90%.</w:t>
            </w:r>
          </w:p>
        </w:tc>
      </w:tr>
      <w:tr w:rsidR="004669B4" w:rsidRPr="00097432" w14:paraId="55B0D3A7" w14:textId="77777777" w:rsidTr="00A020EF">
        <w:trPr>
          <w:trHeight w:val="1446"/>
        </w:trPr>
        <w:tc>
          <w:tcPr>
            <w:tcW w:w="1880" w:type="dxa"/>
            <w:tcMar>
              <w:top w:w="100" w:type="dxa"/>
              <w:left w:w="100" w:type="dxa"/>
              <w:bottom w:w="100" w:type="dxa"/>
              <w:right w:w="100" w:type="dxa"/>
            </w:tcMar>
          </w:tcPr>
          <w:p w14:paraId="52629D65" w14:textId="3DDC7D09" w:rsidR="004669B4" w:rsidRPr="00097432" w:rsidRDefault="004669B4" w:rsidP="00C34272">
            <w:pPr>
              <w:spacing w:line="240" w:lineRule="auto"/>
              <w:rPr>
                <w:rFonts w:eastAsia="Aptos"/>
              </w:rPr>
            </w:pPr>
            <w:r w:rsidRPr="00097432">
              <w:t>Campaign triggers</w:t>
            </w:r>
          </w:p>
        </w:tc>
        <w:tc>
          <w:tcPr>
            <w:tcW w:w="7560" w:type="dxa"/>
            <w:tcMar>
              <w:top w:w="100" w:type="dxa"/>
              <w:left w:w="100" w:type="dxa"/>
              <w:bottom w:w="100" w:type="dxa"/>
              <w:right w:w="100" w:type="dxa"/>
            </w:tcMar>
          </w:tcPr>
          <w:p w14:paraId="44715545" w14:textId="281A1BA7" w:rsidR="00195CA7" w:rsidRDefault="00195CA7" w:rsidP="00195CA7">
            <w:pPr>
              <w:spacing w:line="240" w:lineRule="auto"/>
            </w:pPr>
            <w:r>
              <w:rPr>
                <w:rFonts w:hint="eastAsia"/>
              </w:rPr>
              <w:t>(</w:t>
            </w:r>
            <w:proofErr w:type="spellStart"/>
            <w:r>
              <w:rPr>
                <w:rFonts w:hint="eastAsia"/>
              </w:rPr>
              <w:t>i</w:t>
            </w:r>
            <w:proofErr w:type="spellEnd"/>
            <w:r>
              <w:rPr>
                <w:rFonts w:hint="eastAsia"/>
              </w:rPr>
              <w:t xml:space="preserve">) </w:t>
            </w:r>
            <w:r>
              <w:t>Outbreak onset–triggered: Initiated 1–20 weeks after outbreak onset, in 1-week increments; implementation set at the midpoint of the specified week.</w:t>
            </w:r>
          </w:p>
          <w:p w14:paraId="3B520C5B" w14:textId="1C0197A2" w:rsidR="004669B4" w:rsidRPr="00097432" w:rsidRDefault="00195CA7" w:rsidP="00195CA7">
            <w:pPr>
              <w:spacing w:line="240" w:lineRule="auto"/>
              <w:rPr>
                <w:lang w:val="en-US"/>
              </w:rPr>
            </w:pPr>
            <w:r>
              <w:rPr>
                <w:rFonts w:hint="eastAsia"/>
              </w:rPr>
              <w:t xml:space="preserve">(ii) </w:t>
            </w:r>
            <w:r>
              <w:t>Case-triggered: Initiated once cumulative cases reached a predefined threshold (1, 10, 20, …, 100, 200, …, 1,000), followed by an additional 1–</w:t>
            </w:r>
            <w:proofErr w:type="gramStart"/>
            <w:r>
              <w:t>20 week</w:t>
            </w:r>
            <w:proofErr w:type="gramEnd"/>
            <w:r>
              <w:t xml:space="preserve"> implementation delay.</w:t>
            </w:r>
          </w:p>
        </w:tc>
      </w:tr>
      <w:tr w:rsidR="004669B4" w:rsidRPr="00097432" w14:paraId="3DB88106" w14:textId="77777777" w:rsidTr="00C34272">
        <w:trPr>
          <w:trHeight w:val="393"/>
        </w:trPr>
        <w:tc>
          <w:tcPr>
            <w:tcW w:w="1880" w:type="dxa"/>
            <w:tcMar>
              <w:top w:w="100" w:type="dxa"/>
              <w:left w:w="100" w:type="dxa"/>
              <w:bottom w:w="100" w:type="dxa"/>
              <w:right w:w="100" w:type="dxa"/>
            </w:tcMar>
          </w:tcPr>
          <w:p w14:paraId="0601C861" w14:textId="35579AC2" w:rsidR="004669B4" w:rsidRPr="00097432" w:rsidRDefault="004669B4" w:rsidP="00C34272">
            <w:pPr>
              <w:spacing w:line="240" w:lineRule="auto"/>
            </w:pPr>
            <w:r w:rsidRPr="00097432">
              <w:lastRenderedPageBreak/>
              <w:t>Vaccination round</w:t>
            </w:r>
            <w:r w:rsidR="00195CA7">
              <w:rPr>
                <w:rFonts w:hint="eastAsia"/>
              </w:rPr>
              <w:t>s</w:t>
            </w:r>
          </w:p>
        </w:tc>
        <w:tc>
          <w:tcPr>
            <w:tcW w:w="7560" w:type="dxa"/>
            <w:tcMar>
              <w:top w:w="100" w:type="dxa"/>
              <w:left w:w="100" w:type="dxa"/>
              <w:bottom w:w="100" w:type="dxa"/>
              <w:right w:w="100" w:type="dxa"/>
            </w:tcMar>
          </w:tcPr>
          <w:p w14:paraId="0D70DC1A" w14:textId="31BF6CA1" w:rsidR="004669B4" w:rsidRPr="00097432" w:rsidRDefault="00195CA7" w:rsidP="00C34272">
            <w:pPr>
              <w:spacing w:line="240" w:lineRule="auto"/>
            </w:pPr>
            <w:r>
              <w:rPr>
                <w:rFonts w:hint="eastAsia"/>
              </w:rPr>
              <w:t>One round of vaccination per campa</w:t>
            </w:r>
            <w:r w:rsidR="004F7FEF">
              <w:rPr>
                <w:rFonts w:hint="eastAsia"/>
              </w:rPr>
              <w:t>ig</w:t>
            </w:r>
            <w:r>
              <w:rPr>
                <w:rFonts w:hint="eastAsia"/>
              </w:rPr>
              <w:t>n</w:t>
            </w:r>
          </w:p>
        </w:tc>
      </w:tr>
      <w:tr w:rsidR="00195CA7" w:rsidRPr="00097432" w14:paraId="73E2D6B6" w14:textId="77777777" w:rsidTr="00C34272">
        <w:trPr>
          <w:trHeight w:val="393"/>
        </w:trPr>
        <w:tc>
          <w:tcPr>
            <w:tcW w:w="1880" w:type="dxa"/>
            <w:tcMar>
              <w:top w:w="100" w:type="dxa"/>
              <w:left w:w="100" w:type="dxa"/>
              <w:bottom w:w="100" w:type="dxa"/>
              <w:right w:w="100" w:type="dxa"/>
            </w:tcMar>
          </w:tcPr>
          <w:p w14:paraId="4C7DCDFF" w14:textId="03A33618" w:rsidR="00195CA7" w:rsidRPr="00097432" w:rsidRDefault="00195CA7" w:rsidP="00C34272">
            <w:pPr>
              <w:spacing w:line="240" w:lineRule="auto"/>
            </w:pPr>
            <w:r>
              <w:rPr>
                <w:rFonts w:hint="eastAsia"/>
              </w:rPr>
              <w:t>Outbreak data</w:t>
            </w:r>
          </w:p>
        </w:tc>
        <w:tc>
          <w:tcPr>
            <w:tcW w:w="7560" w:type="dxa"/>
            <w:tcMar>
              <w:top w:w="100" w:type="dxa"/>
              <w:left w:w="100" w:type="dxa"/>
              <w:bottom w:w="100" w:type="dxa"/>
              <w:right w:w="100" w:type="dxa"/>
            </w:tcMar>
          </w:tcPr>
          <w:p w14:paraId="11548E46" w14:textId="5A95F74D" w:rsidR="00195CA7" w:rsidRPr="00F91CEE" w:rsidRDefault="00195CA7" w:rsidP="00C34272">
            <w:pPr>
              <w:spacing w:line="240" w:lineRule="auto"/>
            </w:pPr>
            <w:r w:rsidRPr="00F91CEE">
              <w:t>Analyses were performed across all reconstructed outbreaks and in subsets reflecting OCV stockpile deployments during 2013–2020.</w:t>
            </w:r>
          </w:p>
        </w:tc>
      </w:tr>
    </w:tbl>
    <w:p w14:paraId="29AB9BF4" w14:textId="7E2AA71E" w:rsidR="00C75641" w:rsidRPr="00097432" w:rsidRDefault="00AB0EE1" w:rsidP="00F57F15">
      <w:pPr>
        <w:pStyle w:val="Heading3"/>
      </w:pPr>
      <w:bookmarkStart w:id="23" w:name="_Toc184909203"/>
      <w:r w:rsidRPr="00097432">
        <w:t>Cost-effectiveness analysis</w:t>
      </w:r>
      <w:bookmarkStart w:id="24" w:name="_heading=h.2jxsxqh" w:colFirst="0" w:colLast="0"/>
      <w:bookmarkEnd w:id="23"/>
      <w:bookmarkEnd w:id="24"/>
    </w:p>
    <w:p w14:paraId="0ACC3EC3" w14:textId="16926B2B" w:rsidR="005601C2" w:rsidRPr="00097432" w:rsidRDefault="00F903D5" w:rsidP="00F57F15">
      <w:r w:rsidRPr="00097432">
        <w:t xml:space="preserve">We evaluated cost-effectiveness by calculating the cost per case, death, and DALY averted. </w:t>
      </w:r>
      <w:r w:rsidR="00422D17" w:rsidRPr="00097432">
        <w:rPr>
          <w:rFonts w:hint="eastAsia"/>
        </w:rPr>
        <w:t xml:space="preserve">Following </w:t>
      </w:r>
      <w:r w:rsidR="00422D17" w:rsidRPr="00097432">
        <w:t>a literature review</w:t>
      </w:r>
      <w:r w:rsidR="007C178B">
        <w:rPr>
          <w:rFonts w:hint="eastAsia"/>
        </w:rPr>
        <w:t xml:space="preserve"> </w:t>
      </w:r>
      <w:r w:rsidR="00422D17" w:rsidRPr="00097432">
        <w:t>(</w:t>
      </w:r>
      <w:r w:rsidR="007C178B" w:rsidRPr="007C178B">
        <w:rPr>
          <w:rFonts w:hint="eastAsia"/>
          <w:b/>
          <w:bCs/>
        </w:rPr>
        <w:t>Table 1</w:t>
      </w:r>
      <w:r w:rsidR="007C178B">
        <w:rPr>
          <w:rFonts w:hint="eastAsia"/>
        </w:rPr>
        <w:t xml:space="preserve"> and</w:t>
      </w:r>
      <w:r w:rsidR="00422D17" w:rsidRPr="00097432">
        <w:t xml:space="preserve"> Supplementary Material </w:t>
      </w:r>
      <w:r w:rsidR="00422D17" w:rsidRPr="00097432">
        <w:rPr>
          <w:b/>
          <w:bCs/>
        </w:rPr>
        <w:t>S</w:t>
      </w:r>
      <w:r w:rsidR="009206B5" w:rsidRPr="00097432">
        <w:rPr>
          <w:rFonts w:hint="eastAsia"/>
          <w:b/>
          <w:bCs/>
        </w:rPr>
        <w:t>8</w:t>
      </w:r>
      <w:r w:rsidR="00422D17" w:rsidRPr="00097432">
        <w:t>)</w:t>
      </w:r>
      <w:r w:rsidR="00422D17" w:rsidRPr="00097432">
        <w:rPr>
          <w:rFonts w:hint="eastAsia"/>
        </w:rPr>
        <w:t xml:space="preserve">, we selected </w:t>
      </w:r>
      <w:r w:rsidR="00422D17" w:rsidRPr="00097432">
        <w:t>recent, high-quality cost estimates representative of our modeling data.</w:t>
      </w:r>
      <w:r w:rsidRPr="00097432">
        <w:t xml:space="preserve"> To </w:t>
      </w:r>
      <w:r w:rsidR="00422D17" w:rsidRPr="00097432">
        <w:rPr>
          <w:rFonts w:hint="eastAsia"/>
        </w:rPr>
        <w:t xml:space="preserve">be </w:t>
      </w:r>
      <w:r w:rsidRPr="00097432">
        <w:t>comprehensive, we adopted a societal perspective</w:t>
      </w:r>
      <w:r w:rsidR="00422D17" w:rsidRPr="00097432">
        <w:rPr>
          <w:rFonts w:hint="eastAsia"/>
        </w:rPr>
        <w:t xml:space="preserve"> that includes </w:t>
      </w:r>
      <w:r w:rsidRPr="00097432">
        <w:t>direct costs</w:t>
      </w:r>
      <w:r w:rsidR="00422D17" w:rsidRPr="00097432">
        <w:rPr>
          <w:rFonts w:hint="eastAsia"/>
        </w:rPr>
        <w:t xml:space="preserve"> (e.g., </w:t>
      </w:r>
      <w:r w:rsidRPr="00097432">
        <w:t>vaccine procurement and healthcare utilization</w:t>
      </w:r>
      <w:r w:rsidR="00422D17" w:rsidRPr="00097432">
        <w:rPr>
          <w:rFonts w:hint="eastAsia"/>
        </w:rPr>
        <w:t>)</w:t>
      </w:r>
      <w:r w:rsidRPr="00097432">
        <w:t xml:space="preserve"> and indirect costs</w:t>
      </w:r>
      <w:r w:rsidR="00422D17" w:rsidRPr="00097432">
        <w:rPr>
          <w:rFonts w:hint="eastAsia"/>
        </w:rPr>
        <w:t xml:space="preserve"> (e.g., </w:t>
      </w:r>
      <w:r w:rsidRPr="00097432">
        <w:t>productivity losses</w:t>
      </w:r>
      <w:r w:rsidR="00422D17" w:rsidRPr="00097432">
        <w:rPr>
          <w:rFonts w:hint="eastAsia"/>
        </w:rPr>
        <w:t>)</w:t>
      </w:r>
      <w:r w:rsidRPr="00097432">
        <w:t xml:space="preserve">. This perspective provides a holistic </w:t>
      </w:r>
      <w:r w:rsidR="00422D17" w:rsidRPr="00097432">
        <w:rPr>
          <w:rFonts w:hint="eastAsia"/>
        </w:rPr>
        <w:t xml:space="preserve">view of </w:t>
      </w:r>
      <w:r w:rsidRPr="00097432">
        <w:t>ORI intervention</w:t>
      </w:r>
      <w:r w:rsidR="00422D17" w:rsidRPr="00097432">
        <w:rPr>
          <w:rFonts w:hint="eastAsia"/>
        </w:rPr>
        <w:t>s</w:t>
      </w:r>
      <w:r w:rsidRPr="00097432">
        <w:t>.</w:t>
      </w:r>
      <w:r w:rsidRPr="00097432" w:rsidDel="00A60B50">
        <w:t xml:space="preserve"> </w:t>
      </w:r>
      <w:r w:rsidR="00422D17" w:rsidRPr="00097432">
        <w:rPr>
          <w:rFonts w:hint="eastAsia"/>
        </w:rPr>
        <w:t>All costs were</w:t>
      </w:r>
      <w:r w:rsidR="005601C2" w:rsidRPr="00097432">
        <w:t xml:space="preserve"> adjusted to 2023 US</w:t>
      </w:r>
      <w:r w:rsidR="00B42B4E" w:rsidRPr="00097432">
        <w:rPr>
          <w:rFonts w:hint="eastAsia"/>
        </w:rPr>
        <w:t>$</w:t>
      </w:r>
      <w:r w:rsidR="005601C2" w:rsidRPr="00097432">
        <w:t xml:space="preserve"> equivalents by </w:t>
      </w:r>
      <w:r w:rsidR="00422D17" w:rsidRPr="00097432">
        <w:rPr>
          <w:rFonts w:hint="eastAsia"/>
        </w:rPr>
        <w:t xml:space="preserve">inflating </w:t>
      </w:r>
      <w:r w:rsidR="005601C2" w:rsidRPr="00097432">
        <w:t xml:space="preserve">the costs from the </w:t>
      </w:r>
      <w:r w:rsidR="00422D17" w:rsidRPr="00097432">
        <w:rPr>
          <w:rFonts w:hint="eastAsia"/>
        </w:rPr>
        <w:t xml:space="preserve">original </w:t>
      </w:r>
      <w:r w:rsidR="005601C2" w:rsidRPr="00097432">
        <w:t xml:space="preserve">reporting year </w:t>
      </w:r>
      <w:r w:rsidR="00422D17" w:rsidRPr="00097432">
        <w:rPr>
          <w:rFonts w:hint="eastAsia"/>
        </w:rPr>
        <w:t>b</w:t>
      </w:r>
      <w:r w:rsidR="005601C2" w:rsidRPr="00097432">
        <w:t>ased on annual consumer price index change</w:t>
      </w:r>
      <w:r w:rsidR="007D5760" w:rsidRPr="00097432">
        <w:rPr>
          <w:rFonts w:hint="eastAsia"/>
        </w:rPr>
        <w:t xml:space="preserve">s for </w:t>
      </w:r>
      <w:r w:rsidR="00422D17" w:rsidRPr="00097432">
        <w:t xml:space="preserve">sub-Saharan Africa </w:t>
      </w:r>
      <w:r w:rsidR="00422D17" w:rsidRPr="00097432">
        <w:rPr>
          <w:rFonts w:hint="eastAsia"/>
        </w:rPr>
        <w:t xml:space="preserve">through </w:t>
      </w:r>
      <w:r w:rsidR="005601C2" w:rsidRPr="00097432">
        <w:t>2023</w:t>
      </w:r>
      <w:r w:rsidR="009E1BFE" w:rsidRPr="00097432">
        <w:t>.</w:t>
      </w:r>
      <w:r w:rsidR="005601C2" w:rsidRPr="00097432">
        <w:fldChar w:fldCharType="begin"/>
      </w:r>
      <w:r w:rsidR="00345AF1">
        <w:instrText xml:space="preserve"> ADDIN ZOTERO_ITEM CSL_CITATION {"citationID":"MJcbYW5h","properties":{"formattedCitation":"\\super 67\\uc0\\u8211{}69\\nosupersub{}","plainCitation":"67–69","noteIndex":0},"citationItems":[{"id":"EgwuGF5k/nR6s5J8e","uris":["http://zotero.org/users/local/xDVOxgbN/items/YGY5ASJX"],"itemData":{"id":186,"type":"article-journal","container-title":"PLOS Neglected Tropical Diseases","DOI":"10.1371/journal.pntd.0005124","ISSN":"1935-2735","issue":"12","journalAbbreviation":"PLoS Negl Trop Dis","language":"en","page":"e0005124","source":"DOI.org (Crossref)","title":"Oral Cholera Vaccination Delivery Cost in Low- and Middle-Income Countries: An Analysis Based on Systematic Review","title-short":"Oral Cholera Vaccination Delivery Cost in Low- and Middle-Income Countries","volume":"10","author":[{"family":"Mogasale","given":"Vittal"},{"family":"Ramani","given":"Enusa"},{"family":"Wee","given":"Hyeseung"},{"family":"Kim","given":"Jerome H."}],"editor":[{"family":"Ryan","given":"Edward T."}],"issued":{"date-parts":[["2016",12,8]]}}},{"id":"EgwuGF5k/8f1KEHfm","uris":["http://zotero.org/users/local/xDVOxgbN/items/NR3RX8QH"],"itemData":{"id":188,"type":"article-journal","container-title":"Value in Health","DOI":"10.1016/j.jval.2019.03.021","ISSN":"10983015","issue":"9","journalAbbreviation":"Value in Health","language":"en","page":"1026-1032","source":"DOI.org (Crossref)","title":"Adjusting for Inflation and Currency Changes Within Health Economic Studies","volume":"22","author":[{"family":"Turner","given":"Hugo C."},{"family":"Lauer","given":"Jeremy A."},{"family":"Tran","given":"Bach Xuan"},{"family":"Teerawattananon","given":"Yot"},{"family":"Jit","given":"Mark"}],"issued":{"date-parts":[["2019",9]]}}},{"id":"EgwuGF5k/cYVYVGZj","uris":["http://zotero.org/users/local/xDVOxgbN/items/VRNK5YWM"],"itemData":{"id":185,"type":"report","publisher":"Bureau of Labor Statistics","title":"Math calculations to better utilize CPI data","URL":"https://www.bls.gov/cpi/factsheets/cpi-math-calculations.pdf","author":[{"literal":"Bureau of Labor Statistics"}]}}],"schema":"https://github.com/citation-style-language/schema/raw/master/csl-citation.json"} </w:instrText>
      </w:r>
      <w:r w:rsidR="005601C2" w:rsidRPr="00097432">
        <w:fldChar w:fldCharType="separate"/>
      </w:r>
      <w:r w:rsidR="00345AF1" w:rsidRPr="00345AF1">
        <w:rPr>
          <w:rFonts w:cs="Times New Roman"/>
          <w:vertAlign w:val="superscript"/>
        </w:rPr>
        <w:t>67–69</w:t>
      </w:r>
      <w:r w:rsidR="005601C2" w:rsidRPr="00097432">
        <w:fldChar w:fldCharType="end"/>
      </w:r>
    </w:p>
    <w:p w14:paraId="00000180" w14:textId="636AEB63" w:rsidR="00E7552A" w:rsidRPr="00097432" w:rsidRDefault="0091383D" w:rsidP="00F57F15">
      <w:pPr>
        <w:pStyle w:val="Heading2"/>
      </w:pPr>
      <w:bookmarkStart w:id="25" w:name="_heading=h.3j2qqm3" w:colFirst="0" w:colLast="0"/>
      <w:bookmarkStart w:id="26" w:name="_Toc184909204"/>
      <w:bookmarkEnd w:id="25"/>
      <w:r w:rsidRPr="00097432">
        <w:t>Result</w:t>
      </w:r>
      <w:r w:rsidR="00161527" w:rsidRPr="00097432">
        <w:t>s</w:t>
      </w:r>
      <w:bookmarkEnd w:id="26"/>
    </w:p>
    <w:p w14:paraId="1A57C6BF" w14:textId="00304B68" w:rsidR="009505A3" w:rsidRPr="00097432" w:rsidRDefault="004A0798" w:rsidP="00AE499B">
      <w:pPr>
        <w:pStyle w:val="Heading3"/>
      </w:pPr>
      <w:bookmarkStart w:id="27" w:name="_Toc184909205"/>
      <w:r w:rsidRPr="00097432">
        <w:rPr>
          <w:rFonts w:hint="eastAsia"/>
        </w:rPr>
        <w:t>O</w:t>
      </w:r>
      <w:r w:rsidR="000C4FE2" w:rsidRPr="00097432">
        <w:t>utbreak</w:t>
      </w:r>
      <w:r w:rsidRPr="00097432">
        <w:rPr>
          <w:rFonts w:hint="eastAsia"/>
        </w:rPr>
        <w:t xml:space="preserve"> data</w:t>
      </w:r>
      <w:bookmarkEnd w:id="27"/>
    </w:p>
    <w:p w14:paraId="1D0BC1FA" w14:textId="6A343F83" w:rsidR="00C94D30" w:rsidRPr="00097432" w:rsidRDefault="005A7B66" w:rsidP="003938CB">
      <w:r w:rsidRPr="00097432">
        <w:t xml:space="preserve">We </w:t>
      </w:r>
      <w:r w:rsidR="00BF23EA" w:rsidRPr="00097432">
        <w:rPr>
          <w:rFonts w:hint="eastAsia"/>
        </w:rPr>
        <w:t>identified</w:t>
      </w:r>
      <w:r w:rsidR="00BA543A" w:rsidRPr="00097432">
        <w:t xml:space="preserve"> 1,</w:t>
      </w:r>
      <w:r w:rsidR="00280018" w:rsidRPr="00097432">
        <w:rPr>
          <w:rFonts w:hint="eastAsia"/>
        </w:rPr>
        <w:t>192</w:t>
      </w:r>
      <w:r w:rsidR="00BA543A" w:rsidRPr="00097432">
        <w:t xml:space="preserve"> cholera </w:t>
      </w:r>
      <w:r w:rsidR="00722B3A" w:rsidRPr="00097432">
        <w:t>outbreaks</w:t>
      </w:r>
      <w:r w:rsidR="00A46621" w:rsidRPr="00097432">
        <w:t xml:space="preserve"> </w:t>
      </w:r>
      <w:r w:rsidRPr="00097432">
        <w:t>across sub-Saharan Africa</w:t>
      </w:r>
      <w:r w:rsidR="00A46621" w:rsidRPr="00097432">
        <w:t xml:space="preserve"> </w:t>
      </w:r>
      <w:r w:rsidR="001E21A7" w:rsidRPr="00097432">
        <w:rPr>
          <w:rFonts w:hint="eastAsia"/>
        </w:rPr>
        <w:t>between</w:t>
      </w:r>
      <w:r w:rsidR="00A46621" w:rsidRPr="00097432">
        <w:t xml:space="preserve"> 2010 </w:t>
      </w:r>
      <w:r w:rsidR="001E21A7" w:rsidRPr="00097432">
        <w:rPr>
          <w:rFonts w:hint="eastAsia"/>
        </w:rPr>
        <w:t>and</w:t>
      </w:r>
      <w:r w:rsidR="00A46621" w:rsidRPr="00097432">
        <w:t xml:space="preserve"> 202</w:t>
      </w:r>
      <w:r w:rsidR="00280018" w:rsidRPr="00097432">
        <w:rPr>
          <w:rFonts w:hint="eastAsia"/>
        </w:rPr>
        <w:t>0</w:t>
      </w:r>
      <w:r w:rsidR="00C94D30" w:rsidRPr="00097432">
        <w:t>.</w:t>
      </w:r>
      <w:r w:rsidR="00BA543A" w:rsidRPr="00097432">
        <w:t xml:space="preserve"> </w:t>
      </w:r>
      <w:r w:rsidR="001E21A7" w:rsidRPr="00097432">
        <w:rPr>
          <w:rFonts w:hint="eastAsia"/>
        </w:rPr>
        <w:t>At the continental level</w:t>
      </w:r>
      <w:r w:rsidR="006C3069" w:rsidRPr="00097432">
        <w:rPr>
          <w:rFonts w:hint="eastAsia"/>
        </w:rPr>
        <w:t>,</w:t>
      </w:r>
      <w:r w:rsidR="001E21A7" w:rsidRPr="00097432">
        <w:rPr>
          <w:rFonts w:hint="eastAsia"/>
        </w:rPr>
        <w:t xml:space="preserve"> </w:t>
      </w:r>
      <w:r w:rsidR="00D55E1D" w:rsidRPr="00097432">
        <w:rPr>
          <w:rFonts w:hint="eastAsia"/>
        </w:rPr>
        <w:t xml:space="preserve">cholera </w:t>
      </w:r>
      <w:r w:rsidR="003938CB" w:rsidRPr="00097432">
        <w:rPr>
          <w:rFonts w:hint="eastAsia"/>
        </w:rPr>
        <w:t>incidence</w:t>
      </w:r>
      <w:r w:rsidR="00D55E1D" w:rsidRPr="00097432">
        <w:rPr>
          <w:rFonts w:hint="eastAsia"/>
        </w:rPr>
        <w:t xml:space="preserve"> displayed marked </w:t>
      </w:r>
      <w:r w:rsidR="003938CB" w:rsidRPr="00097432">
        <w:rPr>
          <w:rFonts w:hint="eastAsia"/>
        </w:rPr>
        <w:t>temporal</w:t>
      </w:r>
      <w:r w:rsidR="00CF2402" w:rsidRPr="00097432">
        <w:rPr>
          <w:rFonts w:hint="eastAsia"/>
        </w:rPr>
        <w:t xml:space="preserve"> and </w:t>
      </w:r>
      <w:r w:rsidR="007268BF" w:rsidRPr="00097432">
        <w:rPr>
          <w:rFonts w:hint="eastAsia"/>
        </w:rPr>
        <w:t>spatial</w:t>
      </w:r>
      <w:r w:rsidR="003938CB" w:rsidRPr="00097432">
        <w:rPr>
          <w:rFonts w:hint="eastAsia"/>
        </w:rPr>
        <w:t xml:space="preserve"> heterogeneity</w:t>
      </w:r>
      <w:r w:rsidR="007268BF" w:rsidRPr="00097432">
        <w:rPr>
          <w:rFonts w:hint="eastAsia"/>
        </w:rPr>
        <w:t xml:space="preserve">. Monthly time series </w:t>
      </w:r>
      <w:r w:rsidR="00D55E1D" w:rsidRPr="00097432">
        <w:rPr>
          <w:rFonts w:hint="eastAsia"/>
        </w:rPr>
        <w:t>(</w:t>
      </w:r>
      <w:r w:rsidR="00D55E1D" w:rsidRPr="00097432">
        <w:rPr>
          <w:rFonts w:hint="eastAsia"/>
          <w:b/>
          <w:bCs/>
        </w:rPr>
        <w:t>Figure 2A</w:t>
      </w:r>
      <w:r w:rsidR="00D55E1D" w:rsidRPr="00097432">
        <w:rPr>
          <w:rFonts w:hint="eastAsia"/>
        </w:rPr>
        <w:t>) show</w:t>
      </w:r>
      <w:r w:rsidR="007268BF" w:rsidRPr="00097432">
        <w:rPr>
          <w:rFonts w:hint="eastAsia"/>
        </w:rPr>
        <w:t xml:space="preserve"> that most outbreaks </w:t>
      </w:r>
      <w:r w:rsidR="00D55E1D" w:rsidRPr="00097432">
        <w:rPr>
          <w:rFonts w:hint="eastAsia"/>
        </w:rPr>
        <w:t xml:space="preserve">occurred in </w:t>
      </w:r>
      <w:r w:rsidR="007268BF" w:rsidRPr="00097432">
        <w:rPr>
          <w:rFonts w:hint="eastAsia"/>
        </w:rPr>
        <w:t xml:space="preserve">Eastern, Western, and </w:t>
      </w:r>
      <w:r w:rsidR="00D4284E" w:rsidRPr="00097432">
        <w:rPr>
          <w:rFonts w:hint="eastAsia"/>
        </w:rPr>
        <w:t xml:space="preserve">Central </w:t>
      </w:r>
      <w:r w:rsidR="007268BF" w:rsidRPr="00097432">
        <w:rPr>
          <w:rFonts w:hint="eastAsia"/>
        </w:rPr>
        <w:t xml:space="preserve">Africa. </w:t>
      </w:r>
      <w:r w:rsidR="00D55E1D" w:rsidRPr="00097432">
        <w:t xml:space="preserve">Outbreaks during the first half of the period (2010–2015) were concentrated in Western Africa, while those in the latter half (2016–2021) were more prevalent in Eastern Africa. In contrast, </w:t>
      </w:r>
      <w:r w:rsidR="008D2EC7" w:rsidRPr="00097432">
        <w:rPr>
          <w:rFonts w:hint="eastAsia"/>
        </w:rPr>
        <w:t>Central</w:t>
      </w:r>
      <w:r w:rsidR="00D55E1D" w:rsidRPr="00097432">
        <w:t xml:space="preserve"> Africa experienced outbreaks </w:t>
      </w:r>
      <w:r w:rsidR="004E5C8A">
        <w:rPr>
          <w:rFonts w:hint="eastAsia"/>
        </w:rPr>
        <w:t xml:space="preserve">more consistently </w:t>
      </w:r>
      <w:r w:rsidR="00D55E1D" w:rsidRPr="00097432">
        <w:t>across the study period.</w:t>
      </w:r>
      <w:r w:rsidR="0036255C" w:rsidRPr="00097432">
        <w:rPr>
          <w:rFonts w:hint="eastAsia"/>
        </w:rPr>
        <w:t xml:space="preserve"> </w:t>
      </w:r>
      <w:r w:rsidR="00D55E1D" w:rsidRPr="00097432">
        <w:rPr>
          <w:rFonts w:hint="eastAsia"/>
        </w:rPr>
        <w:t xml:space="preserve">Spatial heterogeneity was also </w:t>
      </w:r>
      <w:r w:rsidR="0036255C" w:rsidRPr="00097432">
        <w:rPr>
          <w:rFonts w:hint="eastAsia"/>
        </w:rPr>
        <w:t xml:space="preserve">evident </w:t>
      </w:r>
      <w:r w:rsidR="00D55E1D" w:rsidRPr="00097432">
        <w:rPr>
          <w:rFonts w:hint="eastAsia"/>
        </w:rPr>
        <w:t xml:space="preserve">at finer </w:t>
      </w:r>
      <w:r w:rsidR="003770F2" w:rsidRPr="00097432">
        <w:rPr>
          <w:rFonts w:hint="eastAsia"/>
        </w:rPr>
        <w:t>geographic scales, such as at the country level</w:t>
      </w:r>
      <w:r w:rsidR="0036255C" w:rsidRPr="00097432">
        <w:rPr>
          <w:rFonts w:hint="eastAsia"/>
        </w:rPr>
        <w:t xml:space="preserve"> (</w:t>
      </w:r>
      <w:r w:rsidR="0036255C" w:rsidRPr="00097432">
        <w:rPr>
          <w:rFonts w:hint="eastAsia"/>
          <w:b/>
          <w:bCs/>
        </w:rPr>
        <w:t>Figure 2B</w:t>
      </w:r>
      <w:r w:rsidR="0036255C" w:rsidRPr="00097432">
        <w:rPr>
          <w:rFonts w:hint="eastAsia"/>
        </w:rPr>
        <w:t xml:space="preserve">). Outbreaks </w:t>
      </w:r>
      <w:r w:rsidR="003770F2" w:rsidRPr="00097432">
        <w:rPr>
          <w:rFonts w:hint="eastAsia"/>
        </w:rPr>
        <w:t xml:space="preserve">typically </w:t>
      </w:r>
      <w:r w:rsidR="0036255C" w:rsidRPr="00097432">
        <w:rPr>
          <w:rFonts w:hint="eastAsia"/>
        </w:rPr>
        <w:t>peak</w:t>
      </w:r>
      <w:r w:rsidR="003770F2" w:rsidRPr="00097432">
        <w:rPr>
          <w:rFonts w:hint="eastAsia"/>
        </w:rPr>
        <w:t>ed</w:t>
      </w:r>
      <w:r w:rsidR="0036255C" w:rsidRPr="00097432">
        <w:rPr>
          <w:rFonts w:hint="eastAsia"/>
        </w:rPr>
        <w:t xml:space="preserve"> around week 5 (mean = 6</w:t>
      </w:r>
      <w:r w:rsidR="003770F2" w:rsidRPr="00097432">
        <w:rPr>
          <w:rFonts w:hint="eastAsia"/>
        </w:rPr>
        <w:t xml:space="preserve"> </w:t>
      </w:r>
      <w:r w:rsidR="0098208C">
        <w:rPr>
          <w:rFonts w:hint="eastAsia"/>
        </w:rPr>
        <w:t xml:space="preserve">weeks </w:t>
      </w:r>
      <w:r w:rsidR="0036255C" w:rsidRPr="00097432">
        <w:rPr>
          <w:rFonts w:hint="eastAsia"/>
        </w:rPr>
        <w:t>and median =</w:t>
      </w:r>
      <w:r w:rsidR="003770F2" w:rsidRPr="00097432">
        <w:rPr>
          <w:rFonts w:hint="eastAsia"/>
        </w:rPr>
        <w:t xml:space="preserve"> </w:t>
      </w:r>
      <w:r w:rsidR="0036255C" w:rsidRPr="00097432">
        <w:rPr>
          <w:rFonts w:hint="eastAsia"/>
        </w:rPr>
        <w:t>4</w:t>
      </w:r>
      <w:r w:rsidR="003770F2" w:rsidRPr="00097432">
        <w:rPr>
          <w:rFonts w:hint="eastAsia"/>
        </w:rPr>
        <w:t xml:space="preserve"> weeks</w:t>
      </w:r>
      <w:r w:rsidR="0036255C" w:rsidRPr="00097432">
        <w:rPr>
          <w:rFonts w:hint="eastAsia"/>
        </w:rPr>
        <w:t>)</w:t>
      </w:r>
      <w:r w:rsidR="003770F2" w:rsidRPr="00097432">
        <w:rPr>
          <w:rFonts w:hint="eastAsia"/>
        </w:rPr>
        <w:t>,</w:t>
      </w:r>
      <w:r w:rsidR="0036255C" w:rsidRPr="00097432">
        <w:rPr>
          <w:rFonts w:hint="eastAsia"/>
        </w:rPr>
        <w:t xml:space="preserve"> with </w:t>
      </w:r>
      <w:r w:rsidR="003770F2" w:rsidRPr="00097432">
        <w:rPr>
          <w:rFonts w:hint="eastAsia"/>
        </w:rPr>
        <w:t xml:space="preserve">approximately </w:t>
      </w:r>
      <w:r w:rsidR="0036255C" w:rsidRPr="00097432">
        <w:rPr>
          <w:rFonts w:hint="eastAsia"/>
        </w:rPr>
        <w:t xml:space="preserve">88% </w:t>
      </w:r>
      <w:r w:rsidR="003770F2" w:rsidRPr="00097432">
        <w:rPr>
          <w:rFonts w:hint="eastAsia"/>
        </w:rPr>
        <w:t>reaching their</w:t>
      </w:r>
      <w:r w:rsidR="0036255C" w:rsidRPr="00097432">
        <w:rPr>
          <w:rFonts w:hint="eastAsia"/>
        </w:rPr>
        <w:t xml:space="preserve"> peak before week 10 (</w:t>
      </w:r>
      <w:r w:rsidR="0036255C" w:rsidRPr="00097432">
        <w:rPr>
          <w:rFonts w:hint="eastAsia"/>
          <w:b/>
          <w:bCs/>
        </w:rPr>
        <w:t>Figure 2C</w:t>
      </w:r>
      <w:r w:rsidR="0036255C" w:rsidRPr="00097432">
        <w:rPr>
          <w:rFonts w:hint="eastAsia"/>
        </w:rPr>
        <w:t xml:space="preserve">). </w:t>
      </w:r>
      <w:r w:rsidR="003770F2" w:rsidRPr="00097432">
        <w:rPr>
          <w:rFonts w:hint="eastAsia"/>
        </w:rPr>
        <w:t>Substantial variation was observed in outbreak characteristics, including size duration, and attack rate (</w:t>
      </w:r>
      <w:r w:rsidR="003770F2" w:rsidRPr="00097432">
        <w:rPr>
          <w:rFonts w:hint="eastAsia"/>
          <w:b/>
          <w:bCs/>
        </w:rPr>
        <w:t>Figures 2D-E</w:t>
      </w:r>
      <w:r w:rsidR="003770F2" w:rsidRPr="00097432">
        <w:rPr>
          <w:rFonts w:hint="eastAsia"/>
        </w:rPr>
        <w:t xml:space="preserve">). </w:t>
      </w:r>
      <w:r w:rsidR="006C3069" w:rsidRPr="00097432">
        <w:rPr>
          <w:rFonts w:hint="eastAsia"/>
        </w:rPr>
        <w:t>Outbreak d</w:t>
      </w:r>
      <w:r w:rsidR="003938CB" w:rsidRPr="00097432">
        <w:rPr>
          <w:rFonts w:hint="eastAsia"/>
        </w:rPr>
        <w:t>uration</w:t>
      </w:r>
      <w:r w:rsidR="006C3069" w:rsidRPr="00097432">
        <w:rPr>
          <w:rFonts w:hint="eastAsia"/>
        </w:rPr>
        <w:t>s</w:t>
      </w:r>
      <w:r w:rsidR="003938CB" w:rsidRPr="00097432">
        <w:rPr>
          <w:rFonts w:hint="eastAsia"/>
        </w:rPr>
        <w:t xml:space="preserve"> </w:t>
      </w:r>
      <w:r w:rsidR="00BA543A" w:rsidRPr="00097432">
        <w:lastRenderedPageBreak/>
        <w:t>rang</w:t>
      </w:r>
      <w:r w:rsidR="006C3069" w:rsidRPr="00097432">
        <w:rPr>
          <w:rFonts w:hint="eastAsia"/>
        </w:rPr>
        <w:t>ed</w:t>
      </w:r>
      <w:r w:rsidR="00BA543A" w:rsidRPr="00097432">
        <w:t xml:space="preserve"> from 5 to </w:t>
      </w:r>
      <w:r w:rsidR="009B4EE0">
        <w:rPr>
          <w:rFonts w:hint="eastAsia"/>
        </w:rPr>
        <w:t>93</w:t>
      </w:r>
      <w:r w:rsidR="00BA543A" w:rsidRPr="00097432">
        <w:t xml:space="preserve"> weeks</w:t>
      </w:r>
      <w:r w:rsidR="006C3069" w:rsidRPr="00097432">
        <w:rPr>
          <w:rFonts w:hint="eastAsia"/>
        </w:rPr>
        <w:t xml:space="preserve">, </w:t>
      </w:r>
      <w:r w:rsidR="003938CB" w:rsidRPr="00097432">
        <w:t xml:space="preserve">sizes </w:t>
      </w:r>
      <w:r w:rsidR="006C3069" w:rsidRPr="00097432">
        <w:rPr>
          <w:rFonts w:hint="eastAsia"/>
        </w:rPr>
        <w:t>f</w:t>
      </w:r>
      <w:r w:rsidR="003938CB" w:rsidRPr="00097432">
        <w:t>rom 3 to 1</w:t>
      </w:r>
      <w:r w:rsidR="009B4EE0">
        <w:rPr>
          <w:rFonts w:hint="eastAsia"/>
        </w:rPr>
        <w:t>4</w:t>
      </w:r>
      <w:r w:rsidR="003938CB" w:rsidRPr="00097432">
        <w:t>,</w:t>
      </w:r>
      <w:r w:rsidR="009B4EE0">
        <w:rPr>
          <w:rFonts w:hint="eastAsia"/>
        </w:rPr>
        <w:t>522</w:t>
      </w:r>
      <w:r w:rsidR="003938CB" w:rsidRPr="00097432">
        <w:t xml:space="preserve"> suspected cases</w:t>
      </w:r>
      <w:r w:rsidR="006C3069" w:rsidRPr="00097432">
        <w:rPr>
          <w:rFonts w:hint="eastAsia"/>
        </w:rPr>
        <w:t>, and t</w:t>
      </w:r>
      <w:r w:rsidR="006C3069" w:rsidRPr="00097432">
        <w:t>he attack rate</w:t>
      </w:r>
      <w:r w:rsidR="003770F2" w:rsidRPr="00097432">
        <w:rPr>
          <w:rFonts w:hint="eastAsia"/>
        </w:rPr>
        <w:t>s</w:t>
      </w:r>
      <w:r w:rsidR="006C3069" w:rsidRPr="00097432">
        <w:t xml:space="preserve"> from 0.00</w:t>
      </w:r>
      <w:r w:rsidR="009B4EE0">
        <w:rPr>
          <w:rFonts w:hint="eastAsia"/>
        </w:rPr>
        <w:t>5</w:t>
      </w:r>
      <w:r w:rsidR="006C3069" w:rsidRPr="00097432">
        <w:t xml:space="preserve"> to </w:t>
      </w:r>
      <w:r w:rsidR="009B4EE0">
        <w:rPr>
          <w:rFonts w:hint="eastAsia"/>
        </w:rPr>
        <w:t>112</w:t>
      </w:r>
      <w:r w:rsidR="006C3069" w:rsidRPr="00097432">
        <w:t xml:space="preserve"> rates per 10,000 p</w:t>
      </w:r>
      <w:r w:rsidR="003770F2" w:rsidRPr="00097432">
        <w:rPr>
          <w:rFonts w:hint="eastAsia"/>
        </w:rPr>
        <w:t>opulations</w:t>
      </w:r>
      <w:r w:rsidR="003938CB" w:rsidRPr="00097432">
        <w:rPr>
          <w:rFonts w:hint="eastAsia"/>
          <w:b/>
          <w:bCs/>
        </w:rPr>
        <w:t>.</w:t>
      </w:r>
      <w:r w:rsidR="00722B3A" w:rsidRPr="00097432">
        <w:t xml:space="preserve"> </w:t>
      </w:r>
      <w:r w:rsidR="00A51D17" w:rsidRPr="00097432">
        <w:t>Of the 1</w:t>
      </w:r>
      <w:r w:rsidR="00C94D30" w:rsidRPr="00097432">
        <w:t>5</w:t>
      </w:r>
      <w:r w:rsidR="00722B3A" w:rsidRPr="00097432">
        <w:t>2</w:t>
      </w:r>
      <w:r w:rsidR="00A51D17" w:rsidRPr="00097432">
        <w:t xml:space="preserve"> </w:t>
      </w:r>
      <w:r w:rsidR="00262CE6" w:rsidRPr="00097432">
        <w:t xml:space="preserve">outbreaks </w:t>
      </w:r>
      <w:r w:rsidR="001E21A7" w:rsidRPr="00097432">
        <w:rPr>
          <w:rFonts w:hint="eastAsia"/>
        </w:rPr>
        <w:t xml:space="preserve">reporting </w:t>
      </w:r>
      <w:r w:rsidR="00722B3A" w:rsidRPr="00097432">
        <w:t>at least one laboratory-confirmed case</w:t>
      </w:r>
      <w:r w:rsidR="00A51D17" w:rsidRPr="00097432">
        <w:t xml:space="preserve">, duration ranged from </w:t>
      </w:r>
      <w:r w:rsidR="00262CE6" w:rsidRPr="00097432">
        <w:t>5</w:t>
      </w:r>
      <w:r w:rsidR="005A20BB" w:rsidRPr="00097432">
        <w:t xml:space="preserve"> </w:t>
      </w:r>
      <w:r w:rsidR="00A51D17" w:rsidRPr="00097432">
        <w:t>to</w:t>
      </w:r>
      <w:r w:rsidR="00722B3A" w:rsidRPr="00097432">
        <w:t xml:space="preserve"> 56 </w:t>
      </w:r>
      <w:r w:rsidR="005A20BB" w:rsidRPr="00097432">
        <w:t>weeks</w:t>
      </w:r>
      <w:r w:rsidR="00F333D1" w:rsidRPr="00097432">
        <w:rPr>
          <w:rFonts w:hint="eastAsia"/>
        </w:rPr>
        <w:t xml:space="preserve">, outbreak </w:t>
      </w:r>
      <w:r w:rsidR="00A51D17" w:rsidRPr="00097432">
        <w:t>size</w:t>
      </w:r>
      <w:r w:rsidR="00C94D30" w:rsidRPr="00097432">
        <w:t>s</w:t>
      </w:r>
      <w:r w:rsidR="00A51D17" w:rsidRPr="00097432">
        <w:t xml:space="preserve"> </w:t>
      </w:r>
      <w:r w:rsidR="00F333D1" w:rsidRPr="00097432">
        <w:rPr>
          <w:rFonts w:hint="eastAsia"/>
        </w:rPr>
        <w:t xml:space="preserve">from </w:t>
      </w:r>
      <w:r w:rsidR="009B0441" w:rsidRPr="00097432">
        <w:t>10</w:t>
      </w:r>
      <w:r w:rsidR="00A51D17" w:rsidRPr="00097432">
        <w:t xml:space="preserve"> </w:t>
      </w:r>
      <w:r w:rsidR="00F333D1" w:rsidRPr="00097432">
        <w:rPr>
          <w:rFonts w:hint="eastAsia"/>
        </w:rPr>
        <w:t>to</w:t>
      </w:r>
      <w:r w:rsidR="00A51D17" w:rsidRPr="00097432">
        <w:t xml:space="preserve"> </w:t>
      </w:r>
      <w:r w:rsidR="00970F23">
        <w:rPr>
          <w:rFonts w:hint="eastAsia"/>
        </w:rPr>
        <w:t>7</w:t>
      </w:r>
      <w:r w:rsidR="009B0441" w:rsidRPr="00097432">
        <w:t>,</w:t>
      </w:r>
      <w:r w:rsidR="00970F23">
        <w:rPr>
          <w:rFonts w:hint="eastAsia"/>
        </w:rPr>
        <w:t>726</w:t>
      </w:r>
      <w:r w:rsidR="005A20BB" w:rsidRPr="00097432">
        <w:t xml:space="preserve"> suspected cases</w:t>
      </w:r>
      <w:r w:rsidR="00F333D1" w:rsidRPr="00097432">
        <w:rPr>
          <w:rFonts w:hint="eastAsia"/>
        </w:rPr>
        <w:t xml:space="preserve">, and attack rates </w:t>
      </w:r>
      <w:r w:rsidR="003770F2" w:rsidRPr="00097432">
        <w:rPr>
          <w:rFonts w:hint="eastAsia"/>
        </w:rPr>
        <w:t>from</w:t>
      </w:r>
      <w:r w:rsidR="00F333D1" w:rsidRPr="00097432">
        <w:rPr>
          <w:rFonts w:hint="eastAsia"/>
        </w:rPr>
        <w:t xml:space="preserve"> 0</w:t>
      </w:r>
      <w:r w:rsidR="002E5B0B" w:rsidRPr="00097432">
        <w:t>.00</w:t>
      </w:r>
      <w:r w:rsidR="00970F23">
        <w:rPr>
          <w:rFonts w:hint="eastAsia"/>
        </w:rPr>
        <w:t>5</w:t>
      </w:r>
      <w:r w:rsidR="002E5B0B" w:rsidRPr="00097432">
        <w:t xml:space="preserve"> </w:t>
      </w:r>
      <w:r w:rsidR="003770F2" w:rsidRPr="00097432">
        <w:rPr>
          <w:rFonts w:hint="eastAsia"/>
        </w:rPr>
        <w:t>to</w:t>
      </w:r>
      <w:r w:rsidR="002E5B0B" w:rsidRPr="00097432">
        <w:t xml:space="preserve"> </w:t>
      </w:r>
      <w:r w:rsidR="00970F23">
        <w:rPr>
          <w:rFonts w:hint="eastAsia"/>
        </w:rPr>
        <w:t>19</w:t>
      </w:r>
      <w:r w:rsidR="002E5B0B" w:rsidRPr="00097432">
        <w:t xml:space="preserve"> rates per 10,000 </w:t>
      </w:r>
      <w:r w:rsidR="003770F2" w:rsidRPr="00097432">
        <w:rPr>
          <w:rFonts w:hint="eastAsia"/>
        </w:rPr>
        <w:t>population</w:t>
      </w:r>
      <w:r w:rsidR="002E5B0B" w:rsidRPr="00097432">
        <w:t>.</w:t>
      </w:r>
      <w:r w:rsidR="00A43F14" w:rsidRPr="00097432">
        <w:t xml:space="preserve"> </w:t>
      </w:r>
      <w:r w:rsidR="00CF2402" w:rsidRPr="00097432">
        <w:rPr>
          <w:rFonts w:hint="eastAsia"/>
        </w:rPr>
        <w:t xml:space="preserve">Excluded outbreaks </w:t>
      </w:r>
      <w:r w:rsidR="003770F2" w:rsidRPr="00097432">
        <w:rPr>
          <w:rFonts w:hint="eastAsia"/>
        </w:rPr>
        <w:t xml:space="preserve">exhibited </w:t>
      </w:r>
      <w:r w:rsidR="00CF2402" w:rsidRPr="00097432">
        <w:rPr>
          <w:rFonts w:hint="eastAsia"/>
        </w:rPr>
        <w:t>similar spatiotemporal patterns</w:t>
      </w:r>
      <w:r w:rsidR="003770F2" w:rsidRPr="00097432">
        <w:rPr>
          <w:rFonts w:hint="eastAsia"/>
        </w:rPr>
        <w:t>, although their sizes tended to be larger.</w:t>
      </w:r>
      <w:r w:rsidR="00CF2402" w:rsidRPr="00097432">
        <w:rPr>
          <w:rFonts w:hint="eastAsia"/>
        </w:rPr>
        <w:t xml:space="preserve"> </w:t>
      </w:r>
      <w:r w:rsidR="003770F2" w:rsidRPr="00097432">
        <w:t xml:space="preserve">These consistencies </w:t>
      </w:r>
      <w:r w:rsidR="003770F2" w:rsidRPr="00097432">
        <w:rPr>
          <w:rFonts w:hint="eastAsia"/>
        </w:rPr>
        <w:t xml:space="preserve">between </w:t>
      </w:r>
      <w:r w:rsidR="003770F2" w:rsidRPr="00097432">
        <w:t>included and excluded outbreaks suggest that the dataset is broadly representative</w:t>
      </w:r>
      <w:r w:rsidR="003770F2" w:rsidRPr="00097432">
        <w:rPr>
          <w:rFonts w:hint="eastAsia"/>
        </w:rPr>
        <w:t xml:space="preserve"> </w:t>
      </w:r>
      <w:r w:rsidR="00CF2402" w:rsidRPr="00097432">
        <w:rPr>
          <w:rFonts w:hint="eastAsia"/>
        </w:rPr>
        <w:t>(</w:t>
      </w:r>
      <w:r w:rsidR="000B37F2" w:rsidRPr="00097432">
        <w:rPr>
          <w:rFonts w:hint="eastAsia"/>
          <w:b/>
          <w:bCs/>
        </w:rPr>
        <w:t>Figure S</w:t>
      </w:r>
      <w:r w:rsidR="00A80FF7">
        <w:rPr>
          <w:rFonts w:hint="eastAsia"/>
          <w:b/>
          <w:bCs/>
        </w:rPr>
        <w:t>2</w:t>
      </w:r>
      <w:r w:rsidR="000B37F2" w:rsidRPr="00097432">
        <w:rPr>
          <w:rFonts w:hint="eastAsia"/>
        </w:rPr>
        <w:t xml:space="preserve"> in Supplementary Material</w:t>
      </w:r>
      <w:r w:rsidR="00CF2402" w:rsidRPr="00097432">
        <w:rPr>
          <w:rFonts w:hint="eastAsia"/>
        </w:rPr>
        <w:t>)</w:t>
      </w:r>
      <w:r w:rsidR="00B42B4E" w:rsidRPr="00097432">
        <w:rPr>
          <w:rFonts w:hint="eastAsia"/>
        </w:rPr>
        <w:t>.</w:t>
      </w:r>
      <w:r w:rsidR="00C94D30" w:rsidRPr="00097432">
        <w:t xml:space="preserve"> </w:t>
      </w:r>
    </w:p>
    <w:p w14:paraId="768EC1D7" w14:textId="0457159C" w:rsidR="00F07ABA" w:rsidRPr="00097432" w:rsidRDefault="008C5352" w:rsidP="00F57F15">
      <w:pPr>
        <w:pStyle w:val="Heading3"/>
      </w:pPr>
      <w:bookmarkStart w:id="28" w:name="_Toc184909206"/>
      <w:r w:rsidRPr="00097432">
        <w:t>Impact of ORI</w:t>
      </w:r>
      <w:bookmarkEnd w:id="28"/>
      <w:r w:rsidR="00CE75ED" w:rsidRPr="00097432">
        <w:rPr>
          <w:rFonts w:hint="eastAsia"/>
        </w:rPr>
        <w:t>s</w:t>
      </w:r>
      <w:r w:rsidR="004A0798" w:rsidRPr="00097432">
        <w:rPr>
          <w:rFonts w:hint="eastAsia"/>
        </w:rPr>
        <w:t xml:space="preserve"> </w:t>
      </w:r>
      <w:proofErr w:type="gramStart"/>
      <w:r w:rsidR="002837D3">
        <w:rPr>
          <w:rFonts w:hint="eastAsia"/>
        </w:rPr>
        <w:t>in</w:t>
      </w:r>
      <w:proofErr w:type="gramEnd"/>
      <w:r w:rsidR="002837D3">
        <w:rPr>
          <w:rFonts w:hint="eastAsia"/>
        </w:rPr>
        <w:t xml:space="preserve"> </w:t>
      </w:r>
      <w:r w:rsidR="004A0798" w:rsidRPr="00097432">
        <w:rPr>
          <w:rFonts w:hint="eastAsia"/>
        </w:rPr>
        <w:t>individual outbreak</w:t>
      </w:r>
      <w:r w:rsidR="002837D3">
        <w:rPr>
          <w:rFonts w:hint="eastAsia"/>
        </w:rPr>
        <w:t>s</w:t>
      </w:r>
    </w:p>
    <w:p w14:paraId="3DAB3980" w14:textId="1C821B3A" w:rsidR="00CE75ED" w:rsidRPr="00097432" w:rsidRDefault="00CE75ED" w:rsidP="00CE75ED">
      <w:pPr>
        <w:pStyle w:val="Heading4"/>
      </w:pPr>
      <w:r w:rsidRPr="00097432">
        <w:rPr>
          <w:rFonts w:hint="eastAsia"/>
        </w:rPr>
        <w:t>Impact of ORIs across campaign timing and coverage levels</w:t>
      </w:r>
    </w:p>
    <w:p w14:paraId="0B662672" w14:textId="47114E7C" w:rsidR="00C840BE" w:rsidRDefault="00972DD3" w:rsidP="00F97ADD">
      <w:pPr>
        <w:rPr>
          <w:lang w:val="en-US"/>
        </w:rPr>
      </w:pPr>
      <w:r w:rsidRPr="00097432">
        <w:rPr>
          <w:rFonts w:hint="eastAsia"/>
        </w:rPr>
        <w:t>In the o</w:t>
      </w:r>
      <w:r w:rsidR="00CE75ED" w:rsidRPr="00097432">
        <w:rPr>
          <w:rFonts w:hint="eastAsia"/>
        </w:rPr>
        <w:t>utbreak</w:t>
      </w:r>
      <w:r w:rsidR="00C840BE">
        <w:rPr>
          <w:rFonts w:hint="eastAsia"/>
        </w:rPr>
        <w:t>-</w:t>
      </w:r>
      <w:r w:rsidR="00CE75ED" w:rsidRPr="00097432">
        <w:rPr>
          <w:rFonts w:hint="eastAsia"/>
        </w:rPr>
        <w:t>onset-</w:t>
      </w:r>
      <w:r w:rsidR="00707FAB" w:rsidRPr="00097432">
        <w:t xml:space="preserve">triggered </w:t>
      </w:r>
      <w:r w:rsidRPr="00097432">
        <w:rPr>
          <w:rFonts w:hint="eastAsia"/>
        </w:rPr>
        <w:t xml:space="preserve">scenario, </w:t>
      </w:r>
      <w:r w:rsidR="0081188F" w:rsidRPr="00097432">
        <w:rPr>
          <w:rFonts w:hint="eastAsia"/>
        </w:rPr>
        <w:t xml:space="preserve">an </w:t>
      </w:r>
      <w:r w:rsidRPr="00097432">
        <w:rPr>
          <w:rFonts w:hint="eastAsia"/>
        </w:rPr>
        <w:t xml:space="preserve">ORI </w:t>
      </w:r>
      <w:r w:rsidR="0081188F" w:rsidRPr="00097432">
        <w:t xml:space="preserve">launched without delay (week 1) </w:t>
      </w:r>
      <w:r w:rsidR="0081188F" w:rsidRPr="00097432">
        <w:rPr>
          <w:rFonts w:hint="eastAsia"/>
        </w:rPr>
        <w:t xml:space="preserve">at 75% coverage averted </w:t>
      </w:r>
      <w:r w:rsidR="00F97ADD" w:rsidRPr="00097432">
        <w:t>70.5</w:t>
      </w:r>
      <w:r w:rsidR="00F97ADD">
        <w:rPr>
          <w:rFonts w:hint="eastAsia"/>
        </w:rPr>
        <w:t>%</w:t>
      </w:r>
      <w:r w:rsidR="00F97ADD" w:rsidRPr="00097432">
        <w:t xml:space="preserve"> [IQR: 49.5</w:t>
      </w:r>
      <w:r w:rsidR="00F97ADD">
        <w:rPr>
          <w:rFonts w:hint="eastAsia"/>
        </w:rPr>
        <w:t xml:space="preserve"> - </w:t>
      </w:r>
      <w:r w:rsidR="00F97ADD" w:rsidRPr="00097432">
        <w:t xml:space="preserve"> 83.6]</w:t>
      </w:r>
      <w:r w:rsidR="00F97ADD" w:rsidRPr="00097432">
        <w:rPr>
          <w:rFonts w:hint="eastAsia"/>
        </w:rPr>
        <w:t xml:space="preserve"> o</w:t>
      </w:r>
      <w:r w:rsidR="00F97ADD" w:rsidRPr="00097432">
        <w:t xml:space="preserve">f all </w:t>
      </w:r>
      <w:r w:rsidR="00F97ADD">
        <w:rPr>
          <w:rFonts w:hint="eastAsia"/>
        </w:rPr>
        <w:t xml:space="preserve">outbreak </w:t>
      </w:r>
      <w:r w:rsidR="00F97ADD" w:rsidRPr="00097432">
        <w:t>cases</w:t>
      </w:r>
      <w:r w:rsidR="00C840BE">
        <w:t>—</w:t>
      </w:r>
      <w:r w:rsidR="00C840BE" w:rsidRPr="00C840BE">
        <w:t xml:space="preserve">corresponding to 130 cases (IQR 41.5–377) averted when counted over the entire outbreak (that is, cases occurring before and after the trigger relative to a no-ORI counterfactual; </w:t>
      </w:r>
      <w:r w:rsidR="00C840BE" w:rsidRPr="00C840BE">
        <w:rPr>
          <w:b/>
          <w:bCs/>
        </w:rPr>
        <w:t>Figure 3A</w:t>
      </w:r>
      <w:r w:rsidR="00C840BE" w:rsidRPr="00C840BE">
        <w:t>)</w:t>
      </w:r>
      <w:r w:rsidR="00C840BE">
        <w:rPr>
          <w:rFonts w:hint="eastAsia"/>
        </w:rPr>
        <w:t>.</w:t>
      </w:r>
      <w:r w:rsidR="00B2340C" w:rsidRPr="00097432">
        <w:rPr>
          <w:rFonts w:hint="eastAsia"/>
        </w:rPr>
        <w:t xml:space="preserve"> </w:t>
      </w:r>
      <w:r w:rsidR="005E1823" w:rsidRPr="00097432">
        <w:t>Higher vaccine coverage consistently yielded greater benefit</w:t>
      </w:r>
      <w:r w:rsidR="00C840BE">
        <w:rPr>
          <w:rFonts w:hint="eastAsia"/>
        </w:rPr>
        <w:t>: a</w:t>
      </w:r>
      <w:r w:rsidR="005E1823" w:rsidRPr="00097432">
        <w:t>t week 1</w:t>
      </w:r>
      <w:r w:rsidR="00C840BE">
        <w:rPr>
          <w:rFonts w:hint="eastAsia"/>
        </w:rPr>
        <w:t>,</w:t>
      </w:r>
      <w:r w:rsidR="005E1823" w:rsidRPr="00097432">
        <w:t xml:space="preserve"> the median </w:t>
      </w:r>
      <w:r w:rsidR="00C840BE">
        <w:rPr>
          <w:rFonts w:hint="eastAsia"/>
        </w:rPr>
        <w:t xml:space="preserve">numbers of </w:t>
      </w:r>
      <w:r w:rsidR="005E1823" w:rsidRPr="00097432">
        <w:t>cases averted were 118, 130, and 136 for coverage levels of 60%, 75%, and 90%, respectively</w:t>
      </w:r>
      <w:r w:rsidR="00C840BE">
        <w:rPr>
          <w:rFonts w:hint="eastAsia"/>
        </w:rPr>
        <w:t xml:space="preserve">. </w:t>
      </w:r>
      <w:r w:rsidR="00C840BE" w:rsidRPr="00C840BE">
        <w:t xml:space="preserve">By week 9, these medians fell to 26, 28, and 30, and the median </w:t>
      </w:r>
      <w:proofErr w:type="gramStart"/>
      <w:r w:rsidR="00C840BE" w:rsidRPr="00C840BE">
        <w:t>percent</w:t>
      </w:r>
      <w:proofErr w:type="gramEnd"/>
      <w:r w:rsidR="00C840BE" w:rsidRPr="00C840BE">
        <w:t xml:space="preserve"> of cases averted dropped below 13% across all coverage levels.</w:t>
      </w:r>
      <w:r w:rsidR="00C840BE">
        <w:rPr>
          <w:rFonts w:hint="eastAsia"/>
        </w:rPr>
        <w:t xml:space="preserve"> </w:t>
      </w:r>
      <w:r w:rsidR="00C840BE" w:rsidRPr="00C840BE">
        <w:t>Substantial variation remained across outbreaks for each delay, reflecting heterogeneity in outbreak dynamics and ORI parameters.</w:t>
      </w:r>
      <w:r w:rsidR="009A5D40">
        <w:rPr>
          <w:rFonts w:hint="eastAsia"/>
        </w:rPr>
        <w:t xml:space="preserve"> </w:t>
      </w:r>
      <w:r w:rsidR="00F97ADD" w:rsidRPr="005E1823">
        <w:rPr>
          <w:rFonts w:hint="eastAsia"/>
          <w:highlight w:val="yellow"/>
        </w:rPr>
        <w:t>Exponential decay</w:t>
      </w:r>
      <w:r w:rsidR="00C840BE">
        <w:rPr>
          <w:rFonts w:hint="eastAsia"/>
          <w:highlight w:val="yellow"/>
        </w:rPr>
        <w:t xml:space="preserve"> model</w:t>
      </w:r>
      <w:r w:rsidR="00F97ADD" w:rsidRPr="005E1823">
        <w:rPr>
          <w:rFonts w:hint="eastAsia"/>
          <w:highlight w:val="yellow"/>
        </w:rPr>
        <w:t xml:space="preserve"> </w:t>
      </w:r>
      <w:r w:rsidR="00C840BE">
        <w:rPr>
          <w:rFonts w:hint="eastAsia"/>
          <w:highlight w:val="yellow"/>
        </w:rPr>
        <w:t xml:space="preserve">captured </w:t>
      </w:r>
      <w:r w:rsidR="00F97ADD" w:rsidRPr="005E1823">
        <w:rPr>
          <w:rFonts w:hint="eastAsia"/>
          <w:highlight w:val="yellow"/>
        </w:rPr>
        <w:t>the dec</w:t>
      </w:r>
      <w:r w:rsidR="00C840BE">
        <w:rPr>
          <w:rFonts w:hint="eastAsia"/>
          <w:highlight w:val="yellow"/>
        </w:rPr>
        <w:t xml:space="preserve">line in impact </w:t>
      </w:r>
      <w:r w:rsidR="00F97ADD" w:rsidRPr="005E1823">
        <w:rPr>
          <w:rFonts w:hint="eastAsia"/>
          <w:highlight w:val="yellow"/>
        </w:rPr>
        <w:t>across delay (</w:t>
      </w:r>
      <w:r w:rsidR="00C840BE">
        <w:rPr>
          <w:rFonts w:hint="eastAsia"/>
          <w:i/>
          <w:iCs/>
          <w:highlight w:val="yellow"/>
        </w:rPr>
        <w:t>R</w:t>
      </w:r>
      <w:r w:rsidR="00F97ADD" w:rsidRPr="005E1823">
        <w:rPr>
          <w:rFonts w:hint="eastAsia"/>
          <w:highlight w:val="yellow"/>
          <w:vertAlign w:val="superscript"/>
        </w:rPr>
        <w:t>2</w:t>
      </w:r>
      <w:r w:rsidR="00F97ADD" w:rsidRPr="005E1823">
        <w:rPr>
          <w:rFonts w:hint="eastAsia"/>
          <w:highlight w:val="yellow"/>
        </w:rPr>
        <w:t>=</w:t>
      </w:r>
      <w:r w:rsidR="00F97ADD" w:rsidRPr="005E1823">
        <w:rPr>
          <w:highlight w:val="yellow"/>
        </w:rPr>
        <w:t xml:space="preserve"> </w:t>
      </w:r>
      <w:r w:rsidR="00F97ADD" w:rsidRPr="005E1823">
        <w:rPr>
          <w:highlight w:val="yellow"/>
        </w:rPr>
        <w:t>0.942 [IQR: 0.882 - 0.975]</w:t>
      </w:r>
      <w:r w:rsidR="00F97ADD" w:rsidRPr="005E1823">
        <w:rPr>
          <w:rFonts w:hint="eastAsia"/>
          <w:highlight w:val="yellow"/>
        </w:rPr>
        <w:t>)</w:t>
      </w:r>
      <w:r w:rsidR="005E1823" w:rsidRPr="005E1823">
        <w:rPr>
          <w:rFonts w:hint="eastAsia"/>
          <w:highlight w:val="yellow"/>
        </w:rPr>
        <w:t xml:space="preserve"> (</w:t>
      </w:r>
      <w:r w:rsidR="005E1823" w:rsidRPr="005E1823">
        <w:rPr>
          <w:rFonts w:hint="eastAsia"/>
          <w:b/>
          <w:bCs/>
          <w:highlight w:val="yellow"/>
        </w:rPr>
        <w:t>Figure 3B</w:t>
      </w:r>
      <w:r w:rsidR="005E1823" w:rsidRPr="005E1823">
        <w:rPr>
          <w:rFonts w:hint="eastAsia"/>
          <w:highlight w:val="yellow"/>
        </w:rPr>
        <w:t>)</w:t>
      </w:r>
      <w:r w:rsidR="00F97ADD" w:rsidRPr="005E1823">
        <w:rPr>
          <w:rFonts w:hint="eastAsia"/>
          <w:highlight w:val="yellow"/>
        </w:rPr>
        <w:t xml:space="preserve">. </w:t>
      </w:r>
      <w:r w:rsidR="00C840BE">
        <w:rPr>
          <w:rFonts w:hint="eastAsia"/>
          <w:highlight w:val="yellow"/>
        </w:rPr>
        <w:t>Among o</w:t>
      </w:r>
      <w:r w:rsidR="00F97ADD" w:rsidRPr="005E1823">
        <w:rPr>
          <w:rFonts w:hint="eastAsia"/>
          <w:highlight w:val="yellow"/>
        </w:rPr>
        <w:t xml:space="preserve">utbreaks </w:t>
      </w:r>
      <w:r w:rsidR="00C840BE">
        <w:rPr>
          <w:rFonts w:hint="eastAsia"/>
          <w:highlight w:val="yellow"/>
        </w:rPr>
        <w:t>lasting &gt;</w:t>
      </w:r>
      <w:r w:rsidR="00F97ADD" w:rsidRPr="005E1823">
        <w:rPr>
          <w:rFonts w:hint="eastAsia"/>
          <w:highlight w:val="yellow"/>
        </w:rPr>
        <w:t>9 weeks</w:t>
      </w:r>
      <w:r w:rsidR="00C840BE">
        <w:rPr>
          <w:rFonts w:hint="eastAsia"/>
          <w:highlight w:val="yellow"/>
        </w:rPr>
        <w:t xml:space="preserve">, the </w:t>
      </w:r>
      <w:r w:rsidR="00F97ADD" w:rsidRPr="005E1823">
        <w:rPr>
          <w:rFonts w:hint="eastAsia"/>
          <w:highlight w:val="yellow"/>
        </w:rPr>
        <w:t xml:space="preserve">instantaneous reduction rate </w:t>
      </w:r>
      <w:r w:rsidR="00C840BE">
        <w:rPr>
          <w:rFonts w:hint="eastAsia"/>
          <w:highlight w:val="yellow"/>
        </w:rPr>
        <w:t>was</w:t>
      </w:r>
      <w:r w:rsidR="00F97ADD" w:rsidRPr="005E1823">
        <w:rPr>
          <w:rFonts w:hint="eastAsia"/>
          <w:highlight w:val="yellow"/>
        </w:rPr>
        <w:t xml:space="preserve"> </w:t>
      </w:r>
      <w:r w:rsidR="00F97ADD" w:rsidRPr="005E1823">
        <w:rPr>
          <w:highlight w:val="yellow"/>
          <w:lang w:val="en-US"/>
        </w:rPr>
        <w:t xml:space="preserve">0.166 </w:t>
      </w:r>
      <w:r w:rsidR="00C840BE">
        <w:rPr>
          <w:rFonts w:hint="eastAsia"/>
          <w:highlight w:val="yellow"/>
          <w:lang w:val="en-US"/>
        </w:rPr>
        <w:t xml:space="preserve">per </w:t>
      </w:r>
      <w:r w:rsidR="00C840BE">
        <w:rPr>
          <w:highlight w:val="yellow"/>
          <w:lang w:val="en-US"/>
        </w:rPr>
        <w:t>week</w:t>
      </w:r>
      <w:r w:rsidR="00C840BE">
        <w:rPr>
          <w:rFonts w:hint="eastAsia"/>
          <w:highlight w:val="yellow"/>
          <w:lang w:val="en-US"/>
        </w:rPr>
        <w:t xml:space="preserve"> </w:t>
      </w:r>
      <w:r w:rsidR="00F97ADD" w:rsidRPr="005E1823">
        <w:rPr>
          <w:highlight w:val="yellow"/>
          <w:lang w:val="en-US"/>
        </w:rPr>
        <w:t>[IQR: 0.079 - 0.293]</w:t>
      </w:r>
      <w:r w:rsidR="00F97ADD" w:rsidRPr="005E1823">
        <w:rPr>
          <w:rFonts w:hint="eastAsia"/>
          <w:highlight w:val="yellow"/>
          <w:lang w:val="en-US"/>
        </w:rPr>
        <w:t xml:space="preserve">, </w:t>
      </w:r>
      <w:r w:rsidR="00C840BE">
        <w:rPr>
          <w:rFonts w:hint="eastAsia"/>
          <w:highlight w:val="yellow"/>
          <w:lang w:val="en-US"/>
        </w:rPr>
        <w:t xml:space="preserve">implying </w:t>
      </w:r>
      <w:r w:rsidR="002077D5">
        <w:rPr>
          <w:rFonts w:hint="eastAsia"/>
          <w:highlight w:val="yellow"/>
          <w:lang w:val="en-US"/>
        </w:rPr>
        <w:t xml:space="preserve">a week-to-week decline of </w:t>
      </w:r>
      <w:r w:rsidR="005E1823" w:rsidRPr="005E1823">
        <w:rPr>
          <w:highlight w:val="yellow"/>
          <w:lang w:val="en-US"/>
        </w:rPr>
        <w:t>15.3</w:t>
      </w:r>
      <w:r w:rsidR="005E1823" w:rsidRPr="005E1823">
        <w:rPr>
          <w:rFonts w:hint="eastAsia"/>
          <w:highlight w:val="yellow"/>
          <w:lang w:val="en-US"/>
        </w:rPr>
        <w:t>%</w:t>
      </w:r>
      <w:r w:rsidR="005E1823" w:rsidRPr="005E1823">
        <w:rPr>
          <w:highlight w:val="yellow"/>
          <w:lang w:val="en-US"/>
        </w:rPr>
        <w:t xml:space="preserve"> [IQR: 7.6 - 25.4]</w:t>
      </w:r>
      <w:r w:rsidR="005E1823" w:rsidRPr="005E1823">
        <w:rPr>
          <w:rFonts w:hint="eastAsia"/>
          <w:highlight w:val="yellow"/>
          <w:lang w:val="en-US"/>
        </w:rPr>
        <w:t xml:space="preserve"> </w:t>
      </w:r>
      <w:r w:rsidR="002077D5">
        <w:rPr>
          <w:rFonts w:hint="eastAsia"/>
          <w:highlight w:val="yellow"/>
          <w:lang w:val="en-US"/>
        </w:rPr>
        <w:t>and a halving time of</w:t>
      </w:r>
      <w:r w:rsidR="005E1823" w:rsidRPr="005E1823">
        <w:rPr>
          <w:rFonts w:hint="eastAsia"/>
          <w:highlight w:val="yellow"/>
          <w:lang w:val="en-US"/>
        </w:rPr>
        <w:t xml:space="preserve"> </w:t>
      </w:r>
      <w:r w:rsidR="005E1823" w:rsidRPr="005E1823">
        <w:rPr>
          <w:highlight w:val="yellow"/>
          <w:lang w:val="en-US"/>
        </w:rPr>
        <w:t>4.2</w:t>
      </w:r>
      <w:r w:rsidR="002077D5">
        <w:rPr>
          <w:rFonts w:hint="eastAsia"/>
          <w:highlight w:val="yellow"/>
          <w:lang w:val="en-US"/>
        </w:rPr>
        <w:t xml:space="preserve"> weeks</w:t>
      </w:r>
      <w:r w:rsidR="005E1823" w:rsidRPr="005E1823">
        <w:rPr>
          <w:highlight w:val="yellow"/>
          <w:lang w:val="en-US"/>
        </w:rPr>
        <w:t xml:space="preserve"> [IQR: 2.4 - 8.8]</w:t>
      </w:r>
      <w:r w:rsidR="005E1823" w:rsidRPr="005E1823">
        <w:rPr>
          <w:rFonts w:hint="eastAsia"/>
          <w:highlight w:val="yellow"/>
          <w:lang w:val="en-US"/>
        </w:rPr>
        <w:t>.</w:t>
      </w:r>
      <w:r w:rsidR="002077D5">
        <w:rPr>
          <w:rFonts w:hint="eastAsia"/>
          <w:lang w:val="en-US"/>
        </w:rPr>
        <w:t xml:space="preserve"> </w:t>
      </w:r>
      <w:r w:rsidR="00C840BE" w:rsidRPr="002077D5">
        <w:rPr>
          <w:highlight w:val="yellow"/>
          <w:lang w:val="en-US"/>
        </w:rPr>
        <w:t>Decay was faster in subsets enriched for shorter outbreaks (Supplement).</w:t>
      </w:r>
      <w:r w:rsidR="00AC5B8D">
        <w:rPr>
          <w:rFonts w:hint="eastAsia"/>
          <w:highlight w:val="yellow"/>
          <w:lang w:val="en-US"/>
        </w:rPr>
        <w:t xml:space="preserve"> </w:t>
      </w:r>
      <w:proofErr w:type="gramStart"/>
      <w:r w:rsidR="00BB369F" w:rsidRPr="00BB369F">
        <w:rPr>
          <w:highlight w:val="yellow"/>
          <w:lang w:val="en-US"/>
        </w:rPr>
        <w:t>Delay</w:t>
      </w:r>
      <w:proofErr w:type="gramEnd"/>
      <w:r w:rsidR="00BB369F" w:rsidRPr="00BB369F">
        <w:rPr>
          <w:highlight w:val="yellow"/>
          <w:lang w:val="en-US"/>
        </w:rPr>
        <w:t xml:space="preserve"> also causes some outbreaks to be missed entirely because vaccination would not occur before the outbreak ends (</w:t>
      </w:r>
      <w:r w:rsidR="00BB369F" w:rsidRPr="00BB369F">
        <w:rPr>
          <w:b/>
          <w:bCs/>
          <w:highlight w:val="yellow"/>
          <w:lang w:val="en-US"/>
        </w:rPr>
        <w:t>Figure 3C</w:t>
      </w:r>
      <w:r w:rsidR="00BB369F" w:rsidRPr="00BB369F">
        <w:rPr>
          <w:highlight w:val="yellow"/>
          <w:lang w:val="en-US"/>
        </w:rPr>
        <w:t>). From week 5 onward, an additional 5.4% of outbreaks (on average) were missed per week of delay; by week 9, ~26.6% of potential ORIs would be missed.</w:t>
      </w:r>
    </w:p>
    <w:p w14:paraId="1731E32B" w14:textId="77777777" w:rsidR="00C840BE" w:rsidRDefault="00C840BE" w:rsidP="00F97ADD">
      <w:pPr>
        <w:rPr>
          <w:lang w:val="en-US"/>
        </w:rPr>
      </w:pPr>
    </w:p>
    <w:p w14:paraId="462809C4" w14:textId="6C79BD72" w:rsidR="003C5C26" w:rsidRDefault="003C5C26" w:rsidP="000275CA">
      <w:r w:rsidRPr="003C5C26">
        <w:rPr>
          <w:highlight w:val="yellow"/>
        </w:rPr>
        <w:lastRenderedPageBreak/>
        <w:t>Vaccine efficiency—measured as cases averted per 1,000 OCV doses—varied by outbreak characteristics (</w:t>
      </w:r>
      <w:r w:rsidRPr="003C5C26">
        <w:rPr>
          <w:b/>
          <w:bCs/>
          <w:highlight w:val="yellow"/>
        </w:rPr>
        <w:t>Figure</w:t>
      </w:r>
      <w:r w:rsidRPr="003C5C26">
        <w:rPr>
          <w:rFonts w:hint="eastAsia"/>
          <w:b/>
          <w:bCs/>
          <w:highlight w:val="yellow"/>
        </w:rPr>
        <w:t>s</w:t>
      </w:r>
      <w:r w:rsidRPr="003C5C26">
        <w:rPr>
          <w:b/>
          <w:bCs/>
          <w:highlight w:val="yellow"/>
        </w:rPr>
        <w:t xml:space="preserve"> 3D–F</w:t>
      </w:r>
      <w:r w:rsidRPr="003C5C26">
        <w:rPr>
          <w:highlight w:val="yellow"/>
        </w:rPr>
        <w:t xml:space="preserve">). Prioritizing high-attack-rate outbreaks produced the largest gains: with short delays and targeting the top decile by attack rate, efficiency </w:t>
      </w:r>
      <w:r w:rsidR="00AC5B8D">
        <w:rPr>
          <w:rFonts w:hint="eastAsia"/>
          <w:highlight w:val="yellow"/>
        </w:rPr>
        <w:t>approached</w:t>
      </w:r>
      <w:r w:rsidRPr="003C5C26">
        <w:rPr>
          <w:highlight w:val="yellow"/>
        </w:rPr>
        <w:t xml:space="preserve"> 10 cases averted per 1,000 doses (</w:t>
      </w:r>
      <w:r w:rsidRPr="003C5C26">
        <w:rPr>
          <w:b/>
          <w:bCs/>
          <w:highlight w:val="yellow"/>
        </w:rPr>
        <w:t>Figure 3D</w:t>
      </w:r>
      <w:r w:rsidRPr="003C5C26">
        <w:rPr>
          <w:highlight w:val="yellow"/>
        </w:rPr>
        <w:t>). Targeting by size or duration also improved efficiency, although gains were smaller than targeting by attack rate (</w:t>
      </w:r>
      <w:r w:rsidRPr="003C5C26">
        <w:rPr>
          <w:b/>
          <w:bCs/>
          <w:highlight w:val="yellow"/>
        </w:rPr>
        <w:t>Figures 3E–F</w:t>
      </w:r>
      <w:r w:rsidRPr="003C5C26">
        <w:rPr>
          <w:highlight w:val="yellow"/>
        </w:rPr>
        <w:t xml:space="preserve">). In contrast, the </w:t>
      </w:r>
      <w:proofErr w:type="gramStart"/>
      <w:r w:rsidRPr="003C5C26">
        <w:rPr>
          <w:highlight w:val="yellow"/>
        </w:rPr>
        <w:t>percent</w:t>
      </w:r>
      <w:proofErr w:type="gramEnd"/>
      <w:r w:rsidRPr="003C5C26">
        <w:rPr>
          <w:highlight w:val="yellow"/>
        </w:rPr>
        <w:t xml:space="preserve"> of cases averted (which is not normalized by doses) was most sensitive to targeting by duration and size. When ORIs were implemented in week 1, the median percent of cases averted exceeded 83</w:t>
      </w:r>
      <w:r>
        <w:rPr>
          <w:rFonts w:hint="eastAsia"/>
          <w:highlight w:val="yellow"/>
        </w:rPr>
        <w:t>.8</w:t>
      </w:r>
      <w:r w:rsidRPr="003C5C26">
        <w:rPr>
          <w:highlight w:val="yellow"/>
        </w:rPr>
        <w:t>%, 82%, and 80</w:t>
      </w:r>
      <w:r>
        <w:rPr>
          <w:rFonts w:hint="eastAsia"/>
          <w:highlight w:val="yellow"/>
        </w:rPr>
        <w:t>.1</w:t>
      </w:r>
      <w:r w:rsidRPr="003C5C26">
        <w:rPr>
          <w:highlight w:val="yellow"/>
        </w:rPr>
        <w:t>% for outbreaks in the top decile of duration, size, and attack rate, respectively</w:t>
      </w:r>
      <w:r w:rsidRPr="003C5C26">
        <w:rPr>
          <w:rFonts w:hint="eastAsia"/>
          <w:highlight w:val="yellow"/>
        </w:rPr>
        <w:t xml:space="preserve">. These values fell to </w:t>
      </w:r>
      <w:r w:rsidRPr="003C5C26">
        <w:rPr>
          <w:highlight w:val="yellow"/>
        </w:rPr>
        <w:t>55.2</w:t>
      </w:r>
      <w:r>
        <w:rPr>
          <w:rFonts w:hint="eastAsia"/>
          <w:highlight w:val="yellow"/>
        </w:rPr>
        <w:t>%,</w:t>
      </w:r>
      <w:r w:rsidRPr="003C5C26">
        <w:rPr>
          <w:highlight w:val="yellow"/>
        </w:rPr>
        <w:t xml:space="preserve"> 28.2</w:t>
      </w:r>
      <w:r>
        <w:rPr>
          <w:rFonts w:hint="eastAsia"/>
          <w:highlight w:val="yellow"/>
        </w:rPr>
        <w:t>%,</w:t>
      </w:r>
      <w:r w:rsidRPr="003C5C26">
        <w:rPr>
          <w:highlight w:val="yellow"/>
        </w:rPr>
        <w:t xml:space="preserve"> </w:t>
      </w:r>
      <w:r w:rsidRPr="003C5C26">
        <w:rPr>
          <w:rFonts w:hint="eastAsia"/>
          <w:highlight w:val="yellow"/>
        </w:rPr>
        <w:t xml:space="preserve">and </w:t>
      </w:r>
      <w:r w:rsidRPr="003C5C26">
        <w:rPr>
          <w:highlight w:val="yellow"/>
          <w:lang w:val="en-US"/>
        </w:rPr>
        <w:t>19.</w:t>
      </w:r>
      <w:r>
        <w:rPr>
          <w:rFonts w:hint="eastAsia"/>
          <w:highlight w:val="yellow"/>
          <w:lang w:val="en-US"/>
        </w:rPr>
        <w:t>6%, respectively, by week 9.</w:t>
      </w:r>
      <w:r>
        <w:rPr>
          <w:rFonts w:hint="eastAsia"/>
          <w:highlight w:val="yellow"/>
        </w:rPr>
        <w:t xml:space="preserve"> </w:t>
      </w:r>
      <w:r w:rsidRPr="003C5C26">
        <w:rPr>
          <w:highlight w:val="yellow"/>
        </w:rPr>
        <w:t>(</w:t>
      </w:r>
      <w:r w:rsidRPr="003C5C26">
        <w:rPr>
          <w:rFonts w:hint="eastAsia"/>
          <w:b/>
          <w:bCs/>
          <w:highlight w:val="yellow"/>
        </w:rPr>
        <w:t xml:space="preserve">Supplement; </w:t>
      </w:r>
      <w:r w:rsidRPr="003C5C26">
        <w:rPr>
          <w:b/>
          <w:bCs/>
          <w:highlight w:val="yellow"/>
        </w:rPr>
        <w:t>Figure S</w:t>
      </w:r>
      <w:r w:rsidRPr="003C5C26">
        <w:rPr>
          <w:highlight w:val="yellow"/>
        </w:rPr>
        <w:t>).</w:t>
      </w:r>
    </w:p>
    <w:p w14:paraId="1BDD92EB" w14:textId="77777777" w:rsidR="003C5C26" w:rsidRDefault="003C5C26" w:rsidP="000275CA"/>
    <w:p w14:paraId="37A309AB" w14:textId="7D8BEA1C" w:rsidR="006B235C" w:rsidRPr="00097432" w:rsidRDefault="00CD0A6C" w:rsidP="00F57F15">
      <w:r w:rsidRPr="00565DAF">
        <w:rPr>
          <w:b/>
          <w:bCs/>
          <w:highlight w:val="yellow"/>
        </w:rPr>
        <w:t>Table 3</w:t>
      </w:r>
      <w:r w:rsidRPr="00565DAF">
        <w:rPr>
          <w:highlight w:val="yellow"/>
        </w:rPr>
        <w:t xml:space="preserve"> summarizes </w:t>
      </w:r>
      <w:r w:rsidR="00362788" w:rsidRPr="00565DAF">
        <w:rPr>
          <w:highlight w:val="yellow"/>
        </w:rPr>
        <w:t>the</w:t>
      </w:r>
      <w:r w:rsidR="003B5F48" w:rsidRPr="00565DAF">
        <w:rPr>
          <w:rFonts w:hint="eastAsia"/>
          <w:highlight w:val="yellow"/>
        </w:rPr>
        <w:t xml:space="preserve"> impact of</w:t>
      </w:r>
      <w:r w:rsidR="00362788" w:rsidRPr="00565DAF">
        <w:rPr>
          <w:highlight w:val="yellow"/>
        </w:rPr>
        <w:t xml:space="preserve"> </w:t>
      </w:r>
      <w:r w:rsidR="00E232A3" w:rsidRPr="00565DAF">
        <w:rPr>
          <w:rFonts w:hint="eastAsia"/>
          <w:highlight w:val="yellow"/>
        </w:rPr>
        <w:t>ORI</w:t>
      </w:r>
      <w:r w:rsidR="00362788" w:rsidRPr="00565DAF">
        <w:rPr>
          <w:highlight w:val="yellow"/>
        </w:rPr>
        <w:t xml:space="preserve"> </w:t>
      </w:r>
      <w:r w:rsidR="00E232A3" w:rsidRPr="00565DAF">
        <w:rPr>
          <w:rFonts w:hint="eastAsia"/>
          <w:highlight w:val="yellow"/>
        </w:rPr>
        <w:t>under</w:t>
      </w:r>
      <w:r w:rsidR="00F20009" w:rsidRPr="00565DAF">
        <w:rPr>
          <w:highlight w:val="yellow"/>
        </w:rPr>
        <w:t xml:space="preserve"> </w:t>
      </w:r>
      <w:r w:rsidR="003D7D41" w:rsidRPr="00565DAF">
        <w:rPr>
          <w:rFonts w:hint="eastAsia"/>
          <w:highlight w:val="yellow"/>
        </w:rPr>
        <w:t xml:space="preserve">the </w:t>
      </w:r>
      <w:r w:rsidR="00BC2FA4" w:rsidRPr="00565DAF">
        <w:rPr>
          <w:rFonts w:hint="eastAsia"/>
          <w:highlight w:val="yellow"/>
        </w:rPr>
        <w:t>outbreak onset-</w:t>
      </w:r>
      <w:r w:rsidR="00F20009" w:rsidRPr="00565DAF">
        <w:rPr>
          <w:highlight w:val="yellow"/>
        </w:rPr>
        <w:t>trigger</w:t>
      </w:r>
      <w:r w:rsidR="00BC2FA4" w:rsidRPr="00565DAF">
        <w:rPr>
          <w:rFonts w:hint="eastAsia"/>
          <w:highlight w:val="yellow"/>
        </w:rPr>
        <w:t>ed</w:t>
      </w:r>
      <w:r w:rsidR="00F20009" w:rsidRPr="00565DAF">
        <w:rPr>
          <w:highlight w:val="yellow"/>
        </w:rPr>
        <w:t xml:space="preserve"> </w:t>
      </w:r>
      <w:r w:rsidR="00BC2FA4" w:rsidRPr="00565DAF">
        <w:rPr>
          <w:rFonts w:hint="eastAsia"/>
          <w:highlight w:val="yellow"/>
        </w:rPr>
        <w:t>scenario</w:t>
      </w:r>
      <w:r w:rsidR="00F20009" w:rsidRPr="00565DAF">
        <w:rPr>
          <w:highlight w:val="yellow"/>
        </w:rPr>
        <w:t xml:space="preserve"> </w:t>
      </w:r>
      <w:r w:rsidR="003D7D41" w:rsidRPr="00565DAF">
        <w:rPr>
          <w:rFonts w:hint="eastAsia"/>
          <w:highlight w:val="yellow"/>
        </w:rPr>
        <w:t>with</w:t>
      </w:r>
      <w:r w:rsidR="00362788" w:rsidRPr="00565DAF">
        <w:rPr>
          <w:highlight w:val="yellow"/>
        </w:rPr>
        <w:t xml:space="preserve"> 75% vaccine </w:t>
      </w:r>
      <w:r w:rsidRPr="00565DAF">
        <w:rPr>
          <w:highlight w:val="yellow"/>
        </w:rPr>
        <w:t>coverage</w:t>
      </w:r>
      <w:r w:rsidR="003F3A8F" w:rsidRPr="00565DAF">
        <w:rPr>
          <w:highlight w:val="yellow"/>
        </w:rPr>
        <w:t xml:space="preserve"> (</w:t>
      </w:r>
      <w:r w:rsidR="00D0371D" w:rsidRPr="00565DAF">
        <w:rPr>
          <w:highlight w:val="yellow"/>
        </w:rPr>
        <w:t xml:space="preserve">results for other coverage levels and delays are provided </w:t>
      </w:r>
      <w:r w:rsidR="003F3A8F" w:rsidRPr="00565DAF">
        <w:rPr>
          <w:b/>
          <w:bCs/>
          <w:highlight w:val="yellow"/>
        </w:rPr>
        <w:t>Table S1</w:t>
      </w:r>
      <w:r w:rsidR="001571CE" w:rsidRPr="00565DAF">
        <w:rPr>
          <w:highlight w:val="yellow"/>
        </w:rPr>
        <w:t>)</w:t>
      </w:r>
      <w:r w:rsidRPr="00565DAF">
        <w:rPr>
          <w:highlight w:val="yellow"/>
        </w:rPr>
        <w:t xml:space="preserve">. </w:t>
      </w:r>
      <w:r w:rsidR="00D0371D" w:rsidRPr="00565DAF">
        <w:rPr>
          <w:highlight w:val="yellow"/>
        </w:rPr>
        <w:t xml:space="preserve">Consistent with the pattern of cases averted shown in </w:t>
      </w:r>
      <w:r w:rsidR="009C669B" w:rsidRPr="00565DAF">
        <w:rPr>
          <w:rFonts w:hint="eastAsia"/>
          <w:b/>
          <w:bCs/>
          <w:highlight w:val="yellow"/>
        </w:rPr>
        <w:t>Figure 3</w:t>
      </w:r>
      <w:r w:rsidR="009C669B" w:rsidRPr="00565DAF">
        <w:rPr>
          <w:rFonts w:hint="eastAsia"/>
          <w:highlight w:val="yellow"/>
        </w:rPr>
        <w:t>,</w:t>
      </w:r>
      <w:r w:rsidR="00A842BD" w:rsidRPr="00565DAF">
        <w:rPr>
          <w:highlight w:val="yellow"/>
        </w:rPr>
        <w:t xml:space="preserve"> the impact of ORI diminished across other health and economic metrics, including deaths averted, DALYs averted, and efficiency measured as outcomes averted per 1,000 OCV doses, while the cost per case, death, or DALY averted increased with longer delays.</w:t>
      </w:r>
      <w:r w:rsidR="00A842BD" w:rsidRPr="00565DAF">
        <w:rPr>
          <w:rFonts w:hint="eastAsia"/>
          <w:highlight w:val="yellow"/>
        </w:rPr>
        <w:t xml:space="preserve"> </w:t>
      </w:r>
      <w:r w:rsidR="00A842BD" w:rsidRPr="00565DAF">
        <w:rPr>
          <w:highlight w:val="yellow"/>
        </w:rPr>
        <w:t>ORI efficiency</w:t>
      </w:r>
      <w:r w:rsidR="00C73AD4">
        <w:rPr>
          <w:rFonts w:hint="eastAsia"/>
          <w:highlight w:val="yellow"/>
        </w:rPr>
        <w:t xml:space="preserve"> </w:t>
      </w:r>
      <w:r w:rsidR="00A842BD" w:rsidRPr="00565DAF">
        <w:rPr>
          <w:highlight w:val="yellow"/>
        </w:rPr>
        <w:t>declined from 0.695 [IQR: 0.188</w:t>
      </w:r>
      <w:r w:rsidR="00A842BD" w:rsidRPr="00565DAF">
        <w:rPr>
          <w:rFonts w:hint="eastAsia"/>
          <w:highlight w:val="yellow"/>
        </w:rPr>
        <w:t xml:space="preserve"> - </w:t>
      </w:r>
      <w:r w:rsidR="00A842BD" w:rsidRPr="00565DAF">
        <w:rPr>
          <w:highlight w:val="yellow"/>
        </w:rPr>
        <w:t xml:space="preserve">2.411] </w:t>
      </w:r>
      <w:r w:rsidR="00A842BD" w:rsidRPr="00565DAF">
        <w:rPr>
          <w:rFonts w:hint="eastAsia"/>
          <w:highlight w:val="yellow"/>
        </w:rPr>
        <w:t xml:space="preserve">to </w:t>
      </w:r>
      <w:r w:rsidR="00A842BD" w:rsidRPr="00565DAF">
        <w:rPr>
          <w:highlight w:val="yellow"/>
        </w:rPr>
        <w:t>0.118 [IQR: 0.008</w:t>
      </w:r>
      <w:r w:rsidR="00A842BD" w:rsidRPr="00565DAF">
        <w:rPr>
          <w:rFonts w:hint="eastAsia"/>
          <w:highlight w:val="yellow"/>
        </w:rPr>
        <w:t xml:space="preserve"> - </w:t>
      </w:r>
      <w:r w:rsidR="00A842BD" w:rsidRPr="00565DAF">
        <w:rPr>
          <w:highlight w:val="yellow"/>
        </w:rPr>
        <w:t xml:space="preserve">0.744] when initiated in </w:t>
      </w:r>
      <w:r w:rsidR="00A842BD" w:rsidRPr="00565DAF">
        <w:rPr>
          <w:rFonts w:hint="eastAsia"/>
          <w:highlight w:val="yellow"/>
        </w:rPr>
        <w:t xml:space="preserve">week 1 and </w:t>
      </w:r>
      <w:r w:rsidR="00A842BD" w:rsidRPr="00565DAF">
        <w:rPr>
          <w:highlight w:val="yellow"/>
        </w:rPr>
        <w:t>week 13</w:t>
      </w:r>
      <w:r w:rsidR="00A842BD" w:rsidRPr="00565DAF">
        <w:rPr>
          <w:rFonts w:hint="eastAsia"/>
          <w:highlight w:val="yellow"/>
        </w:rPr>
        <w:t>, respectively</w:t>
      </w:r>
      <w:r w:rsidR="00A842BD" w:rsidRPr="00565DAF">
        <w:rPr>
          <w:highlight w:val="yellow"/>
        </w:rPr>
        <w:t>. The cost per case averted was approximately $4,623 [IQR: 972</w:t>
      </w:r>
      <w:r w:rsidR="00A842BD" w:rsidRPr="00565DAF">
        <w:rPr>
          <w:rFonts w:hint="eastAsia"/>
          <w:highlight w:val="yellow"/>
        </w:rPr>
        <w:t xml:space="preserve"> - </w:t>
      </w:r>
      <w:r w:rsidR="00A842BD" w:rsidRPr="00565DAF">
        <w:rPr>
          <w:highlight w:val="yellow"/>
        </w:rPr>
        <w:t>17,853] for ORIs initiated in the first week, remaining below the benchmark cost-effectiveness threshold of three times the GDP per capita in sub-Saharan Africa (≈$1,636</w:t>
      </w:r>
      <w:r w:rsidR="00A842BD" w:rsidRPr="00565DAF">
        <w:rPr>
          <w:rFonts w:eastAsia="Aptos"/>
          <w:highlight w:val="yellow"/>
        </w:rPr>
        <w:fldChar w:fldCharType="begin"/>
      </w:r>
      <w:r w:rsidR="00345AF1">
        <w:rPr>
          <w:rFonts w:eastAsia="Aptos"/>
          <w:highlight w:val="yellow"/>
        </w:rPr>
        <w:instrText xml:space="preserve"> ADDIN ZOTERO_ITEM CSL_CITATION {"citationID":"JoVXGF3J","properties":{"formattedCitation":"\\super 63\\nosupersub{}","plainCitation":"63","noteIndex":0},"citationItems":[{"id":"EgwuGF5k/xbAzyDr0","uris":["http://zotero.org/users/local/xDVOxgbN/items/G7M42ZDC"],"itemData":{"id":183,"type":"dataset","title":"GDP per capita (current US$)","URL":"https://data.worldbank.org/indicator/NY.GDP.PCAP.CD","author":[{"literal":"World Bank Group"}]}}],"schema":"https://github.com/citation-style-language/schema/raw/master/csl-citation.json"} </w:instrText>
      </w:r>
      <w:r w:rsidR="00A842BD" w:rsidRPr="00565DAF">
        <w:rPr>
          <w:rFonts w:eastAsia="Aptos"/>
          <w:highlight w:val="yellow"/>
        </w:rPr>
        <w:fldChar w:fldCharType="separate"/>
      </w:r>
      <w:r w:rsidR="00345AF1" w:rsidRPr="00345AF1">
        <w:rPr>
          <w:rFonts w:cs="Times New Roman"/>
          <w:vertAlign w:val="superscript"/>
        </w:rPr>
        <w:t>63</w:t>
      </w:r>
      <w:r w:rsidR="00A842BD" w:rsidRPr="00565DAF">
        <w:rPr>
          <w:rFonts w:eastAsia="Aptos"/>
          <w:highlight w:val="yellow"/>
        </w:rPr>
        <w:fldChar w:fldCharType="end"/>
      </w:r>
      <w:r w:rsidR="00A842BD" w:rsidRPr="00565DAF">
        <w:rPr>
          <w:highlight w:val="yellow"/>
        </w:rPr>
        <w:t>)</w:t>
      </w:r>
      <w:r w:rsidR="00A842BD" w:rsidRPr="00565DAF">
        <w:rPr>
          <w:rFonts w:hint="eastAsia"/>
          <w:highlight w:val="yellow"/>
        </w:rPr>
        <w:t xml:space="preserve">. </w:t>
      </w:r>
      <w:r w:rsidR="003D7D41" w:rsidRPr="00565DAF">
        <w:rPr>
          <w:rFonts w:hint="eastAsia"/>
          <w:highlight w:val="yellow"/>
        </w:rPr>
        <w:t xml:space="preserve">However, this </w:t>
      </w:r>
      <w:r w:rsidR="00A842BD" w:rsidRPr="00565DAF">
        <w:rPr>
          <w:rFonts w:hint="eastAsia"/>
          <w:highlight w:val="yellow"/>
        </w:rPr>
        <w:t xml:space="preserve">cost </w:t>
      </w:r>
      <w:r w:rsidR="002A46E4" w:rsidRPr="00565DAF">
        <w:rPr>
          <w:rFonts w:hint="eastAsia"/>
          <w:highlight w:val="yellow"/>
        </w:rPr>
        <w:t>rose markedly</w:t>
      </w:r>
      <w:r w:rsidR="00C80B24" w:rsidRPr="00565DAF">
        <w:rPr>
          <w:highlight w:val="yellow"/>
        </w:rPr>
        <w:t xml:space="preserve"> to $</w:t>
      </w:r>
      <w:r w:rsidR="00B41538" w:rsidRPr="00565DAF">
        <w:rPr>
          <w:highlight w:val="yellow"/>
        </w:rPr>
        <w:t>15,53</w:t>
      </w:r>
      <w:r w:rsidR="006503FE" w:rsidRPr="00565DAF">
        <w:rPr>
          <w:rFonts w:hint="eastAsia"/>
          <w:highlight w:val="yellow"/>
        </w:rPr>
        <w:t>0</w:t>
      </w:r>
      <w:r w:rsidR="00C80B24" w:rsidRPr="00565DAF">
        <w:rPr>
          <w:highlight w:val="yellow"/>
        </w:rPr>
        <w:t xml:space="preserve"> </w:t>
      </w:r>
      <w:r w:rsidR="004A6BCD" w:rsidRPr="00565DAF">
        <w:rPr>
          <w:rFonts w:hint="eastAsia"/>
          <w:highlight w:val="yellow"/>
        </w:rPr>
        <w:t xml:space="preserve">[IQR: </w:t>
      </w:r>
      <w:r w:rsidR="004A6BCD" w:rsidRPr="00565DAF">
        <w:rPr>
          <w:highlight w:val="yellow"/>
        </w:rPr>
        <w:t>2,885 - 75,590</w:t>
      </w:r>
      <w:r w:rsidR="004A6BCD" w:rsidRPr="00565DAF">
        <w:rPr>
          <w:rFonts w:hint="eastAsia"/>
          <w:highlight w:val="yellow"/>
        </w:rPr>
        <w:t xml:space="preserve">] </w:t>
      </w:r>
      <w:r w:rsidR="002A46E4" w:rsidRPr="00565DAF">
        <w:rPr>
          <w:rFonts w:hint="eastAsia"/>
          <w:highlight w:val="yellow"/>
        </w:rPr>
        <w:t xml:space="preserve">when </w:t>
      </w:r>
      <w:r w:rsidR="00B41538" w:rsidRPr="00565DAF">
        <w:rPr>
          <w:rFonts w:hint="eastAsia"/>
          <w:highlight w:val="yellow"/>
        </w:rPr>
        <w:t>the ORI</w:t>
      </w:r>
      <w:r w:rsidR="002A46E4" w:rsidRPr="00565DAF">
        <w:rPr>
          <w:rFonts w:hint="eastAsia"/>
          <w:highlight w:val="yellow"/>
        </w:rPr>
        <w:t xml:space="preserve"> implementation</w:t>
      </w:r>
      <w:r w:rsidR="00B41538" w:rsidRPr="00565DAF">
        <w:rPr>
          <w:rFonts w:hint="eastAsia"/>
          <w:highlight w:val="yellow"/>
        </w:rPr>
        <w:t xml:space="preserve"> was</w:t>
      </w:r>
      <w:r w:rsidR="00C80B24" w:rsidRPr="00565DAF">
        <w:rPr>
          <w:highlight w:val="yellow"/>
        </w:rPr>
        <w:t xml:space="preserve"> delayed </w:t>
      </w:r>
      <w:r w:rsidR="000D0A1C" w:rsidRPr="00565DAF">
        <w:rPr>
          <w:rFonts w:hint="eastAsia"/>
          <w:highlight w:val="yellow"/>
        </w:rPr>
        <w:t xml:space="preserve">until week </w:t>
      </w:r>
      <w:r w:rsidR="00C80B24" w:rsidRPr="00565DAF">
        <w:rPr>
          <w:highlight w:val="yellow"/>
        </w:rPr>
        <w:t>13.</w:t>
      </w:r>
      <w:r w:rsidR="004A6BCD" w:rsidRPr="00565DAF">
        <w:rPr>
          <w:rFonts w:hint="eastAsia"/>
          <w:highlight w:val="yellow"/>
        </w:rPr>
        <w:t xml:space="preserve"> </w:t>
      </w:r>
      <w:r w:rsidR="004A6BCD" w:rsidRPr="00565DAF">
        <w:rPr>
          <w:b/>
          <w:bCs/>
          <w:highlight w:val="yellow"/>
        </w:rPr>
        <w:t>Table 3</w:t>
      </w:r>
      <w:r w:rsidR="004A6BCD" w:rsidRPr="00565DAF">
        <w:rPr>
          <w:rFonts w:hint="eastAsia"/>
          <w:b/>
          <w:bCs/>
          <w:highlight w:val="yellow"/>
        </w:rPr>
        <w:t xml:space="preserve"> </w:t>
      </w:r>
      <w:r w:rsidR="004A6BCD" w:rsidRPr="00565DAF">
        <w:rPr>
          <w:rFonts w:hint="eastAsia"/>
          <w:highlight w:val="yellow"/>
        </w:rPr>
        <w:t xml:space="preserve">also shows that the number of outbreaks </w:t>
      </w:r>
      <w:r w:rsidR="00A842BD" w:rsidRPr="00565DAF">
        <w:rPr>
          <w:rFonts w:hint="eastAsia"/>
          <w:highlight w:val="yellow"/>
        </w:rPr>
        <w:t xml:space="preserve">eligible for vaccination </w:t>
      </w:r>
      <w:r w:rsidR="004A6BCD" w:rsidRPr="00565DAF">
        <w:rPr>
          <w:rFonts w:hint="eastAsia"/>
          <w:highlight w:val="yellow"/>
        </w:rPr>
        <w:t>de</w:t>
      </w:r>
      <w:r w:rsidR="00A842BD" w:rsidRPr="00565DAF">
        <w:rPr>
          <w:rFonts w:hint="eastAsia"/>
          <w:highlight w:val="yellow"/>
        </w:rPr>
        <w:t>clined steadily w</w:t>
      </w:r>
      <w:r w:rsidR="004A6BCD" w:rsidRPr="00565DAF">
        <w:rPr>
          <w:rFonts w:hint="eastAsia"/>
          <w:highlight w:val="yellow"/>
        </w:rPr>
        <w:t>ith increasing delays</w:t>
      </w:r>
      <w:r w:rsidR="0067774C">
        <w:rPr>
          <w:rFonts w:hint="eastAsia"/>
          <w:highlight w:val="yellow"/>
        </w:rPr>
        <w:t>.</w:t>
      </w:r>
      <w:r w:rsidR="00117ADF" w:rsidRPr="00565DAF">
        <w:rPr>
          <w:rFonts w:hint="eastAsia"/>
          <w:highlight w:val="yellow"/>
        </w:rPr>
        <w:t xml:space="preserve"> </w:t>
      </w:r>
      <w:r w:rsidR="00A842BD" w:rsidRPr="00565DAF">
        <w:rPr>
          <w:highlight w:val="yellow"/>
        </w:rPr>
        <w:t xml:space="preserve">ORI impact was consistently greater in the top quartile of outbreaks by attack rate, duration, or size. For example, case reduction in the </w:t>
      </w:r>
      <w:r w:rsidR="00A842BD" w:rsidRPr="00565DAF">
        <w:rPr>
          <w:rFonts w:hint="eastAsia"/>
          <w:highlight w:val="yellow"/>
        </w:rPr>
        <w:t>top quartile of o</w:t>
      </w:r>
      <w:r w:rsidR="00A842BD" w:rsidRPr="00565DAF">
        <w:rPr>
          <w:highlight w:val="yellow"/>
        </w:rPr>
        <w:t>utbreaks</w:t>
      </w:r>
      <w:r w:rsidR="00A842BD" w:rsidRPr="00565DAF">
        <w:rPr>
          <w:rFonts w:hint="eastAsia"/>
          <w:highlight w:val="yellow"/>
        </w:rPr>
        <w:t xml:space="preserve"> by duration</w:t>
      </w:r>
      <w:r w:rsidR="00A842BD" w:rsidRPr="00565DAF">
        <w:rPr>
          <w:highlight w:val="yellow"/>
        </w:rPr>
        <w:t xml:space="preserve"> </w:t>
      </w:r>
      <w:r w:rsidR="00A842BD" w:rsidRPr="00203322">
        <w:rPr>
          <w:highlight w:val="yellow"/>
        </w:rPr>
        <w:t xml:space="preserve">reached </w:t>
      </w:r>
      <w:r w:rsidR="00203322" w:rsidRPr="00203322">
        <w:rPr>
          <w:highlight w:val="yellow"/>
        </w:rPr>
        <w:t xml:space="preserve">84% </w:t>
      </w:r>
      <w:r w:rsidR="00203322" w:rsidRPr="00203322">
        <w:rPr>
          <w:rFonts w:hint="eastAsia"/>
          <w:highlight w:val="yellow"/>
        </w:rPr>
        <w:t xml:space="preserve">[IQR: </w:t>
      </w:r>
      <w:r w:rsidR="00203322" w:rsidRPr="00203322">
        <w:rPr>
          <w:highlight w:val="yellow"/>
        </w:rPr>
        <w:t>67.1 - 93.6</w:t>
      </w:r>
      <w:r w:rsidR="00A842BD" w:rsidRPr="00203322">
        <w:rPr>
          <w:highlight w:val="yellow"/>
        </w:rPr>
        <w:t xml:space="preserve">] when </w:t>
      </w:r>
      <w:r w:rsidR="00A842BD" w:rsidRPr="00565DAF">
        <w:rPr>
          <w:highlight w:val="yellow"/>
        </w:rPr>
        <w:t xml:space="preserve">ORI was launched in week 1 but fell to </w:t>
      </w:r>
      <w:r w:rsidR="00203322" w:rsidRPr="00203322">
        <w:rPr>
          <w:highlight w:val="yellow"/>
          <w:lang w:val="en-US"/>
        </w:rPr>
        <w:t>19</w:t>
      </w:r>
      <w:r w:rsidR="00203322">
        <w:rPr>
          <w:rFonts w:hint="eastAsia"/>
          <w:highlight w:val="yellow"/>
          <w:lang w:val="en-US"/>
        </w:rPr>
        <w:t>%</w:t>
      </w:r>
      <w:r w:rsidR="00203322" w:rsidRPr="00203322">
        <w:rPr>
          <w:highlight w:val="yellow"/>
          <w:lang w:val="en-US"/>
        </w:rPr>
        <w:t xml:space="preserve"> </w:t>
      </w:r>
      <w:r w:rsidR="00203322">
        <w:rPr>
          <w:rFonts w:hint="eastAsia"/>
          <w:highlight w:val="yellow"/>
          <w:lang w:val="en-US"/>
        </w:rPr>
        <w:t xml:space="preserve">[IQR: </w:t>
      </w:r>
      <w:r w:rsidR="00203322" w:rsidRPr="00203322">
        <w:rPr>
          <w:highlight w:val="yellow"/>
          <w:lang w:val="en-US"/>
        </w:rPr>
        <w:t>0 - 47.8</w:t>
      </w:r>
      <w:r w:rsidR="00203322">
        <w:rPr>
          <w:rFonts w:hint="eastAsia"/>
          <w:highlight w:val="yellow"/>
          <w:lang w:val="en-US"/>
        </w:rPr>
        <w:t xml:space="preserve">] </w:t>
      </w:r>
      <w:r w:rsidR="00A842BD" w:rsidRPr="00565DAF">
        <w:rPr>
          <w:highlight w:val="yellow"/>
        </w:rPr>
        <w:t>when delayed until week 15.</w:t>
      </w:r>
      <w:r w:rsidR="00A46471">
        <w:rPr>
          <w:rFonts w:hint="eastAsia"/>
          <w:highlight w:val="yellow"/>
        </w:rPr>
        <w:t xml:space="preserve"> For the case-triggered scenario</w:t>
      </w:r>
      <w:r w:rsidR="00A46471">
        <w:rPr>
          <w:rFonts w:hint="eastAsia"/>
        </w:rPr>
        <w:t>,</w:t>
      </w:r>
      <w:r w:rsidR="0016071A">
        <w:rPr>
          <w:rFonts w:hint="eastAsia"/>
          <w:highlight w:val="yellow"/>
        </w:rPr>
        <w:t xml:space="preserve"> </w:t>
      </w:r>
      <w:r w:rsidR="00721A2F" w:rsidRPr="00565DAF">
        <w:rPr>
          <w:highlight w:val="yellow"/>
        </w:rPr>
        <w:t xml:space="preserve">the impact of ORI </w:t>
      </w:r>
      <w:r w:rsidR="00717498">
        <w:rPr>
          <w:rFonts w:hint="eastAsia"/>
          <w:highlight w:val="yellow"/>
        </w:rPr>
        <w:t>declined</w:t>
      </w:r>
      <w:r w:rsidR="00721A2F" w:rsidRPr="00565DAF">
        <w:rPr>
          <w:highlight w:val="yellow"/>
        </w:rPr>
        <w:t xml:space="preserve"> with longer delays</w:t>
      </w:r>
      <w:r w:rsidR="00717498">
        <w:rPr>
          <w:rFonts w:hint="eastAsia"/>
        </w:rPr>
        <w:t xml:space="preserve"> after the trigger and </w:t>
      </w:r>
      <w:r w:rsidR="0016071A" w:rsidRPr="0016071A">
        <w:rPr>
          <w:rFonts w:hint="eastAsia"/>
          <w:highlight w:val="yellow"/>
        </w:rPr>
        <w:t>higher thresholds</w:t>
      </w:r>
      <w:r w:rsidR="00A46471">
        <w:rPr>
          <w:rFonts w:hint="eastAsia"/>
          <w:highlight w:val="yellow"/>
        </w:rPr>
        <w:t xml:space="preserve"> (</w:t>
      </w:r>
      <w:r w:rsidR="00A46471" w:rsidRPr="00A46471">
        <w:rPr>
          <w:rFonts w:hint="eastAsia"/>
          <w:b/>
          <w:bCs/>
          <w:highlight w:val="yellow"/>
        </w:rPr>
        <w:t>Table S2</w:t>
      </w:r>
      <w:r w:rsidR="00A46471">
        <w:rPr>
          <w:rFonts w:hint="eastAsia"/>
          <w:highlight w:val="yellow"/>
        </w:rPr>
        <w:t>)</w:t>
      </w:r>
      <w:r w:rsidR="000A7845">
        <w:rPr>
          <w:rFonts w:hint="eastAsia"/>
          <w:highlight w:val="yellow"/>
        </w:rPr>
        <w:t>.</w:t>
      </w:r>
      <w:r w:rsidR="00A46471">
        <w:rPr>
          <w:rFonts w:hint="eastAsia"/>
          <w:highlight w:val="yellow"/>
        </w:rPr>
        <w:t xml:space="preserve"> </w:t>
      </w:r>
      <w:r w:rsidR="000A7845" w:rsidRPr="000A7845">
        <w:rPr>
          <w:highlight w:val="yellow"/>
        </w:rPr>
        <w:t>Efficiency also decreased with higher thresholds and longer delays</w:t>
      </w:r>
      <w:r w:rsidR="00A46471">
        <w:rPr>
          <w:rFonts w:hint="eastAsia"/>
          <w:highlight w:val="yellow"/>
        </w:rPr>
        <w:t xml:space="preserve">. </w:t>
      </w:r>
      <w:r w:rsidR="006B235C" w:rsidRPr="003B3D47">
        <w:rPr>
          <w:highlight w:val="yellow"/>
        </w:rPr>
        <w:lastRenderedPageBreak/>
        <w:t>Accordingly, the median cost per case</w:t>
      </w:r>
      <w:r w:rsidR="00F264A5">
        <w:rPr>
          <w:rFonts w:hint="eastAsia"/>
          <w:highlight w:val="yellow"/>
        </w:rPr>
        <w:t>, death,</w:t>
      </w:r>
      <w:r w:rsidR="006B235C" w:rsidRPr="003B3D47">
        <w:rPr>
          <w:highlight w:val="yellow"/>
        </w:rPr>
        <w:t xml:space="preserve"> and DALY averted </w:t>
      </w:r>
      <w:r w:rsidR="00F475AB">
        <w:rPr>
          <w:rFonts w:hint="eastAsia"/>
          <w:highlight w:val="yellow"/>
        </w:rPr>
        <w:t>rose with higher</w:t>
      </w:r>
      <w:r w:rsidR="006B235C" w:rsidRPr="003B3D47">
        <w:rPr>
          <w:highlight w:val="yellow"/>
        </w:rPr>
        <w:t xml:space="preserve"> thresholds</w:t>
      </w:r>
      <w:r w:rsidR="00F475AB">
        <w:rPr>
          <w:rFonts w:hint="eastAsia"/>
          <w:highlight w:val="yellow"/>
        </w:rPr>
        <w:t xml:space="preserve"> and longer delays</w:t>
      </w:r>
      <w:r w:rsidR="00A07832" w:rsidRPr="003B3D47">
        <w:rPr>
          <w:rFonts w:hint="eastAsia"/>
          <w:highlight w:val="yellow"/>
        </w:rPr>
        <w:t xml:space="preserve">, </w:t>
      </w:r>
      <w:r w:rsidR="006B235C" w:rsidRPr="003B3D47">
        <w:rPr>
          <w:highlight w:val="yellow"/>
        </w:rPr>
        <w:t xml:space="preserve">remaining below </w:t>
      </w:r>
      <w:r w:rsidR="00F475AB">
        <w:rPr>
          <w:rFonts w:hint="eastAsia"/>
          <w:highlight w:val="yellow"/>
        </w:rPr>
        <w:t xml:space="preserve">conventional </w:t>
      </w:r>
      <w:r w:rsidR="006B235C" w:rsidRPr="003B3D47">
        <w:rPr>
          <w:highlight w:val="yellow"/>
        </w:rPr>
        <w:t xml:space="preserve">cost-effectiveness </w:t>
      </w:r>
      <w:r w:rsidR="00F475AB">
        <w:rPr>
          <w:rFonts w:hint="eastAsia"/>
          <w:highlight w:val="yellow"/>
        </w:rPr>
        <w:t>benchmark</w:t>
      </w:r>
      <w:r w:rsidR="006B235C" w:rsidRPr="003B3D47">
        <w:rPr>
          <w:highlight w:val="yellow"/>
        </w:rPr>
        <w:t>s</w:t>
      </w:r>
      <w:r w:rsidR="00F475AB">
        <w:rPr>
          <w:rFonts w:hint="eastAsia"/>
          <w:highlight w:val="yellow"/>
        </w:rPr>
        <w:t>.</w:t>
      </w:r>
    </w:p>
    <w:p w14:paraId="4C38061F" w14:textId="3A32293D" w:rsidR="00CE75ED" w:rsidRPr="00097432" w:rsidRDefault="00CE75ED" w:rsidP="00F57F15">
      <w:pPr>
        <w:pStyle w:val="Heading3"/>
      </w:pPr>
      <w:bookmarkStart w:id="29" w:name="_Toc184909208"/>
      <w:r w:rsidRPr="00097432">
        <w:rPr>
          <w:rFonts w:hint="eastAsia"/>
        </w:rPr>
        <w:t xml:space="preserve">Impact of ORIs </w:t>
      </w:r>
      <w:r w:rsidR="00F666B7" w:rsidRPr="00097432">
        <w:rPr>
          <w:rFonts w:hint="eastAsia"/>
        </w:rPr>
        <w:t xml:space="preserve">aggregated </w:t>
      </w:r>
      <w:r w:rsidR="004647EB">
        <w:rPr>
          <w:rFonts w:hint="eastAsia"/>
        </w:rPr>
        <w:t>across</w:t>
      </w:r>
      <w:r w:rsidRPr="00097432">
        <w:rPr>
          <w:rFonts w:hint="eastAsia"/>
        </w:rPr>
        <w:t xml:space="preserve"> multiple outbreaks</w:t>
      </w:r>
    </w:p>
    <w:bookmarkEnd w:id="29"/>
    <w:p w14:paraId="751EB781" w14:textId="77777777" w:rsidR="00F666B7" w:rsidRPr="00097432" w:rsidRDefault="00F666B7" w:rsidP="00F666B7">
      <w:pPr>
        <w:pStyle w:val="Heading4"/>
      </w:pPr>
      <w:r w:rsidRPr="00097432">
        <w:rPr>
          <w:rFonts w:hint="eastAsia"/>
        </w:rPr>
        <w:t>Impact of ORIs across campaign timing and coverage levels</w:t>
      </w:r>
    </w:p>
    <w:p w14:paraId="16038545" w14:textId="51FD3787" w:rsidR="00A3640F" w:rsidRPr="00097432" w:rsidRDefault="0073569F" w:rsidP="009810DC">
      <w:r w:rsidRPr="00097432">
        <w:t>When the impact</w:t>
      </w:r>
      <w:r w:rsidR="00A46471">
        <w:rPr>
          <w:rFonts w:hint="eastAsia"/>
        </w:rPr>
        <w:t xml:space="preserve"> and efficiency</w:t>
      </w:r>
      <w:r w:rsidRPr="00097432">
        <w:t xml:space="preserve"> of ORI campaigns with 75% vaccine coverage was evaluated across aggregated sets of outbreaks</w:t>
      </w:r>
      <w:r w:rsidR="00B1216A">
        <w:rPr>
          <w:rFonts w:hint="eastAsia"/>
        </w:rPr>
        <w:t>,</w:t>
      </w:r>
      <w:r w:rsidRPr="00097432">
        <w:t xml:space="preserve"> median effectiveness</w:t>
      </w:r>
      <w:r w:rsidR="00A46471">
        <w:rPr>
          <w:rFonts w:hint="eastAsia"/>
        </w:rPr>
        <w:t xml:space="preserve"> and efficiency</w:t>
      </w:r>
      <w:r w:rsidRPr="00097432">
        <w:t xml:space="preserve"> increased with the number of outbreaks included in the sample </w:t>
      </w:r>
      <w:r w:rsidR="00711225" w:rsidRPr="00097432">
        <w:t>(</w:t>
      </w:r>
      <w:r w:rsidR="00251C88" w:rsidRPr="00097432">
        <w:rPr>
          <w:rFonts w:hint="eastAsia"/>
          <w:b/>
          <w:bCs/>
        </w:rPr>
        <w:t xml:space="preserve">Figure </w:t>
      </w:r>
      <w:r w:rsidR="00A46471">
        <w:rPr>
          <w:rFonts w:hint="eastAsia"/>
          <w:b/>
          <w:bCs/>
        </w:rPr>
        <w:t>S4</w:t>
      </w:r>
      <w:r w:rsidR="001E69BC" w:rsidRPr="00097432">
        <w:t>)</w:t>
      </w:r>
      <w:r w:rsidR="00DB6385" w:rsidRPr="00097432">
        <w:t>.</w:t>
      </w:r>
      <w:r w:rsidR="001116CD" w:rsidRPr="00097432">
        <w:rPr>
          <w:rFonts w:hint="eastAsia"/>
        </w:rPr>
        <w:t xml:space="preserve"> </w:t>
      </w:r>
      <w:bookmarkStart w:id="30" w:name="_Hlk203670219"/>
      <w:r w:rsidR="002F5474">
        <w:rPr>
          <w:rFonts w:hint="eastAsia"/>
        </w:rPr>
        <w:t>As such s</w:t>
      </w:r>
      <w:r w:rsidR="00E334EE" w:rsidRPr="00097432">
        <w:rPr>
          <w:rFonts w:hint="eastAsia"/>
        </w:rPr>
        <w:t>ubstantial impact w</w:t>
      </w:r>
      <w:r w:rsidR="00260A60" w:rsidRPr="00097432">
        <w:rPr>
          <w:rFonts w:hint="eastAsia"/>
        </w:rPr>
        <w:t>as</w:t>
      </w:r>
      <w:r w:rsidR="00E334EE" w:rsidRPr="00097432">
        <w:rPr>
          <w:rFonts w:hint="eastAsia"/>
        </w:rPr>
        <w:t xml:space="preserve"> observed when the outbreaks were </w:t>
      </w:r>
      <w:r w:rsidR="002146B4" w:rsidRPr="00097432">
        <w:rPr>
          <w:rFonts w:hint="eastAsia"/>
        </w:rPr>
        <w:t>aggregated</w:t>
      </w:r>
      <w:r w:rsidR="00E334EE" w:rsidRPr="00097432">
        <w:rPr>
          <w:rFonts w:hint="eastAsia"/>
        </w:rPr>
        <w:t xml:space="preserve"> </w:t>
      </w:r>
      <w:r w:rsidR="002146B4" w:rsidRPr="00097432">
        <w:rPr>
          <w:rFonts w:hint="eastAsia"/>
        </w:rPr>
        <w:t xml:space="preserve">to reflect </w:t>
      </w:r>
      <w:r w:rsidR="00E334EE" w:rsidRPr="00097432">
        <w:rPr>
          <w:rFonts w:hint="eastAsia"/>
        </w:rPr>
        <w:t xml:space="preserve">the </w:t>
      </w:r>
      <w:r w:rsidR="00260A60" w:rsidRPr="00097432">
        <w:rPr>
          <w:rFonts w:hint="eastAsia"/>
        </w:rPr>
        <w:t xml:space="preserve">volume </w:t>
      </w:r>
      <w:r w:rsidR="00E334EE" w:rsidRPr="00097432">
        <w:rPr>
          <w:rFonts w:hint="eastAsia"/>
        </w:rPr>
        <w:t xml:space="preserve">of OCVs deployed </w:t>
      </w:r>
      <w:r w:rsidR="00260A60" w:rsidRPr="00097432">
        <w:rPr>
          <w:rFonts w:hint="eastAsia"/>
        </w:rPr>
        <w:t>t</w:t>
      </w:r>
      <w:r w:rsidR="00E334EE" w:rsidRPr="00097432">
        <w:rPr>
          <w:rFonts w:hint="eastAsia"/>
        </w:rPr>
        <w:t xml:space="preserve">hrough the global stockpile </w:t>
      </w:r>
      <w:bookmarkEnd w:id="30"/>
      <w:r w:rsidR="00E334EE" w:rsidRPr="00097432">
        <w:rPr>
          <w:rFonts w:hint="eastAsia"/>
        </w:rPr>
        <w:t>(</w:t>
      </w:r>
      <w:r w:rsidR="00E334EE" w:rsidRPr="00097432">
        <w:rPr>
          <w:rFonts w:hint="eastAsia"/>
          <w:b/>
          <w:bCs/>
        </w:rPr>
        <w:t xml:space="preserve">Figure </w:t>
      </w:r>
      <w:r w:rsidR="00BE2DE0">
        <w:rPr>
          <w:rFonts w:hint="eastAsia"/>
          <w:b/>
          <w:bCs/>
        </w:rPr>
        <w:t>4</w:t>
      </w:r>
      <w:r w:rsidR="00C20B98">
        <w:rPr>
          <w:rFonts w:hint="eastAsia"/>
          <w:b/>
          <w:bCs/>
        </w:rPr>
        <w:t>;</w:t>
      </w:r>
      <w:r w:rsidR="00C20B98" w:rsidRPr="00C20B98">
        <w:rPr>
          <w:rFonts w:hint="eastAsia"/>
        </w:rPr>
        <w:t xml:space="preserve"> more details in </w:t>
      </w:r>
      <w:r w:rsidR="00C20B98">
        <w:rPr>
          <w:rFonts w:hint="eastAsia"/>
          <w:b/>
          <w:bCs/>
        </w:rPr>
        <w:t>Table S3</w:t>
      </w:r>
      <w:r w:rsidR="00E334EE" w:rsidRPr="00097432">
        <w:rPr>
          <w:rFonts w:hint="eastAsia"/>
        </w:rPr>
        <w:t>). Over time</w:t>
      </w:r>
      <w:r w:rsidR="00711225" w:rsidRPr="00097432">
        <w:rPr>
          <w:rFonts w:hint="eastAsia"/>
        </w:rPr>
        <w:t xml:space="preserve">, </w:t>
      </w:r>
      <w:r w:rsidR="00711225" w:rsidRPr="00097432">
        <w:t>the</w:t>
      </w:r>
      <w:r w:rsidR="00711225" w:rsidRPr="00097432">
        <w:rPr>
          <w:rFonts w:hint="eastAsia"/>
        </w:rPr>
        <w:t xml:space="preserve"> </w:t>
      </w:r>
      <w:r w:rsidR="004647EB" w:rsidRPr="004647EB">
        <w:rPr>
          <w:rFonts w:hint="eastAsia"/>
          <w:highlight w:val="yellow"/>
        </w:rPr>
        <w:t>aggreg</w:t>
      </w:r>
      <w:r w:rsidR="004647EB" w:rsidRPr="00EE0BD4">
        <w:rPr>
          <w:rFonts w:hint="eastAsia"/>
          <w:highlight w:val="yellow"/>
        </w:rPr>
        <w:t xml:space="preserve">ated </w:t>
      </w:r>
      <w:r w:rsidR="00711225" w:rsidRPr="00EE0BD4">
        <w:rPr>
          <w:rFonts w:hint="eastAsia"/>
          <w:highlight w:val="yellow"/>
        </w:rPr>
        <w:t xml:space="preserve">number of </w:t>
      </w:r>
      <w:r w:rsidR="001649DA" w:rsidRPr="00EE0BD4">
        <w:rPr>
          <w:rFonts w:hint="eastAsia"/>
          <w:highlight w:val="yellow"/>
        </w:rPr>
        <w:t>case</w:t>
      </w:r>
      <w:r w:rsidR="004257A0" w:rsidRPr="00EE0BD4">
        <w:rPr>
          <w:rFonts w:hint="eastAsia"/>
          <w:highlight w:val="yellow"/>
        </w:rPr>
        <w:t>s</w:t>
      </w:r>
      <w:r w:rsidR="00711225" w:rsidRPr="00EE0BD4">
        <w:rPr>
          <w:rFonts w:hint="eastAsia"/>
          <w:highlight w:val="yellow"/>
        </w:rPr>
        <w:t xml:space="preserve"> a</w:t>
      </w:r>
      <w:r w:rsidR="00711225" w:rsidRPr="00EE0BD4">
        <w:rPr>
          <w:highlight w:val="yellow"/>
        </w:rPr>
        <w:t>verted by these campaigns increased</w:t>
      </w:r>
      <w:r w:rsidR="00260A60" w:rsidRPr="00EE0BD4">
        <w:rPr>
          <w:rFonts w:hint="eastAsia"/>
          <w:highlight w:val="yellow"/>
        </w:rPr>
        <w:t>,</w:t>
      </w:r>
      <w:r w:rsidR="001649DA" w:rsidRPr="00EE0BD4">
        <w:rPr>
          <w:rFonts w:hint="eastAsia"/>
          <w:highlight w:val="yellow"/>
        </w:rPr>
        <w:t xml:space="preserve"> </w:t>
      </w:r>
      <w:r w:rsidR="001E653C" w:rsidRPr="00EE0BD4">
        <w:rPr>
          <w:highlight w:val="yellow"/>
        </w:rPr>
        <w:t>reach</w:t>
      </w:r>
      <w:r w:rsidR="00711225" w:rsidRPr="00EE0BD4">
        <w:rPr>
          <w:rFonts w:hint="eastAsia"/>
          <w:highlight w:val="yellow"/>
        </w:rPr>
        <w:t>ing</w:t>
      </w:r>
      <w:r w:rsidR="001E653C" w:rsidRPr="00EE0BD4">
        <w:rPr>
          <w:highlight w:val="yellow"/>
        </w:rPr>
        <w:t xml:space="preserve"> </w:t>
      </w:r>
      <w:r w:rsidR="007A5971">
        <w:rPr>
          <w:rFonts w:hint="eastAsia"/>
          <w:highlight w:val="yellow"/>
        </w:rPr>
        <w:t>4,028</w:t>
      </w:r>
      <w:r w:rsidR="004F5322" w:rsidRPr="004F5322">
        <w:rPr>
          <w:highlight w:val="yellow"/>
          <w:lang w:val="en-US"/>
        </w:rPr>
        <w:t xml:space="preserve"> [IQR: </w:t>
      </w:r>
      <w:r w:rsidR="007A5971">
        <w:rPr>
          <w:rFonts w:hint="eastAsia"/>
          <w:highlight w:val="yellow"/>
          <w:lang w:val="en-US"/>
        </w:rPr>
        <w:t>3</w:t>
      </w:r>
      <w:r w:rsidR="004F5322" w:rsidRPr="004F5322">
        <w:rPr>
          <w:highlight w:val="yellow"/>
          <w:lang w:val="en-US"/>
        </w:rPr>
        <w:t>,</w:t>
      </w:r>
      <w:r w:rsidR="007A5971">
        <w:rPr>
          <w:rFonts w:hint="eastAsia"/>
          <w:highlight w:val="yellow"/>
          <w:lang w:val="en-US"/>
        </w:rPr>
        <w:t>679</w:t>
      </w:r>
      <w:r w:rsidR="004F5322" w:rsidRPr="004F5322">
        <w:rPr>
          <w:highlight w:val="yellow"/>
          <w:lang w:val="en-US"/>
        </w:rPr>
        <w:t xml:space="preserve"> - </w:t>
      </w:r>
      <w:r w:rsidR="007A5971">
        <w:rPr>
          <w:rFonts w:hint="eastAsia"/>
          <w:highlight w:val="yellow"/>
          <w:lang w:val="en-US"/>
        </w:rPr>
        <w:t>4</w:t>
      </w:r>
      <w:r w:rsidR="004F5322" w:rsidRPr="004F5322">
        <w:rPr>
          <w:highlight w:val="yellow"/>
          <w:lang w:val="en-US"/>
        </w:rPr>
        <w:t>,</w:t>
      </w:r>
      <w:r w:rsidR="007A5971">
        <w:rPr>
          <w:rFonts w:hint="eastAsia"/>
          <w:highlight w:val="yellow"/>
          <w:lang w:val="en-US"/>
        </w:rPr>
        <w:t>376</w:t>
      </w:r>
      <w:r w:rsidR="004F5322" w:rsidRPr="004F5322">
        <w:rPr>
          <w:highlight w:val="yellow"/>
          <w:lang w:val="en-US"/>
        </w:rPr>
        <w:t>]</w:t>
      </w:r>
      <w:r w:rsidR="00C20B98">
        <w:rPr>
          <w:rFonts w:hint="eastAsia"/>
          <w:highlight w:val="yellow"/>
          <w:lang w:val="en-US"/>
        </w:rPr>
        <w:t xml:space="preserve"> </w:t>
      </w:r>
      <w:r w:rsidR="00260A60" w:rsidRPr="00EE0BD4">
        <w:rPr>
          <w:rFonts w:hint="eastAsia"/>
          <w:highlight w:val="yellow"/>
        </w:rPr>
        <w:t>by</w:t>
      </w:r>
      <w:r w:rsidR="004257A0" w:rsidRPr="00EE0BD4">
        <w:rPr>
          <w:rFonts w:hint="eastAsia"/>
          <w:highlight w:val="yellow"/>
        </w:rPr>
        <w:t xml:space="preserve"> 202</w:t>
      </w:r>
      <w:r w:rsidR="00093854" w:rsidRPr="00EE0BD4">
        <w:rPr>
          <w:rFonts w:hint="eastAsia"/>
          <w:highlight w:val="yellow"/>
        </w:rPr>
        <w:t>0</w:t>
      </w:r>
      <w:r w:rsidR="00DD5AD5">
        <w:rPr>
          <w:rFonts w:hint="eastAsia"/>
        </w:rPr>
        <w:t>.</w:t>
      </w:r>
      <w:r w:rsidR="007A5971">
        <w:rPr>
          <w:rFonts w:hint="eastAsia"/>
        </w:rPr>
        <w:t xml:space="preserve"> </w:t>
      </w:r>
      <w:r w:rsidR="00B32D8B" w:rsidRPr="00097432">
        <w:t>The percent</w:t>
      </w:r>
      <w:r w:rsidR="00E334EE" w:rsidRPr="00097432">
        <w:rPr>
          <w:rFonts w:hint="eastAsia"/>
        </w:rPr>
        <w:t>age</w:t>
      </w:r>
      <w:r w:rsidR="0041282D" w:rsidRPr="00097432">
        <w:rPr>
          <w:rFonts w:hint="eastAsia"/>
        </w:rPr>
        <w:t xml:space="preserve"> </w:t>
      </w:r>
      <w:r w:rsidR="00260A60" w:rsidRPr="00097432">
        <w:rPr>
          <w:rFonts w:hint="eastAsia"/>
        </w:rPr>
        <w:t>cases averted also rose steadily</w:t>
      </w:r>
      <w:r w:rsidR="00EB4D9D" w:rsidRPr="00097432">
        <w:rPr>
          <w:rFonts w:hint="eastAsia"/>
        </w:rPr>
        <w:t xml:space="preserve"> to</w:t>
      </w:r>
      <w:r w:rsidR="0041282D" w:rsidRPr="00097432">
        <w:rPr>
          <w:rFonts w:hint="eastAsia"/>
        </w:rPr>
        <w:t xml:space="preserve"> </w:t>
      </w:r>
      <w:r w:rsidR="007A5971" w:rsidRPr="007A5971">
        <w:rPr>
          <w:rFonts w:hint="eastAsia"/>
          <w:highlight w:val="yellow"/>
        </w:rPr>
        <w:t>32.3</w:t>
      </w:r>
      <w:r w:rsidR="006B235C" w:rsidRPr="007A5971">
        <w:rPr>
          <w:rFonts w:hint="eastAsia"/>
          <w:highlight w:val="yellow"/>
          <w:lang w:val="en-US"/>
        </w:rPr>
        <w:t>%</w:t>
      </w:r>
      <w:r w:rsidR="006B235C" w:rsidRPr="007A5971">
        <w:rPr>
          <w:highlight w:val="yellow"/>
          <w:lang w:val="en-US"/>
        </w:rPr>
        <w:t xml:space="preserve"> [IQR: </w:t>
      </w:r>
      <w:r w:rsidR="007A5971" w:rsidRPr="007A5971">
        <w:rPr>
          <w:rFonts w:hint="eastAsia"/>
          <w:highlight w:val="yellow"/>
          <w:lang w:val="en-US"/>
        </w:rPr>
        <w:t xml:space="preserve">29.1 - </w:t>
      </w:r>
      <w:r w:rsidR="006B235C" w:rsidRPr="007A5971">
        <w:rPr>
          <w:highlight w:val="yellow"/>
          <w:lang w:val="en-US"/>
        </w:rPr>
        <w:t>3</w:t>
      </w:r>
      <w:r w:rsidR="007A5971" w:rsidRPr="007A5971">
        <w:rPr>
          <w:rFonts w:hint="eastAsia"/>
          <w:highlight w:val="yellow"/>
          <w:lang w:val="en-US"/>
        </w:rPr>
        <w:t>5.2</w:t>
      </w:r>
      <w:r w:rsidR="006B235C" w:rsidRPr="007A5971">
        <w:rPr>
          <w:highlight w:val="yellow"/>
          <w:lang w:val="en-US"/>
        </w:rPr>
        <w:t>]</w:t>
      </w:r>
      <w:r w:rsidR="0049285E" w:rsidRPr="00097432">
        <w:rPr>
          <w:rFonts w:hint="eastAsia"/>
          <w:lang w:val="en-US"/>
        </w:rPr>
        <w:t xml:space="preserve"> </w:t>
      </w:r>
      <w:r w:rsidR="0041282D" w:rsidRPr="00097432">
        <w:rPr>
          <w:rFonts w:hint="eastAsia"/>
        </w:rPr>
        <w:t>in 202</w:t>
      </w:r>
      <w:r w:rsidR="00EB4D9D" w:rsidRPr="00097432">
        <w:rPr>
          <w:rFonts w:hint="eastAsia"/>
        </w:rPr>
        <w:t>0</w:t>
      </w:r>
      <w:r w:rsidR="00BE2DE0">
        <w:rPr>
          <w:rFonts w:hint="eastAsia"/>
        </w:rPr>
        <w:t xml:space="preserve">, assuming a 9-week delay </w:t>
      </w:r>
      <w:proofErr w:type="gramStart"/>
      <w:r w:rsidR="00BE2DE0">
        <w:rPr>
          <w:rFonts w:hint="eastAsia"/>
        </w:rPr>
        <w:t>in ORI</w:t>
      </w:r>
      <w:proofErr w:type="gramEnd"/>
      <w:r w:rsidR="00BE2DE0">
        <w:rPr>
          <w:rFonts w:hint="eastAsia"/>
        </w:rPr>
        <w:t xml:space="preserve"> implementation</w:t>
      </w:r>
      <w:r w:rsidR="007A5971">
        <w:rPr>
          <w:rFonts w:hint="eastAsia"/>
        </w:rPr>
        <w:t xml:space="preserve"> with 75% coverage</w:t>
      </w:r>
      <w:r w:rsidR="00260A60" w:rsidRPr="00097432">
        <w:rPr>
          <w:rFonts w:hint="eastAsia"/>
        </w:rPr>
        <w:t>.</w:t>
      </w:r>
      <w:r w:rsidR="00C20B98">
        <w:rPr>
          <w:rFonts w:hint="eastAsia"/>
        </w:rPr>
        <w:t xml:space="preserve"> These values increase further if ORIs are prioritized to longer outbreaks. If outbreaks are targeted to top 25% of outbreaks by duration, case averted increased to </w:t>
      </w:r>
      <w:r w:rsidR="00C20B98" w:rsidRPr="009818F3">
        <w:rPr>
          <w:highlight w:val="yellow"/>
        </w:rPr>
        <w:t xml:space="preserve">7,805 </w:t>
      </w:r>
      <w:r w:rsidR="00C20B98" w:rsidRPr="009818F3">
        <w:rPr>
          <w:rFonts w:hint="eastAsia"/>
          <w:highlight w:val="yellow"/>
        </w:rPr>
        <w:t xml:space="preserve">[IQR: </w:t>
      </w:r>
      <w:r w:rsidR="00C20B98" w:rsidRPr="009818F3">
        <w:rPr>
          <w:highlight w:val="yellow"/>
        </w:rPr>
        <w:t>7,126 - 8,438</w:t>
      </w:r>
      <w:r w:rsidR="00C20B98" w:rsidRPr="009818F3">
        <w:rPr>
          <w:rFonts w:hint="eastAsia"/>
          <w:highlight w:val="yellow"/>
        </w:rPr>
        <w:t>]</w:t>
      </w:r>
      <w:r w:rsidR="00C20B98">
        <w:rPr>
          <w:rFonts w:hint="eastAsia"/>
        </w:rPr>
        <w:t xml:space="preserve">, corresponding to </w:t>
      </w:r>
      <w:r w:rsidR="00C20B98" w:rsidRPr="00C91CA5">
        <w:t>41.3</w:t>
      </w:r>
      <w:r w:rsidR="00C20B98">
        <w:rPr>
          <w:rFonts w:hint="eastAsia"/>
        </w:rPr>
        <w:t>%</w:t>
      </w:r>
      <w:r w:rsidR="00C20B98" w:rsidRPr="00C91CA5">
        <w:t xml:space="preserve"> </w:t>
      </w:r>
      <w:r w:rsidR="00C20B98">
        <w:rPr>
          <w:rFonts w:hint="eastAsia"/>
        </w:rPr>
        <w:t xml:space="preserve">[IQR: </w:t>
      </w:r>
      <w:r w:rsidR="00C20B98" w:rsidRPr="00C91CA5">
        <w:t>37.6 - 44.8</w:t>
      </w:r>
      <w:r w:rsidR="00C20B98">
        <w:rPr>
          <w:rFonts w:hint="eastAsia"/>
        </w:rPr>
        <w:t>]</w:t>
      </w:r>
      <w:r w:rsidR="00C20B98" w:rsidRPr="009818F3">
        <w:rPr>
          <w:rFonts w:hint="eastAsia"/>
        </w:rPr>
        <w:t xml:space="preserve"> </w:t>
      </w:r>
      <w:r w:rsidR="00C20B98">
        <w:rPr>
          <w:rFonts w:hint="eastAsia"/>
        </w:rPr>
        <w:t xml:space="preserve">under the same conditions of 9-week delay in ORI implementation with 70% coverage. </w:t>
      </w:r>
      <w:r w:rsidR="00260A60" w:rsidRPr="00097432">
        <w:t xml:space="preserve">These </w:t>
      </w:r>
      <w:r w:rsidR="00C20B98">
        <w:rPr>
          <w:rFonts w:hint="eastAsia"/>
        </w:rPr>
        <w:t>e</w:t>
      </w:r>
      <w:r w:rsidR="00260A60" w:rsidRPr="00097432">
        <w:t>stimates</w:t>
      </w:r>
      <w:r w:rsidR="00C20B98">
        <w:rPr>
          <w:rFonts w:hint="eastAsia"/>
        </w:rPr>
        <w:t xml:space="preserve"> across aggregated outbreaks</w:t>
      </w:r>
      <w:r w:rsidR="00260A60" w:rsidRPr="00097432">
        <w:t xml:space="preserve"> contrast with the lower median impact observed when vaccination scenarios were evaluated at the level of individual outbreaks—e.g., </w:t>
      </w:r>
      <w:r w:rsidR="007A5971" w:rsidRPr="00547B10">
        <w:rPr>
          <w:highlight w:val="yellow"/>
        </w:rPr>
        <w:t>12.3 [IQR: 1.7 - 34.2]</w:t>
      </w:r>
      <w:r w:rsidR="007A5971">
        <w:rPr>
          <w:rFonts w:hint="eastAsia"/>
        </w:rPr>
        <w:t xml:space="preserve"> </w:t>
      </w:r>
      <w:r w:rsidR="00260A60" w:rsidRPr="00097432">
        <w:t>under a comparable implementation delay</w:t>
      </w:r>
      <w:r w:rsidR="009810DC" w:rsidRPr="00097432">
        <w:rPr>
          <w:rFonts w:hint="eastAsia"/>
        </w:rPr>
        <w:t xml:space="preserve"> (</w:t>
      </w:r>
      <w:r w:rsidR="009818F3">
        <w:rPr>
          <w:rFonts w:hint="eastAsia"/>
        </w:rPr>
        <w:t xml:space="preserve">as </w:t>
      </w:r>
      <w:r w:rsidR="00344F4D">
        <w:rPr>
          <w:rFonts w:hint="eastAsia"/>
        </w:rPr>
        <w:t xml:space="preserve">previously </w:t>
      </w:r>
      <w:r w:rsidR="009818F3">
        <w:rPr>
          <w:rFonts w:hint="eastAsia"/>
        </w:rPr>
        <w:t xml:space="preserve">illustrated in </w:t>
      </w:r>
      <w:r w:rsidR="009810DC" w:rsidRPr="00097432">
        <w:rPr>
          <w:rFonts w:hint="eastAsia"/>
          <w:b/>
          <w:bCs/>
        </w:rPr>
        <w:t>Table2</w:t>
      </w:r>
      <w:r w:rsidR="009818F3" w:rsidRPr="009818F3">
        <w:rPr>
          <w:rFonts w:hint="eastAsia"/>
        </w:rPr>
        <w:t xml:space="preserve"> and </w:t>
      </w:r>
      <w:r w:rsidR="009810DC" w:rsidRPr="00097432">
        <w:rPr>
          <w:rFonts w:hint="eastAsia"/>
          <w:b/>
          <w:bCs/>
        </w:rPr>
        <w:t>Figure 3</w:t>
      </w:r>
      <w:r w:rsidR="009810DC" w:rsidRPr="00097432">
        <w:rPr>
          <w:rFonts w:hint="eastAsia"/>
        </w:rPr>
        <w:t>)</w:t>
      </w:r>
      <w:r w:rsidR="004257A0" w:rsidRPr="00097432">
        <w:rPr>
          <w:rFonts w:hint="eastAsia"/>
        </w:rPr>
        <w:t xml:space="preserve">. </w:t>
      </w:r>
    </w:p>
    <w:p w14:paraId="04F4F890" w14:textId="7715A553" w:rsidR="00A3640F" w:rsidRPr="00097432" w:rsidRDefault="00A3640F" w:rsidP="00A3640F">
      <w:pPr>
        <w:pStyle w:val="Heading4"/>
      </w:pPr>
      <w:r w:rsidRPr="00097432">
        <w:t>Efficiency and cost</w:t>
      </w:r>
      <w:r w:rsidR="00C20B98">
        <w:rPr>
          <w:rFonts w:hint="eastAsia"/>
        </w:rPr>
        <w:t xml:space="preserve"> effectiveness</w:t>
      </w:r>
    </w:p>
    <w:p w14:paraId="589D4CBB" w14:textId="759E5675" w:rsidR="005D7F75" w:rsidRDefault="0026334F" w:rsidP="005D7F75">
      <w:pPr>
        <w:rPr>
          <w:color w:val="000000"/>
        </w:rPr>
      </w:pPr>
      <w:r>
        <w:rPr>
          <w:rFonts w:hint="eastAsia"/>
        </w:rPr>
        <w:t>C</w:t>
      </w:r>
      <w:r w:rsidR="00372943" w:rsidRPr="00097432">
        <w:rPr>
          <w:rFonts w:hint="eastAsia"/>
        </w:rPr>
        <w:t>ase</w:t>
      </w:r>
      <w:r w:rsidR="00A10060" w:rsidRPr="00097432">
        <w:rPr>
          <w:rFonts w:hint="eastAsia"/>
        </w:rPr>
        <w:t>s</w:t>
      </w:r>
      <w:r w:rsidR="00372943" w:rsidRPr="00097432">
        <w:rPr>
          <w:rFonts w:hint="eastAsia"/>
        </w:rPr>
        <w:t xml:space="preserve"> averted per </w:t>
      </w:r>
      <w:r w:rsidR="00B32D8B" w:rsidRPr="00097432">
        <w:rPr>
          <w:rFonts w:hint="eastAsia"/>
        </w:rPr>
        <w:t>1,000 OCVs</w:t>
      </w:r>
      <w:r w:rsidR="00372943" w:rsidRPr="00097432">
        <w:rPr>
          <w:rFonts w:hint="eastAsia"/>
        </w:rPr>
        <w:t xml:space="preserve"> (</w:t>
      </w:r>
      <w:r w:rsidR="00372943" w:rsidRPr="00097432">
        <w:rPr>
          <w:rFonts w:hint="eastAsia"/>
          <w:b/>
          <w:bCs/>
        </w:rPr>
        <w:t xml:space="preserve">Figure </w:t>
      </w:r>
      <w:r w:rsidR="003E19A6">
        <w:rPr>
          <w:rFonts w:hint="eastAsia"/>
          <w:b/>
          <w:bCs/>
        </w:rPr>
        <w:t>5</w:t>
      </w:r>
      <w:r w:rsidR="00372943" w:rsidRPr="00097432">
        <w:rPr>
          <w:rFonts w:hint="eastAsia"/>
          <w:b/>
          <w:bCs/>
        </w:rPr>
        <w:t>D</w:t>
      </w:r>
      <w:r w:rsidR="00372943" w:rsidRPr="00097432">
        <w:rPr>
          <w:rFonts w:hint="eastAsia"/>
        </w:rPr>
        <w:t>)</w:t>
      </w:r>
      <w:r>
        <w:rPr>
          <w:rFonts w:hint="eastAsia"/>
        </w:rPr>
        <w:t xml:space="preserve"> tended to increase while </w:t>
      </w:r>
      <w:r w:rsidRPr="00097432">
        <w:rPr>
          <w:rFonts w:hint="eastAsia"/>
        </w:rPr>
        <w:t>the cost per case averted (</w:t>
      </w:r>
      <w:r w:rsidRPr="00097432">
        <w:rPr>
          <w:rFonts w:hint="eastAsia"/>
          <w:b/>
          <w:bCs/>
        </w:rPr>
        <w:t xml:space="preserve">Figure </w:t>
      </w:r>
      <w:r w:rsidR="003E19A6">
        <w:rPr>
          <w:rFonts w:hint="eastAsia"/>
          <w:b/>
          <w:bCs/>
        </w:rPr>
        <w:t>5</w:t>
      </w:r>
      <w:r w:rsidRPr="00097432">
        <w:rPr>
          <w:rFonts w:hint="eastAsia"/>
          <w:b/>
          <w:bCs/>
        </w:rPr>
        <w:t>E</w:t>
      </w:r>
      <w:r w:rsidRPr="00097432">
        <w:rPr>
          <w:rFonts w:hint="eastAsia"/>
        </w:rPr>
        <w:t xml:space="preserve">) </w:t>
      </w:r>
      <w:r>
        <w:rPr>
          <w:rFonts w:hint="eastAsia"/>
        </w:rPr>
        <w:t xml:space="preserve">and the cost per DALY averted </w:t>
      </w:r>
      <w:r w:rsidR="00BD6493" w:rsidRPr="00097432">
        <w:rPr>
          <w:rFonts w:hint="eastAsia"/>
        </w:rPr>
        <w:t>(</w:t>
      </w:r>
      <w:r w:rsidR="00BD6493" w:rsidRPr="00097432">
        <w:rPr>
          <w:rFonts w:hint="eastAsia"/>
          <w:b/>
          <w:bCs/>
        </w:rPr>
        <w:t xml:space="preserve">Figure </w:t>
      </w:r>
      <w:r w:rsidR="003E19A6">
        <w:rPr>
          <w:rFonts w:hint="eastAsia"/>
          <w:b/>
          <w:bCs/>
        </w:rPr>
        <w:t>5</w:t>
      </w:r>
      <w:r w:rsidR="00BD6493">
        <w:rPr>
          <w:rFonts w:hint="eastAsia"/>
          <w:b/>
          <w:bCs/>
        </w:rPr>
        <w:t>F</w:t>
      </w:r>
      <w:r w:rsidR="00BD6493" w:rsidRPr="00097432">
        <w:rPr>
          <w:rFonts w:hint="eastAsia"/>
        </w:rPr>
        <w:t xml:space="preserve">) </w:t>
      </w:r>
      <w:r>
        <w:rPr>
          <w:rFonts w:hint="eastAsia"/>
        </w:rPr>
        <w:t xml:space="preserve">tended to </w:t>
      </w:r>
      <w:r w:rsidR="00534B1A">
        <w:t>decrease</w:t>
      </w:r>
      <w:r>
        <w:rPr>
          <w:rFonts w:hint="eastAsia"/>
        </w:rPr>
        <w:t xml:space="preserve"> as the years went by and the number of OCV doses used increased. Also, variability</w:t>
      </w:r>
      <w:r w:rsidR="00BD6493">
        <w:rPr>
          <w:rFonts w:hint="eastAsia"/>
        </w:rPr>
        <w:t xml:space="preserve"> in these metrics</w:t>
      </w:r>
      <w:r>
        <w:rPr>
          <w:rFonts w:hint="eastAsia"/>
        </w:rPr>
        <w:t xml:space="preserve"> decreased</w:t>
      </w:r>
      <w:r w:rsidR="00711225" w:rsidRPr="00097432">
        <w:t xml:space="preserve"> as the number of deployed</w:t>
      </w:r>
      <w:r w:rsidR="002B77C2" w:rsidRPr="00097432">
        <w:rPr>
          <w:rFonts w:hint="eastAsia"/>
        </w:rPr>
        <w:t xml:space="preserve"> </w:t>
      </w:r>
      <w:r w:rsidR="00265040" w:rsidRPr="00097432">
        <w:rPr>
          <w:rFonts w:hint="eastAsia"/>
        </w:rPr>
        <w:t>doses</w:t>
      </w:r>
      <w:r w:rsidR="00711225" w:rsidRPr="00097432">
        <w:t xml:space="preserve"> increased.</w:t>
      </w:r>
      <w:r w:rsidR="00B32D8B" w:rsidRPr="00097432">
        <w:rPr>
          <w:rFonts w:hint="eastAsia"/>
        </w:rPr>
        <w:t xml:space="preserve"> </w:t>
      </w:r>
      <w:r w:rsidR="00657355" w:rsidRPr="00097432">
        <w:rPr>
          <w:rFonts w:hint="eastAsia"/>
        </w:rPr>
        <w:t xml:space="preserve">By 2020, </w:t>
      </w:r>
      <w:r w:rsidR="00711225" w:rsidRPr="00097432">
        <w:rPr>
          <w:rFonts w:hint="eastAsia"/>
        </w:rPr>
        <w:t>the estimated c</w:t>
      </w:r>
      <w:r w:rsidR="00B32D8B" w:rsidRPr="00097432">
        <w:rPr>
          <w:rFonts w:hint="eastAsia"/>
        </w:rPr>
        <w:t xml:space="preserve">ase averted per 1,000 OCVs </w:t>
      </w:r>
      <w:proofErr w:type="gramStart"/>
      <w:r w:rsidR="00B32D8B" w:rsidRPr="00097432">
        <w:rPr>
          <w:rFonts w:hint="eastAsia"/>
        </w:rPr>
        <w:t>were</w:t>
      </w:r>
      <w:proofErr w:type="gramEnd"/>
      <w:r w:rsidR="00B32D8B" w:rsidRPr="00097432">
        <w:rPr>
          <w:rFonts w:hint="eastAsia"/>
        </w:rPr>
        <w:t xml:space="preserve"> </w:t>
      </w:r>
      <w:r w:rsidR="00547B10" w:rsidRPr="00547B10">
        <w:rPr>
          <w:lang w:val="en-US"/>
        </w:rPr>
        <w:t>0.409 [IQR: 0.374 - 0.451]</w:t>
      </w:r>
      <w:r w:rsidR="00B32D8B" w:rsidRPr="00097432">
        <w:rPr>
          <w:rFonts w:hint="eastAsia"/>
        </w:rPr>
        <w:t>,</w:t>
      </w:r>
      <w:r w:rsidR="00B67AF4">
        <w:rPr>
          <w:rFonts w:hint="eastAsia"/>
        </w:rPr>
        <w:t xml:space="preserve"> which could increase to</w:t>
      </w:r>
      <w:r w:rsidR="00B32D8B" w:rsidRPr="00097432">
        <w:rPr>
          <w:rFonts w:hint="eastAsia"/>
        </w:rPr>
        <w:t xml:space="preserve"> </w:t>
      </w:r>
      <w:r w:rsidR="00B67AF4" w:rsidRPr="00B67AF4">
        <w:t>0.736 [IQR: 0.663 - 0.813]</w:t>
      </w:r>
      <w:r w:rsidR="00B67AF4">
        <w:rPr>
          <w:rFonts w:hint="eastAsia"/>
        </w:rPr>
        <w:t xml:space="preserve"> if top quartile of outbreaks by duration are prioritized. These median </w:t>
      </w:r>
      <w:r w:rsidR="00B67AF4">
        <w:rPr>
          <w:rFonts w:hint="eastAsia"/>
        </w:rPr>
        <w:lastRenderedPageBreak/>
        <w:t xml:space="preserve">values are substantially higher </w:t>
      </w:r>
      <w:r w:rsidR="00711225" w:rsidRPr="00097432">
        <w:rPr>
          <w:rFonts w:hint="eastAsia"/>
        </w:rPr>
        <w:t xml:space="preserve">than </w:t>
      </w:r>
      <w:r w:rsidR="00547B10" w:rsidRPr="00547B10">
        <w:rPr>
          <w:lang w:val="en-US"/>
        </w:rPr>
        <w:t>0.151 [IQR: 0.013 - 0.892]</w:t>
      </w:r>
      <w:r w:rsidR="00CF1D2D" w:rsidRPr="00097432">
        <w:rPr>
          <w:rFonts w:hint="eastAsia"/>
          <w:lang w:val="en-US"/>
        </w:rPr>
        <w:t xml:space="preserve"> </w:t>
      </w:r>
      <w:r w:rsidR="00B32D8B" w:rsidRPr="00097432">
        <w:rPr>
          <w:rFonts w:hint="eastAsia"/>
          <w:lang w:val="en-US"/>
        </w:rPr>
        <w:t>per 1,000 OCVs</w:t>
      </w:r>
      <w:r w:rsidR="00711225" w:rsidRPr="00097432">
        <w:rPr>
          <w:rFonts w:hint="eastAsia"/>
          <w:lang w:val="en-US"/>
        </w:rPr>
        <w:t xml:space="preserve"> when</w:t>
      </w:r>
      <w:r w:rsidR="00A3640F" w:rsidRPr="00097432">
        <w:rPr>
          <w:rFonts w:hint="eastAsia"/>
          <w:lang w:val="en-US"/>
        </w:rPr>
        <w:t xml:space="preserve"> the estimate was </w:t>
      </w:r>
      <w:r w:rsidR="00662D4B">
        <w:rPr>
          <w:rFonts w:hint="eastAsia"/>
          <w:lang w:val="en-US"/>
        </w:rPr>
        <w:t>e</w:t>
      </w:r>
      <w:r w:rsidR="00A3640F" w:rsidRPr="00097432">
        <w:rPr>
          <w:rFonts w:hint="eastAsia"/>
          <w:lang w:val="en-US"/>
        </w:rPr>
        <w:t xml:space="preserve">valuated at the individual outbreak level. </w:t>
      </w:r>
      <w:r w:rsidR="0047646C">
        <w:rPr>
          <w:rFonts w:hint="eastAsia"/>
        </w:rPr>
        <w:t>T</w:t>
      </w:r>
      <w:r w:rsidR="00711225" w:rsidRPr="00097432">
        <w:rPr>
          <w:rFonts w:hint="eastAsia"/>
        </w:rPr>
        <w:t>he c</w:t>
      </w:r>
      <w:r w:rsidR="00B32D8B" w:rsidRPr="00097432">
        <w:rPr>
          <w:rFonts w:hint="eastAsia"/>
        </w:rPr>
        <w:t xml:space="preserve">ost per case averted were </w:t>
      </w:r>
      <w:r w:rsidR="00711225" w:rsidRPr="00097432">
        <w:t>US$</w:t>
      </w:r>
      <w:r w:rsidR="004632B6" w:rsidRPr="00097432">
        <w:rPr>
          <w:rFonts w:hint="eastAsia"/>
        </w:rPr>
        <w:t xml:space="preserve"> </w:t>
      </w:r>
      <w:r w:rsidR="00547B10" w:rsidRPr="00547B10">
        <w:rPr>
          <w:highlight w:val="yellow"/>
          <w:lang w:val="en-US"/>
        </w:rPr>
        <w:t>9,035 [IQR: 8,142 - 9,945</w:t>
      </w:r>
      <w:proofErr w:type="gramStart"/>
      <w:r w:rsidR="00547B10" w:rsidRPr="00547B10">
        <w:rPr>
          <w:highlight w:val="yellow"/>
          <w:lang w:val="en-US"/>
        </w:rPr>
        <w:t>]</w:t>
      </w:r>
      <w:r w:rsidR="00B67AF4">
        <w:rPr>
          <w:rFonts w:hint="eastAsia"/>
          <w:lang w:val="en-US"/>
        </w:rPr>
        <w:t>,which</w:t>
      </w:r>
      <w:proofErr w:type="gramEnd"/>
      <w:r w:rsidR="00B67AF4">
        <w:rPr>
          <w:rFonts w:hint="eastAsia"/>
          <w:lang w:val="en-US"/>
        </w:rPr>
        <w:t xml:space="preserve"> could be reduced to</w:t>
      </w:r>
      <w:r w:rsidR="00547B10">
        <w:rPr>
          <w:rFonts w:hint="eastAsia"/>
          <w:lang w:val="en-US"/>
        </w:rPr>
        <w:t xml:space="preserve"> </w:t>
      </w:r>
      <w:r w:rsidR="00B67AF4" w:rsidRPr="00B67AF4">
        <w:rPr>
          <w:lang w:val="en-US"/>
        </w:rPr>
        <w:t>4,498 [IQR: 4,017 - 5,054]</w:t>
      </w:r>
      <w:r w:rsidR="00B67AF4">
        <w:rPr>
          <w:rFonts w:hint="eastAsia"/>
          <w:lang w:val="en-US"/>
        </w:rPr>
        <w:t xml:space="preserve"> if top quartile of outbreaks by duration are prioritized. These values again are </w:t>
      </w:r>
      <w:r w:rsidR="004632B6" w:rsidRPr="00097432">
        <w:rPr>
          <w:rFonts w:hint="eastAsia"/>
          <w:lang w:val="en-US"/>
        </w:rPr>
        <w:t xml:space="preserve">much lower than </w:t>
      </w:r>
      <w:r w:rsidR="0047646C" w:rsidRPr="00BE2DE0">
        <w:rPr>
          <w:highlight w:val="yellow"/>
        </w:rPr>
        <w:t>US$</w:t>
      </w:r>
      <w:r w:rsidR="0047646C" w:rsidRPr="00BE2DE0">
        <w:rPr>
          <w:rFonts w:hint="eastAsia"/>
          <w:highlight w:val="yellow"/>
        </w:rPr>
        <w:t xml:space="preserve"> </w:t>
      </w:r>
      <w:r w:rsidR="00547B10" w:rsidRPr="00547B10">
        <w:rPr>
          <w:highlight w:val="yellow"/>
          <w:lang w:val="en-US"/>
        </w:rPr>
        <w:t>13,045 [IQR: 2,546 - 59,533]</w:t>
      </w:r>
      <w:r w:rsidR="00B67AF4">
        <w:rPr>
          <w:rFonts w:hint="eastAsia"/>
          <w:highlight w:val="yellow"/>
          <w:lang w:val="en-US"/>
        </w:rPr>
        <w:t xml:space="preserve"> </w:t>
      </w:r>
      <w:r w:rsidR="00711225" w:rsidRPr="00097432">
        <w:rPr>
          <w:lang w:val="en-US"/>
        </w:rPr>
        <w:t>when evaluated for individual outbreaks</w:t>
      </w:r>
      <w:r w:rsidR="00E27257" w:rsidRPr="00097432">
        <w:rPr>
          <w:lang w:val="en-US"/>
        </w:rPr>
        <w:t xml:space="preserve"> </w:t>
      </w:r>
      <w:r w:rsidR="004632B6" w:rsidRPr="00097432">
        <w:rPr>
          <w:rFonts w:hint="eastAsia"/>
          <w:lang w:val="en-US"/>
        </w:rPr>
        <w:t>(</w:t>
      </w:r>
      <w:r w:rsidR="00B67AF4">
        <w:rPr>
          <w:rFonts w:hint="eastAsia"/>
          <w:lang w:val="en-US"/>
        </w:rPr>
        <w:t xml:space="preserve">as previously shown in </w:t>
      </w:r>
      <w:r w:rsidR="00E27257" w:rsidRPr="00097432">
        <w:rPr>
          <w:b/>
          <w:bCs/>
          <w:color w:val="000000"/>
        </w:rPr>
        <w:t xml:space="preserve">Table </w:t>
      </w:r>
      <w:r w:rsidR="0085544E">
        <w:rPr>
          <w:rFonts w:hint="eastAsia"/>
          <w:b/>
          <w:bCs/>
          <w:color w:val="000000"/>
        </w:rPr>
        <w:t>3</w:t>
      </w:r>
      <w:r w:rsidR="00E27257" w:rsidRPr="00097432">
        <w:rPr>
          <w:color w:val="000000"/>
        </w:rPr>
        <w:t>).</w:t>
      </w:r>
      <w:r w:rsidR="005D7F75">
        <w:rPr>
          <w:rFonts w:hint="eastAsia"/>
          <w:color w:val="000000"/>
        </w:rPr>
        <w:t xml:space="preserve"> Similarly, the cost per DALY averted was </w:t>
      </w:r>
      <w:r w:rsidR="0047646C" w:rsidRPr="00097432">
        <w:t>US$</w:t>
      </w:r>
      <w:r w:rsidR="0047646C" w:rsidRPr="00097432">
        <w:rPr>
          <w:rFonts w:hint="eastAsia"/>
        </w:rPr>
        <w:t xml:space="preserve"> </w:t>
      </w:r>
      <w:r w:rsidR="00547B10" w:rsidRPr="00547B10">
        <w:rPr>
          <w:color w:val="000000"/>
          <w:highlight w:val="yellow"/>
          <w:lang w:val="en-US"/>
        </w:rPr>
        <w:t>27,307 [IQR: 23,727 - 31,423]</w:t>
      </w:r>
      <w:r w:rsidR="0047646C">
        <w:rPr>
          <w:rFonts w:hint="eastAsia"/>
          <w:color w:val="000000"/>
          <w:lang w:val="en-US"/>
        </w:rPr>
        <w:t xml:space="preserve">, </w:t>
      </w:r>
      <w:r w:rsidR="00B67AF4">
        <w:rPr>
          <w:rFonts w:hint="eastAsia"/>
          <w:color w:val="000000"/>
          <w:lang w:val="en-US"/>
        </w:rPr>
        <w:t xml:space="preserve">which could decrease to </w:t>
      </w:r>
      <w:r w:rsidR="00B67AF4" w:rsidRPr="00097432">
        <w:t>US$</w:t>
      </w:r>
      <w:r w:rsidR="00B67AF4">
        <w:rPr>
          <w:rFonts w:hint="eastAsia"/>
        </w:rPr>
        <w:t xml:space="preserve"> </w:t>
      </w:r>
      <w:r w:rsidR="00B67AF4" w:rsidRPr="00B67AF4">
        <w:rPr>
          <w:color w:val="000000"/>
          <w:lang w:val="en-US"/>
        </w:rPr>
        <w:t>10,695 [IQR: 9,807 - 11,761]</w:t>
      </w:r>
      <w:r w:rsidR="00B67AF4">
        <w:rPr>
          <w:rFonts w:hint="eastAsia"/>
          <w:color w:val="000000"/>
          <w:lang w:val="en-US"/>
        </w:rPr>
        <w:t xml:space="preserve"> when ORIs were prioritized to the top quartile of outbreak by duration. The median values are again</w:t>
      </w:r>
      <w:r w:rsidR="0047646C">
        <w:rPr>
          <w:rFonts w:hint="eastAsia"/>
          <w:color w:val="000000"/>
          <w:lang w:val="en-US"/>
        </w:rPr>
        <w:t xml:space="preserve"> much lower than </w:t>
      </w:r>
      <w:r w:rsidR="0047646C" w:rsidRPr="00097432">
        <w:t>US$</w:t>
      </w:r>
      <w:r w:rsidR="0047646C" w:rsidRPr="00097432">
        <w:rPr>
          <w:rFonts w:hint="eastAsia"/>
        </w:rPr>
        <w:t xml:space="preserve"> </w:t>
      </w:r>
      <w:r w:rsidR="00547B10" w:rsidRPr="00547B10">
        <w:rPr>
          <w:color w:val="000000"/>
          <w:highlight w:val="yellow"/>
          <w:lang w:val="en-US"/>
        </w:rPr>
        <w:t>1,744,390 [IQR: 11,650 - 40,068,121]</w:t>
      </w:r>
      <w:r w:rsidR="0047646C" w:rsidRPr="0047646C">
        <w:rPr>
          <w:lang w:val="en-US"/>
        </w:rPr>
        <w:t xml:space="preserve"> </w:t>
      </w:r>
      <w:r w:rsidR="0047646C" w:rsidRPr="00097432">
        <w:rPr>
          <w:lang w:val="en-US"/>
        </w:rPr>
        <w:t>when evaluated for individual outbreaks</w:t>
      </w:r>
      <w:r w:rsidR="0047646C">
        <w:rPr>
          <w:rFonts w:hint="eastAsia"/>
          <w:lang w:val="en-US"/>
        </w:rPr>
        <w:t xml:space="preserve"> </w:t>
      </w:r>
      <w:r w:rsidR="0047646C" w:rsidRPr="00097432">
        <w:rPr>
          <w:rFonts w:hint="eastAsia"/>
          <w:lang w:val="en-US"/>
        </w:rPr>
        <w:t>(</w:t>
      </w:r>
      <w:r w:rsidR="00B67AF4">
        <w:rPr>
          <w:rFonts w:hint="eastAsia"/>
          <w:lang w:val="en-US"/>
        </w:rPr>
        <w:t xml:space="preserve">as </w:t>
      </w:r>
      <w:r w:rsidR="000D466C">
        <w:rPr>
          <w:rFonts w:hint="eastAsia"/>
          <w:lang w:val="en-US"/>
        </w:rPr>
        <w:t xml:space="preserve">previously shown in </w:t>
      </w:r>
      <w:r w:rsidR="00B61FF5">
        <w:rPr>
          <w:rFonts w:hint="eastAsia"/>
          <w:b/>
          <w:bCs/>
          <w:color w:val="000000"/>
        </w:rPr>
        <w:t>Ta</w:t>
      </w:r>
      <w:r w:rsidR="0047646C" w:rsidRPr="00097432">
        <w:rPr>
          <w:b/>
          <w:bCs/>
          <w:color w:val="000000"/>
        </w:rPr>
        <w:t xml:space="preserve">ble </w:t>
      </w:r>
      <w:r w:rsidR="0085544E">
        <w:rPr>
          <w:rFonts w:hint="eastAsia"/>
          <w:b/>
          <w:bCs/>
          <w:color w:val="000000"/>
        </w:rPr>
        <w:t>3</w:t>
      </w:r>
      <w:r w:rsidR="0047646C" w:rsidRPr="00097432">
        <w:rPr>
          <w:color w:val="000000"/>
        </w:rPr>
        <w:t>).</w:t>
      </w:r>
      <w:r w:rsidR="00C91CA5">
        <w:rPr>
          <w:rFonts w:hint="eastAsia"/>
          <w:color w:val="000000"/>
        </w:rPr>
        <w:t xml:space="preserve">  </w:t>
      </w:r>
    </w:p>
    <w:p w14:paraId="6C707527" w14:textId="25958AFC" w:rsidR="005F544E" w:rsidRPr="00097432" w:rsidRDefault="005F544E" w:rsidP="009810DC">
      <w:pPr>
        <w:rPr>
          <w:color w:val="000000"/>
        </w:rPr>
      </w:pPr>
    </w:p>
    <w:p w14:paraId="0AA52432" w14:textId="71251F4D" w:rsidR="000F26E2" w:rsidRPr="00097432" w:rsidRDefault="0091383D" w:rsidP="00F57F15">
      <w:pPr>
        <w:pStyle w:val="Heading2"/>
      </w:pPr>
      <w:bookmarkStart w:id="31" w:name="_Toc184909209"/>
      <w:r w:rsidRPr="00097432">
        <w:t>Discussion</w:t>
      </w:r>
      <w:bookmarkEnd w:id="31"/>
    </w:p>
    <w:p w14:paraId="5109B5E4" w14:textId="50C2D02F" w:rsidR="000F37C7" w:rsidRPr="00097432" w:rsidRDefault="002063E9" w:rsidP="000F37C7">
      <w:pPr>
        <w:rPr>
          <w:lang w:val="en-US"/>
        </w:rPr>
      </w:pPr>
      <w:r w:rsidRPr="00097432">
        <w:rPr>
          <w:rFonts w:hint="eastAsia"/>
        </w:rPr>
        <w:t>Our</w:t>
      </w:r>
      <w:r w:rsidR="00A07B98" w:rsidRPr="00097432">
        <w:t xml:space="preserve"> study</w:t>
      </w:r>
      <w:r w:rsidR="00AD3B10" w:rsidRPr="00097432">
        <w:t xml:space="preserve"> demonstrat</w:t>
      </w:r>
      <w:r w:rsidR="00AD3B10" w:rsidRPr="00097432">
        <w:rPr>
          <w:rFonts w:hint="eastAsia"/>
        </w:rPr>
        <w:t>ed</w:t>
      </w:r>
      <w:r w:rsidR="00AD3B10" w:rsidRPr="00097432">
        <w:t xml:space="preserve"> the substantial </w:t>
      </w:r>
      <w:r w:rsidR="00364F26" w:rsidRPr="00097432">
        <w:rPr>
          <w:rFonts w:hint="eastAsia"/>
        </w:rPr>
        <w:t xml:space="preserve">potential impact </w:t>
      </w:r>
      <w:r w:rsidR="00AD3B10" w:rsidRPr="00097432">
        <w:t xml:space="preserve">of </w:t>
      </w:r>
      <w:r w:rsidR="00364F26" w:rsidRPr="00097432">
        <w:rPr>
          <w:rFonts w:hint="eastAsia"/>
        </w:rPr>
        <w:t>oral cholera vaccines (</w:t>
      </w:r>
      <w:r w:rsidR="00AD3B10" w:rsidRPr="00097432">
        <w:t>OCVs</w:t>
      </w:r>
      <w:r w:rsidR="00364F26" w:rsidRPr="00097432">
        <w:rPr>
          <w:rFonts w:hint="eastAsia"/>
        </w:rPr>
        <w:t>)</w:t>
      </w:r>
      <w:r w:rsidR="00AD3B10" w:rsidRPr="00097432">
        <w:t xml:space="preserve"> to </w:t>
      </w:r>
      <w:r w:rsidR="00364F26" w:rsidRPr="00097432">
        <w:rPr>
          <w:rFonts w:hint="eastAsia"/>
        </w:rPr>
        <w:t>reduce</w:t>
      </w:r>
      <w:r w:rsidR="00AD3B10" w:rsidRPr="00097432">
        <w:t xml:space="preserve"> the </w:t>
      </w:r>
      <w:r w:rsidR="00AD3B10" w:rsidRPr="00097432">
        <w:rPr>
          <w:rFonts w:hint="eastAsia"/>
        </w:rPr>
        <w:t>burden</w:t>
      </w:r>
      <w:r w:rsidR="00AD3B10" w:rsidRPr="00097432">
        <w:t xml:space="preserve"> of </w:t>
      </w:r>
      <w:r w:rsidR="00AD3B10" w:rsidRPr="00097432">
        <w:rPr>
          <w:rFonts w:hint="eastAsia"/>
        </w:rPr>
        <w:t xml:space="preserve">cholera </w:t>
      </w:r>
      <w:r w:rsidR="00AD3B10" w:rsidRPr="00097432">
        <w:t>outbreaks</w:t>
      </w:r>
      <w:r w:rsidR="00364F26" w:rsidRPr="00097432">
        <w:rPr>
          <w:rFonts w:hint="eastAsia"/>
        </w:rPr>
        <w:t>, based on m</w:t>
      </w:r>
      <w:r w:rsidR="00AD3B10" w:rsidRPr="00097432">
        <w:rPr>
          <w:rFonts w:hint="eastAsia"/>
        </w:rPr>
        <w:t xml:space="preserve">odeling </w:t>
      </w:r>
      <w:r w:rsidR="00364F26" w:rsidRPr="00097432">
        <w:rPr>
          <w:rFonts w:hint="eastAsia"/>
        </w:rPr>
        <w:t xml:space="preserve">of </w:t>
      </w:r>
      <w:r w:rsidR="00A07B98" w:rsidRPr="00097432">
        <w:t>1,</w:t>
      </w:r>
      <w:r w:rsidR="00AD3B10" w:rsidRPr="00097432">
        <w:rPr>
          <w:rFonts w:hint="eastAsia"/>
        </w:rPr>
        <w:t>192</w:t>
      </w:r>
      <w:r w:rsidR="00A07B98" w:rsidRPr="00097432">
        <w:t xml:space="preserve"> outbreaks in sub-Saharan Africa from 2010 to 202</w:t>
      </w:r>
      <w:r w:rsidR="00AD3B10" w:rsidRPr="00097432">
        <w:rPr>
          <w:rFonts w:hint="eastAsia"/>
        </w:rPr>
        <w:t xml:space="preserve">0. </w:t>
      </w:r>
      <w:r w:rsidR="00364F26" w:rsidRPr="00097432">
        <w:t xml:space="preserve">We found that the timing of outbreak response immunization (ORI) is critical: the median percentage reduction in cases declined from </w:t>
      </w:r>
      <w:r w:rsidR="00364F26" w:rsidRPr="0081024F">
        <w:rPr>
          <w:highlight w:val="yellow"/>
        </w:rPr>
        <w:t xml:space="preserve">70.5% to </w:t>
      </w:r>
      <w:r w:rsidR="0081024F" w:rsidRPr="0081024F">
        <w:rPr>
          <w:rFonts w:hint="eastAsia"/>
          <w:highlight w:val="yellow"/>
        </w:rPr>
        <w:t>8</w:t>
      </w:r>
      <w:r w:rsidR="00364F26" w:rsidRPr="0081024F">
        <w:rPr>
          <w:highlight w:val="yellow"/>
        </w:rPr>
        <w:t>.</w:t>
      </w:r>
      <w:r w:rsidR="0081024F" w:rsidRPr="0081024F">
        <w:rPr>
          <w:rFonts w:hint="eastAsia"/>
          <w:highlight w:val="yellow"/>
        </w:rPr>
        <w:t>2</w:t>
      </w:r>
      <w:r w:rsidR="00364F26" w:rsidRPr="0081024F">
        <w:rPr>
          <w:highlight w:val="yellow"/>
        </w:rPr>
        <w:t>%</w:t>
      </w:r>
      <w:r w:rsidR="00364F26" w:rsidRPr="00097432">
        <w:t xml:space="preserve"> when ORI was delayed from week 1 to week 9. This corresponds to a </w:t>
      </w:r>
      <w:r w:rsidR="00364F26" w:rsidRPr="0081024F">
        <w:rPr>
          <w:highlight w:val="yellow"/>
        </w:rPr>
        <w:t>17.</w:t>
      </w:r>
      <w:r w:rsidR="0081024F">
        <w:rPr>
          <w:rFonts w:hint="eastAsia"/>
          <w:highlight w:val="yellow"/>
        </w:rPr>
        <w:t>5</w:t>
      </w:r>
      <w:r w:rsidR="00364F26" w:rsidRPr="0081024F">
        <w:rPr>
          <w:highlight w:val="yellow"/>
        </w:rPr>
        <w:t>%</w:t>
      </w:r>
      <w:r w:rsidR="00364F26" w:rsidRPr="00097432">
        <w:t xml:space="preserve"> reduction in impact</w:t>
      </w:r>
      <w:r w:rsidR="00353A49" w:rsidRPr="00097432">
        <w:t xml:space="preserve"> per week of delay in vaccination</w:t>
      </w:r>
      <w:r w:rsidR="00364F26" w:rsidRPr="00097432">
        <w:t xml:space="preserve">, with the benefit halving approximately every </w:t>
      </w:r>
      <w:r w:rsidR="0081024F" w:rsidRPr="0081024F">
        <w:rPr>
          <w:rFonts w:hint="eastAsia"/>
          <w:highlight w:val="yellow"/>
        </w:rPr>
        <w:t>3.6</w:t>
      </w:r>
      <w:r w:rsidR="00364F26" w:rsidRPr="00097432">
        <w:t xml:space="preserve"> weeks. Despite this steep decline in effectiveness at the individual outbreak level, delayed ORIs still conferred meaningful public health impact when aggregated across multiple outbreaks. This is largely due to their disproportionate effect on large, prolonged outbreaks. For instance, using the number of doses deployed from the global OCV stockpile between 2013 and 2020, ORIs implemented at week 9 still averted an estimated 2</w:t>
      </w:r>
      <w:r w:rsidR="0081024F">
        <w:rPr>
          <w:rFonts w:hint="eastAsia"/>
        </w:rPr>
        <w:t>9</w:t>
      </w:r>
      <w:r w:rsidR="00364F26" w:rsidRPr="00097432">
        <w:t>.</w:t>
      </w:r>
      <w:r w:rsidR="0081024F">
        <w:rPr>
          <w:rFonts w:hint="eastAsia"/>
        </w:rPr>
        <w:t>4</w:t>
      </w:r>
      <w:r w:rsidR="00364F26" w:rsidRPr="00097432">
        <w:t>%</w:t>
      </w:r>
      <w:r w:rsidR="00F5505A" w:rsidRPr="00097432">
        <w:t xml:space="preserve"> </w:t>
      </w:r>
      <w:r w:rsidR="00F5505A" w:rsidRPr="00097432">
        <w:rPr>
          <w:rFonts w:hint="eastAsia"/>
        </w:rPr>
        <w:t xml:space="preserve">reduction </w:t>
      </w:r>
      <w:r w:rsidR="00364F26" w:rsidRPr="00097432">
        <w:rPr>
          <w:rFonts w:hint="eastAsia"/>
        </w:rPr>
        <w:t>of</w:t>
      </w:r>
      <w:r w:rsidR="00F5505A" w:rsidRPr="00097432">
        <w:rPr>
          <w:rFonts w:hint="eastAsia"/>
        </w:rPr>
        <w:t xml:space="preserve"> cases</w:t>
      </w:r>
      <w:r w:rsidR="006B5475" w:rsidRPr="00097432">
        <w:rPr>
          <w:rFonts w:hint="eastAsia"/>
        </w:rPr>
        <w:t xml:space="preserve">. </w:t>
      </w:r>
    </w:p>
    <w:p w14:paraId="03E30C08" w14:textId="77777777" w:rsidR="003E7E81" w:rsidRPr="00097432" w:rsidRDefault="003E7E81" w:rsidP="00F57F15"/>
    <w:p w14:paraId="50DB7C47" w14:textId="2CF72A21" w:rsidR="005F6B03" w:rsidRPr="00097432" w:rsidRDefault="00A21D3A" w:rsidP="00F57F15">
      <w:r w:rsidRPr="00097432">
        <w:t xml:space="preserve">Our findings highlight that </w:t>
      </w:r>
      <w:r w:rsidR="0081024F">
        <w:rPr>
          <w:rFonts w:hint="eastAsia"/>
        </w:rPr>
        <w:t xml:space="preserve">impact of ORI </w:t>
      </w:r>
      <w:r w:rsidR="00C91102">
        <w:rPr>
          <w:rFonts w:hint="eastAsia"/>
        </w:rPr>
        <w:t>depends</w:t>
      </w:r>
      <w:r w:rsidR="0081024F">
        <w:rPr>
          <w:rFonts w:hint="eastAsia"/>
        </w:rPr>
        <w:t xml:space="preserve"> </w:t>
      </w:r>
      <w:r w:rsidR="00CC2462">
        <w:rPr>
          <w:rFonts w:hint="eastAsia"/>
        </w:rPr>
        <w:t xml:space="preserve">not only </w:t>
      </w:r>
      <w:r w:rsidR="00C91102">
        <w:rPr>
          <w:rFonts w:hint="eastAsia"/>
        </w:rPr>
        <w:t xml:space="preserve">on </w:t>
      </w:r>
      <w:r w:rsidR="0081024F">
        <w:rPr>
          <w:rFonts w:hint="eastAsia"/>
        </w:rPr>
        <w:t>campaign parameters but also</w:t>
      </w:r>
      <w:r w:rsidR="00C91102">
        <w:rPr>
          <w:rFonts w:hint="eastAsia"/>
        </w:rPr>
        <w:t xml:space="preserve"> on </w:t>
      </w:r>
      <w:r w:rsidR="0081024F">
        <w:rPr>
          <w:rFonts w:hint="eastAsia"/>
        </w:rPr>
        <w:t xml:space="preserve">outbreak </w:t>
      </w:r>
      <w:r w:rsidR="00C91102">
        <w:rPr>
          <w:rFonts w:hint="eastAsia"/>
        </w:rPr>
        <w:t>characteristics</w:t>
      </w:r>
      <w:r w:rsidR="0081024F">
        <w:rPr>
          <w:rFonts w:hint="eastAsia"/>
        </w:rPr>
        <w:t xml:space="preserve">. Delays in campaign initiation can be </w:t>
      </w:r>
      <w:r w:rsidR="00C91102">
        <w:rPr>
          <w:rFonts w:hint="eastAsia"/>
        </w:rPr>
        <w:t>partially offset b</w:t>
      </w:r>
      <w:r w:rsidR="0081024F">
        <w:rPr>
          <w:rFonts w:hint="eastAsia"/>
        </w:rPr>
        <w:t xml:space="preserve">y targeting outbreaks that </w:t>
      </w:r>
      <w:r w:rsidR="00C91102">
        <w:rPr>
          <w:rFonts w:hint="eastAsia"/>
        </w:rPr>
        <w:t xml:space="preserve">are likely to be </w:t>
      </w:r>
      <w:r w:rsidR="0081024F">
        <w:rPr>
          <w:rFonts w:hint="eastAsia"/>
        </w:rPr>
        <w:t>longer, and larger in the absence of intervention</w:t>
      </w:r>
      <w:r w:rsidR="00CC2462">
        <w:rPr>
          <w:rFonts w:hint="eastAsia"/>
        </w:rPr>
        <w:t xml:space="preserve">. For </w:t>
      </w:r>
      <w:r w:rsidR="00CC2462">
        <w:rPr>
          <w:rFonts w:hint="eastAsia"/>
        </w:rPr>
        <w:lastRenderedPageBreak/>
        <w:t xml:space="preserve">example, </w:t>
      </w:r>
      <w:r w:rsidR="00C91102">
        <w:rPr>
          <w:rFonts w:hint="eastAsia"/>
        </w:rPr>
        <w:t xml:space="preserve">median </w:t>
      </w:r>
      <w:r w:rsidR="00CC2462">
        <w:rPr>
          <w:rFonts w:hint="eastAsia"/>
        </w:rPr>
        <w:t xml:space="preserve">case reduction </w:t>
      </w:r>
      <w:r w:rsidR="00C91102">
        <w:rPr>
          <w:rFonts w:hint="eastAsia"/>
        </w:rPr>
        <w:t>achieved by an ORI with 5-week delay across all outbreaks (</w:t>
      </w:r>
      <w:r w:rsidR="00CC2462" w:rsidRPr="00CC2462">
        <w:t>26.1</w:t>
      </w:r>
      <w:r w:rsidR="00C91102">
        <w:rPr>
          <w:rFonts w:hint="eastAsia"/>
        </w:rPr>
        <w:t>%</w:t>
      </w:r>
      <w:r w:rsidR="00CC2462" w:rsidRPr="00CC2462">
        <w:t xml:space="preserve"> </w:t>
      </w:r>
      <w:r w:rsidR="00CC2462">
        <w:rPr>
          <w:rFonts w:hint="eastAsia"/>
        </w:rPr>
        <w:t xml:space="preserve">[IQR: </w:t>
      </w:r>
      <w:r w:rsidR="00CC2462" w:rsidRPr="00CC2462">
        <w:t>6.5 - 50.7</w:t>
      </w:r>
      <w:r w:rsidR="00CC2462">
        <w:rPr>
          <w:rFonts w:hint="eastAsia"/>
        </w:rPr>
        <w:t>]</w:t>
      </w:r>
      <w:r w:rsidR="00C91102">
        <w:rPr>
          <w:rFonts w:hint="eastAsia"/>
        </w:rPr>
        <w:t xml:space="preserve">) is comparable to </w:t>
      </w:r>
      <w:r w:rsidR="004C522D">
        <w:rPr>
          <w:rFonts w:hint="eastAsia"/>
        </w:rPr>
        <w:t>that of a</w:t>
      </w:r>
      <w:r w:rsidR="00C91102">
        <w:rPr>
          <w:rFonts w:hint="eastAsia"/>
        </w:rPr>
        <w:t xml:space="preserve"> 13-week delay in </w:t>
      </w:r>
      <w:r w:rsidR="004C522D">
        <w:rPr>
          <w:rFonts w:hint="eastAsia"/>
        </w:rPr>
        <w:t xml:space="preserve">outbreaks in </w:t>
      </w:r>
      <w:r w:rsidR="00C91102">
        <w:rPr>
          <w:rFonts w:hint="eastAsia"/>
        </w:rPr>
        <w:t>the top quartile by duration (</w:t>
      </w:r>
      <w:r w:rsidR="00CC2462" w:rsidRPr="00CC2462">
        <w:t>24.7</w:t>
      </w:r>
      <w:r w:rsidR="00CC2462">
        <w:rPr>
          <w:rFonts w:hint="eastAsia"/>
        </w:rPr>
        <w:t>%</w:t>
      </w:r>
      <w:r w:rsidR="00CC2462" w:rsidRPr="00CC2462">
        <w:t xml:space="preserve"> </w:t>
      </w:r>
      <w:r w:rsidR="00CC2462">
        <w:rPr>
          <w:rFonts w:hint="eastAsia"/>
        </w:rPr>
        <w:t>[IQR:</w:t>
      </w:r>
      <w:r w:rsidR="00CC2462" w:rsidRPr="00CC2462">
        <w:t>13 - 44.5</w:t>
      </w:r>
      <w:r w:rsidR="00CC2462">
        <w:rPr>
          <w:rFonts w:hint="eastAsia"/>
        </w:rPr>
        <w:t>]</w:t>
      </w:r>
      <w:r w:rsidR="00C91102">
        <w:rPr>
          <w:rFonts w:hint="eastAsia"/>
        </w:rPr>
        <w:t>)</w:t>
      </w:r>
      <w:r w:rsidRPr="00097432">
        <w:t xml:space="preserve">. This underscores the value of strategic prioritization: </w:t>
      </w:r>
      <w:r w:rsidR="004C522D">
        <w:rPr>
          <w:rFonts w:hint="eastAsia"/>
        </w:rPr>
        <w:t xml:space="preserve">directing limited OCV supplies to outbreaks with </w:t>
      </w:r>
      <w:r w:rsidRPr="00097432">
        <w:t>a higher likelihood of being large or prolonged can significantly amplify the overall effect of ORIs (</w:t>
      </w:r>
      <w:r w:rsidRPr="00097432">
        <w:rPr>
          <w:b/>
          <w:bCs/>
        </w:rPr>
        <w:t>Figure 3</w:t>
      </w:r>
      <w:r w:rsidRPr="00097432">
        <w:t xml:space="preserve"> and </w:t>
      </w:r>
      <w:r w:rsidRPr="00097432">
        <w:rPr>
          <w:b/>
          <w:bCs/>
        </w:rPr>
        <w:t>Figure S2</w:t>
      </w:r>
      <w:r w:rsidRPr="00097432">
        <w:t xml:space="preserve">). While </w:t>
      </w:r>
      <w:r w:rsidR="004C522D">
        <w:rPr>
          <w:rFonts w:hint="eastAsia"/>
        </w:rPr>
        <w:t xml:space="preserve">this approach </w:t>
      </w:r>
      <w:r w:rsidRPr="00097432">
        <w:t>assumes an idealized ability to predict outbreak size at the time of response, such prediction may be partially feasible using known risk factors—such as environmental indicators, socioeconomic conditions (e.g., poverty, literacy, healthcare access), and WASH infrastructure</w:t>
      </w:r>
      <w:r w:rsidR="009704F7" w:rsidRPr="00097432">
        <w:t>.</w:t>
      </w:r>
      <w:r w:rsidR="0091605D" w:rsidRPr="00097432">
        <w:fldChar w:fldCharType="begin"/>
      </w:r>
      <w:r w:rsidR="00345AF1">
        <w:instrText xml:space="preserve"> ADDIN ZOTERO_ITEM CSL_CITATION {"citationID":"sdNtNpkT","properties":{"formattedCitation":"\\super 19,70\\uc0\\u8211{}73\\nosupersub{}","plainCitation":"19,70–73","noteIndex":0},"citationItems":[{"id":15132,"uris":["http://zotero.org/users/7663102/items/JFZ6PANM"],"itemData":{"id":15132,"type":"article-journal","abstract":"Improvements in water and sanitation should reduce cholera risk though the associations between cholera and specific water and sanitation access measures remain unclear. We estimated the association between eight water and sanitation measures and annual cholera incidence access across sub-Saharan Africa (2010–2016) for data aggregated at the country and district levels. We fit random forest regression and classification models to understand how well these measures combined might be able to predict cholera incidence rates and identify high cholera incidence areas. Across spatial scales, piped or “other improved” water access was inversely associated with cholera incidence. Access to piped water, septic or sewer sanitation, and septic, sewer, or “other improved” sanitation were associated with decreased district-level cholera incidence. The classification model had moderate performance in identifying high cholera incidence areas (cross-validated-AUC 0.81, 95% CI 0.78–0.83) with high negative predictive values (93–100%) indicating the utility of water and sanitation measures for screening out areas that are unlikely to be at high cholera risk. While comprehensive cholera risk assessments must incorporate other data sources (e.g., historical incidence), our results suggest that water and sanitation measures could alone be useful in narrowing the geographic focus for detailed risk assessments.","container-title":"Environmental Science &amp; Technology","DOI":"10.1021/acs.est.3c01317","ISSN":"0013-936X","issue":"28","journalAbbreviation":"Environ. Sci. Technol.","note":"publisher: American Chemical Society","page":"10185-10192","source":"ACS Publications","title":"Water, Sanitation, and Cholera in Sub-Saharan Africa","volume":"57","author":[{"family":"Sikder","given":"Mustafa"},{"family":"Deshpande","given":"Aniruddha"},{"family":"Hegde","given":"Sonia T."},{"family":"Malembaka","given":"Espoir Bwenge"},{"family":"Gallandat","given":"Karin"},{"family":"Reiner","given":"Robert C."},{"family":"Lessler","given":"Justin"},{"family":"Lee","given":"Elizabeth C."},{"family":"Azman","given":"Andrew S."}],"issued":{"date-parts":[["2023",7,18]]},"citation-key":"sikderWaterSanitationCholera2023"}},{"id":15130,"uris":["http://zotero.org/users/7663102/items/GQUIFY9N"],"itemData":{"id":15130,"type":"article-journal","abstract":"The recurring cholera outbreaks in sub-Saharan Africa are of growing concern, especially considering the potential acceleration in the global trend of larger and more lethal cholera outbreaks due to the impacts of climate change. However, there is a scarcity of evidence-based research addressing the environmental and infrastructure factors that sustain cholera recurrence in Africa. This study adopts a statistical approach to investigate over two decades of endemic cholera outbreaks and their relationship with five environmental factors: water provision, sanitation provision, raising temperatures, increased rainfall and GDP. The analysis covers thirteen of the forty-two countries in the mainland sub-Saharan region, collectively representing one-third of the region’s territory and half of its population. This breadth enables the findings to be generalised at a regional level. Results from all analyses consistently associate water provision with cholera reduction. The stratified model links increased water provision with a reduction in cholera risk that ranged from 4.2 % to 84.1 % among eight countries (out of 13 countries) as well as a reduction of such risk that ranged from 9.8 % to 68.9 % when there is increased sanitation provision, which was observed in nine countries (out of 13). These results indicate that the population's limited access to water and sanitation, as well as the rise in temperatures, are critical infrastructure and environmental factors contributing to endemic cholera and the heightened risk of outbreaks across the sub-Saharan region. Therefore, these are key areas for targeted interventions and cross-border collaboration to enhance resilience to outbreaks and lead to the end of endemic cholera in the region. However, it is important to interpret the results of this study with caution; hence, further investigation is recommended to conduct a more detailed analysis of the impact of infrastructure and environmental factors on reducing cholera risk.","container-title":"Science of The Total Environment","DOI":"10.1016/j.scitotenv.2024.171896","ISSN":"0048-9697","journalAbbreviation":"Science of The Total Environment","page":"171896","source":"ScienceDirect","title":"Analysis of environmental factors influencing endemic cholera risks in sub-Saharan Africa","volume":"926","author":[{"family":"Girotto","given":"Cristiane D."},{"family":"Behzadian","given":"Kourosh"},{"family":"Musah","given":"Anwar"},{"family":"Chen","given":"Albert S."},{"family":"Djordjević","given":"Slobodan"},{"family":"Nichols","given":"Gordon"},{"family":"Campos","given":"Luiza C."}],"issued":{"date-parts":[["2024",5,20]]},"citation-key":"girottoAnalysisEnvironmentalFactors2024"}},{"id":15142,"uris":["http://zotero.org/users/7663102/items/KPLJYLZ2"],"itemData":{"id":15142,"type":"article-journal","abstract":"Despite seasonal cholera outbreaks in Bangladesh, little is known about the relationship between environmental conditions and cholera cases. We seek to develop a predictive model for cholera outbreaks in Bangladesh based on environmental predictors. To do this, we estimate the contribution of environmental variables, such as water depth and water temperature, to cholera outbreaks in the context of a disease transmission model. We implement a method which simultaneously accounts for disease dynamics and environmental variables in a Susceptible-Infected-Recovered-Susceptible (SIRS) model. The entire system is treated as a continuous-time hidden Markov model, where the hidden Markov states are the numbers of people who are susceptible, infected, or recovered at each time point, and the observed states are the numbers of cholera cases reported. We use a Bayesian framework to fit this hidden SIRS model, implementing particle Markov chain Monte Carlo methods to sample from the posterior distribution of the environmental and transmission parameters given the observed data. We test this method using both simulation and data from Mathbaria, Bangladesh. Parameter estimates are used to make short-term predictions that capture the formation and decline of epidemic peaks. We demonstrate that our model can successfully predict an increase in the number of infected individuals in the population weeks before the observed number of cholera cases increases, which could allow for early notification of an epidemic and timely allocation of resources.","container-title":"The annals of applied statistics","DOI":"10.1214/16-AOAS908","ISSN":"1932-6157","issue":"2","journalAbbreviation":"Ann Appl Stat","note":"PMID: 27746850\nPMCID: PMC5061460","page":"575-595","source":"PubMed Central","title":"PREDICTIVE MODELING OF CHOLERA OUTBREAKS IN BANGLADESH","volume":"10","author":[{"family":"Koepke","given":"Amanda A."},{"family":"Longini","given":"Ira M."},{"family":"Halloran","given":"M. Elizabeth"},{"family":"Wakefield","given":"Jon"},{"family":"Minin","given":"Vladimir N."}],"issued":{"date-parts":[["2016",6]]},"citation-key":"koepkePREDICTIVEMODELINGCHOLERA2016"}},{"id":"EgwuGF5k/ws8mD2P8","uris":["http://zotero.org/users/local/xDVOxgbN/items/FWDM2MLV"],"itemData":{"id":224,"type":"article-journal","abstract":"Objectives\n              This study aims to assess both socioeconomic and climatic factors of cholera morbidity in Mozambique considering both spatial and temporal dimensions.\n            \n            \n              Design\n              An ecological longitudinal retrospective study using monthly provincial cholera cases from Mozambican Ministry of Health between 2000 and 2018. The cholera cases were linked to socioeconomic data from Mozambique Demographic and Health Surveys conducted in the period 2000–2018 and climatic data; relative humidity (RH), mean temperature, precipitation and Normalised Difference Vegetation Index (NDVI). A negative binomial regression model in a Bayesian framework was used to model cholera incidence while adjusting for the spatiotemporal covariance, lagged effect of environmental factors and the socioeconomic indicators.\n            \n            \n              Setting\n              Eleven provinces in Mozambique.\n            \n            \n              Results\n              Over the 19-year period, a total of 153</w:instrText>
      </w:r>
      <w:r w:rsidR="00345AF1">
        <w:rPr>
          <w:rFonts w:ascii="Arial" w:hAnsi="Arial"/>
        </w:rPr>
        <w:instrText> </w:instrText>
      </w:r>
      <w:r w:rsidR="00345AF1">
        <w:instrText>941 cholera cases were notified to the surveillance system in Mozambique. Risk of cholera increased with higher monthly mean temperatures above 24</w:instrText>
      </w:r>
      <w:r w:rsidR="00345AF1">
        <w:rPr>
          <w:rFonts w:cs="Aptos"/>
        </w:rPr>
        <w:instrText>°</w:instrText>
      </w:r>
      <w:r w:rsidR="00345AF1">
        <w:instrText>C in comparison to the reference mean temperature of 23</w:instrText>
      </w:r>
      <w:r w:rsidR="00345AF1">
        <w:rPr>
          <w:rFonts w:cs="Aptos"/>
        </w:rPr>
        <w:instrText>°</w:instrText>
      </w:r>
      <w:r w:rsidR="00345AF1">
        <w:instrText>C. At mean temperature of 19</w:instrText>
      </w:r>
      <w:r w:rsidR="00345AF1">
        <w:rPr>
          <w:rFonts w:cs="Aptos"/>
        </w:rPr>
        <w:instrText>°</w:instrText>
      </w:r>
      <w:r w:rsidR="00345AF1">
        <w:instrText>C, cholera risk was higher at a lag of 5</w:instrText>
      </w:r>
      <w:r w:rsidR="00345AF1">
        <w:rPr>
          <w:rFonts w:cs="Aptos"/>
        </w:rPr>
        <w:instrText>–</w:instrText>
      </w:r>
      <w:r w:rsidR="00345AF1">
        <w:instrText>6 months. At a shorter lag of 1</w:instrText>
      </w:r>
      <w:r w:rsidR="00345AF1">
        <w:rPr>
          <w:rFonts w:ascii="Arial" w:hAnsi="Arial"/>
        </w:rPr>
        <w:instrText> </w:instrText>
      </w:r>
      <w:r w:rsidR="00345AF1">
        <w:instrText>month, precipitation of 223.3</w:instrText>
      </w:r>
      <w:r w:rsidR="00345AF1">
        <w:rPr>
          <w:rFonts w:ascii="Arial" w:hAnsi="Arial"/>
        </w:rPr>
        <w:instrText> </w:instrText>
      </w:r>
      <w:r w:rsidR="00345AF1">
        <w:instrText>mm resulted in an 57% increase in cholera risk (relative risk, RR 1.57 (95% CI 1.06 to 2.31)). Cholera risk was greatest at 3 lag months with monthly NDVI of 0.137 (RR 1.220 (95% CI 1.042 to 1.430)), compared with the reference value of 0.2. At an RH of 54%, cholera RR was increased by 62% (RR 1.620 (95% CI 1.124 to 2.342)) at a lag of 4</w:instrText>
      </w:r>
      <w:r w:rsidR="00345AF1">
        <w:rPr>
          <w:rFonts w:ascii="Arial" w:hAnsi="Arial"/>
        </w:rPr>
        <w:instrText> </w:instrText>
      </w:r>
      <w:r w:rsidR="00345AF1">
        <w:instrText xml:space="preserve">months. We found that ownership of radio RR 0.29, (95% CI 0.109 to 0.776) and mobile phones RR 0.262 (95% CI 0.097 to 0.711) were significantly associated with low cholera risk.\n            \n            \n              Conclusion\n              The derived lagged patterns can provide appropriate lead times in a climate-driven cholera early warning system that could contribute to the prevention and management of outbreaks.","container-title":"BMJ Open","DOI":"10.1136/bmjopen-2023-082503","ISSN":"2044-6055, 2044-6055","issue":"8","journalAbbreviation":"BMJ Open","language":"en","page":"e082503","source":"DOI.org (Crossref)","title":"Spatial-temporal analysis of climate and socioeconomic conditions on cholera incidence in Mozambique from 2000 to 2018: an ecological longitudinal retrospective study","title-short":"Spatial-temporal analysis of climate and socioeconomic conditions on cholera incidence in Mozambique from 2000 to 2018","volume":"14","author":[{"family":"Armando","given":"Chaibo Jose"},{"family":"Rocklöv","given":"Joacim"},{"family":"Sidat","given":"Mohsin"},{"family":"Tozan","given":"Yesim"},{"family":"Mavume","given":"Alberto Francisco"},{"family":"Bunker","given":"Aditi"},{"family":"Sewe","given":"Maquins Odhiambo"}],"issued":{"date-parts":[["2024",8]]}}},{"id":"EgwuGF5k/nMRtuTPp","uris":["http://zotero.org/users/local/xDVOxgbN/items/HUSMITWH"],"itemData":{"id":226,"type":"article-journal","container-title":"PLOS ONE","DOI":"10.1371/journal.pone.0183100","ISSN":"1932-6203","issue":"8","journalAbbreviation":"PLoS ONE","language":"en","page":"e0183100","source":"DOI.org (Crossref)","title":"Identification of burden hotspots and risk factors for cholera in India: An observational study","title-short":"Identification of burden hotspots and risk factors for cholera in India","volume":"12","author":[{"family":"Ali","given":"Mohammad"},{"family":"Sen Gupta","given":"Sanjukta"},{"family":"Arora","given":"Nisha"},{"family":"Khasnobis","given":"Pradeep"},{"family":"Venkatesh","given":"Srinivas"},{"family":"Sur","given":"Dipika"},{"family":"Nair","given":"Gopinath B."},{"family":"Sack","given":"David A."},{"family":"Ganguly","given":"Nirmal K."}],"editor":[{"family":"Moise","given":"Imelda K."}],"issued":{"date-parts":[["2017",8,24]]}}}],"schema":"https://github.com/citation-style-language/schema/raw/master/csl-citation.json"} </w:instrText>
      </w:r>
      <w:r w:rsidR="0091605D" w:rsidRPr="00097432">
        <w:fldChar w:fldCharType="separate"/>
      </w:r>
      <w:r w:rsidR="00345AF1" w:rsidRPr="00345AF1">
        <w:rPr>
          <w:rFonts w:cs="Times New Roman"/>
          <w:vertAlign w:val="superscript"/>
        </w:rPr>
        <w:t>19,70–73</w:t>
      </w:r>
      <w:r w:rsidR="0091605D" w:rsidRPr="00097432">
        <w:fldChar w:fldCharType="end"/>
      </w:r>
      <w:r w:rsidR="0091605D" w:rsidRPr="00097432">
        <w:t xml:space="preserve"> </w:t>
      </w:r>
      <w:r w:rsidRPr="00097432">
        <w:t>These proxies can help guide the allocation of limited OCV supplies toward outbreaks with the greatest potential for impact. Prioritizing high-risk geographic areas has similarly been shown to improve the effectiveness and efficiency of OCV campaigns in sub-Saharan Africa</w:t>
      </w:r>
      <w:r w:rsidR="005F6B03" w:rsidRPr="00097432">
        <w:t>.</w:t>
      </w:r>
      <w:r w:rsidR="005F6B03" w:rsidRPr="00097432">
        <w:fldChar w:fldCharType="begin"/>
      </w:r>
      <w:r w:rsidR="00345AF1">
        <w:instrText xml:space="preserve"> ADDIN ZOTERO_ITEM CSL_CITATION {"citationID":"RLMhfORh","properties":{"formattedCitation":"\\super 74\\nosupersub{}","plainCitation":"74","noteIndex":0},"citationItems":[{"id":"EgwuGF5k/Sk970oci","uris":["http://zotero.org/users/local/xDVOxgbN/items/9SKJXDU4"],"itemData":{"id":"ZN66rL7d/srPBwIBI","type":"article-journal","container-title":"PLOS Medicine","DOI":"10.1371/journal.pmed.1003003","ISSN":"1549-1676","issue":"12","journalAbbreviation":"PLoS Med","language":"en","page":"e1003003","source":"DOI.org (Crossref)","title":"The projected impact of geographic targeting of oral cholera vaccination in sub-Saharan Africa: A modeling study","title-short":"The projected impact of geographic targeting of oral cholera vaccination in sub-Saharan Africa","volume":"16","author":[{"family":"Lee","given":"Elizabeth C."},{"family":"Azman","given":"Andrew S."},{"family":"Kaminsky","given":"Joshua"},{"family":"Moore","given":"Sean M."},{"family":"McKay","given":"Heather S."},{"family":"Lessler","given":"Justin"}],"editor":[{"family":"Kretzschmar","given":"Mirjam E. E."}],"issued":{"date-parts":[["2019",12,11]]}},"label":"page"}],"schema":"https://github.com/citation-style-language/schema/raw/master/csl-citation.json"} </w:instrText>
      </w:r>
      <w:r w:rsidR="005F6B03" w:rsidRPr="00097432">
        <w:fldChar w:fldCharType="separate"/>
      </w:r>
      <w:r w:rsidR="00345AF1" w:rsidRPr="00345AF1">
        <w:rPr>
          <w:rFonts w:cs="Times New Roman"/>
          <w:vertAlign w:val="superscript"/>
        </w:rPr>
        <w:t>74</w:t>
      </w:r>
      <w:r w:rsidR="005F6B03" w:rsidRPr="00097432">
        <w:fldChar w:fldCharType="end"/>
      </w:r>
      <w:r w:rsidR="005F6B03" w:rsidRPr="00097432">
        <w:t xml:space="preserve"> </w:t>
      </w:r>
      <w:r w:rsidRPr="00097432">
        <w:t>In addition,</w:t>
      </w:r>
      <w:r w:rsidRPr="00097432">
        <w:rPr>
          <w:rFonts w:hint="eastAsia"/>
        </w:rPr>
        <w:t xml:space="preserve"> highly targeted interventions such as</w:t>
      </w:r>
      <w:r w:rsidRPr="00097432">
        <w:t xml:space="preserve"> case-area targeted interventions have demonstrated enhanced OCV efficiency</w:t>
      </w:r>
      <w:r w:rsidR="005F6B03" w:rsidRPr="00097432">
        <w:t>.</w:t>
      </w:r>
      <w:r w:rsidR="005F6B03" w:rsidRPr="00097432">
        <w:fldChar w:fldCharType="begin"/>
      </w:r>
      <w:r w:rsidR="00345AF1">
        <w:instrText xml:space="preserve"> ADDIN ZOTERO_ITEM CSL_CITATION {"citationID":"tEqNrGuN","properties":{"formattedCitation":"\\super 1\\nosupersub{}","plainCitation":"1","noteIndex":0},"citationItems":[{"id":"EgwuGF5k/Hmz3wwbU","uris":["http://zotero.org/users/local/xDVOxgbN/items/3KCFPCDX"],"itemData":{"id":"ZN66rL7d/xLgkmKAb","type":"article-journal","container-title":"PLOS Medicine","DOI":"10.1371/journal.pmed.1002509","ISSN":"1549-1676","issue":"2","journalAbbreviation":"PLoS Med","language":"en","page":"e1002509","source":"DOI.org (Crossref)","title":"The potential impact of case-area targeted interventions in response to cholera outbreaks: A modeling study","title-short":"The potential impact of case-area targeted interventions in response to cholera outbreaks","volume":"15","author":[{"family":"Finger","given":"Flavio"},{"family":"Bertuzzo","given":"Enrico"},{"family":"Luquero","given":"Francisco J."},{"family":"Naibei","given":"Nathan"},{"family":"Touré","given":"Brahima"},{"family":"Allan","given":"Maya"},{"family":"Porten","given":"Klaudia"},{"family":"Lessler","given":"Justin"},{"family":"Rinaldo","given":"Andrea"},{"family":"Azman","given":"Andrew S."}],"editor":[{"family":"Von Seidlein","given":"Lorenz"}],"issued":{"date-parts":[["2018",2,27]]}}}],"schema":"https://github.com/citation-style-language/schema/raw/master/csl-citation.json"} </w:instrText>
      </w:r>
      <w:r w:rsidR="005F6B03" w:rsidRPr="00097432">
        <w:fldChar w:fldCharType="separate"/>
      </w:r>
      <w:r w:rsidR="005F6B03" w:rsidRPr="00097432">
        <w:rPr>
          <w:vertAlign w:val="superscript"/>
        </w:rPr>
        <w:t>1</w:t>
      </w:r>
      <w:r w:rsidR="005F6B03" w:rsidRPr="00097432">
        <w:fldChar w:fldCharType="end"/>
      </w:r>
      <w:r w:rsidR="005F6B03" w:rsidRPr="00097432">
        <w:t xml:space="preserve"> </w:t>
      </w:r>
      <w:r w:rsidRPr="00097432">
        <w:t xml:space="preserve">As predictive models </w:t>
      </w:r>
      <w:r w:rsidR="004C522D">
        <w:rPr>
          <w:rFonts w:hint="eastAsia"/>
        </w:rPr>
        <w:t xml:space="preserve">and surveillance systems </w:t>
      </w:r>
      <w:r w:rsidRPr="00097432">
        <w:t xml:space="preserve">continue to improve, the </w:t>
      </w:r>
      <w:r w:rsidR="004C522D">
        <w:rPr>
          <w:rFonts w:hint="eastAsia"/>
        </w:rPr>
        <w:t xml:space="preserve">capacity </w:t>
      </w:r>
      <w:r w:rsidRPr="00097432">
        <w:t>to forecast outbreak characteristics in real time will support more effective and targeted vaccination strategies.</w:t>
      </w:r>
    </w:p>
    <w:p w14:paraId="78F3CAD7" w14:textId="77777777" w:rsidR="005F6B03" w:rsidRPr="00097432" w:rsidRDefault="005F6B03" w:rsidP="00F57F15"/>
    <w:p w14:paraId="0558AC23" w14:textId="28D2CF49" w:rsidR="005C75E1" w:rsidRPr="00097432" w:rsidRDefault="00A21D3A" w:rsidP="00F57F15">
      <w:r w:rsidRPr="00097432">
        <w:rPr>
          <w:rFonts w:hint="eastAsia"/>
        </w:rPr>
        <w:t>In contrast to our extensive dataset, m</w:t>
      </w:r>
      <w:r w:rsidRPr="00097432">
        <w:t>ost previous studies assessing OCV impact during or prior to cholera outbreaks have focused on single outbreaks or a small number of large-scale events</w:t>
      </w:r>
      <w:r w:rsidRPr="00097432">
        <w:rPr>
          <w:rFonts w:hint="eastAsia"/>
        </w:rPr>
        <w:t>.</w:t>
      </w:r>
      <w:r w:rsidR="005C75E1" w:rsidRPr="00097432">
        <w:rPr>
          <w:vertAlign w:val="superscript"/>
        </w:rPr>
        <w:fldChar w:fldCharType="begin"/>
      </w:r>
      <w:r w:rsidR="00345AF1">
        <w:rPr>
          <w:vertAlign w:val="superscript"/>
        </w:rPr>
        <w:instrText xml:space="preserve"> ADDIN ZOTERO_ITEM CSL_CITATION {"citationID":"fwgAfALq","properties":{"formattedCitation":"\\super 1\\uc0\\u8211{}4,6\\uc0\\u8211{}8,10,16,75\\nosupersub{}","plainCitation":"1–4,6–8,10,16,75","noteIndex":0},"citationItems":[{"id":"EgwuGF5k/lwl7uSxR","uris":["http://zotero.org/users/local/xDVOxgbN/items/C9VJ6Y9N"],"itemData":{"id":87,"type":"article-journal","abstract":"In October 2010, a virulent South Asian strain of El Tor cholera began to spread in Haiti. Interventions have included treatment of cases and improved sanitation. Use of cholera vaccines would likely have further reduced morbidity and mortality, but such vaccines are in short supply and little is known about effective vaccination strategies for epidemic cholera. We use a mathematical cholera transmission model to assess different vaccination strategies. With limited vaccine quantities, concentrating vaccine in high-risk areas is always most efficient. We show that targeting one million doses of vaccine to areas with high exposure to\n              Vibrio cholerae\n              , enough for two doses for 5% of the population, would reduce the number of cases by 11%. The same strategy with enough vaccine for 30% of the population with modest hygienic improvement could reduce cases by 55% and save 3,320 lives. For epidemic cholera, we recommend a large mobile stockpile of enough vaccine to cover 30% of a country's population to be reactively targeted to populations at high risk of exposure.","container-title":"Proceedings of the National Academy of Sciences","DOI":"10.1073/pnas.1102149108","ISSN":"0027-8424, 1091-6490","issue":"17","journalAbbreviation":"Proc. Natl. Acad. Sci. U.S.A.","language":"en","page":"7081-7085","source":"DOI.org (Crossref)","title":"Vaccination strategies for epidemic cholera in Haiti with implications for the developing world","volume":"108","author":[{"family":"Chao","given":"Dennis L."},{"family":"Halloran","given":"M. Elizabeth"},{"family":"Longini","given":"Ira M."}],"issued":{"date-parts":[["2011",4,26]]}}},{"id":"EgwuGF5k/K5w3Oly2","uris":["http://zotero.org/users/local/xDVOxgbN/items/A7JBWGAG"],"itemData":{"id":97,"type":"article-journal","container-title":"PLoS Neglected Tropical Diseases","DOI":"10.1371/journal.pntd.0001901","ISSN":"1935-2735","issue":"11","journalAbbreviation":"PLoS Negl Trop Dis","language":"en","page":"e1901","source":"DOI.org (Crossref)","title":"Urban Cholera Transmission Hotspots and Their Implications for Reactive Vaccination: Evidence from Bissau City, Guinea Bissau","title-short":"Urban Cholera Transmission Hotspots and Their Implications for Reactive Vaccination","volume":"6","author":[{"family":"Azman","given":"Andrew S."},{"family":"Luquero","given":"Francisco J."},{"family":"Rodrigues","given":"Amabelia"},{"family":"Palma","given":"Pedro Pablo"},{"family":"Grais","given":"Rebecca F."},{"family":"Banga","given":"Cunhate Na"},{"family":"Grenfell","given":"Bryan T."},{"family":"Lessler","given":"Justin"}],"editor":[{"family":"Vinetz","given":"Joseph M."}],"issued":{"date-parts":[["2012",11,8]]}}},{"id":"EgwuGF5k/Hmz3wwbU","uris":["http://zotero.org/users/local/xDVOxgbN/items/3KCFPCDX"],"itemData":{"id":67,"type":"article-journal","container-title":"PLOS Medicine","DOI":"10.1371/journal.pmed.1002509","ISSN":"1549-1676","issue":"2","journalAbbreviation":"PLoS Med","language":"en","page":"e1002509","source":"DOI.org (Crossref)","title":"The potential impact of case-area targeted interventions in response to cholera outbreaks: A modeling study","title-short":"The potential impact of case-area targeted interventions in response to cholera outbreaks","volume":"15","author":[{"family":"Finger","given":"Flavio"},{"family":"Bertuzzo","given":"Enrico"},{"family":"Luquero","given":"Francisco J."},{"family":"Naibei","given":"Nathan"},{"family":"Touré","given":"Brahima"},{"family":"Allan","given":"Maya"},{"family":"Porten","given":"Klaudia"},{"family":"Lessler","given":"Justin"},{"family":"Rinaldo","given":"Andrea"},{"family":"Azman","given":"Andrew S."}],"editor":[{"family":"Von Seidlein","given":"Lorenz"}],"issued":{"date-parts":[["2018",2,27]]}}},{"id":"EgwuGF5k/8HczsYmK","uris":["http://zotero.org/users/local/xDVOxgbN/items/Z93MZCN2"],"itemData":{"id":74,"type":"article-journal","container-title":"PLoS Neglected Tropical Diseases","DOI":"10.1371/journal.pntd.0003343","ISSN":"1935-2735","issue":"12","journalAbbreviation":"PLoS Negl Trop Dis","language":"en","page":"e3343","source":"DOI.org (Crossref)","title":"Comparative Effectiveness of Different Strategies of Oral Cholera Vaccination in Bangladesh: A Modeling Study","title-short":"Comparative Effectiveness of Different Strategies of Oral Cholera Vaccination in Bangladesh","volume":"8","author":[{"family":"Dimitrov","given":"Dobromir T."},{"family":"Troeger","given":"Christopher"},{"family":"Halloran","given":"M. Elizabeth"},{"family":"Longini","given":"Ira M."},{"family":"Chao","given":"Dennis L."}],"editor":[{"family":"Baker","given":"Stephen"}],"issued":{"date-parts":[["2014",12,4]]}}},{"id":"EgwuGF5k/YImEJoFE","uris":["http://zotero.org/users/local/xDVOxgbN/items/PMGMMCST"],"itemData":{"id":38,"type":"article-journal","container-title":"PLOS Neglected Tropical Diseases","DOI":"10.1371/journal.pntd.0006652","ISSN":"1935-2735","issue":"10","journalAbbreviation":"PLoS Negl Trop Dis","language":"en","page":"e0006652","source":"DOI.org (Crossref)","title":"The impact and cost-effectiveness of controlling cholera through the use of oral cholera vaccines in urban Bangladesh: A disease modeling and economic analysis","title-short":"The impact and cost-effectiveness of controlling cholera through the use of oral cholera vaccines in urban Bangladesh","volume":"12","author":[{"family":"Khan","given":"Ashraful Islam"},{"family":"Levin","given":"Ann"},{"family":"Chao","given":"Dennis L."},{"family":"DeRoeck","given":"Denise"},{"family":"Dimitrov","given":"Dobromir T."},{"family":"Khan","given":"Jahangir A. M."},{"family":"Islam","given":"Muhammad Shariful"},{"family":"Ali","given":"Mohammad"},{"family":"Islam","given":"Md. Taufiqul"},{"family":"Sarker","given":"Abdur Razzaque"},{"family":"Clemens","given":"John D."},{"family":"Qadri","given":"Firdausi"}],"editor":[{"family":"Maheu-Giroux","given":"Mathieu"}],"issued":{"date-parts":[["2018",10,9]]}}},{"id":"EgwuGF5k/U08vjAgk","uris":["http://zotero.org/users/local/xDVOxgbN/items/JZWUIAKP"],"itemData":{"id":69,"type":"article-journal","container-title":"International Journal of Infectious Diseases","DOI":"10.1016/j.ijid.2020.03.077","ISSN":"12019712","journalAbbreviation":"International Journal of Infectious Diseases","language":"en","page":"222-227","source":"DOI.org (Crossref)","title":"Stemming cholera tides in Zimbabwe through mass vaccination","volume":"96","author":[{"family":"Mukandavire","given":"Zindoga"},{"family":"Manangazira","given":"Portia"},{"family":"Nyabadza","given":"Farai"},{"family":"Cuadros","given":"Diego F"},{"family":"Musuka","given":"Godfrey"},{"family":"Morris","given":"J. Glenn"}],"issued":{"date-parts":[["2020",7]]}}},{"id":"EgwuGF5k/MhkXC2hV","uris":["http://zotero.org/users/local/xDVOxgbN/items/4F2U9M9L"],"itemData":{"id":84,"type":"article-journal","container-title":"Vaccine","DOI":"10.1016/j.vaccine.2016.03.004","ISSN":"0264410X","issue":"18","journalAbbreviation":"Vaccine","language":"en","page":"2113-2120","source":"DOI.org (Crossref)","title":"Impact of oral cholera vaccines in cholera-endemic countries: A mathematical modeling study","title-short":"Impact of oral cholera vaccines in cholera-endemic countries","volume":"34","author":[{"family":"Kim","given":"Jong-Hoon"},{"family":"Mogasale","given":"Vittal"},{"family":"Burgess","given":"Colleen"},{"family":"Wierzba","given":"Thomas F."}],"issued":{"date-parts":[["2016",4]]}}},{"id":"EgwuGF5k/cf7uiWML","uris":["http://zotero.org/users/local/xDVOxgbN/items/QWND6R6T"],"itemData":{"id":89,"type":"article-journal","container-title":"PLOS Neglected Tropical Diseases","DOI":"10.1371/journal.pntd.0005482","ISSN":"1935-2735","issue":"4","journalAbbreviation":"PLoS Negl Trop Dis","language":"en","page":"e0005482","source":"DOI.org (Crossref)","title":"Controlling cholera in the Ouest Department of Haiti using oral vaccines","volume":"11","author":[{"family":"Kirpich","given":"Alexander"},{"family":"Weppelmann","given":"Thomas A."},{"family":"Yang","given":"Yang"},{"family":"Morris","given":"John Glenn"},{"family":"Longini","given":"Ira M."}],"editor":[{"family":"Coudeville","given":"Laurent"}],"issued":{"date-parts":[["2017",4,14]]}}},{"id":"EgwuGF5k/o2xX9Gov","uris":["http://zotero.org/users/local/xDVOxgbN/items/TR5894IS"],"itemData":{"id":91,"type":"article-journal","abstract":"Abstract\n            \n              Background\n              Cholera is a major public health concern in displaced-person camps, which often contend with overcrowding and scarcity of resources. Maela, the largest and longest-standing refugee camp in Thailand, located along the Thai-Burmese border, experienced four cholera outbreaks between 2005 and 2010. In 2013, a cholera vaccine campaign was implemented in the camp. To assist in the evaluation of the campaign and planning for subsequent campaigns, we developed a mathematical model of cholera in Maela.\n            \n            \n              Methods\n              We formulated a Susceptible-Infectious-Water-Recovered-based transmission model and estimated parameters using incidence data from 2010. We next evaluated the reduction in cases conferred by several immunization strategies, varying timing, effectiveness, and resources (i.e., vaccine availability). After the vaccine campaign, we generated case forecasts for the next year, to inform on-the-ground decision-making regarding whether a booster campaign was needed.\n            \n            \n              Results\n              \n                We found that preexposure vaccination can substantially reduce the risk of cholera even when &lt;50\n                %\n                of the population is given the full two-dose series. Additionally, the preferred number of doses per person should be considered in the context of one vs. two dose effectiveness and vaccine availability. For reactive vaccination, a trade-off between timing and effectiveness was revealed, indicating that it may be beneficial to give one dose to more people rather than two doses to fewer people, given that a two-dose schedule would incur a delay in administration of the second dose. Forecasting using realistic coverage levels predicted that there was no need for a booster campaign in 2014 (consistent with our predictions, there was not a cholera epidemic in 2014).\n              \n            \n            \n              Conclusions\n              Our analyses suggest that vaccination in conjunction with ongoing water sanitation and hygiene efforts provides an effective strategy for controlling cholera outbreaks in refugee camps. Effective preexposure vaccination depends on timing and effectiveness. If a camp is facing an outbreak, delayed distribution of vaccines can substantially alter the effectiveness of reactive vaccination, suggesting that quick distribution of vaccines may be more important than ensuring every individual receives both vaccine doses. Overall, this analysis illustrates how mathematical models can be applied in public health practice, to assist in evaluating alternative intervention strategies and inform decision-making.","container-title":"BMC Infectious Diseases","DOI":"10.1186/s12879-019-4688-6","ISSN":"1471-2334","issue":"1","journalAbbreviation":"BMC Infect Dis","language":"en","page":"1075","source":"DOI.org (Crossref)","title":"Comparing alternative cholera vaccination strategies in Maela refugee camp: using a transmission model in public health practice","title-short":"Comparing alternative cholera vaccination strategies in Maela refugee camp","volume":"19","author":[{"family":"Havumaki","given":"Joshua"},{"family":"Meza","given":"Rafael"},{"family":"Phares","given":"Christina R."},{"family":"Date","given":"Kashmira"},{"family":"Eisenberg","given":"Marisa C."}],"issued":{"date-parts":[["2019",12]]}}},{"id":15384,"uris":["http://zotero.org/users/7663102/items/V45PRDVH"],"itemData":{"id":15384,"type":"article","abstract":"Background Outbreaks of vaccine-preventable diseases continue to occur in low- and middle-income countries (LMICs), requiring outbreak response immunization (ORI) programs for containment. To inform future investment decisions, this study aimed to estimate the cases, deaths, disability-adjusted life years (DALYs), and societal economic costs averted by past ORI programs. Outbreaks of measles, Ebola, yellow fever, cholera, and meningococcal meningitis in LMICs between 2000-2023 were considered.\nMethods 210 outbreaks (51 measles, 40 cholera, 88 yellow fever, 24 meningitis, 7 Ebola) were identified with sufficient data for analysis. Agent-based models were calibrated for each disease such that after controlling for baseline vaccine coverage, ORI initiation time, speed of vaccine delivery, environmental variables, or endemic prevalence of the disease, observed outbreaks were within the distribution of simulated outbreaks. A status-quo and no ORI scenario were compared for each outbreak.\nFindings Across 210 outbreaks, ORI programs are estimated to have averted 5·81M [95% uncertainty interval 5·75M–5·87M] cases (4·01M measles, 283K cholera, 1·50M yellow fever, 21·3K meningitis, 820 Ebola), 327K [317K–338K] deaths (20.0K measles, 5215 cholera, 300K yellow fever, 1599 meningitis, 381 Ebola), 14·6M [14·1M–15·1M] DALYs (1·27M measles, 220K cholera, 13·0M yellow fever, 113K meningitis, 16·6K Ebola), and US$31·7B [29·0B–34·9B] (US$710M measles, US$156M cholera, US$30·7B yellow fever, US$97·6M meningitis, US$6·72M Ebola) in societal economic costs. In general, the more rapidly the ORI was initiated the greater the impact.\nInterpretation ORI programs are critical for reducing the health and economic impacts of outbreaks of vaccine-preventable diseases.\nFunding Gavi,the Vaccine Alliance.","DOI":"10.1101/2024.06.02.24308241","language":"en","license":"© 2024, Posted by Cold Spring Harbor Laboratory. This pre-print is available under a Creative Commons License (Attribution 4.0 International), CC BY 4.0, as described at http://creativecommons.org/licenses/by/4.0/","note":"page: 2024.06.02.24308241","publisher":"medRxiv","source":"medRxiv","title":"Estimating the historical impact of outbreak response immunization programs across 210 outbreaks in LMICs","URL":"https://www.medrxiv.org/content/10.1101/2024.06.02.24308241v1","author":[{"family":"Delport","given":"D."},{"family":"Muellenmeister","given":"A. M."},{"family":"MacKechnie","given":"G."},{"family":"Vaccher","given":"S."},{"family":"Mengistu","given":"T."},{"family":"Hogan","given":"D."},{"family":"Abeysuriya","given":"R. G."},{"family":"Scott","given":"N."}],"accessed":{"date-parts":[["2025",2,21]]},"issued":{"date-parts":[["2024",6,3]]},"citation-key":"delportEstimatingHistoricalImpact2024"}}],"schema":"https://github.com/citation-style-language/schema/raw/master/csl-citation.json"} </w:instrText>
      </w:r>
      <w:r w:rsidR="005C75E1" w:rsidRPr="00097432">
        <w:rPr>
          <w:vertAlign w:val="superscript"/>
        </w:rPr>
        <w:fldChar w:fldCharType="separate"/>
      </w:r>
      <w:r w:rsidR="00345AF1" w:rsidRPr="00345AF1">
        <w:rPr>
          <w:rFonts w:cs="Times New Roman"/>
          <w:vertAlign w:val="superscript"/>
        </w:rPr>
        <w:t>1–4,6–8,10,16,75</w:t>
      </w:r>
      <w:r w:rsidR="005C75E1" w:rsidRPr="00097432">
        <w:rPr>
          <w:vertAlign w:val="superscript"/>
        </w:rPr>
        <w:fldChar w:fldCharType="end"/>
      </w:r>
      <w:r w:rsidR="005C75E1" w:rsidRPr="00097432">
        <w:t xml:space="preserve">. </w:t>
      </w:r>
      <w:r w:rsidR="00A16201" w:rsidRPr="00097432">
        <w:t>For example, a preemptive vaccination campaign in Matlab, Bangladesh with 50% coverage was associated with a 93% reduction in cholera cases</w:t>
      </w:r>
      <w:r w:rsidR="00BF0ED8" w:rsidRPr="00097432">
        <w:t xml:space="preserve"> </w:t>
      </w:r>
      <w:r w:rsidR="0029688A" w:rsidRPr="00097432">
        <w:t>[</w:t>
      </w:r>
      <w:r w:rsidR="00BF0ED8" w:rsidRPr="00097432">
        <w:t>95% CI</w:t>
      </w:r>
      <w:r w:rsidR="0029688A" w:rsidRPr="00097432">
        <w:t>:</w:t>
      </w:r>
      <w:r w:rsidR="00BF0ED8" w:rsidRPr="00097432">
        <w:t xml:space="preserve"> 82%</w:t>
      </w:r>
      <w:r w:rsidR="0029688A" w:rsidRPr="00097432">
        <w:t xml:space="preserve"> - </w:t>
      </w:r>
      <w:r w:rsidR="00BF0ED8" w:rsidRPr="00097432">
        <w:t>99%</w:t>
      </w:r>
      <w:r w:rsidR="0029688A" w:rsidRPr="00097432">
        <w:t>]</w:t>
      </w:r>
      <w:r w:rsidR="006B7E4E" w:rsidRPr="00097432">
        <w:rPr>
          <w:rFonts w:hint="eastAsia"/>
        </w:rPr>
        <w:t>.</w:t>
      </w:r>
      <w:r w:rsidR="005C75E1" w:rsidRPr="00097432">
        <w:fldChar w:fldCharType="begin"/>
      </w:r>
      <w:r w:rsidR="00345AF1">
        <w:instrText xml:space="preserve"> ADDIN ZOTERO_ITEM CSL_CITATION {"citationID":"vRmoYNMT","properties":{"formattedCitation":"\\super 11\\nosupersub{}","plainCitation":"11","noteIndex":0},"citationItems":[{"id":"EgwuGF5k/N5wRjVQd","uris":["http://zotero.org/users/local/xDVOxgbN/items/37LE7P3K"],"itemData":{"id":"ZN66rL7d/hXqTsIEn","type":"article-journal","container-title":"PLoS Medicine","DOI":"10.1371/journal.pmed.0040336","ISSN":"1549-1676","issue":"11","journalAbbreviation":"PLoS Med","language":"en","page":"e336","source":"DOI.org (Crossref)","title":"Controlling Endemic Cholera with Oral Vaccines","volume":"4","author":[{"family":"Longini","given":"Ira M"},{"family":"Nizam","given":"Azhar"},{"family":"Ali","given":"Mohammad"},{"family":"Yunus","given":"Mohammad"},{"family":"Shenvi","given":"Neeta"},{"family":"Clemens","given":"John D"}],"editor":[{"family":"Von Seidlein","given":"Lorenz"}],"issued":{"date-parts":[["2007",11,27]]}}}],"schema":"https://github.com/citation-style-language/schema/raw/master/csl-citation.json"} </w:instrText>
      </w:r>
      <w:r w:rsidR="005C75E1" w:rsidRPr="00097432">
        <w:fldChar w:fldCharType="separate"/>
      </w:r>
      <w:r w:rsidR="005C75E1" w:rsidRPr="00097432">
        <w:rPr>
          <w:vertAlign w:val="superscript"/>
        </w:rPr>
        <w:t>11</w:t>
      </w:r>
      <w:r w:rsidR="005C75E1" w:rsidRPr="00097432">
        <w:fldChar w:fldCharType="end"/>
      </w:r>
      <w:r w:rsidR="005C75E1" w:rsidRPr="00097432">
        <w:t xml:space="preserve"> </w:t>
      </w:r>
      <w:r w:rsidR="00417190" w:rsidRPr="00097432">
        <w:t>A</w:t>
      </w:r>
      <w:r w:rsidR="006B7E4E" w:rsidRPr="00097432">
        <w:rPr>
          <w:rFonts w:hint="eastAsia"/>
        </w:rPr>
        <w:t>nother modeling</w:t>
      </w:r>
      <w:r w:rsidR="00417190" w:rsidRPr="00097432">
        <w:t xml:space="preserve"> study </w:t>
      </w:r>
      <w:r w:rsidR="000F7281" w:rsidRPr="00097432">
        <w:t>of reactive</w:t>
      </w:r>
      <w:r w:rsidR="00A16201" w:rsidRPr="00097432">
        <w:rPr>
          <w:rFonts w:hint="eastAsia"/>
        </w:rPr>
        <w:t xml:space="preserve"> evaluating </w:t>
      </w:r>
      <w:r w:rsidR="000F7281" w:rsidRPr="00097432">
        <w:t xml:space="preserve">single-dose OCV campaigns </w:t>
      </w:r>
      <w:r w:rsidR="006B7E4E" w:rsidRPr="00097432">
        <w:rPr>
          <w:rFonts w:hint="eastAsia"/>
        </w:rPr>
        <w:t>i</w:t>
      </w:r>
      <w:r w:rsidR="000F7281" w:rsidRPr="00097432">
        <w:t xml:space="preserve">n Zimbabwe, </w:t>
      </w:r>
      <w:r w:rsidR="00417190" w:rsidRPr="00097432">
        <w:t>Haiti</w:t>
      </w:r>
      <w:r w:rsidR="000F7281" w:rsidRPr="00097432">
        <w:t>, and Guinea</w:t>
      </w:r>
      <w:r w:rsidR="00417190" w:rsidRPr="00097432">
        <w:t xml:space="preserve"> </w:t>
      </w:r>
      <w:r w:rsidR="006B7E4E" w:rsidRPr="00097432">
        <w:rPr>
          <w:rFonts w:hint="eastAsia"/>
        </w:rPr>
        <w:t xml:space="preserve">found case reductions of </w:t>
      </w:r>
      <w:r w:rsidR="000F7281" w:rsidRPr="00097432">
        <w:t xml:space="preserve">71.6%, </w:t>
      </w:r>
      <w:r w:rsidR="00417190" w:rsidRPr="00097432">
        <w:t>65.3%</w:t>
      </w:r>
      <w:r w:rsidR="000F7281" w:rsidRPr="00097432">
        <w:t>, and</w:t>
      </w:r>
      <w:r w:rsidR="00417190" w:rsidRPr="00097432">
        <w:t xml:space="preserve"> </w:t>
      </w:r>
      <w:r w:rsidR="000F7281" w:rsidRPr="00097432">
        <w:t>61.9%</w:t>
      </w:r>
      <w:r w:rsidR="006B7E4E" w:rsidRPr="00097432">
        <w:rPr>
          <w:rFonts w:hint="eastAsia"/>
        </w:rPr>
        <w:t xml:space="preserve">, </w:t>
      </w:r>
      <w:r w:rsidR="00A16201" w:rsidRPr="00097432">
        <w:rPr>
          <w:rFonts w:hint="eastAsia"/>
        </w:rPr>
        <w:t xml:space="preserve">when campaigns were initiated on </w:t>
      </w:r>
      <w:r w:rsidR="000F7281" w:rsidRPr="00097432">
        <w:t>day 122, day 76, and day 61, respectively.</w:t>
      </w:r>
      <w:r w:rsidR="00417190" w:rsidRPr="00097432">
        <w:fldChar w:fldCharType="begin"/>
      </w:r>
      <w:r w:rsidR="00345AF1">
        <w:instrText xml:space="preserve"> ADDIN ZOTERO_ITEM CSL_CITATION {"citationID":"GSTDb111","properties":{"formattedCitation":"\\super 15\\nosupersub{}","plainCitation":"15","noteIndex":0},"citationItems":[{"id":"EgwuGF5k/8rAvwhna","uris":["http://zotero.org/users/local/xDVOxgbN/items/D9HE3GUQ"],"itemData":{"id":78,"type":"article-journal","container-title":"PLOS Medicine","DOI":"10.1371/journal.pmed.1001867","ISSN":"1549-1676","issue":"8","journalAbbreviation":"PLoS Med","language":"en","page":"e1001867","source":"DOI.org (Crossref)","title":"The Impact of a One-Dose versus Two-Dose Oral Cholera Vaccine Regimen in Outbreak Settings: A Modeling Study","title-short":"The Impact of a One-Dose versus Two-Dose Oral Cholera Vaccine Regimen in Outbreak Settings","volume":"12","author":[{"family":"Azman","given":"Andrew S."},{"family":"Luquero","given":"Francisco J."},{"family":"Ciglenecki","given":"Iza"},{"family":"Grais","given":"Rebecca F."},{"family":"Sack","given":"David A."},{"family":"Lessler","given":"Justin"}],"editor":[{"family":"Kretzschmar","given":"Mirjam E. E."}],"issued":{"date-parts":[["2015",8,25]]}}}],"schema":"https://github.com/citation-style-language/schema/raw/master/csl-citation.json"} </w:instrText>
      </w:r>
      <w:r w:rsidR="00417190" w:rsidRPr="00097432">
        <w:fldChar w:fldCharType="separate"/>
      </w:r>
      <w:r w:rsidR="00417190" w:rsidRPr="00097432">
        <w:rPr>
          <w:vertAlign w:val="superscript"/>
          <w:lang w:val="en-US"/>
        </w:rPr>
        <w:t>15</w:t>
      </w:r>
      <w:r w:rsidR="00417190" w:rsidRPr="00097432">
        <w:fldChar w:fldCharType="end"/>
      </w:r>
      <w:r w:rsidR="003330B0" w:rsidRPr="00097432">
        <w:t xml:space="preserve"> </w:t>
      </w:r>
      <w:r w:rsidR="00A16201" w:rsidRPr="00097432">
        <w:rPr>
          <w:rFonts w:hint="eastAsia"/>
        </w:rPr>
        <w:t>Similarly,</w:t>
      </w:r>
      <w:r w:rsidR="006B7E4E" w:rsidRPr="00097432">
        <w:rPr>
          <w:rFonts w:hint="eastAsia"/>
        </w:rPr>
        <w:t xml:space="preserve"> </w:t>
      </w:r>
      <w:r w:rsidR="000F7281" w:rsidRPr="00097432">
        <w:t xml:space="preserve">a single-dose OCV campaign </w:t>
      </w:r>
      <w:r w:rsidR="00B9349E" w:rsidRPr="00097432">
        <w:t xml:space="preserve">in N'Djamena, Chad </w:t>
      </w:r>
      <w:r w:rsidR="006B7E4E" w:rsidRPr="00097432">
        <w:rPr>
          <w:rFonts w:hint="eastAsia"/>
        </w:rPr>
        <w:t xml:space="preserve">reduced cases </w:t>
      </w:r>
      <w:r w:rsidR="006B7E4E" w:rsidRPr="00097432">
        <w:t>by 81% (or 43% or 8%)</w:t>
      </w:r>
      <w:r w:rsidR="00A16201" w:rsidRPr="00097432">
        <w:rPr>
          <w:rFonts w:hint="eastAsia"/>
        </w:rPr>
        <w:t xml:space="preserve"> when initiated on</w:t>
      </w:r>
      <w:r w:rsidR="00A16201" w:rsidRPr="00097432">
        <w:t xml:space="preserve"> day 50 (or day 130 or day 180) </w:t>
      </w:r>
      <w:r w:rsidR="006B7E4E" w:rsidRPr="00097432">
        <w:fldChar w:fldCharType="begin"/>
      </w:r>
      <w:r w:rsidR="00345AF1">
        <w:instrText xml:space="preserve"> ADDIN ZOTERO_ITEM CSL_CITATION {"citationID":"BVVGrKHM","properties":{"formattedCitation":"\\super 1\\nosupersub{}","plainCitation":"1","noteIndex":0},"citationItems":[{"id":"EgwuGF5k/Hmz3wwbU","uris":["http://zotero.org/users/local/xDVOxgbN/items/3KCFPCDX"],"itemData":{"id":"ZN66rL7d/xLgkmKAb","type":"article-journal","container-title":"PLOS Medicine","DOI":"10.1371/journal.pmed.1002509","ISSN":"1549-1676","issue":"2","journalAbbreviation":"PLoS Med","language":"en","page":"e1002509","source":"DOI.org (Crossref)","title":"The potential impact of case-area targeted interventions in response to cholera outbreaks: A modeling study","title-short":"The potential impact of case-area targeted interventions in response to cholera outbreaks","volume":"15","author":[{"family":"Finger","given":"Flavio"},{"family":"Bertuzzo","given":"Enrico"},{"family":"Luquero","given":"Francisco J."},{"family":"Naibei","given":"Nathan"},{"family":"Touré","given":"Brahima"},{"family":"Allan","given":"Maya"},{"family":"Porten","given":"Klaudia"},{"family":"Lessler","given":"Justin"},{"family":"Rinaldo","given":"Andrea"},{"family":"Azman","given":"Andrew S."}],"editor":[{"family":"Von Seidlein","given":"Lorenz"}],"issued":{"date-parts":[["2018",2,27]]}}}],"schema":"https://github.com/citation-style-language/schema/raw/master/csl-citation.json"} </w:instrText>
      </w:r>
      <w:r w:rsidR="006B7E4E" w:rsidRPr="00097432">
        <w:fldChar w:fldCharType="separate"/>
      </w:r>
      <w:r w:rsidR="006B7E4E" w:rsidRPr="00097432">
        <w:rPr>
          <w:vertAlign w:val="superscript"/>
        </w:rPr>
        <w:t>1</w:t>
      </w:r>
      <w:r w:rsidR="006B7E4E" w:rsidRPr="00097432">
        <w:fldChar w:fldCharType="end"/>
      </w:r>
      <w:r w:rsidR="006B7E4E" w:rsidRPr="00097432">
        <w:t xml:space="preserve"> </w:t>
      </w:r>
      <w:r w:rsidR="006B7E4E" w:rsidRPr="00097432">
        <w:rPr>
          <w:rFonts w:hint="eastAsia"/>
        </w:rPr>
        <w:t xml:space="preserve">Additional modeling of multiple </w:t>
      </w:r>
      <w:r w:rsidR="006B7E4E" w:rsidRPr="00097432">
        <w:t>strategies in N’Djamena, Maela</w:t>
      </w:r>
      <w:r w:rsidR="006B7E4E" w:rsidRPr="00097432">
        <w:rPr>
          <w:rFonts w:hint="eastAsia"/>
        </w:rPr>
        <w:t xml:space="preserve"> (</w:t>
      </w:r>
      <w:r w:rsidR="006B7E4E" w:rsidRPr="00097432">
        <w:t>Thailand</w:t>
      </w:r>
      <w:r w:rsidR="006B7E4E" w:rsidRPr="00097432">
        <w:rPr>
          <w:rFonts w:hint="eastAsia"/>
        </w:rPr>
        <w:t>)</w:t>
      </w:r>
      <w:r w:rsidR="006B7E4E" w:rsidRPr="00097432">
        <w:t xml:space="preserve">, and Haiti </w:t>
      </w:r>
      <w:r w:rsidR="00A16201" w:rsidRPr="00097432">
        <w:rPr>
          <w:rFonts w:hint="eastAsia"/>
        </w:rPr>
        <w:t>found</w:t>
      </w:r>
      <w:r w:rsidR="006B7E4E" w:rsidRPr="00097432">
        <w:rPr>
          <w:rFonts w:hint="eastAsia"/>
        </w:rPr>
        <w:t xml:space="preserve"> </w:t>
      </w:r>
      <w:r w:rsidR="00FA1F7C" w:rsidRPr="00097432">
        <w:t xml:space="preserve">that a single-dose regimen </w:t>
      </w:r>
      <w:r w:rsidR="00A16201" w:rsidRPr="00097432">
        <w:rPr>
          <w:rFonts w:hint="eastAsia"/>
        </w:rPr>
        <w:t>targeting</w:t>
      </w:r>
      <w:r w:rsidR="006B7E4E" w:rsidRPr="00097432">
        <w:rPr>
          <w:rFonts w:hint="eastAsia"/>
        </w:rPr>
        <w:t xml:space="preserve"> individuals over five years </w:t>
      </w:r>
      <w:r w:rsidR="00FA1F7C" w:rsidRPr="00097432">
        <w:t xml:space="preserve">old </w:t>
      </w:r>
      <w:r w:rsidR="006B7E4E" w:rsidRPr="00097432">
        <w:rPr>
          <w:rFonts w:hint="eastAsia"/>
        </w:rPr>
        <w:t xml:space="preserve">often produced </w:t>
      </w:r>
      <w:r w:rsidR="00A16201" w:rsidRPr="00097432">
        <w:rPr>
          <w:rFonts w:hint="eastAsia"/>
        </w:rPr>
        <w:t xml:space="preserve">greatest </w:t>
      </w:r>
      <w:r w:rsidR="00FA1F7C" w:rsidRPr="00097432">
        <w:t>reduction</w:t>
      </w:r>
      <w:r w:rsidR="006B7E4E" w:rsidRPr="00097432">
        <w:rPr>
          <w:rFonts w:hint="eastAsia"/>
        </w:rPr>
        <w:t>s</w:t>
      </w:r>
      <w:r w:rsidR="00FA1F7C" w:rsidRPr="00097432">
        <w:t xml:space="preserve">, </w:t>
      </w:r>
      <w:r w:rsidR="00A16201" w:rsidRPr="00097432">
        <w:rPr>
          <w:rFonts w:hint="eastAsia"/>
        </w:rPr>
        <w:t xml:space="preserve">lowering </w:t>
      </w:r>
      <w:r w:rsidR="00A16201" w:rsidRPr="00097432">
        <w:t>total and symptomatic infections</w:t>
      </w:r>
      <w:r w:rsidR="00A16201" w:rsidRPr="00097432">
        <w:rPr>
          <w:rFonts w:hint="eastAsia"/>
        </w:rPr>
        <w:t xml:space="preserve"> by</w:t>
      </w:r>
      <w:r w:rsidR="00A16201" w:rsidRPr="00097432">
        <w:t xml:space="preserve"> </w:t>
      </w:r>
      <w:r w:rsidR="00FA1F7C" w:rsidRPr="00097432">
        <w:t>up to 68%, 90%, and 36%</w:t>
      </w:r>
      <w:r w:rsidR="006B7E4E" w:rsidRPr="00097432">
        <w:rPr>
          <w:rFonts w:hint="eastAsia"/>
        </w:rPr>
        <w:t>, respectively</w:t>
      </w:r>
      <w:r w:rsidR="003330B0" w:rsidRPr="00097432">
        <w:fldChar w:fldCharType="begin"/>
      </w:r>
      <w:r w:rsidR="00345AF1">
        <w:instrText xml:space="preserve"> ADDIN ZOTERO_ITEM CSL_CITATION {"citationID":"ExGdrT0W","properties":{"formattedCitation":"\\super 14\\nosupersub{}","plainCitation":"14","noteIndex":0},"citationItems":[{"id":"EgwuGF5k/vnWyEUA7","uris":["http://zotero.org/users/local/xDVOxgbN/items/P34TEJN2"],"itemData":{"id":"ZN66rL7d/T0HOJMjP","type":"article-journal","abstract":"Background\n              A global stockpile of oral cholera vaccine (OCV) was established in 2013 for use in outbreak response and are licensed as two-dose regimens. Vaccine availability, however, remains limited. Previous studies have found that a single dose of OCV may provide substantial protection against cholera.\n            \n            \n              Methods\n              Using a mathematical model with two age groups paired with optimization algorithms, we determine the optimal vaccination strategy with one and two doses of vaccine to minimize cumulative overall infections, symptomatic infections, and deaths. We explore counterfactual vaccination scenarios in three distinct settings: Maela, the largest refugee camp in Thailand, with high in- and out-migration; N’Djamena, Chad, a densely populated region; and Haiti, where departments are connected by rivers and roads.\n            \n            \n              Results\n              Over the short term under limited vaccine supply, the optimal strategies for all objectives prioritize one dose to the older age group (over five years old), irrespective of setting and level of vaccination coverage. As more vaccine becomes available, it is optimal to administer a second dose for long-term protection. With enough vaccine to cover the whole population with one dose, the optimal strategies can avert up to 30% to 90% of deaths and 36% to 92% of symptomatic infections across the three settings over one year. The one-dose optimal strategies can avert 1.2 to 1.8 times as many cases and deaths compared to the standard two-dose strategy.\n            \n            \n              Conclusions\n              In an outbreak setting, speedy vaccination campaigns with a single dose of OCV is likely to avert more cases and deaths than a two-dose pro-rata campaign under a limited vaccine supply.","container-title":"PLOS Neglected Tropical Diseases","DOI":"10.1371/journal.pntd.0010358","ISSN":"1935-2735","issue":"4","journalAbbreviation":"PLoS Negl Trop Dis","language":"en","page":"e0010358","source":"DOI.org (Crossref)","title":"Optimizing one-dose and two-dose cholera vaccine allocation in outbreak settings: A modeling study","title-short":"Optimizing one-dose and two-dose cholera vaccine allocation in outbreak settings","volume":"16","author":[{"family":"Leung","given":"Tiffany"},{"family":"Eaton","given":"Julia"},{"family":"Matrajt","given":"Laura"}],"editor":[{"family":"Fleckenstein","given":"James Michael"}],"issued":{"date-parts":[["2022",4,20]]}}}],"schema":"https://github.com/citation-style-language/schema/raw/master/csl-citation.json"} </w:instrText>
      </w:r>
      <w:r w:rsidR="003330B0" w:rsidRPr="00097432">
        <w:fldChar w:fldCharType="separate"/>
      </w:r>
      <w:r w:rsidR="003330B0" w:rsidRPr="00097432">
        <w:rPr>
          <w:vertAlign w:val="superscript"/>
        </w:rPr>
        <w:t>14</w:t>
      </w:r>
      <w:r w:rsidR="003330B0" w:rsidRPr="00097432">
        <w:fldChar w:fldCharType="end"/>
      </w:r>
      <w:r w:rsidR="00334A5E" w:rsidRPr="00097432">
        <w:t xml:space="preserve"> </w:t>
      </w:r>
      <w:r w:rsidR="006B7E4E" w:rsidRPr="00097432">
        <w:rPr>
          <w:rFonts w:hint="eastAsia"/>
        </w:rPr>
        <w:t xml:space="preserve">Together, </w:t>
      </w:r>
      <w:r w:rsidR="00AA489D" w:rsidRPr="00097432">
        <w:t xml:space="preserve">these </w:t>
      </w:r>
      <w:r w:rsidR="00334A5E" w:rsidRPr="00097432">
        <w:lastRenderedPageBreak/>
        <w:t xml:space="preserve">studies </w:t>
      </w:r>
      <w:r w:rsidR="00A16201" w:rsidRPr="00097432">
        <w:rPr>
          <w:rFonts w:hint="eastAsia"/>
        </w:rPr>
        <w:t>demonstrate</w:t>
      </w:r>
      <w:r w:rsidR="006B7E4E" w:rsidRPr="00097432">
        <w:rPr>
          <w:rFonts w:hint="eastAsia"/>
        </w:rPr>
        <w:t xml:space="preserve"> </w:t>
      </w:r>
      <w:r w:rsidR="00A16201" w:rsidRPr="00097432">
        <w:rPr>
          <w:rFonts w:hint="eastAsia"/>
        </w:rPr>
        <w:t xml:space="preserve">the large potential </w:t>
      </w:r>
      <w:r w:rsidR="00334A5E" w:rsidRPr="00097432">
        <w:t>of OCV campaign</w:t>
      </w:r>
      <w:r w:rsidR="006B7E4E" w:rsidRPr="00097432">
        <w:rPr>
          <w:rFonts w:hint="eastAsia"/>
        </w:rPr>
        <w:t>s</w:t>
      </w:r>
      <w:r w:rsidR="00334A5E" w:rsidRPr="00097432">
        <w:t xml:space="preserve">, </w:t>
      </w:r>
      <w:r w:rsidR="00361A6D" w:rsidRPr="00097432">
        <w:t xml:space="preserve">but their focus on large outbreaks may </w:t>
      </w:r>
      <w:r w:rsidR="008E7059" w:rsidRPr="00097432">
        <w:rPr>
          <w:rFonts w:hint="eastAsia"/>
        </w:rPr>
        <w:t>bias estimates upward</w:t>
      </w:r>
      <w:r w:rsidR="00361A6D" w:rsidRPr="00097432">
        <w:t>.</w:t>
      </w:r>
      <w:r w:rsidR="00361A6D" w:rsidRPr="00097432">
        <w:rPr>
          <w:rFonts w:hint="eastAsia"/>
        </w:rPr>
        <w:t xml:space="preserve"> By contrast, o</w:t>
      </w:r>
      <w:r w:rsidR="00334A5E" w:rsidRPr="00097432">
        <w:t>u</w:t>
      </w:r>
      <w:r w:rsidR="00C9313A" w:rsidRPr="00097432">
        <w:t xml:space="preserve">r analysis </w:t>
      </w:r>
      <w:r w:rsidR="00361A6D" w:rsidRPr="00097432">
        <w:rPr>
          <w:rFonts w:hint="eastAsia"/>
        </w:rPr>
        <w:t xml:space="preserve">of </w:t>
      </w:r>
      <w:r w:rsidR="008E7059" w:rsidRPr="00097432">
        <w:t>1,</w:t>
      </w:r>
      <w:r w:rsidR="008E7059" w:rsidRPr="00097432">
        <w:rPr>
          <w:rFonts w:hint="eastAsia"/>
        </w:rPr>
        <w:t>192</w:t>
      </w:r>
      <w:r w:rsidR="008E7059" w:rsidRPr="00097432">
        <w:t xml:space="preserve"> </w:t>
      </w:r>
      <w:r w:rsidR="00361A6D" w:rsidRPr="00097432">
        <w:t xml:space="preserve">outbreaks </w:t>
      </w:r>
      <w:r w:rsidR="008E7059" w:rsidRPr="00097432">
        <w:t>across a range of sizes and attack rates</w:t>
      </w:r>
      <w:r w:rsidR="00361A6D" w:rsidRPr="00097432">
        <w:rPr>
          <w:rFonts w:hint="eastAsia"/>
        </w:rPr>
        <w:t xml:space="preserve"> </w:t>
      </w:r>
      <w:r w:rsidR="008E7059" w:rsidRPr="00097432">
        <w:rPr>
          <w:rFonts w:hint="eastAsia"/>
        </w:rPr>
        <w:t>reveals</w:t>
      </w:r>
      <w:r w:rsidR="00361A6D" w:rsidRPr="00097432">
        <w:t xml:space="preserve"> that </w:t>
      </w:r>
      <w:r w:rsidR="008E7059" w:rsidRPr="00097432">
        <w:t>while OCV impact can vary widely at the individual outbreak level</w:t>
      </w:r>
      <w:r w:rsidR="008E7059" w:rsidRPr="00097432">
        <w:rPr>
          <w:rFonts w:hint="eastAsia"/>
        </w:rPr>
        <w:t>, the aggregated benefit remains substantial.</w:t>
      </w:r>
      <w:r w:rsidR="00334A5E" w:rsidRPr="00097432">
        <w:t xml:space="preserve"> </w:t>
      </w:r>
    </w:p>
    <w:p w14:paraId="35D07097" w14:textId="77777777" w:rsidR="005C75E1" w:rsidRPr="00097432" w:rsidRDefault="005C75E1" w:rsidP="00F57F15"/>
    <w:p w14:paraId="08271BA5" w14:textId="79188F7D" w:rsidR="00A65A3C" w:rsidRPr="00097432" w:rsidRDefault="0091605D" w:rsidP="00F57F15">
      <w:r w:rsidRPr="00097432">
        <w:t xml:space="preserve">Despite its </w:t>
      </w:r>
      <w:r w:rsidR="00361A6D" w:rsidRPr="00097432">
        <w:rPr>
          <w:rFonts w:hint="eastAsia"/>
        </w:rPr>
        <w:t>strengths</w:t>
      </w:r>
      <w:r w:rsidRPr="00097432">
        <w:t xml:space="preserve">, our </w:t>
      </w:r>
      <w:r w:rsidR="001865A9" w:rsidRPr="00097432">
        <w:rPr>
          <w:rFonts w:hint="eastAsia"/>
        </w:rPr>
        <w:t>study</w:t>
      </w:r>
      <w:r w:rsidRPr="00097432">
        <w:t xml:space="preserve"> </w:t>
      </w:r>
      <w:r w:rsidR="00361A6D" w:rsidRPr="00097432">
        <w:rPr>
          <w:rFonts w:hint="eastAsia"/>
        </w:rPr>
        <w:t xml:space="preserve">has </w:t>
      </w:r>
      <w:r w:rsidRPr="00097432">
        <w:t xml:space="preserve">several limitations. </w:t>
      </w:r>
      <w:r w:rsidR="008E7059" w:rsidRPr="00097432">
        <w:t>First, we assumed uniform vaccine coverage within administrative units, which may underestimate the benefits of more spatially focused strategies such as case-area targeted interventions</w:t>
      </w:r>
      <w:r w:rsidRPr="00097432">
        <w:fldChar w:fldCharType="begin"/>
      </w:r>
      <w:r w:rsidR="00345AF1">
        <w:instrText xml:space="preserve"> ADDIN ZOTERO_ITEM CSL_CITATION {"citationID":"TnNKrFWO","properties":{"formattedCitation":"\\super 1,76\\uc0\\u8211{}78\\nosupersub{}","plainCitation":"1,76–78","noteIndex":0},"citationItems":[{"id":"EgwuGF5k/Hmz3wwbU","uris":["http://zotero.org/users/local/xDVOxgbN/items/3KCFPCDX"],"itemData":{"id":"uzNuC9xx/prXsVH16","type":"article-journal","container-title":"PLOS Medicine","DOI":"10.1371/journal.pmed.1002509","ISSN":"1549-1676","issue":"2","journalAbbreviation":"PLoS Med","language":"en","page":"e1002509","source":"DOI.org (Crossref)","title":"The potential impact of case-area targeted interventions in response to cholera outbreaks: A modeling study","title-short":"The potential impact of case-area targeted interventions in response to cholera outbreaks","volume":"15","author":[{"family":"Finger","given":"Flavio"},{"family":"Bertuzzo","given":"Enrico"},{"family":"Luquero","given":"Francisco J."},{"family":"Naibei","given":"Nathan"},{"family":"Touré","given":"Brahima"},{"family":"Allan","given":"Maya"},{"family":"Porten","given":"Klaudia"},{"family":"Lessler","given":"Justin"},{"family":"Rinaldo","given":"Andrea"},{"family":"Azman","given":"Andrew S."}],"editor":[{"family":"Von Seidlein","given":"Lorenz"}],"issued":{"date-parts":[["2018",2,27]]}}},{"id":15178,"uris":["http://zotero.org/users/7663102/items/ZIFQRHRQ"],"itemData":{"id":15178,"type":"article-journal","abstract":"BACKGROUND: Cholera is a major cause of mortality and morbidity in low-resource and humanitarian settings. It is transmitted by fecal-oral route, and the infection risk is higher to those living in and near cholera cases. Rapid identification of cholera cases and implementation of measures to prevent subsequent transmission around cases may be an efficient strategy to reduce the size and scale of cholera outbreaks.\nMETHODOLOGY/PRINCIPLE FINDINGS: We investigated implementation of cholera case-area targeted interventions (CATIs) using systematic reviews and case studies. We identified 11 peer-reviewed and eight grey literature articles documenting CATIs and completed 30 key informant interviews in case studies in Democratic Republic of Congo, Haiti, Yemen, and Zimbabwe. We documented 15 outbreaks in 12 countries where CATIs were used. The team composition and the interventions varied, with water, sanitation, and hygiene interventions implemented more commonly than those of health. Alert systems triggering interventions were diverse ranging from suspected cholera cases to culture confirmed cases. Selection of high-risk households around the case household was inconsistent and ranged from only one case to approximately 100 surrounding households with different methods of selecting them. Coordination among actors and integration between sectors were consistently reported as challenging. Delays in sharing case information impeded rapid implementation of this approach, while evaluation of the effectiveness of interventions varied.\nCONCLUSIONS/SIGNIFICANCE: CATIs appear effective in reducing cholera outbreaks, but there is limited and context specific evidence of their effectiveness in reducing the incidence of cholera cases and lack of guidance for their consistent implementation. We propose to 1) use uniform cholera case definitions considering a local capacity to trigger alert; 2) evaluate the effectiveness of individual or sets of interventions to interrupt cholera, and establish a set of evidence-based interventions; 3) establish criteria to select high-risk households; and 4) improve coordination and data sharing amongst actors and facilitate integration among sectors to strengthen CATI approaches in cholera outbreaks.","container-title":"PLoS neglected tropical diseases","DOI":"10.1371/journal.pntd.0010042","ISSN":"1935-2735","issue":"12","journalAbbreviation":"PLoS Negl Trop Dis","language":"eng","note":"PMID: 34919551\nPMCID: PMC8719662","page":"e0010042","source":"PubMed","title":"Case-area targeted preventive interventions to interrupt cholera transmission: Current implementation practices and lessons learned","title-short":"Case-area targeted preventive interventions to interrupt cholera transmission","volume":"15","author":[{"family":"Sikder","given":"Mustafa"},{"family":"Altare","given":"Chiara"},{"family":"Doocy","given":"Shannon"},{"family":"Trowbridge","given":"Daniella"},{"family":"Kaur","given":"Gurpreet"},{"family":"Kaushal","given":"Natasha"},{"family":"Lyles","given":"Emily"},{"family":"Lantagne","given":"Daniele"},{"family":"Azman","given":"Andrew S."},{"family":"Spiegel","given":"Paul"}],"issued":{"date-parts":[["2021",12]]},"citation-key":"sikderCaseareaTargetedPreventive2021"}},{"id":15166,"uris":["http://zotero.org/users/7663102/items/HLFJ79SF"],"itemData":{"id":15166,"type":"article-journal","abstract":"BACKGROUND: Cholera outbreaks are on the rise globally, with conflict-affected settings particularly at risk. Case-area targeted interventions (CATIs), a strategy whereby teams provide a package of interventions to case and neighboring households within a predefined \"ring,\" are increasingly employed in cholera responses. However, evidence on their ability to attenuate incidence is limited.\nMETHODS AND FINDINGS: We conducted a prospective observational cohort study in 3 conflict-affected states in Nigeria in 2021. Enumerators within rapid response teams observed CATI implementation during a cholera outbreak and collected data on household demographics; existing water, sanitation, and hygiene (WASH) infrastructure; and CATI interventions. Descriptive statistics showed that CATIs were delivered to 46,864 case and neighbor households, with 80.0% of cases and 33.5% of neighbors receiving all intended supplies and activities, in a context with operational challenges of population density, supply stock outs, and security constraints. We then applied prospective Poisson space-time scan statistics (STSS) across 3 models for each state: (1) an unadjusted model with case and population data; (2) an environmentally adjusted model adjusting for distance to cholera treatment centers and existing WASH infrastructure (improved water source, improved latrine, and handwashing station); and (3) a fully adjusted model adjusting for environmental and CATI variables (supply of Aquatabs and soap, hygiene promotion, bedding and latrine disinfection activities, ring coverage, and response timeliness). We ran the STSS each day of our study period to evaluate the space-time dynamics of the cholera outbreaks. Compared to the unadjusted model, significant cholera clustering was attenuated in the environmentally adjusted model (from 572 to 18 clusters) but there was still risk of cholera transmission. Two states still yielded significant clusters (range 8-10 total clusters, relative risk of 2.2-5.5, 16.6-19.9 day duration, including 11.1-56.8 cholera cases). Cholera clustering was completely attenuated in the fully adjusted model, with no significant anomalous clusters across time and space. Associated measures including quantity, relative risk, significance, likelihood of recurrence, size, and duration of clusters reinforced the results. Key limitations include selection bias, remote data monitoring, and the lack of a control group.\nCONCLUSIONS: CATIs were associated with significant reductions in cholera clustering in Northeast Nigeria despite operational challenges. Our results provide a strong justification for rapid implementation and scale-up CATIs in cholera-response, particularly in conflict settings where WASH access is often limited.","container-title":"PLoS medicine","DOI":"10.1371/journal.pmed.1004404","ISSN":"1549-1676","issue":"5","journalAbbreviation":"PLoS Med","language":"eng","note":"PMID: 38728366\nPMCID: PMC11149837","page":"e1004404","source":"PubMed","title":"Case-area targeted interventions during a large-scale cholera epidemic: A prospective cohort study in Northeast Nigeria","title-short":"Case-area targeted interventions during a large-scale cholera epidemic","volume":"21","author":[{"family":"OKeeffe","given":"Jennifer"},{"family":"Salem-Bango","given":"Lindsay"},{"family":"Desjardins","given":"Michael R."},{"family":"Lantagne","given":"Daniele"},{"family":"Altare","given":"Chiara"},{"family":"Kaur","given":"Gurpreet"},{"family":"Heath","given":"Thomas"},{"family":"Rangaiya","given":"Kanaganathan"},{"family":"Obroh","given":"Patricia Oke-Oghene"},{"family":"Audu","given":"Ahmadu"},{"family":"Lecuyot","given":"Baptiste"},{"family":"Zoungrana","given":"Timothée"},{"family":"Ihemezue","given":"Emmanuel Emeka"},{"family":"Aye","given":"Solomon"},{"family":"Sikder","given":"Mustafa"},{"family":"Doocy","given":"Shannon"},{"family":"Wang","given":"Qiulin"},{"family":"Xiao","given":"Melody"},{"family":"Spiegel","given":"Paul B."}],"issued":{"date-parts":[["2024",5]]},"citation-key":"okeeffeCaseareaTargetedInterventions2024"}},{"id":15172,"uris":["http://zotero.org/users/7663102/items/YDFYAS8X"],"itemData":{"id":15172,"type":"article-journal","abstract":"Cholera outbreaks primarily occur in areas lacking adequate water, sanitation, and hygiene (WASH), and infection can cause severe dehydration and death. As individuals living near cholera cases are more likely to contract cholera, case-area targeted interventions (CATI), where a response team visits case and neighbor households and conducts WASH and/or epidemiological interventions, are increasingly implemented to interrupt cholera transmission. As part of a multi-pronged evaluation on whether CATIs reduce cholera transmission, we compared two organizations' standard operating procedures (SOPs) with information from key informant interviews with 26 staff at national/headquarters and field levels who implemented CATIs in Nigeria in 2021. While organizations generally adhered to SOPs during implementation, deviations related to accessing case household and neighbor household selection were made due to incomplete line lists, high population density, and insufficient staffing and materials. We recommend reducing the CATI radius, providing more explicit context-specific guidance in SOPs, adopting more measures to ensure sufficient staffing and supplies, improving surveillance and data management, and strengthening risk communication and community engagement. The qualitative results herein will inform future quantitative analysis to provide recommendations for overall CATI implementation in future cholera responses in fragile contexts.","container-title":"PLoS neglected tropical diseases","DOI":"10.1371/journal.pntd.0011298","ISSN":"1935-2735","issue":"4","journalAbbreviation":"PLoS Negl Trop Dis","language":"eng","note":"PMID: 37115769\nPMCID: PMC10171589","page":"e0011298","source":"PubMed","title":"Implementation considerations in case-area targeted interventions to prevent cholera transmission in Northeast Nigeria: A qualitative analysis","title-short":"Implementation considerations in case-area targeted interventions to prevent cholera transmission in Northeast Nigeria","volume":"17","author":[{"family":"Kaur","given":"Gurpreet"},{"family":"Salem-Bango","given":"Lindsay"},{"family":"Nery","given":"Ana Leticia Melquiades Dos Santos"},{"family":"Solomon","given":"Emmanuel Chimda"},{"family":"Ihemezue","given":"Emmanuel"},{"family":"Kelly","given":"Christine"},{"family":"Altare","given":"Chiara"},{"family":"Azman","given":"Andrew S."},{"family":"Spiegel","given":"Paul B."},{"family":"Lantagne","given":"Daniele"}],"issued":{"date-parts":[["2023",4]]},"citation-key":"kaurImplementationConsiderationsCasearea2023"}}],"schema":"https://github.com/citation-style-language/schema/raw/master/csl-citation.json"} </w:instrText>
      </w:r>
      <w:r w:rsidRPr="00097432">
        <w:fldChar w:fldCharType="separate"/>
      </w:r>
      <w:r w:rsidR="00345AF1" w:rsidRPr="00345AF1">
        <w:rPr>
          <w:rFonts w:cs="Times New Roman"/>
          <w:vertAlign w:val="superscript"/>
        </w:rPr>
        <w:t>1,76–78</w:t>
      </w:r>
      <w:r w:rsidRPr="00097432">
        <w:fldChar w:fldCharType="end"/>
      </w:r>
      <w:r w:rsidRPr="00097432">
        <w:t xml:space="preserve"> or geographic targeting.</w:t>
      </w:r>
      <w:r w:rsidRPr="00097432">
        <w:fldChar w:fldCharType="begin"/>
      </w:r>
      <w:r w:rsidR="00345AF1">
        <w:instrText xml:space="preserve"> ADDIN ZOTERO_ITEM CSL_CITATION {"citationID":"1vq5fwhU","properties":{"formattedCitation":"\\super 74\\nosupersub{}","plainCitation":"74","noteIndex":0},"citationItems":[{"id":"EgwuGF5k/Sk970oci","uris":["http://zotero.org/users/local/xDVOxgbN/items/9SKJXDU4"],"itemData":{"id":"uzNuC9xx/LKQ0djug","type":"article-journal","container-title":"PLOS Medicine","DOI":"10.1371/journal.pmed.1003003","ISSN":"1549-1676","issue":"12","journalAbbreviation":"PLoS Med","language":"en","page":"e1003003","source":"DOI.org (Crossref)","title":"The projected impact of geographic targeting of oral cholera vaccination in sub-Saharan Africa: A modeling study","title-short":"The projected impact of geographic targeting of oral cholera vaccination in sub-Saharan Africa","volume":"16","author":[{"family":"Lee","given":"Elizabeth C."},{"family":"Azman","given":"Andrew S."},{"family":"Kaminsky","given":"Joshua"},{"family":"Moore","given":"Sean M."},{"family":"McKay","given":"Heather S."},{"family":"Lessler","given":"Justin"}],"editor":[{"family":"Kretzschmar","given":"Mirjam E. E."}],"issued":{"date-parts":[["2019",12,11]]}}}],"schema":"https://github.com/citation-style-language/schema/raw/master/csl-citation.json"} </w:instrText>
      </w:r>
      <w:r w:rsidRPr="00097432">
        <w:fldChar w:fldCharType="separate"/>
      </w:r>
      <w:r w:rsidR="00345AF1" w:rsidRPr="00345AF1">
        <w:rPr>
          <w:rFonts w:cs="Times New Roman"/>
          <w:vertAlign w:val="superscript"/>
        </w:rPr>
        <w:t>74</w:t>
      </w:r>
      <w:r w:rsidRPr="00097432">
        <w:fldChar w:fldCharType="end"/>
      </w:r>
      <w:r w:rsidRPr="00097432">
        <w:t xml:space="preserve"> Conversely, vaccine wastage</w:t>
      </w:r>
      <w:r w:rsidR="008E7059" w:rsidRPr="00097432">
        <w:t>—</w:t>
      </w:r>
      <w:r w:rsidR="001865A9" w:rsidRPr="00097432">
        <w:rPr>
          <w:rFonts w:hint="eastAsia"/>
        </w:rPr>
        <w:t xml:space="preserve">documented in </w:t>
      </w:r>
      <w:r w:rsidR="00361A6D" w:rsidRPr="00097432">
        <w:rPr>
          <w:rFonts w:hint="eastAsia"/>
        </w:rPr>
        <w:t>coverage reports</w:t>
      </w:r>
      <w:r w:rsidRPr="00097432">
        <w:fldChar w:fldCharType="begin"/>
      </w:r>
      <w:r w:rsidR="00345AF1">
        <w:instrText xml:space="preserve"> ADDIN ZOTERO_ITEM CSL_CITATION {"citationID":"dwlotRU0","properties":{"formattedCitation":"\\super 79\\nosupersub{}","plainCitation":"79","noteIndex":0},"citationItems":[{"id":14926,"uris":["http://zotero.org/users/7663102/items/RG8HI75U"],"itemData":{"id":14926,"type":"article-journal","abstract":"Justin Lessler and colleagues describe a method that estimates the fraction of a population accessible to vaccination activities, and they apply it to measles vaccination in three African countries: Ghana, Madagascar, and Sierra Leone.","container-title":"PLOS Medicine","DOI":"10.1371/journal.pmed.1001110","ISSN":"1549-1676","issue":"10","journalAbbreviation":"PLoS Med","language":"en","note":"publisher: Public Library of Science","page":"e1001110","source":"PLoS Journals","title":"Measuring the Performance of Vaccination Programs Using Cross-Sectional Surveys: A Likelihood Framework and Retrospective Analysis","title-short":"Measuring the Performance of Vaccination Programs Using Cross-Sectional Surveys","volume":"8","author":[{"family":"Lessler","given":"Justin"},{"family":"Metcalf","given":"C. Jessica E."},{"family":"Grais","given":"Rebecca F."},{"family":"Luquero","given":"Francisco J."},{"family":"Cummings","given":"Derek A. T."},{"family":"Grenfell","given":"Bryan T."}],"issued":{"date-parts":[["2011"]],"season":"25"},"citation-key":"lesslerMeasuringPerformanceVaccination2011"}}],"schema":"https://github.com/citation-style-language/schema/raw/master/csl-citation.json"} </w:instrText>
      </w:r>
      <w:r w:rsidRPr="00097432">
        <w:fldChar w:fldCharType="separate"/>
      </w:r>
      <w:r w:rsidR="00345AF1" w:rsidRPr="00345AF1">
        <w:rPr>
          <w:rFonts w:cs="Times New Roman"/>
          <w:vertAlign w:val="superscript"/>
        </w:rPr>
        <w:t>79</w:t>
      </w:r>
      <w:r w:rsidRPr="00097432">
        <w:fldChar w:fldCharType="end"/>
      </w:r>
      <w:r w:rsidR="008E7059" w:rsidRPr="00097432">
        <w:t>—</w:t>
      </w:r>
      <w:r w:rsidRPr="00097432">
        <w:t xml:space="preserve">could </w:t>
      </w:r>
      <w:r w:rsidR="00AA489D" w:rsidRPr="00097432">
        <w:t xml:space="preserve">lead to </w:t>
      </w:r>
      <w:r w:rsidRPr="00097432">
        <w:t>overestimate</w:t>
      </w:r>
      <w:r w:rsidR="00361A6D" w:rsidRPr="00097432">
        <w:rPr>
          <w:rFonts w:hint="eastAsia"/>
        </w:rPr>
        <w:t xml:space="preserve">s of </w:t>
      </w:r>
      <w:r w:rsidRPr="00097432">
        <w:t>cases</w:t>
      </w:r>
      <w:r w:rsidR="00AA489D" w:rsidRPr="00097432">
        <w:t>, deaths, and DALYs</w:t>
      </w:r>
      <w:r w:rsidRPr="00097432">
        <w:t xml:space="preserve"> averted per 1,000 doses.</w:t>
      </w:r>
      <w:r w:rsidR="00361A6D" w:rsidRPr="00097432">
        <w:t xml:space="preserve"> </w:t>
      </w:r>
      <w:r w:rsidR="00AA489D" w:rsidRPr="00097432">
        <w:t xml:space="preserve">Second, </w:t>
      </w:r>
      <w:r w:rsidRPr="00097432">
        <w:t xml:space="preserve">our </w:t>
      </w:r>
      <w:r w:rsidR="00361A6D" w:rsidRPr="00097432">
        <w:rPr>
          <w:rFonts w:hint="eastAsia"/>
        </w:rPr>
        <w:t>parameter</w:t>
      </w:r>
      <w:r w:rsidR="00253023" w:rsidRPr="00097432">
        <w:rPr>
          <w:rFonts w:hint="eastAsia"/>
        </w:rPr>
        <w:t>ization</w:t>
      </w:r>
      <w:r w:rsidR="00361A6D" w:rsidRPr="00097432">
        <w:rPr>
          <w:rFonts w:hint="eastAsia"/>
        </w:rPr>
        <w:t xml:space="preserve"> </w:t>
      </w:r>
      <w:r w:rsidR="00253023" w:rsidRPr="00097432">
        <w:rPr>
          <w:rFonts w:hint="eastAsia"/>
        </w:rPr>
        <w:t>of</w:t>
      </w:r>
      <w:r w:rsidR="00361A6D" w:rsidRPr="00097432">
        <w:rPr>
          <w:rFonts w:hint="eastAsia"/>
        </w:rPr>
        <w:t xml:space="preserve"> </w:t>
      </w:r>
      <w:r w:rsidRPr="00097432">
        <w:t xml:space="preserve">indirect vaccine effectiveness </w:t>
      </w:r>
      <w:r w:rsidR="001515E1" w:rsidRPr="00097432">
        <w:rPr>
          <w:rFonts w:hint="eastAsia"/>
        </w:rPr>
        <w:t>was</w:t>
      </w:r>
      <w:r w:rsidR="00361A6D" w:rsidRPr="00097432">
        <w:rPr>
          <w:rFonts w:hint="eastAsia"/>
        </w:rPr>
        <w:t xml:space="preserve"> derived </w:t>
      </w:r>
      <w:r w:rsidR="001515E1" w:rsidRPr="00097432">
        <w:t>from studies conducted in</w:t>
      </w:r>
      <w:r w:rsidR="00361A6D" w:rsidRPr="00097432">
        <w:rPr>
          <w:rFonts w:hint="eastAsia"/>
        </w:rPr>
        <w:t>B</w:t>
      </w:r>
      <w:r w:rsidRPr="00097432">
        <w:t>angladesh</w:t>
      </w:r>
      <w:r w:rsidR="001515E1" w:rsidRPr="00097432">
        <w:rPr>
          <w:rFonts w:hint="eastAsia"/>
        </w:rPr>
        <w:t>,</w:t>
      </w:r>
      <w:r w:rsidRPr="00097432">
        <w:fldChar w:fldCharType="begin"/>
      </w:r>
      <w:r w:rsidR="00345AF1">
        <w:instrText xml:space="preserve"> ADDIN ZOTERO_ITEM CSL_CITATION {"citationID":"9E4AsK8m","properties":{"formattedCitation":"\\super 11,36\\nosupersub{}","plainCitation":"11,36","noteIndex":0},"citationItems":[{"id":"EgwuGF5k/N5wRjVQd","uris":["http://zotero.org/users/local/xDVOxgbN/items/37LE7P3K"],"itemData":{"id":99,"type":"article-journal","container-title":"PLoS Medicine","DOI":"10.1371/journal.pmed.0040336","ISSN":"1549-1676","issue":"11","journalAbbreviation":"PLoS Med","language":"en","page":"e336","source":"DOI.org (Crossref)","title":"Controlling Endemic Cholera with Oral Vaccines","volume":"4","author":[{"family":"Longini","given":"Ira M"},{"family":"Nizam","given":"Azhar"},{"family":"Ali","given":"Mohammad"},{"family":"Yunus","given":"Mohammad"},{"family":"Shenvi","given":"Neeta"},{"family":"Clemens","given":"John D"}],"editor":[{"family":"Von Seidlein","given":"Lorenz"}],"issued":{"date-parts":[["2007",11,27]]}}},{"id":"EgwuGF5k/bVyeal5U","uris":["http://zotero.org/users/local/xDVOxgbN/items/3QIMSM7G"],"itemData":{"id":154,"type":"article-journal","container-title":"The Lancet","DOI":"10.1016/S0140-6736(05)66550-6","ISSN":"01406736","issue":"9479","journalAbbreviation":"The Lancet","language":"en","license":"https://www.elsevier.com/tdm/userlicense/1.0/","page":"44-49","source":"DOI.org (Crossref)","title":"Herd immunity conferred by killed oral cholera vaccines in Bangladesh: a reanalysis","title-short":"Herd immunity conferred by killed oral cholera vaccines in Bangladesh","volume":"366","author":[{"family":"Ali","given":"Mohammad"},{"family":"Emch","given":"Michael"},{"family":"Von Seidlein","given":"Lorenz"},{"family":"Yunus","given":"Mohammad"},{"family":"Sack","given":"David A"},{"family":"Rao","given":"Malla"},{"family":"Holmgren","given":"Jan"},{"family":"Clemens","given":"John D"}],"issued":{"date-parts":[["2005",7]]}}}],"schema":"https://github.com/citation-style-language/schema/raw/master/csl-citation.json"} </w:instrText>
      </w:r>
      <w:r w:rsidRPr="00097432">
        <w:fldChar w:fldCharType="separate"/>
      </w:r>
      <w:r w:rsidR="005377FB" w:rsidRPr="00097432">
        <w:rPr>
          <w:rFonts w:cs="Times New Roman"/>
          <w:vertAlign w:val="superscript"/>
        </w:rPr>
        <w:t>11,36</w:t>
      </w:r>
      <w:r w:rsidRPr="00097432">
        <w:fldChar w:fldCharType="end"/>
      </w:r>
      <w:r w:rsidRPr="00097432">
        <w:t xml:space="preserve"> </w:t>
      </w:r>
      <w:r w:rsidR="001515E1" w:rsidRPr="00097432">
        <w:rPr>
          <w:rFonts w:hint="eastAsia"/>
        </w:rPr>
        <w:t>and</w:t>
      </w:r>
      <w:r w:rsidRPr="00097432">
        <w:t xml:space="preserve"> may not generalize </w:t>
      </w:r>
      <w:r w:rsidR="001515E1" w:rsidRPr="00097432">
        <w:t xml:space="preserve">fully </w:t>
      </w:r>
      <w:r w:rsidRPr="00097432">
        <w:t>to sub-Saharan Africa</w:t>
      </w:r>
      <w:r w:rsidR="00361A6D" w:rsidRPr="00097432">
        <w:rPr>
          <w:rFonts w:hint="eastAsia"/>
        </w:rPr>
        <w:t xml:space="preserve">n </w:t>
      </w:r>
      <w:r w:rsidR="001515E1" w:rsidRPr="00097432">
        <w:rPr>
          <w:rFonts w:hint="eastAsia"/>
        </w:rPr>
        <w:t>settings</w:t>
      </w:r>
      <w:r w:rsidRPr="00097432">
        <w:t>.</w:t>
      </w:r>
      <w:r w:rsidR="001515E1" w:rsidRPr="00097432">
        <w:t xml:space="preserve"> Nonetheless, the consistency between our static model outputs and those from dynamic models (</w:t>
      </w:r>
      <w:r w:rsidR="00072A95" w:rsidRPr="00097432">
        <w:rPr>
          <w:rFonts w:hint="eastAsia"/>
        </w:rPr>
        <w:t xml:space="preserve">Supplementary Material </w:t>
      </w:r>
      <w:r w:rsidR="001515E1" w:rsidRPr="00097432">
        <w:rPr>
          <w:b/>
          <w:bCs/>
        </w:rPr>
        <w:t>S</w:t>
      </w:r>
      <w:r w:rsidR="009206B5" w:rsidRPr="00097432">
        <w:rPr>
          <w:rFonts w:hint="eastAsia"/>
          <w:b/>
          <w:bCs/>
        </w:rPr>
        <w:t>9</w:t>
      </w:r>
      <w:r w:rsidR="00072A95" w:rsidRPr="00097432">
        <w:rPr>
          <w:rFonts w:hint="eastAsia"/>
          <w:b/>
          <w:bCs/>
        </w:rPr>
        <w:t>; Figures S</w:t>
      </w:r>
      <w:r w:rsidR="00A5601D">
        <w:rPr>
          <w:rFonts w:hint="eastAsia"/>
          <w:b/>
          <w:bCs/>
        </w:rPr>
        <w:t>5</w:t>
      </w:r>
      <w:r w:rsidR="00072A95" w:rsidRPr="00097432">
        <w:rPr>
          <w:rFonts w:hint="eastAsia"/>
          <w:b/>
          <w:bCs/>
        </w:rPr>
        <w:t>-S</w:t>
      </w:r>
      <w:r w:rsidR="00A5601D">
        <w:rPr>
          <w:rFonts w:hint="eastAsia"/>
          <w:b/>
          <w:bCs/>
        </w:rPr>
        <w:t>7</w:t>
      </w:r>
      <w:r w:rsidR="001515E1" w:rsidRPr="00097432">
        <w:t>) suggests that our parameterization captures indirect effects reasonably well.</w:t>
      </w:r>
      <w:r w:rsidR="00A16D9B" w:rsidRPr="00097432">
        <w:t xml:space="preserve"> </w:t>
      </w:r>
      <w:r w:rsidR="002450FE" w:rsidRPr="00097432">
        <w:t>This static approach, grounded in empirical observations, may offer a practical alternative for modeling ORI impact in settings with limited data.</w:t>
      </w:r>
      <w:r w:rsidR="00792A8E" w:rsidRPr="00097432">
        <w:t xml:space="preserve"> </w:t>
      </w:r>
      <w:r w:rsidR="00AA489D" w:rsidRPr="00097432">
        <w:t>Third</w:t>
      </w:r>
      <w:r w:rsidR="00A16D9B" w:rsidRPr="00097432">
        <w:t xml:space="preserve">, </w:t>
      </w:r>
      <w:r w:rsidR="000A5801" w:rsidRPr="00097432">
        <w:rPr>
          <w:rFonts w:hint="eastAsia"/>
        </w:rPr>
        <w:t xml:space="preserve">by </w:t>
      </w:r>
      <w:r w:rsidR="002450FE" w:rsidRPr="00097432">
        <w:rPr>
          <w:rFonts w:hint="eastAsia"/>
        </w:rPr>
        <w:t>modeling</w:t>
      </w:r>
      <w:r w:rsidR="000A5801" w:rsidRPr="00097432">
        <w:rPr>
          <w:rFonts w:hint="eastAsia"/>
        </w:rPr>
        <w:t xml:space="preserve"> individual outbreak</w:t>
      </w:r>
      <w:r w:rsidR="002450FE" w:rsidRPr="00097432">
        <w:rPr>
          <w:rFonts w:hint="eastAsia"/>
        </w:rPr>
        <w:t xml:space="preserve"> independently</w:t>
      </w:r>
      <w:r w:rsidR="000A5801" w:rsidRPr="00097432">
        <w:rPr>
          <w:rFonts w:hint="eastAsia"/>
        </w:rPr>
        <w:t xml:space="preserve"> </w:t>
      </w:r>
      <w:r w:rsidR="00253023" w:rsidRPr="00097432">
        <w:rPr>
          <w:rFonts w:hint="eastAsia"/>
        </w:rPr>
        <w:t>(</w:t>
      </w:r>
      <w:r w:rsidR="000A5801" w:rsidRPr="00097432">
        <w:rPr>
          <w:rFonts w:hint="eastAsia"/>
        </w:rPr>
        <w:t>or</w:t>
      </w:r>
      <w:r w:rsidR="002450FE" w:rsidRPr="00097432">
        <w:rPr>
          <w:rFonts w:hint="eastAsia"/>
        </w:rPr>
        <w:t xml:space="preserve"> </w:t>
      </w:r>
      <w:r w:rsidR="00253023" w:rsidRPr="00097432">
        <w:rPr>
          <w:rFonts w:hint="eastAsia"/>
        </w:rPr>
        <w:t>aggregating them)</w:t>
      </w:r>
      <w:r w:rsidR="000A5801" w:rsidRPr="00097432">
        <w:rPr>
          <w:rFonts w:hint="eastAsia"/>
        </w:rPr>
        <w:t xml:space="preserve">, </w:t>
      </w:r>
      <w:r w:rsidR="002450FE" w:rsidRPr="00097432">
        <w:rPr>
          <w:rFonts w:hint="eastAsia"/>
        </w:rPr>
        <w:t xml:space="preserve">we assumed that </w:t>
      </w:r>
      <w:r w:rsidR="00A16D9B" w:rsidRPr="00097432">
        <w:t>the vaccine</w:t>
      </w:r>
      <w:r w:rsidR="002450FE" w:rsidRPr="00097432">
        <w:rPr>
          <w:rFonts w:hint="eastAsia"/>
        </w:rPr>
        <w:t xml:space="preserve"> impact was</w:t>
      </w:r>
      <w:r w:rsidR="000A5801" w:rsidRPr="00097432">
        <w:rPr>
          <w:rFonts w:hint="eastAsia"/>
        </w:rPr>
        <w:t xml:space="preserve"> </w:t>
      </w:r>
      <w:r w:rsidR="00253023" w:rsidRPr="00097432">
        <w:rPr>
          <w:rFonts w:hint="eastAsia"/>
        </w:rPr>
        <w:t xml:space="preserve">confined to </w:t>
      </w:r>
      <w:r w:rsidR="00C72093">
        <w:rPr>
          <w:rFonts w:hint="eastAsia"/>
        </w:rPr>
        <w:t xml:space="preserve">the specific </w:t>
      </w:r>
      <w:r w:rsidR="00A16D9B" w:rsidRPr="00097432">
        <w:t>outbreak</w:t>
      </w:r>
      <w:r w:rsidR="00C72093">
        <w:rPr>
          <w:rFonts w:hint="eastAsia"/>
        </w:rPr>
        <w:t xml:space="preserve"> in which vaccines were deployed</w:t>
      </w:r>
      <w:r w:rsidR="00A16D9B" w:rsidRPr="00097432">
        <w:t>.</w:t>
      </w:r>
      <w:r w:rsidR="002450FE" w:rsidRPr="00097432">
        <w:t xml:space="preserve"> </w:t>
      </w:r>
      <w:r w:rsidR="002450FE" w:rsidRPr="00097432">
        <w:rPr>
          <w:rFonts w:hint="eastAsia"/>
        </w:rPr>
        <w:t>I</w:t>
      </w:r>
      <w:r w:rsidR="002450FE" w:rsidRPr="00097432">
        <w:t xml:space="preserve">n reality, ORIs may </w:t>
      </w:r>
      <w:r w:rsidR="00C72093">
        <w:rPr>
          <w:rFonts w:hint="eastAsia"/>
        </w:rPr>
        <w:t xml:space="preserve">also confer </w:t>
      </w:r>
      <w:r w:rsidR="002450FE" w:rsidRPr="00097432">
        <w:t xml:space="preserve">preemptive benefits </w:t>
      </w:r>
      <w:r w:rsidR="00C72093">
        <w:rPr>
          <w:rFonts w:hint="eastAsia"/>
        </w:rPr>
        <w:t xml:space="preserve">by preventing future </w:t>
      </w:r>
      <w:r w:rsidR="002450FE" w:rsidRPr="00097432">
        <w:t>outbreaks in the same or neighboring areas</w:t>
      </w:r>
      <w:r w:rsidR="00C72093">
        <w:rPr>
          <w:rFonts w:hint="eastAsia"/>
        </w:rPr>
        <w:t>, given two-dose killed whole-cell OCVs provide overall protection for up to 4-5 years</w:t>
      </w:r>
      <w:r w:rsidR="002450FE" w:rsidRPr="00097432">
        <w:t>.</w:t>
      </w:r>
      <w:r w:rsidR="00C72093">
        <w:fldChar w:fldCharType="begin"/>
      </w:r>
      <w:r w:rsidR="00345AF1">
        <w:instrText xml:space="preserve"> ADDIN ZOTERO_ITEM CSL_CITATION {"citationID":"2pfURpqk","properties":{"formattedCitation":"\\super 80\\uc0\\u8211{}83\\nosupersub{}","plainCitation":"80–83","noteIndex":0},"citationItems":[{"id":15866,"uris":["http://zotero.org/users/7663102/items/AWWNIBI4"],"itemData":{"id":15866,"type":"article-journal","abstract":"Several studies have shown that inactivated, whole-cell oral cholera vaccines (OCVs) confer both direct protection on vaccinees and herd protection on populations. Because our earlier cluster-randomized effectiveness trial (CRT) in urban Bangladesh failed to detect OCV herd protection, we reanalysed the trial to assess whether herd effects were masked in our original analysis.A total of 267 270 persons were randomized to 90 approximately equal-sized clusters. In 60 clusters persons aged 1 year and older were eligible to receive OCV and in 30 clusters persons received no intervention and served as controls. We analysed OCV protection against severely dehydrating cholera for the entire clusters, as in our original analysis, and for subclusters consisting of residents of innermost households. We hypothesized that if OCV herd protection was attenuated by cholera transmission into the clusters from the outside in this densely populated setting, herd protection would be most evident in the innermost households.During 2 years of follow-up of all residents of the clusters, total protection (protection of OCV recipients relative to control residents) was 58% [95% confidence interval (CI): 43%, 70%; P&amp;lt;0.0001], indirect protection (protection of non-OCV recipients in OCV clusters relative to control participants) was 16% (95% CI: –20%, 41%; P=0.35) and overall OCV protection (protection of all residents in the OCV clusters relative to control residents) was 46% (95% CI: 30%, 59%; P&amp;lt;0.0001). Analyses of the inner 75% and 50% households of the clusters showed similar findings. However, total protection was 75% (95% CI: 50%, 87%, P&amp;lt;0.0001), indirect protection 52% (95% CI: –9%, 79%; P=0.08) and overall protection 72% (95% CI: 49%, 84%; P&amp;lt;0.0001) for the innermost 25% households.Consistent with past studies, substantial OCV herd protective effects were identified, but were unmasked only by analysing innermost households of the clusters. Caution is needed in defining clusters for analysis of vaccine herd effects in CRTs of vaccines.","container-title":"International Journal of Epidemiology","DOI":"10.1093/ije/dyz060","ISSN":"0300-5771","issue":"4","journalAbbreviation":"International Journal of Epidemiology","page":"1252-1261","source":"Silverchair","title":"Unmasking herd protection by an oral cholera vaccine in a cluster-randomized trial","volume":"48","author":[{"family":"Ali","given":"Mohammad"},{"family":"Qadri","given":"Firdausi"},{"family":"Kim","given":"Deok Ryun"},{"family":"Islam","given":"Taufiqul"},{"family":"Im","given":"Justin"},{"family":"Ahmmed","given":"Faisal"},{"family":"Chon","given":"Yun"},{"family":"Islam Khan","given":"Ashraful"},{"family":"Zaman","given":"Khalequ"},{"family":"Marks","given":"Florian"},{"family":"Clemens","given":"John D"}],"issued":{"date-parts":[["2019",8,1]]},"citation-key":"ali2019a"}},{"id":15864,"uris":["http://zotero.org/users/7663102/items/6Z6UG45N"],"itemData":{"id":15864,"type":"article-journal","container-title":"The Lancet Infectious Diseases","DOI":"10.1016/S1473-3099(12)70196-2","ISSN":"1473-3099, 1474-4457","issue":"11","journalAbbreviation":"The Lancet Infectious Diseases","language":"English","note":"publisher: Elsevier\nPMID: 22954655","page":"837-844","source":"www.thelancet.com","title":"Effectiveness of an oral cholera vaccine in Zanzibar: findings from a mass vaccination campaign and observational cohort study","title-short":"Effectiveness of an oral cholera vaccine in Zanzibar","volume":"12","author":[{"family":"Khatib","given":"Ahmed M."},{"family":"Ali","given":"Mohammad"},{"family":"Seidlein","given":"Lorenz","dropping-particle":"von"},{"family":"Kim","given":"Deok Ryun"},{"family":"Hashim","given":"Ramadhan"},{"family":"Reyburn","given":"Rita"},{"family":"Ley","given":"Benedikt"},{"family":"Thriemer","given":"Kamala"},{"family":"Enwere","given":"Godwin"},{"family":"Hutubessy","given":"Raymond"},{"family":"Aguado","given":"Maria Teresa"},{"family":"Kieny","given":"Marie-Paule"},{"family":"Lopez","given":"Anna Lena"},{"family":"Wierzba","given":"Thomas F."},{"family":"Ali","given":"Said Mohammed"},{"family":"Saleh","given":"Abdul A."},{"family":"Mukhopadhyay","given":"Asish K."},{"family":"Clemens","given":"John"},{"family":"Jiddawi","given":"Mohamed Saleh"},{"family":"Deen","given":"Jacqueline"}],"issued":{"date-parts":[["2012",11,1]]},"citation-key":"khatib2012"}},{"id":15860,"uris":["http://zotero.org/users/7663102/items/IZ8CXXA9"],"itemData":{"id":15860,"type":"article-journal","abstract":"Background. We evaluated the herd protection conferred by an oral cholera vaccine using 2 approaches: cluster design and geographic information system (GIS) design.Methods. Residents living in 3933 dwellings (clusters) in Kolkata, India, were</w:instrText>
      </w:r>
      <w:r w:rsidR="00345AF1">
        <w:rPr>
          <w:rFonts w:hint="eastAsia"/>
        </w:rPr>
        <w:instrText xml:space="preserve"> cluster-randomized to receive either cholera vaccine or oral placebo. Nonpregnant residents aged </w:instrText>
      </w:r>
      <w:r w:rsidR="00345AF1">
        <w:rPr>
          <w:rFonts w:hint="eastAsia"/>
        </w:rPr>
        <w:instrText>≥</w:instrText>
      </w:r>
      <w:r w:rsidR="00345AF1">
        <w:rPr>
          <w:rFonts w:hint="eastAsia"/>
        </w:rPr>
        <w:instrText>1 year were invited to participate in the trial. Only the first episode of cholera detected for a subject between 14 and 1095 days after a second dose was c</w:instrText>
      </w:r>
      <w:r w:rsidR="00345AF1">
        <w:instrText xml:space="preserve">onsidered. In the cluster design, indirect protection was assessed by comparing the incidence of cholera among nonparticipants in vaccine clusters vs those in placebo clusters. In the GIS analysis, herd protection was assessed by evaluating association between vaccine coverage among the population residing within 250 m of the household and the occurrence of cholera in that population.Results. Among 107 347 eligible residents, 66 990 received 2 doses of either cholera vaccine or placebo. In the cluster design, the 3-year data showed significant total protection (66% protection, 95% confidence interval [CI], 50%–78%, P &amp;lt; .01) but no evidence of indirect protection. With the GIS approach, the risk of cholera among placebo recipients was inversely related to neighborhood-level vaccine coverage, and the trend was highly significant (P &amp;lt; .01). This relationship held in multivariable models that also controlled for potentially confounding demographic variables (hazard ratio, 0.94 [95% CI, .90–.98]; P &amp;lt; .01).Conclusions. Indirect protection was evident in analyses using the GIS approach but not the cluster design approach, likely owing to considerable transmission of cholera between clusters, which would vitiate herd protection in the cluster analyses.Clinical Trials Registration. NCT00289224.","container-title":"Clinical Infectious Diseases","DOI":"10.1093/cid/cit009","ISSN":"1058-4838","issue":"8","journalAbbreviation":"Clinical Infectious Diseases","page":"1123-1131","source":"Silverchair","title":"Herd Protection by a Bivalent Killed Whole-Cell Oral Cholera Vaccine in the Slums of Kolkata, India","volume":"56","author":[{"family":"Ali","given":"Mohammad"},{"family":"Sur","given":"Dipika"},{"family":"You","given":"Young Ae"},{"family":"Kanungo","given":"Suman"},{"family":"Sah","given":"Binod"},{"family":"Manna","given":"Byomkesh"},{"family":"Puri","given":"Mahesh"},{"family":"Wierzba","given":"Thomas F."},{"family":"Donner","given":"Allan"},{"family":"Nair","given":"G. Balakrish"},{"family":"Bhattacharya","given":"Sujit K."},{"family":"Dhingra","given":"Mandeep Singh"},{"family":"Deen","given":"Jacqueline L."},{"family":"Lopez","given":"Anna Lena"},{"family":"Clemens","given":"John"}],"issued":{"date-parts":[["2013",4,15]]},"citation-key":"ali2013a"}},{"id":15856,"uris":["http://zotero.org/users/7663102/items/LDTSAHDD"],"itemData":{"id":15856,"type":"article-journal","container-title":"The Lancet","DOI":"10.1016/S0140-6736(05)66550-6","ISSN":"0140-6736, 1474-547X","issue":"9479","journalAbbreviation":"The Lancet","language":"English","note":"publisher: Elsevier\nPMID: 15993232","page":"44-49","source":"www.thelancet.com","title":"Herd immunity conferred by killed oral cholera vaccines in Bangladesh: a reanalysis","title-short":"Herd immunity conferred by killed oral cholera vaccines in Bangladesh","volume":"366","author":[{"family":"Ali","given":"Mohammad"},{"family":"Emch","given":"Michael"},{"family":"Seidlein","given":"Lorenz","dropping-particle":"von"},{"family":"Yunus","given":"Mohammad"},{"family":"Sack","given":"David A."},{"family":"Rao","given":"Malla"},{"family":"Holmgren","given":"Jan"},{"family":"Clemens","given":"John D."}],"issued":{"date-parts":[["2005",7,2]]},"citation-key":"ali2005"}}],"schema":"https://github.com/citation-style-language/schema/raw/master/csl-citation.json"} </w:instrText>
      </w:r>
      <w:r w:rsidR="00C72093">
        <w:fldChar w:fldCharType="separate"/>
      </w:r>
      <w:r w:rsidR="00345AF1" w:rsidRPr="00345AF1">
        <w:rPr>
          <w:rFonts w:cs="Times New Roman"/>
          <w:vertAlign w:val="superscript"/>
        </w:rPr>
        <w:t>80–83</w:t>
      </w:r>
      <w:r w:rsidR="00C72093">
        <w:fldChar w:fldCharType="end"/>
      </w:r>
      <w:r w:rsidR="000A5801" w:rsidRPr="00097432">
        <w:rPr>
          <w:rFonts w:hint="eastAsia"/>
        </w:rPr>
        <w:t xml:space="preserve"> Due to </w:t>
      </w:r>
      <w:r w:rsidR="00253023" w:rsidRPr="00097432">
        <w:rPr>
          <w:rFonts w:hint="eastAsia"/>
        </w:rPr>
        <w:t xml:space="preserve">a </w:t>
      </w:r>
      <w:r w:rsidR="000A5801" w:rsidRPr="00097432">
        <w:rPr>
          <w:rFonts w:hint="eastAsia"/>
        </w:rPr>
        <w:t xml:space="preserve">lack of geographic details for each outbreak and epidemiologic links between the outbreaks, we </w:t>
      </w:r>
      <w:r w:rsidR="00253023" w:rsidRPr="00097432">
        <w:rPr>
          <w:rFonts w:hint="eastAsia"/>
        </w:rPr>
        <w:t xml:space="preserve">could not evaluate </w:t>
      </w:r>
      <w:r w:rsidR="00253023" w:rsidRPr="00097432">
        <w:t>the</w:t>
      </w:r>
      <w:r w:rsidR="00253023" w:rsidRPr="00097432">
        <w:rPr>
          <w:rFonts w:hint="eastAsia"/>
        </w:rPr>
        <w:t xml:space="preserve"> downstream or spatial </w:t>
      </w:r>
      <w:r w:rsidR="002450FE" w:rsidRPr="00097432">
        <w:rPr>
          <w:rFonts w:hint="eastAsia"/>
        </w:rPr>
        <w:t xml:space="preserve">spillover </w:t>
      </w:r>
      <w:r w:rsidR="00253023" w:rsidRPr="00097432">
        <w:rPr>
          <w:rFonts w:hint="eastAsia"/>
        </w:rPr>
        <w:t>effects.</w:t>
      </w:r>
      <w:r w:rsidR="002450FE" w:rsidRPr="00097432">
        <w:t xml:space="preserve"> </w:t>
      </w:r>
      <w:r w:rsidR="0050673E" w:rsidRPr="00097432">
        <w:rPr>
          <w:rFonts w:hint="eastAsia"/>
        </w:rPr>
        <w:t xml:space="preserve">Fourth, </w:t>
      </w:r>
      <w:r w:rsidR="00B1098B" w:rsidRPr="00097432">
        <w:t xml:space="preserve">our reliance on suspected </w:t>
      </w:r>
      <w:r w:rsidR="00783F42" w:rsidRPr="00097432">
        <w:rPr>
          <w:rFonts w:hint="eastAsia"/>
        </w:rPr>
        <w:t xml:space="preserve">rather than confirmed </w:t>
      </w:r>
      <w:r w:rsidR="00B1098B" w:rsidRPr="00097432">
        <w:t xml:space="preserve">cases </w:t>
      </w:r>
      <w:r w:rsidR="00783F42" w:rsidRPr="00097432">
        <w:rPr>
          <w:rFonts w:hint="eastAsia"/>
        </w:rPr>
        <w:t xml:space="preserve">may overestimate </w:t>
      </w:r>
      <w:r w:rsidR="00783F42" w:rsidRPr="00097432">
        <w:t>the</w:t>
      </w:r>
      <w:r w:rsidR="00783F42" w:rsidRPr="00097432">
        <w:rPr>
          <w:rFonts w:hint="eastAsia"/>
        </w:rPr>
        <w:t xml:space="preserve"> vaccine impact </w:t>
      </w:r>
      <w:r w:rsidR="00B1098B" w:rsidRPr="00097432">
        <w:t>given that roughly half may not be true cholera.</w:t>
      </w:r>
      <w:r w:rsidR="00B1098B" w:rsidRPr="00097432">
        <w:fldChar w:fldCharType="begin"/>
      </w:r>
      <w:r w:rsidR="00345AF1">
        <w:instrText xml:space="preserve"> ADDIN ZOTERO_ITEM CSL_CITATION {"citationID":"KkMvIKUf","properties":{"formattedCitation":"\\super 84\\nosupersub{}","plainCitation":"84","noteIndex":0},"citationItems":[{"id":9937,"uris":["http://zotero.org/users/7663102/items/5Y8MIMKK"],"itemData":{"id":9937,"type":"article-journal","abstract":"BACKGROUND: Cholera surveillance relies on clinical diagnosis of acute watery diarrhea. Suspected cholera case definitions have high sensitivity but low specificity, challenging our ability to characterize cholera burden and epidemiology. Our objective was to estimate the proportion of clinically suspected cholera that are true Vibrio cholerae infections and identify factors that explain variation in positivity.\nMETHODS AND FINDINGS: We conducted a systematic r</w:instrText>
      </w:r>
      <w:r w:rsidR="00345AF1">
        <w:rPr>
          <w:rFonts w:hint="eastAsia"/>
        </w:rPr>
        <w:instrText xml:space="preserve">eview of studies that tested </w:instrText>
      </w:r>
      <w:r w:rsidR="00345AF1">
        <w:rPr>
          <w:rFonts w:hint="eastAsia"/>
        </w:rPr>
        <w:instrText>≥</w:instrText>
      </w:r>
      <w:r w:rsidR="00345AF1">
        <w:rPr>
          <w:rFonts w:hint="eastAsia"/>
        </w:rPr>
        <w:instrText>10 suspected cholera cases for V. cholerae O1/O139 using culture, PCR, and/or a rapid diagnostic test. We searched PubMed, Embase, Scopus, and Google Scholar for studies that sampled at least one suspected case between Januar</w:instrText>
      </w:r>
      <w:r w:rsidR="00345AF1">
        <w:instrText xml:space="preserve">y 1, 2000 and April 19, 2023, to reflect contemporary patterns in V. cholerae positivity. We estimated diagnostic test sensitivity and specificity using a latent class meta-analysis. We estimated V. cholerae positivity using a random-effects meta-analysis, adjusting for test performance. We included 119 studies from 30 countries. V. cholerae positivity was lower in studies with representative sampling and in studies that set minimum ages in suspected case definitions. After adjusting for test performance, on average, 52% (95% credible interval (CrI): 24%, 80%) of suspected cases represented true V. cholerae infections. After adjusting for test performance and study methodology, the odds of a suspected case having a true infection were 5.71 (odds ratio 95% CrI: 1.53, 15.43) times higher when surveillance was initiated in response to an outbreak than in non-outbreak settings. Variation across studies was high, and a limitation of our approach was that we were unable to explain all the heterogeneity with study-level attributes, including diagnostic test used, setting, and case definitions.\nCONCLUSIONS: In this study, we found that burden estimates based on suspected cases alone may overestimate the incidence of medically attended cholera by 2-fold. However, accounting for cases missed by traditional clinical surveillance is key to unbiased cholera burden estimates. Given the substantial variability in positivity between settings, extrapolations from suspected to confirmed cases, which is necessary to estimate cholera incidence rates without exhaustive testing, should be based on local data.","container-title":"PLoS medicine","DOI":"10.1371/journal.pmed.1004286","ISSN":"1549-1676","issue":"9","journalAbbreviation":"PLoS Med","language":"eng","note":"PMID: 37708235\nPMCID: PMC10538743","page":"e1004286","source":"PubMed","title":"Estimating the proportion of clinically suspected cholera cases that are true Vibrio cholerae infections: A systematic review and meta-analysis","title-short":"Estimating the proportion of clinically suspected cholera cases that are true Vibrio cholerae infections","volume":"20","author":[{"family":"Wiens","given":"Kirsten E."},{"family":"Xu","given":"Hanmeng"},{"family":"Zou","given":"Kaiyue"},{"family":"Mwaba","given":"John"},{"family":"Lessler","given":"Justin"},{"family":"Malembaka","given":"Espoir Bwenge"},{"family":"Demby","given":"Maya N."},{"family":"Bwire","given":"Godfrey"},{"family":"Qadri","given":"Firdausi"},{"family":"Lee","given":"Elizabeth C."},{"family":"Azman","given":"Andrew S."}],"issued":{"date-parts":[["2023",9]]},"citation-key":"wiensEstimatingProportionClinically2023"}}],"schema":"https://github.com/citation-style-language/schema/raw/master/csl-citation.json"} </w:instrText>
      </w:r>
      <w:r w:rsidR="00B1098B" w:rsidRPr="00097432">
        <w:fldChar w:fldCharType="separate"/>
      </w:r>
      <w:r w:rsidR="00345AF1" w:rsidRPr="00345AF1">
        <w:rPr>
          <w:rFonts w:cs="Times New Roman"/>
          <w:vertAlign w:val="superscript"/>
        </w:rPr>
        <w:t>84</w:t>
      </w:r>
      <w:r w:rsidR="00B1098B" w:rsidRPr="00097432">
        <w:fldChar w:fldCharType="end"/>
      </w:r>
      <w:r w:rsidR="00B1098B" w:rsidRPr="00097432">
        <w:t xml:space="preserve"> </w:t>
      </w:r>
      <w:r w:rsidR="002450FE" w:rsidRPr="00097432">
        <w:rPr>
          <w:rFonts w:hint="eastAsia"/>
        </w:rPr>
        <w:t xml:space="preserve">On the other hand, </w:t>
      </w:r>
      <w:r w:rsidR="00B1098B" w:rsidRPr="00097432">
        <w:t>underreporting of cholera in sub-Saharan Africa may offset this discrepancy</w:t>
      </w:r>
      <w:r w:rsidR="002450FE" w:rsidRPr="00097432">
        <w:fldChar w:fldCharType="begin"/>
      </w:r>
      <w:r w:rsidR="00345AF1">
        <w:instrText xml:space="preserve"> ADDIN ZOTERO_ITEM CSL_CITATION {"citationID":"wwDpVruH","properties":{"formattedCitation":"\\super 85\\nosupersub{}","plainCitation":"85","noteIndex":0},"citationItems":[{"id":15610,"uris":["http://zotero.org/users/7663102/items/ZCTWCSKR"],"itemData":{"id":15610,"type":"article-journal","abstract":"Monitoring and treating diarrheal illness often relies on individuals seeking care at hospitals or clinics. Cases that seek care through pharmacies and community health workers (CHW) are frequently excluded from disease burden estimates, which are used to allocate mitigation resources. Studies on care-seeking behavior can help identify these gaps but typically focus on children under five, even though diarrheal diseases like cholera and Enterotoxigenic E. coli affect all age groups. This study aimed to estimate the proportion of individuals seeking care for themselves or their children with diarrhea, considering different age groups, case definitions, and study settings. We conducted a systematic review of population-based primary research studies published during 2000–2024 that examined care-seeking behavior for diarrhea. We included 166 studies from 62 countries. Hospitals and clinics were the most common source of care sought outside the home, with CHW and health posts rarely reported. Using a random-effects meta-analysis, we found substantial heterogeneity in care-seeking between studies from low- and middle-income countries (I2 = 99.3) and estimated that the proportion of diarrhea cases seeking care at a hospital or clinic was 32.8% on average (95% Confidence Interval (CI) 28.1% to 37.9%; prediction interval 3.3% to 87.5%). Although there were trends toward higher care-seeking for children compared to adults, substantial variation existed between studies, and the differences were not significant. We estimated that the adjusted odds of seeking care at a hospital or clinic were significantly higher for severe diarrhea and cholera compared to general diarrhea (Odds Ratio 3.43; 95% CI 1.71 to 6.88). Our findings confirm that passive surveillance through hospitals and clinics may substantially undercount the number of people with diarrhea, particularly those with milder symptoms, although this proportion varied widely. Additionally, our findings underscore the importance of including care-seeking questions across all age groups in future studies, as we cannot assume lower care-seeking for adults across all settings. Our study was limited by fewer data on care-seeking from health posts, traditional healers, and CHW compared to hospitals and clinics, highlighting a need for further research on these sources of care.","container-title":"PLOS Global Public Health","DOI":"10.1371/journal.pgph.0004483","ISSN":"2767-3375","issue":"4","journalAbbreviation":"PLOS Global Public Health","language":"en","note":"publisher: Public Library of Science","page":"e0004483","source":"PLoS Journals","title":"Care-seeking for diarrheal illness: A systematic review and meta-analysis","title-short":"Care-seeking for diarrheal illness","volume":"5","author":[{"family":"Wiens","given":"Kirsten E."},{"family":"Miller","given":"Marissa H."},{"family":"Costello","given":"Daniel J."},{"family":"Solomon","given":"Ashlynn P."},{"family":"Hilbert","given":"Skye M."},{"family":"Shipper","given":"Andrea G."},{"family":"Lee","given":"Elizabeth C."},{"family":"Azman","given":"Andrew S."}],"issued":{"date-parts":[["2025",4,22]]},"citation-key":"wiens2025"}}],"schema":"https://github.com/citation-style-language/schema/raw/master/csl-citation.json"} </w:instrText>
      </w:r>
      <w:r w:rsidR="002450FE" w:rsidRPr="00097432">
        <w:fldChar w:fldCharType="separate"/>
      </w:r>
      <w:r w:rsidR="00345AF1" w:rsidRPr="00345AF1">
        <w:rPr>
          <w:rFonts w:cs="Times New Roman"/>
          <w:vertAlign w:val="superscript"/>
        </w:rPr>
        <w:t>85</w:t>
      </w:r>
      <w:r w:rsidR="002450FE" w:rsidRPr="00097432">
        <w:fldChar w:fldCharType="end"/>
      </w:r>
      <w:r w:rsidR="00B1098B" w:rsidRPr="00097432">
        <w:rPr>
          <w:rFonts w:hint="eastAsia"/>
        </w:rPr>
        <w:t xml:space="preserve">. </w:t>
      </w:r>
      <w:r w:rsidR="00BC331E">
        <w:rPr>
          <w:rFonts w:hint="eastAsia"/>
        </w:rPr>
        <w:t>Fifth</w:t>
      </w:r>
      <w:r w:rsidR="00A66B7D" w:rsidRPr="00097432">
        <w:t xml:space="preserve">, we assumed that ORIs did not occur if the delay in implementation exceeded the duration of the </w:t>
      </w:r>
      <w:proofErr w:type="gramStart"/>
      <w:r w:rsidR="00A66B7D" w:rsidRPr="00097432">
        <w:t>outbreak—that is</w:t>
      </w:r>
      <w:proofErr w:type="gramEnd"/>
      <w:r w:rsidR="00A66B7D" w:rsidRPr="00097432">
        <w:t xml:space="preserve">, if the outbreak had ended before the ORI was initiated. However, in real-world settings, it is often difficult to determine in real time whether an outbreak has concluded. Under this alternative scenario, </w:t>
      </w:r>
      <w:r w:rsidR="00A66B7D" w:rsidRPr="00097432">
        <w:lastRenderedPageBreak/>
        <w:t>the estimated impact of ORIs declined more sharply</w:t>
      </w:r>
      <w:r w:rsidR="001C39C3">
        <w:rPr>
          <w:rFonts w:hint="eastAsia"/>
        </w:rPr>
        <w:t>, as expected from the fact that zero-impact ORIs are included in the calculation</w:t>
      </w:r>
      <w:r w:rsidR="00A66B7D" w:rsidRPr="00097432">
        <w:t>: the median percentage reduction in cases with a 9-week delay dropped from 12.</w:t>
      </w:r>
      <w:r w:rsidR="001C39C3">
        <w:rPr>
          <w:rFonts w:hint="eastAsia"/>
        </w:rPr>
        <w:t>3</w:t>
      </w:r>
      <w:r w:rsidR="00A66B7D" w:rsidRPr="00097432">
        <w:t>% in the main scenario to 2.7% in the alternative.</w:t>
      </w:r>
      <w:r w:rsidR="00A66B7D" w:rsidRPr="00097432">
        <w:rPr>
          <w:rFonts w:hint="eastAsia"/>
        </w:rPr>
        <w:t xml:space="preserve"> </w:t>
      </w:r>
      <w:r w:rsidR="00BC331E">
        <w:rPr>
          <w:rFonts w:hint="eastAsia"/>
        </w:rPr>
        <w:t xml:space="preserve">Finally, </w:t>
      </w:r>
      <w:r w:rsidR="00BC331E" w:rsidRPr="00097432">
        <w:t xml:space="preserve">our estimates are contingent on the outbreak dataset used, which is based on a specific outbreak definition that is not universally accepted and may vary by context. Applying alternative outbreak criteria could yield different datasets and, consequently, different estimates of vaccine impact. </w:t>
      </w:r>
      <w:r w:rsidR="00BC331E">
        <w:rPr>
          <w:rFonts w:hint="eastAsia"/>
        </w:rPr>
        <w:t>T</w:t>
      </w:r>
      <w:r w:rsidR="00A66B7D" w:rsidRPr="00097432">
        <w:t>he main analysis excluded outbreaks that were either too small or too large, based on the population sizes commonly observed in historical OCV campaigns. While this filtering was appropriate for retrospective evaluation, such thresholds may not be applicable to future scenarios. To explore a broader range of outbreak settings, we relaxed these criteria and included outbreaks occurring in populations between 5,000 and 15,000,000, instead of the original range of 16,500 to 5,000,000. Under this more inclusive scenario, the median and interquartile ranges remained largely unchanged (</w:t>
      </w:r>
      <w:r w:rsidR="00A66B7D" w:rsidRPr="00097432">
        <w:rPr>
          <w:b/>
          <w:bCs/>
        </w:rPr>
        <w:t>Table S</w:t>
      </w:r>
      <w:r w:rsidR="00943796">
        <w:rPr>
          <w:rFonts w:hint="eastAsia"/>
          <w:b/>
          <w:bCs/>
        </w:rPr>
        <w:t>4</w:t>
      </w:r>
      <w:r w:rsidR="00A66B7D" w:rsidRPr="00097432">
        <w:t>).</w:t>
      </w:r>
    </w:p>
    <w:p w14:paraId="00000184" w14:textId="5616D693" w:rsidR="00E7552A" w:rsidRPr="00097432" w:rsidRDefault="00E1583D" w:rsidP="00F57F15">
      <w:pPr>
        <w:pStyle w:val="Heading2"/>
      </w:pPr>
      <w:bookmarkStart w:id="32" w:name="_Toc184909210"/>
      <w:r w:rsidRPr="00097432">
        <w:t>Conclusion</w:t>
      </w:r>
      <w:bookmarkEnd w:id="32"/>
    </w:p>
    <w:p w14:paraId="706FECB7" w14:textId="16818F4E" w:rsidR="00A518A8" w:rsidRPr="00097432" w:rsidRDefault="00676EFF" w:rsidP="00F57F15">
      <w:r w:rsidRPr="00097432">
        <w:t>This study provides important insights into the effectiveness of outbreak response immunizations (ORIs) across a broad range of cholera outbreak scenarios in sub-Saharan Africa. Our findings underscore the critical importance of timely intervention and strategic outbreak prioritization to maximize vaccine impact. Looking ahead, advances in predictive modeling, the integration of real-time surveillance data, and the development of more flexible and targeted vaccine deployment strategies will be essential. These improvements can support more efficient, data-driven outbreak responses and contribute meaningfully to global cholera control and elimination efforts.</w:t>
      </w:r>
    </w:p>
    <w:p w14:paraId="1627E690" w14:textId="77777777" w:rsidR="00554F75" w:rsidRPr="00097432" w:rsidRDefault="00554F75" w:rsidP="00F57F15"/>
    <w:p w14:paraId="2CD903ED" w14:textId="1269BE01" w:rsidR="00554F75" w:rsidRPr="00097432" w:rsidRDefault="00554F75" w:rsidP="005107E2">
      <w:pPr>
        <w:pStyle w:val="Heading2"/>
      </w:pPr>
      <w:r w:rsidRPr="00097432">
        <w:rPr>
          <w:rFonts w:hint="eastAsia"/>
        </w:rPr>
        <w:lastRenderedPageBreak/>
        <w:t>Acknowledgement</w:t>
      </w:r>
    </w:p>
    <w:p w14:paraId="02AC0827" w14:textId="0B4DF21B" w:rsidR="00554F75" w:rsidRPr="00097432" w:rsidRDefault="00554F75" w:rsidP="00F57F15">
      <w:r w:rsidRPr="00097432">
        <w:t>This work was supported, in whole or in part, by the Bill &amp; Melinda Gates Foundation [INV-009125]. The conclusions and opinions expressed in this work are those of the authors alone and shall not be attributed to the Foundation. Under the grant conditions of the Foundation, a Creative Commons Attribution 4.0 License has already been assigned to the Author Accepted Manuscript version that might arise from this submission. Please note works submitted as a preprint have not undergone a peer review process.</w:t>
      </w:r>
    </w:p>
    <w:p w14:paraId="24986659" w14:textId="77777777" w:rsidR="008A1FE1" w:rsidRPr="00097432" w:rsidRDefault="008A1FE1" w:rsidP="00F57F15"/>
    <w:p w14:paraId="769E0BF6" w14:textId="4846D4E0" w:rsidR="008A1FE1" w:rsidRPr="00097432" w:rsidRDefault="008A1FE1" w:rsidP="008A1FE1">
      <w:pPr>
        <w:pStyle w:val="Heading2"/>
      </w:pPr>
      <w:r w:rsidRPr="00097432">
        <w:rPr>
          <w:rFonts w:hint="eastAsia"/>
        </w:rPr>
        <w:t xml:space="preserve">Author contributions </w:t>
      </w:r>
    </w:p>
    <w:p w14:paraId="2C4BB696" w14:textId="492F0250" w:rsidR="008A1FE1" w:rsidRPr="00097432" w:rsidRDefault="0059032A" w:rsidP="00F57F15">
      <w:r w:rsidRPr="00097432">
        <w:rPr>
          <w:rFonts w:hint="eastAsia"/>
        </w:rPr>
        <w:t xml:space="preserve">J-HK and ECL </w:t>
      </w:r>
      <w:r w:rsidR="008A1FE1" w:rsidRPr="00097432">
        <w:t>concept</w:t>
      </w:r>
      <w:r w:rsidRPr="00097432">
        <w:rPr>
          <w:rFonts w:hint="eastAsia"/>
        </w:rPr>
        <w:t xml:space="preserve">ualized the study. </w:t>
      </w:r>
      <w:r w:rsidR="008A1FE1" w:rsidRPr="00097432">
        <w:t>J-HK led the study design</w:t>
      </w:r>
      <w:r w:rsidRPr="00097432">
        <w:rPr>
          <w:rFonts w:hint="eastAsia"/>
        </w:rPr>
        <w:t xml:space="preserve"> and an</w:t>
      </w:r>
      <w:r w:rsidR="008A1FE1" w:rsidRPr="00097432">
        <w:t>alysis</w:t>
      </w:r>
      <w:r w:rsidR="00EA5ACA" w:rsidRPr="00097432">
        <w:rPr>
          <w:rFonts w:hint="eastAsia"/>
        </w:rPr>
        <w:t>.</w:t>
      </w:r>
      <w:r w:rsidR="00977519" w:rsidRPr="00097432">
        <w:t xml:space="preserve"> J-HK </w:t>
      </w:r>
      <w:r w:rsidR="008A1FE1" w:rsidRPr="00097432">
        <w:t>and</w:t>
      </w:r>
      <w:r w:rsidR="00977519" w:rsidRPr="00097432">
        <w:rPr>
          <w:rFonts w:hint="eastAsia"/>
        </w:rPr>
        <w:t xml:space="preserve"> MD </w:t>
      </w:r>
      <w:r w:rsidR="008A1FE1" w:rsidRPr="00097432">
        <w:t xml:space="preserve">performed the statistical analysis </w:t>
      </w:r>
      <w:r w:rsidR="00977519" w:rsidRPr="00097432">
        <w:rPr>
          <w:rFonts w:hint="eastAsia"/>
        </w:rPr>
        <w:t xml:space="preserve">and </w:t>
      </w:r>
      <w:r w:rsidR="00977519" w:rsidRPr="00097432">
        <w:t>drafted the initial manuscript</w:t>
      </w:r>
      <w:r w:rsidR="008A1FE1" w:rsidRPr="00097432">
        <w:t xml:space="preserve">. ECL </w:t>
      </w:r>
      <w:r w:rsidR="00977519" w:rsidRPr="00097432">
        <w:rPr>
          <w:rFonts w:hint="eastAsia"/>
        </w:rPr>
        <w:t>and QZ collected</w:t>
      </w:r>
      <w:r w:rsidR="002C7D9B">
        <w:rPr>
          <w:rFonts w:hint="eastAsia"/>
        </w:rPr>
        <w:t xml:space="preserve"> </w:t>
      </w:r>
      <w:r w:rsidR="002C7D9B" w:rsidRPr="002C7D9B">
        <w:rPr>
          <w:rFonts w:hint="eastAsia"/>
          <w:highlight w:val="yellow"/>
        </w:rPr>
        <w:t>and prepared</w:t>
      </w:r>
      <w:r w:rsidR="00977519" w:rsidRPr="002C7D9B">
        <w:rPr>
          <w:rFonts w:hint="eastAsia"/>
          <w:highlight w:val="yellow"/>
        </w:rPr>
        <w:t xml:space="preserve"> the data</w:t>
      </w:r>
      <w:r w:rsidR="002C7D9B" w:rsidRPr="002C7D9B">
        <w:rPr>
          <w:rFonts w:hint="eastAsia"/>
          <w:highlight w:val="yellow"/>
        </w:rPr>
        <w:t xml:space="preserve"> for analysis</w:t>
      </w:r>
      <w:r w:rsidR="00977519" w:rsidRPr="00097432">
        <w:rPr>
          <w:rFonts w:hint="eastAsia"/>
        </w:rPr>
        <w:t xml:space="preserve">. </w:t>
      </w:r>
      <w:r w:rsidRPr="00097432">
        <w:rPr>
          <w:rFonts w:hint="eastAsia"/>
        </w:rPr>
        <w:t>ECL</w:t>
      </w:r>
      <w:r w:rsidR="00376D9C" w:rsidRPr="00097432">
        <w:rPr>
          <w:rFonts w:hint="eastAsia"/>
        </w:rPr>
        <w:t>, A</w:t>
      </w:r>
      <w:r w:rsidR="004F4187" w:rsidRPr="00097432">
        <w:rPr>
          <w:rFonts w:hint="eastAsia"/>
        </w:rPr>
        <w:t>S</w:t>
      </w:r>
      <w:r w:rsidR="00376D9C" w:rsidRPr="00097432">
        <w:rPr>
          <w:rFonts w:hint="eastAsia"/>
        </w:rPr>
        <w:t>A,</w:t>
      </w:r>
      <w:r w:rsidRPr="00097432">
        <w:rPr>
          <w:rFonts w:hint="eastAsia"/>
        </w:rPr>
        <w:t xml:space="preserve"> </w:t>
      </w:r>
      <w:r w:rsidR="008A1FE1" w:rsidRPr="00097432">
        <w:t xml:space="preserve">and </w:t>
      </w:r>
      <w:r w:rsidR="00C57E2D">
        <w:rPr>
          <w:rFonts w:hint="eastAsia"/>
        </w:rPr>
        <w:t>JHK</w:t>
      </w:r>
      <w:r w:rsidR="00977519" w:rsidRPr="00097432">
        <w:rPr>
          <w:rFonts w:hint="eastAsia"/>
        </w:rPr>
        <w:t xml:space="preserve"> </w:t>
      </w:r>
      <w:r w:rsidR="008A1FE1" w:rsidRPr="00097432">
        <w:t>provided critical input on methodology. MD conducted the literature review. All authors participated in the interpretation of the findings, critically reviewed the manuscript for intellectual content, and approved the final version for submission.</w:t>
      </w:r>
    </w:p>
    <w:p w14:paraId="000001B7" w14:textId="4D4576F2" w:rsidR="00E7552A" w:rsidRPr="00097432" w:rsidRDefault="0091383D" w:rsidP="00F57F15">
      <w:pPr>
        <w:pStyle w:val="Heading2"/>
        <w:rPr>
          <w:lang w:val="de-DE"/>
        </w:rPr>
      </w:pPr>
      <w:bookmarkStart w:id="33" w:name="_heading=h.2xcytpi" w:colFirst="0" w:colLast="0"/>
      <w:bookmarkStart w:id="34" w:name="_Toc184909211"/>
      <w:bookmarkEnd w:id="33"/>
      <w:r w:rsidRPr="00097432">
        <w:rPr>
          <w:lang w:val="de-DE"/>
        </w:rPr>
        <w:t>Reference</w:t>
      </w:r>
      <w:r w:rsidR="004F6579" w:rsidRPr="00097432">
        <w:rPr>
          <w:lang w:val="de-DE"/>
        </w:rPr>
        <w:t>s</w:t>
      </w:r>
      <w:bookmarkEnd w:id="34"/>
    </w:p>
    <w:p w14:paraId="78E684C6" w14:textId="77777777" w:rsidR="00345AF1" w:rsidRDefault="0091469E" w:rsidP="00345AF1">
      <w:pPr>
        <w:pStyle w:val="Bibliography"/>
      </w:pPr>
      <w:r w:rsidRPr="00097432">
        <w:rPr>
          <w:lang w:val="de-DE"/>
        </w:rPr>
        <w:fldChar w:fldCharType="begin"/>
      </w:r>
      <w:r w:rsidR="00FD2750" w:rsidRPr="00097432">
        <w:rPr>
          <w:lang w:val="de-DE"/>
        </w:rPr>
        <w:instrText xml:space="preserve"> ADDIN ZOTERO_BIBL {"uncited":[],"omitted":[],"custom":[]} CSL_BIBLIOGRAPHY </w:instrText>
      </w:r>
      <w:r w:rsidRPr="00097432">
        <w:rPr>
          <w:lang w:val="de-DE"/>
        </w:rPr>
        <w:fldChar w:fldCharType="separate"/>
      </w:r>
      <w:r w:rsidR="00345AF1" w:rsidRPr="00345AF1">
        <w:rPr>
          <w:lang w:val="de-DE"/>
        </w:rPr>
        <w:t xml:space="preserve">1. </w:t>
      </w:r>
      <w:r w:rsidR="00345AF1" w:rsidRPr="00345AF1">
        <w:rPr>
          <w:lang w:val="de-DE"/>
        </w:rPr>
        <w:tab/>
        <w:t xml:space="preserve">Finger F, Bertuzzo E, Luquero FJ, Naibei N, Touré B, Allan M, et al. </w:t>
      </w:r>
      <w:r w:rsidR="00345AF1">
        <w:t xml:space="preserve">The potential impact of case-area targeted interventions in response to cholera outbreaks: A modeling study. Von Seidlein L, editor. PLOS Med. 2018 Feb 27;15(2):e1002509. </w:t>
      </w:r>
    </w:p>
    <w:p w14:paraId="3E808D66" w14:textId="77777777" w:rsidR="00345AF1" w:rsidRDefault="00345AF1" w:rsidP="00345AF1">
      <w:pPr>
        <w:pStyle w:val="Bibliography"/>
      </w:pPr>
      <w:r>
        <w:t xml:space="preserve">2. </w:t>
      </w:r>
      <w:r>
        <w:tab/>
        <w:t xml:space="preserve">Mukandavire Z, Manangazira P, Nyabadza F, Cuadros DF, Musuka G, Morris JG. Stemming cholera tides in Zimbabwe through mass vaccination. Int J Infect Dis. 2020 Jul;96:222–7. </w:t>
      </w:r>
    </w:p>
    <w:p w14:paraId="64BD6A6E" w14:textId="77777777" w:rsidR="00345AF1" w:rsidRDefault="00345AF1" w:rsidP="00345AF1">
      <w:pPr>
        <w:pStyle w:val="Bibliography"/>
      </w:pPr>
      <w:r>
        <w:t xml:space="preserve">3. </w:t>
      </w:r>
      <w:r>
        <w:tab/>
        <w:t xml:space="preserve">Dimitrov DT, Troeger C, Halloran ME, Longini IM, Chao DL. Comparative Effectiveness of Different Strategies of Oral Cholera Vaccination in Bangladesh: A Modeling Study. Baker S, editor. PLoS Negl Trop Dis. 2014 Dec 4;8(12):e3343. </w:t>
      </w:r>
    </w:p>
    <w:p w14:paraId="51A8D8C6" w14:textId="77777777" w:rsidR="00345AF1" w:rsidRDefault="00345AF1" w:rsidP="00345AF1">
      <w:pPr>
        <w:pStyle w:val="Bibliography"/>
      </w:pPr>
      <w:r>
        <w:t xml:space="preserve">4. </w:t>
      </w:r>
      <w:r>
        <w:tab/>
        <w:t xml:space="preserve">Khan AI, Levin A, Chao DL, DeRoeck D, Dimitrov DT, Khan JAM, et al. The impact and cost-effectiveness of controlling cholera through the use of oral cholera vaccines in </w:t>
      </w:r>
      <w:r>
        <w:lastRenderedPageBreak/>
        <w:t xml:space="preserve">urban Bangladesh: A disease modeling and economic analysis. Maheu-Giroux M, editor. PLoS Negl Trop Dis. 2018 Oct 9;12(10):e0006652. </w:t>
      </w:r>
    </w:p>
    <w:p w14:paraId="55910376" w14:textId="77777777" w:rsidR="00345AF1" w:rsidRDefault="00345AF1" w:rsidP="00345AF1">
      <w:pPr>
        <w:pStyle w:val="Bibliography"/>
      </w:pPr>
      <w:r>
        <w:t xml:space="preserve">5. </w:t>
      </w:r>
      <w:r>
        <w:tab/>
        <w:t xml:space="preserve">Lee EC, Chao DL, Lemaitre JC, Matrajt L, Pasetto D, Perez-Saez J, et al. Achieving coordinated national immunity and cholera elimination in Haiti through vaccination: a modelling study. Lancet Glob Health. 2020 Aug;8(8):e1081–9. </w:t>
      </w:r>
    </w:p>
    <w:p w14:paraId="373EB669" w14:textId="77777777" w:rsidR="00345AF1" w:rsidRDefault="00345AF1" w:rsidP="00345AF1">
      <w:pPr>
        <w:pStyle w:val="Bibliography"/>
      </w:pPr>
      <w:r>
        <w:t xml:space="preserve">6. </w:t>
      </w:r>
      <w:r>
        <w:tab/>
        <w:t xml:space="preserve">Chao DL, Halloran ME, Longini IM. Vaccination strategies for epidemic cholera in Haiti with implications for the developing world. Proc Natl Acad Sci. 2011 Apr 26;108(17):7081–5. </w:t>
      </w:r>
    </w:p>
    <w:p w14:paraId="7BE8AD3D" w14:textId="77777777" w:rsidR="00345AF1" w:rsidRDefault="00345AF1" w:rsidP="00345AF1">
      <w:pPr>
        <w:pStyle w:val="Bibliography"/>
      </w:pPr>
      <w:r>
        <w:t xml:space="preserve">7. </w:t>
      </w:r>
      <w:r>
        <w:tab/>
        <w:t xml:space="preserve">Kirpich A, Weppelmann TA, Yang Y, Morris JG, Longini IM. Controlling cholera in the Ouest Department of Haiti using oral vaccines. Coudeville L, editor. PLoS Negl Trop Dis. 2017 Apr 14;11(4):e0005482. </w:t>
      </w:r>
    </w:p>
    <w:p w14:paraId="284AE7DC" w14:textId="77777777" w:rsidR="00345AF1" w:rsidRDefault="00345AF1" w:rsidP="00345AF1">
      <w:pPr>
        <w:pStyle w:val="Bibliography"/>
      </w:pPr>
      <w:r>
        <w:t xml:space="preserve">8. </w:t>
      </w:r>
      <w:r>
        <w:tab/>
        <w:t xml:space="preserve">Havumaki J, Meza R, Phares CR, Date K, Eisenberg MC. Comparing alternative cholera vaccination strategies in Maela refugee camp: using a transmission model in public health practice. BMC Infect Dis. 2019 Dec;19(1):1075. </w:t>
      </w:r>
    </w:p>
    <w:p w14:paraId="5CADAF92" w14:textId="77777777" w:rsidR="00345AF1" w:rsidRDefault="00345AF1" w:rsidP="00345AF1">
      <w:pPr>
        <w:pStyle w:val="Bibliography"/>
      </w:pPr>
      <w:r>
        <w:t xml:space="preserve">9. </w:t>
      </w:r>
      <w:r>
        <w:tab/>
        <w:t xml:space="preserve">Peak CM, Reilly AL, Azman AS, Buckee CO. Prolonging herd immunity to cholera via vaccination: Accounting for human mobility and waning vaccine effects. Marks F, editor. PLoS Negl Trop Dis. 2018 Feb 28;12(2):e0006257. </w:t>
      </w:r>
    </w:p>
    <w:p w14:paraId="0E356D47" w14:textId="77777777" w:rsidR="00345AF1" w:rsidRDefault="00345AF1" w:rsidP="00345AF1">
      <w:pPr>
        <w:pStyle w:val="Bibliography"/>
      </w:pPr>
      <w:r>
        <w:t xml:space="preserve">10. </w:t>
      </w:r>
      <w:r>
        <w:tab/>
        <w:t xml:space="preserve">Azman AS, Luquero FJ, Rodrigues A, Palma PP, Grais RF, Banga CN, et al. Urban Cholera Transmission Hotspots and Their Implications for Reactive Vaccination: Evidence from Bissau City, Guinea Bissau. Vinetz JM, editor. PLoS Negl Trop Dis. 2012 Nov 8;6(11):e1901. </w:t>
      </w:r>
    </w:p>
    <w:p w14:paraId="32ADEC39" w14:textId="77777777" w:rsidR="00345AF1" w:rsidRDefault="00345AF1" w:rsidP="00345AF1">
      <w:pPr>
        <w:pStyle w:val="Bibliography"/>
      </w:pPr>
      <w:r>
        <w:t xml:space="preserve">11. </w:t>
      </w:r>
      <w:r>
        <w:tab/>
        <w:t xml:space="preserve">Longini IM, Nizam A, Ali M, Yunus M, Shenvi N, Clemens JD. Controlling Endemic Cholera with Oral Vaccines. Von Seidlein L, editor. PLoS Med. 2007 Nov 27;4(11):e336. </w:t>
      </w:r>
    </w:p>
    <w:p w14:paraId="554C1FB9" w14:textId="77777777" w:rsidR="00345AF1" w:rsidRDefault="00345AF1" w:rsidP="00345AF1">
      <w:pPr>
        <w:pStyle w:val="Bibliography"/>
      </w:pPr>
      <w:r>
        <w:t xml:space="preserve">12. </w:t>
      </w:r>
      <w:r>
        <w:tab/>
        <w:t xml:space="preserve">Smalley HK, Keskinocak P, Swann J, Hinman A. Optimized oral cholera vaccine distribution strategies to minimize disease incidence: A mixed integer programming model and analysis of a Bangladesh scenario. Vaccine. 2015 Nov;33(46):6218–23. </w:t>
      </w:r>
    </w:p>
    <w:p w14:paraId="6469CDF4" w14:textId="77777777" w:rsidR="00345AF1" w:rsidRDefault="00345AF1" w:rsidP="00345AF1">
      <w:pPr>
        <w:pStyle w:val="Bibliography"/>
      </w:pPr>
      <w:r>
        <w:t xml:space="preserve">13. </w:t>
      </w:r>
      <w:r>
        <w:tab/>
        <w:t xml:space="preserve">Azman AS, Lessler J. Reactive vaccination in the presence of disease hotspots. Proc R Soc B Biol Sci. 2015 Jan 7;282(1798):20141341. </w:t>
      </w:r>
    </w:p>
    <w:p w14:paraId="4A0EEA00" w14:textId="77777777" w:rsidR="00345AF1" w:rsidRDefault="00345AF1" w:rsidP="00345AF1">
      <w:pPr>
        <w:pStyle w:val="Bibliography"/>
      </w:pPr>
      <w:r>
        <w:t xml:space="preserve">14. </w:t>
      </w:r>
      <w:r>
        <w:tab/>
        <w:t xml:space="preserve">Leung T, Eaton J, Matrajt L. Optimizing one-dose and two-dose cholera vaccine allocation in outbreak settings: A modeling study. Fleckenstein JM, editor. PLoS Negl Trop Dis. 2022 Apr 20;16(4):e0010358. </w:t>
      </w:r>
    </w:p>
    <w:p w14:paraId="3933CC1B" w14:textId="77777777" w:rsidR="00345AF1" w:rsidRDefault="00345AF1" w:rsidP="00345AF1">
      <w:pPr>
        <w:pStyle w:val="Bibliography"/>
      </w:pPr>
      <w:r>
        <w:t xml:space="preserve">15. </w:t>
      </w:r>
      <w:r>
        <w:tab/>
        <w:t xml:space="preserve">Azman AS, Luquero FJ, Ciglenecki I, Grais RF, Sack DA, Lessler J. The Impact of a One-Dose versus Two-Dose Oral Cholera Vaccine Regimen in Outbreak Settings: A Modeling Study. Kretzschmar MEE, editor. PLOS Med. 2015 Aug 25;12(8):e1001867. </w:t>
      </w:r>
    </w:p>
    <w:p w14:paraId="1329F3F0" w14:textId="77777777" w:rsidR="00345AF1" w:rsidRPr="00345AF1" w:rsidRDefault="00345AF1" w:rsidP="00345AF1">
      <w:pPr>
        <w:pStyle w:val="Bibliography"/>
        <w:rPr>
          <w:lang w:val="de-DE"/>
        </w:rPr>
      </w:pPr>
      <w:r>
        <w:lastRenderedPageBreak/>
        <w:t xml:space="preserve">16. </w:t>
      </w:r>
      <w:r>
        <w:tab/>
        <w:t xml:space="preserve">Kim JH, Mogasale V, Burgess C, Wierzba TF. Impact of oral cholera vaccines in cholera-endemic countries: A mathematical modeling study. </w:t>
      </w:r>
      <w:r w:rsidRPr="00345AF1">
        <w:rPr>
          <w:lang w:val="de-DE"/>
        </w:rPr>
        <w:t xml:space="preserve">Vaccine. 2016 Apr;34(18):2113–20. </w:t>
      </w:r>
    </w:p>
    <w:p w14:paraId="4B8006A5" w14:textId="77777777" w:rsidR="00345AF1" w:rsidRDefault="00345AF1" w:rsidP="00345AF1">
      <w:pPr>
        <w:pStyle w:val="Bibliography"/>
      </w:pPr>
      <w:r w:rsidRPr="00345AF1">
        <w:rPr>
          <w:lang w:val="de-DE"/>
        </w:rPr>
        <w:t xml:space="preserve">17. </w:t>
      </w:r>
      <w:r w:rsidRPr="00345AF1">
        <w:rPr>
          <w:lang w:val="de-DE"/>
        </w:rPr>
        <w:tab/>
        <w:t xml:space="preserve">Xu H, Zou K, Dent J, Wiens KE, Malembaka EB, Bwire G, et al. </w:t>
      </w:r>
      <w:r>
        <w:t>Enhanced cholera surveillance to improve vaccination campaign efficiency. Nat Med [Internet]. 2024 Mar 5 [cited 2024 Apr 16]; Available from: https://www.nature.com/articles/s41591-024-02852-8</w:t>
      </w:r>
    </w:p>
    <w:p w14:paraId="098BB439" w14:textId="77777777" w:rsidR="00345AF1" w:rsidRDefault="00345AF1" w:rsidP="00345AF1">
      <w:pPr>
        <w:pStyle w:val="Bibliography"/>
      </w:pPr>
      <w:r>
        <w:t xml:space="preserve">18. </w:t>
      </w:r>
      <w:r>
        <w:tab/>
        <w:t xml:space="preserve">Kaper JB, Morris JG, Levine MM. Cholera. Clin Microbiol Rev. 1995 Jan;8(1):48–86. </w:t>
      </w:r>
    </w:p>
    <w:p w14:paraId="4F8D9EBC" w14:textId="77777777" w:rsidR="00345AF1" w:rsidRDefault="00345AF1" w:rsidP="00345AF1">
      <w:pPr>
        <w:pStyle w:val="Bibliography"/>
      </w:pPr>
      <w:r>
        <w:t xml:space="preserve">19. </w:t>
      </w:r>
      <w:r>
        <w:tab/>
        <w:t xml:space="preserve">Sikder M, Deshpande A, Hegde ST, Malembaka EB, Gallandat K, Reiner RC, et al. Water, Sanitation, and Cholera in Sub-Saharan Africa. Environ Sci Technol. 2023 Jul 18;57(28):10185–92. </w:t>
      </w:r>
    </w:p>
    <w:p w14:paraId="070F7CB3" w14:textId="77777777" w:rsidR="00345AF1" w:rsidRDefault="00345AF1" w:rsidP="00345AF1">
      <w:pPr>
        <w:pStyle w:val="Bibliography"/>
      </w:pPr>
      <w:r>
        <w:t xml:space="preserve">20. </w:t>
      </w:r>
      <w:r>
        <w:tab/>
        <w:t xml:space="preserve">Ali M, Nelson AR, Lopez AL, Sack DA. Updated Global Burden of Cholera in Endemic Countries. PLoS Negl Trop Dis. 2015 Jun 4;9(6):e0003832. </w:t>
      </w:r>
    </w:p>
    <w:p w14:paraId="782F8FCD" w14:textId="77777777" w:rsidR="00345AF1" w:rsidRDefault="00345AF1" w:rsidP="00345AF1">
      <w:pPr>
        <w:pStyle w:val="Bibliography"/>
      </w:pPr>
      <w:r>
        <w:t xml:space="preserve">21. </w:t>
      </w:r>
      <w:r>
        <w:tab/>
        <w:t xml:space="preserve">Clemens JD, Nair GB, Ahmed T, Qadri F, Holmgren J. Cholera. Lancet Lond Engl. 2017 Sep 23;390(10101):1539–49. </w:t>
      </w:r>
    </w:p>
    <w:p w14:paraId="53ACB531" w14:textId="77777777" w:rsidR="00345AF1" w:rsidRDefault="00345AF1" w:rsidP="00345AF1">
      <w:pPr>
        <w:pStyle w:val="Bibliography"/>
      </w:pPr>
      <w:r>
        <w:t xml:space="preserve">22. </w:t>
      </w:r>
      <w:r>
        <w:tab/>
        <w:t xml:space="preserve">Lessler J, Moore SM, Luquero FJ, McKay HS, Grais R, Henkens M, et al. Mapping the burden of cholera in sub-Saharan Africa and implications for control: an analysis of data across geographical scales. Lancet Lond Engl. 2018 May 12;391(10133):1908–15. </w:t>
      </w:r>
    </w:p>
    <w:p w14:paraId="23AFED3F" w14:textId="77777777" w:rsidR="00345AF1" w:rsidRDefault="00345AF1" w:rsidP="00345AF1">
      <w:pPr>
        <w:pStyle w:val="Bibliography"/>
      </w:pPr>
      <w:r>
        <w:t xml:space="preserve">23. </w:t>
      </w:r>
      <w:r>
        <w:tab/>
        <w:t xml:space="preserve">Zheng Q, Luquero FJ, Ciglenecki I, Wamala JF, Abubakar A, Welo P, et al. Cholera outbreaks in sub-Saharan Africa during 2010-2019: a descriptive analysis. Int J Infect Dis. 2022 Sep 1;122:215–21. </w:t>
      </w:r>
    </w:p>
    <w:p w14:paraId="2F2D5890" w14:textId="77777777" w:rsidR="00345AF1" w:rsidRDefault="00345AF1" w:rsidP="00345AF1">
      <w:pPr>
        <w:pStyle w:val="Bibliography"/>
      </w:pPr>
      <w:r>
        <w:t xml:space="preserve">24. </w:t>
      </w:r>
      <w:r>
        <w:tab/>
        <w:t xml:space="preserve">Yen C, Hyde TB, Costa AJ, Fernandez K, Tam JS, Hugonnet S, et al. The development of global vaccine stockpiles. Lancet Infect Dis. 2015 Mar 1;15(3):340–7. </w:t>
      </w:r>
    </w:p>
    <w:p w14:paraId="79AB5B82" w14:textId="77777777" w:rsidR="00345AF1" w:rsidRDefault="00345AF1" w:rsidP="00345AF1">
      <w:pPr>
        <w:pStyle w:val="Bibliography"/>
      </w:pPr>
      <w:r>
        <w:t xml:space="preserve">25. </w:t>
      </w:r>
      <w:r>
        <w:tab/>
        <w:t>Global Task Force on Cholera Control. GTFCC OCV Dashboard [Internet]. Available from: https://apps.epicentre-msf.org/public/app/gtfcc</w:t>
      </w:r>
    </w:p>
    <w:p w14:paraId="3DE28A34" w14:textId="77777777" w:rsidR="00345AF1" w:rsidRDefault="00345AF1" w:rsidP="00345AF1">
      <w:pPr>
        <w:pStyle w:val="Bibliography"/>
      </w:pPr>
      <w:r>
        <w:t xml:space="preserve">26. </w:t>
      </w:r>
      <w:r>
        <w:tab/>
        <w:t xml:space="preserve">Lee EC, Azman AS, Kaminsky J, Moore SM, McKay HS, Lessler J. The projected impact of geographic targeting of oral cholera vaccination in sub-Saharan Africa: A modeling study. PLoS Med. 2019 Dec;16(12):e1003003. </w:t>
      </w:r>
    </w:p>
    <w:p w14:paraId="36DCD006" w14:textId="77777777" w:rsidR="00345AF1" w:rsidRDefault="00345AF1" w:rsidP="00345AF1">
      <w:pPr>
        <w:pStyle w:val="Bibliography"/>
      </w:pPr>
      <w:r>
        <w:t xml:space="preserve">27. </w:t>
      </w:r>
      <w:r>
        <w:tab/>
        <w:t xml:space="preserve">Perez-Saez J, Lessler J, Lee EC, Luquero FJ, Malembaka EB, Finger F, et al. The seasonality of cholera in sub-Saharan Africa: a statistical modelling study. Lancet Glob Health. 2022 Jun 1;10(6):e831–9. </w:t>
      </w:r>
    </w:p>
    <w:p w14:paraId="50253592" w14:textId="77777777" w:rsidR="00345AF1" w:rsidRDefault="00345AF1" w:rsidP="00345AF1">
      <w:pPr>
        <w:pStyle w:val="Bibliography"/>
      </w:pPr>
      <w:r>
        <w:t xml:space="preserve">28. </w:t>
      </w:r>
      <w:r>
        <w:tab/>
        <w:t xml:space="preserve">Bi Q, Ferreras E, Pezzoli L, Legros D, Ivers LC, Date K, et al. Protection against cholera from killed whole-cell oral cholera vaccines: a systematic review and meta-analysis. Lancet Infect Dis. 2017 Oct 1;17(10):1080–8. </w:t>
      </w:r>
    </w:p>
    <w:p w14:paraId="3E84EF24" w14:textId="77777777" w:rsidR="00345AF1" w:rsidRDefault="00345AF1" w:rsidP="00345AF1">
      <w:pPr>
        <w:pStyle w:val="Bibliography"/>
      </w:pPr>
      <w:r>
        <w:lastRenderedPageBreak/>
        <w:t xml:space="preserve">29. </w:t>
      </w:r>
      <w:r>
        <w:tab/>
        <w:t xml:space="preserve">Meredith HR, Giles JR, Perez-Saez J, Mande T, Rinaldo A, Mutembo S, et al. Characterizing human mobility patterns in rural settings of sub-Saharan Africa. eLife. 2021 Sep 17;10:e68441. </w:t>
      </w:r>
    </w:p>
    <w:p w14:paraId="0CD70E66" w14:textId="77777777" w:rsidR="00345AF1" w:rsidRDefault="00345AF1" w:rsidP="00345AF1">
      <w:pPr>
        <w:pStyle w:val="Bibliography"/>
      </w:pPr>
      <w:r>
        <w:t xml:space="preserve">30. </w:t>
      </w:r>
      <w:r>
        <w:tab/>
        <w:t xml:space="preserve">Zheng Q, Lee EC. Cholera outbreak time series in Africa between 2010 and 2023. In preparation; </w:t>
      </w:r>
    </w:p>
    <w:p w14:paraId="31501C1F" w14:textId="77777777" w:rsidR="00345AF1" w:rsidRDefault="00345AF1" w:rsidP="00345AF1">
      <w:pPr>
        <w:pStyle w:val="Bibliography"/>
      </w:pPr>
      <w:r>
        <w:t xml:space="preserve">31. </w:t>
      </w:r>
      <w:r>
        <w:tab/>
        <w:t xml:space="preserve">Pezzoli L, Oral Cholera Vaccine Working Group of the Global Task Force on Cholera Control. Global oral cholera vaccine use, 2013-2018. Vaccine. 2020 Feb 29;38 Suppl 1(Suppl 1):A132–40. </w:t>
      </w:r>
    </w:p>
    <w:p w14:paraId="6953AC86" w14:textId="77777777" w:rsidR="00345AF1" w:rsidRDefault="00345AF1" w:rsidP="00345AF1">
      <w:pPr>
        <w:pStyle w:val="Bibliography"/>
      </w:pPr>
      <w:r>
        <w:t xml:space="preserve">32. </w:t>
      </w:r>
      <w:r>
        <w:tab/>
        <w:t>Johns Hopkins Cholera Dynamics Team. CholeraTaxonomy [Internet]. [cited 2025 Jan 2]. Available from: https://cholera-taxonomy.middle-distance.com/</w:t>
      </w:r>
    </w:p>
    <w:p w14:paraId="4A0E73A9" w14:textId="77777777" w:rsidR="00345AF1" w:rsidRDefault="00345AF1" w:rsidP="00345AF1">
      <w:pPr>
        <w:pStyle w:val="Bibliography"/>
      </w:pPr>
      <w:r>
        <w:t xml:space="preserve">33. </w:t>
      </w:r>
      <w:r>
        <w:tab/>
        <w:t xml:space="preserve">Zheng Q, DePencier R, Demby MN, Azman AS, Lee EC. Cholera surveillance time series in Africa between 2010 and 2023. VeriXiv. 2025;2(116). </w:t>
      </w:r>
    </w:p>
    <w:p w14:paraId="2777F236" w14:textId="77777777" w:rsidR="00345AF1" w:rsidRDefault="00345AF1" w:rsidP="00345AF1">
      <w:pPr>
        <w:pStyle w:val="Bibliography"/>
      </w:pPr>
      <w:r>
        <w:t xml:space="preserve">34. </w:t>
      </w:r>
      <w:r>
        <w:tab/>
        <w:t>GTFCC OCV Dashboard [Internet]. [cited 2024 Nov 7]. Available from: https://apps.epicentre-msf.org/public/app/gtfcc</w:t>
      </w:r>
    </w:p>
    <w:p w14:paraId="3F93D6F6" w14:textId="77777777" w:rsidR="00345AF1" w:rsidRPr="00345AF1" w:rsidRDefault="00345AF1" w:rsidP="00345AF1">
      <w:pPr>
        <w:pStyle w:val="Bibliography"/>
        <w:rPr>
          <w:lang w:val="de-DE"/>
        </w:rPr>
      </w:pPr>
      <w:r>
        <w:t xml:space="preserve">35. </w:t>
      </w:r>
      <w:r>
        <w:tab/>
        <w:t xml:space="preserve">Halloran ME, Struchiner CJ. Study designs for dependent happenings. </w:t>
      </w:r>
      <w:r w:rsidRPr="00345AF1">
        <w:rPr>
          <w:lang w:val="de-DE"/>
        </w:rPr>
        <w:t xml:space="preserve">Epidemiol Camb Mass. 1991 Sep;2(5):331–8. </w:t>
      </w:r>
    </w:p>
    <w:p w14:paraId="25AA70F0" w14:textId="77777777" w:rsidR="00345AF1" w:rsidRDefault="00345AF1" w:rsidP="00345AF1">
      <w:pPr>
        <w:pStyle w:val="Bibliography"/>
      </w:pPr>
      <w:r w:rsidRPr="00345AF1">
        <w:rPr>
          <w:lang w:val="de-DE"/>
        </w:rPr>
        <w:t xml:space="preserve">36. </w:t>
      </w:r>
      <w:r w:rsidRPr="00345AF1">
        <w:rPr>
          <w:lang w:val="de-DE"/>
        </w:rPr>
        <w:tab/>
        <w:t xml:space="preserve">Ali M, Emch M, Von Seidlein L, Yunus M, Sack DA, Rao M, et al. </w:t>
      </w:r>
      <w:r>
        <w:t xml:space="preserve">Herd immunity conferred by killed oral cholera vaccines in Bangladesh: a reanalysis. The Lancet. 2005 Jul;366(9479):44–9. </w:t>
      </w:r>
    </w:p>
    <w:p w14:paraId="16BB6B4D" w14:textId="77777777" w:rsidR="00345AF1" w:rsidRDefault="00345AF1" w:rsidP="00345AF1">
      <w:pPr>
        <w:pStyle w:val="Bibliography"/>
      </w:pPr>
      <w:r>
        <w:t xml:space="preserve">37. </w:t>
      </w:r>
      <w:r>
        <w:tab/>
        <w:t xml:space="preserve">Peak CM, Reilly AL, Azman AS, Buckee CO. Prolonging herd immunity to cholera via vaccination: Accounting for human mobility and waning vaccine effects. PLoS Negl Trop Dis. 2018 Feb 28;12(2):e0006257. </w:t>
      </w:r>
    </w:p>
    <w:p w14:paraId="2F1020B8" w14:textId="77777777" w:rsidR="00345AF1" w:rsidRDefault="00345AF1" w:rsidP="00345AF1">
      <w:pPr>
        <w:pStyle w:val="Bibliography"/>
      </w:pPr>
      <w:r>
        <w:t xml:space="preserve">38. </w:t>
      </w:r>
      <w:r>
        <w:tab/>
        <w:t>Kim JH. cholera-outbreak-vaccine-impact-modeling [Internet]. 2024. Available from: https://github.com/kimfinale/cholera-outbreak-vaccine-impact-modeling</w:t>
      </w:r>
    </w:p>
    <w:p w14:paraId="18C41215" w14:textId="77777777" w:rsidR="00345AF1" w:rsidRDefault="00345AF1" w:rsidP="00345AF1">
      <w:pPr>
        <w:pStyle w:val="Bibliography"/>
      </w:pPr>
      <w:r>
        <w:t xml:space="preserve">39. </w:t>
      </w:r>
      <w:r>
        <w:tab/>
        <w:t>Ng Ombe H, Simuyandi M, Mwaba J, Luchen CC, Alabi P, Chilyabanyama ON, et al. Immunogenicity and waning immunity from the oral cholera vaccine (Shanchol</w:t>
      </w:r>
      <w:r>
        <w:rPr>
          <w:vertAlign w:val="superscript"/>
        </w:rPr>
        <w:t>TM</w:t>
      </w:r>
      <w:r>
        <w:t xml:space="preserve">) in adults residing in Lukanga Swamps of Zambia. PloS One. 2022;17(1):e0262239. </w:t>
      </w:r>
    </w:p>
    <w:p w14:paraId="34F65DF0" w14:textId="77777777" w:rsidR="00345AF1" w:rsidRDefault="00345AF1" w:rsidP="00345AF1">
      <w:pPr>
        <w:pStyle w:val="Bibliography"/>
      </w:pPr>
      <w:r>
        <w:t xml:space="preserve">40. </w:t>
      </w:r>
      <w:r>
        <w:tab/>
        <w:t xml:space="preserve">Kanungo S, Paisley A, Lopez AL, Bhattacharya M, Manna B, Kim DR, et al. Immune responses following one and two doses of the reformulated, bivalent, killed, whole-cell, oral cholera vaccine among adults and children in Kolkata, India: a randomized, placebo-controlled trial. Vaccine. 2009 Nov 16;27(49):6887–93. </w:t>
      </w:r>
    </w:p>
    <w:p w14:paraId="6A7E7D67" w14:textId="77777777" w:rsidR="00345AF1" w:rsidRDefault="00345AF1" w:rsidP="00345AF1">
      <w:pPr>
        <w:pStyle w:val="Bibliography"/>
      </w:pPr>
      <w:r>
        <w:t xml:space="preserve">41. </w:t>
      </w:r>
      <w:r>
        <w:tab/>
        <w:t xml:space="preserve">Chowdhury F, Bhuiyan TR, Akter A, Bhuiyan MS, Khan AI, Hossain M, et al. Immunogenicity of a killed bivalent whole cell oral cholera vaccine in forcibly displaced </w:t>
      </w:r>
      <w:r>
        <w:lastRenderedPageBreak/>
        <w:t xml:space="preserve">Myanmar nationals in Cox’s Bazar, Bangladesh. PLoS Negl Trop Dis. 2020 Mar;14(3):e0007989. </w:t>
      </w:r>
    </w:p>
    <w:p w14:paraId="119DC19F" w14:textId="77777777" w:rsidR="00345AF1" w:rsidRDefault="00345AF1" w:rsidP="00345AF1">
      <w:pPr>
        <w:pStyle w:val="Bibliography"/>
      </w:pPr>
      <w:r>
        <w:t xml:space="preserve">42. </w:t>
      </w:r>
      <w:r>
        <w:tab/>
        <w:t xml:space="preserve">Raghava Mohan V, Raj S, Dhingra MS, Aloysia D’Cor N, Singh AP, Saluja T, et al. Safety and immunogenicity of a killed bivalent (O1 and O139) whole-cell oral cholera vaccine in adults and children in Vellore, South India. Borrow R, editor. PLOS ONE. 2019 Jun 18;14(6):e0218033. </w:t>
      </w:r>
    </w:p>
    <w:p w14:paraId="6C19A522" w14:textId="77777777" w:rsidR="00345AF1" w:rsidRDefault="00345AF1" w:rsidP="00345AF1">
      <w:pPr>
        <w:pStyle w:val="Bibliography"/>
      </w:pPr>
      <w:r>
        <w:t xml:space="preserve">43. </w:t>
      </w:r>
      <w:r>
        <w:tab/>
        <w:t xml:space="preserve">Charles RC, Hilaire IJ, Mayo-Smith LM, Teng JE, Jerome JG, Franke MF, et al. Immunogenicity of a killed bivalent (O1 and O139) whole cell oral cholera vaccine, Shanchol, in Haiti. PLoS Negl Trop Dis. 2014 May;8(5):e2828. </w:t>
      </w:r>
    </w:p>
    <w:p w14:paraId="2EE10848" w14:textId="77777777" w:rsidR="00345AF1" w:rsidRDefault="00345AF1" w:rsidP="00345AF1">
      <w:pPr>
        <w:pStyle w:val="Bibliography"/>
      </w:pPr>
      <w:r>
        <w:t xml:space="preserve">44. </w:t>
      </w:r>
      <w:r>
        <w:tab/>
        <w:t xml:space="preserve">Chac D, Bhuiyan TR, Saha A, Alam MM, Salma U, Jahan N, et al. Gut Microbiota and Development of Vibrio cholerae-Specific Long-Term Memory B Cells in Adults after Whole-Cell Killed Oral Cholera Vaccine. Infect Immun. 2021 Aug 16;89(9):e0021721. </w:t>
      </w:r>
    </w:p>
    <w:p w14:paraId="0A07809C" w14:textId="77777777" w:rsidR="00345AF1" w:rsidRDefault="00345AF1" w:rsidP="00345AF1">
      <w:pPr>
        <w:pStyle w:val="Bibliography"/>
      </w:pPr>
      <w:r>
        <w:t xml:space="preserve">45. </w:t>
      </w:r>
      <w:r>
        <w:tab/>
        <w:t xml:space="preserve">McCarty JM, Cassie D, Bedell L, Lock MD, Bennett S. Long-Term Immunogenicity of Live Oral Cholera Vaccine CVD 103-HgR in Adolescents Aged 12-17 Years in the United States. Am J Trop Med Hyg. 2021 Apr 5;104(5):1758–60. </w:t>
      </w:r>
    </w:p>
    <w:p w14:paraId="5CDD9AF7" w14:textId="77777777" w:rsidR="00345AF1" w:rsidRDefault="00345AF1" w:rsidP="00345AF1">
      <w:pPr>
        <w:pStyle w:val="Bibliography"/>
      </w:pPr>
      <w:r>
        <w:t xml:space="preserve">46. </w:t>
      </w:r>
      <w:r>
        <w:tab/>
        <w:t xml:space="preserve">McCarty JM, Lock MD, Hunt KM, Simon JK, Gurwith M. Safety and immunogenicity of single-dose live oral cholera vaccine strain CVD 103-HgR in healthy adults age 18–45. Vaccine. 2018 Feb;36(6):833–40. </w:t>
      </w:r>
    </w:p>
    <w:p w14:paraId="3C8EDBB5" w14:textId="77777777" w:rsidR="00345AF1" w:rsidRDefault="00345AF1" w:rsidP="00345AF1">
      <w:pPr>
        <w:pStyle w:val="Bibliography"/>
      </w:pPr>
      <w:r>
        <w:t xml:space="preserve">47. </w:t>
      </w:r>
      <w:r>
        <w:tab/>
        <w:t xml:space="preserve">Chowdhury F, Ali Syed K, Akter A, Rahman Bhuiyan T, Tauheed I, Khaton F, et al. A phase I/II study to evaluate safety, tolerability and immunogenicity of Hillchol®, an inactivated single Hikojima strain based oral cholera vaccine, in a sequentially age descending population in Bangladesh. Vaccine. 2021 Jul 22;39(32):4450–7. </w:t>
      </w:r>
    </w:p>
    <w:p w14:paraId="4F8F90C2" w14:textId="77777777" w:rsidR="00345AF1" w:rsidRDefault="00345AF1" w:rsidP="00345AF1">
      <w:pPr>
        <w:pStyle w:val="Bibliography"/>
      </w:pPr>
      <w:r>
        <w:t xml:space="preserve">48. </w:t>
      </w:r>
      <w:r>
        <w:tab/>
        <w:t xml:space="preserve">Mbewe N, Imamura T, Sivile S, Sinkala A, Zulu P, Chanda C, et al. Clinical Characteristics of 6578 Adult Patients With Cholera Admitted to Community and Referral Cholera Treatment Centers in Lusaka, Zambia, October 2023 to April 2024. Open Forum Infect Dis. 2025 Jun 1;12(6):ofaf277. </w:t>
      </w:r>
    </w:p>
    <w:p w14:paraId="51B152CB" w14:textId="77777777" w:rsidR="00345AF1" w:rsidRDefault="00345AF1" w:rsidP="00345AF1">
      <w:pPr>
        <w:pStyle w:val="Bibliography"/>
      </w:pPr>
      <w:r>
        <w:t xml:space="preserve">49. </w:t>
      </w:r>
      <w:r>
        <w:tab/>
        <w:t xml:space="preserve">GBD 2017 Disease and Injury Incidence and Prevalence Collaborators. Global, regional, and national incidence, prevalence, and years lived with disability for 354 diseases and injuries for 195 countries and territories, 1990-2017: a systematic analysis for the Global Burden of Disease Study 2017. Lancet Lond Engl. 2018 Nov 10;392(10159):1789–858. </w:t>
      </w:r>
    </w:p>
    <w:p w14:paraId="1AC21A4D" w14:textId="77777777" w:rsidR="00345AF1" w:rsidRDefault="00345AF1" w:rsidP="00345AF1">
      <w:pPr>
        <w:pStyle w:val="Bibliography"/>
      </w:pPr>
      <w:r>
        <w:t xml:space="preserve">50. </w:t>
      </w:r>
      <w:r>
        <w:tab/>
        <w:t>UNICEF. Oral cholera vaccine (OCV) price data [Internet]. 2024 Oct. Available from: https://www.unicef.org/supply/media/22781/file/OCV-vaccines-prices-29102024.pdf</w:t>
      </w:r>
    </w:p>
    <w:p w14:paraId="2377CCAC" w14:textId="77777777" w:rsidR="00345AF1" w:rsidRDefault="00345AF1" w:rsidP="00345AF1">
      <w:pPr>
        <w:pStyle w:val="Bibliography"/>
      </w:pPr>
      <w:r>
        <w:t xml:space="preserve">51. </w:t>
      </w:r>
      <w:r>
        <w:tab/>
        <w:t xml:space="preserve">Sarker AR, Khan AI, Islam MT, Chowdhury F, Khanam F, Kang S, et al. Cost of oral cholera vaccine delivery in a mass immunization program for children in urban Bangladesh. Vaccine X. 2022 Dec;12:100247. </w:t>
      </w:r>
    </w:p>
    <w:p w14:paraId="45F3AE03" w14:textId="77777777" w:rsidR="00345AF1" w:rsidRDefault="00345AF1" w:rsidP="00345AF1">
      <w:pPr>
        <w:pStyle w:val="Bibliography"/>
      </w:pPr>
      <w:r>
        <w:lastRenderedPageBreak/>
        <w:t xml:space="preserve">52. </w:t>
      </w:r>
      <w:r>
        <w:tab/>
        <w:t>UNICEF. Emergency stockpile availability - oral cholera vaccine [Internet]. 2024 Nov. Available from: https://www.unicef.org/supply/media/22091/file/EmergencyStockpileAvailabilityReportOCV11112024.pdf</w:t>
      </w:r>
    </w:p>
    <w:p w14:paraId="30678687" w14:textId="77777777" w:rsidR="00345AF1" w:rsidRDefault="00345AF1" w:rsidP="00345AF1">
      <w:pPr>
        <w:pStyle w:val="Bibliography"/>
      </w:pPr>
      <w:r>
        <w:t xml:space="preserve">53. </w:t>
      </w:r>
      <w:r>
        <w:tab/>
        <w:t xml:space="preserve">Mogasale V, Ngogoyo SM, Mogasale VV. Model-based estimation of the economic burden of cholera in Africa. BMJ Open. 2021 Mar;11(3):e044615. </w:t>
      </w:r>
    </w:p>
    <w:p w14:paraId="0EA0AFEE" w14:textId="77777777" w:rsidR="00345AF1" w:rsidRDefault="00345AF1" w:rsidP="00345AF1">
      <w:pPr>
        <w:pStyle w:val="Bibliography"/>
      </w:pPr>
      <w:r>
        <w:t xml:space="preserve">54. </w:t>
      </w:r>
      <w:r>
        <w:tab/>
        <w:t xml:space="preserve">Ilboudo PG, Huang XX, Ngwira B, Mwanyungwe A, Mogasale V, Mengel MA, et al. Cost-of-illness of cholera to households and health facilities in rural Malawi. PloS One. 2017;12(9):e0185041. </w:t>
      </w:r>
    </w:p>
    <w:p w14:paraId="4589EA7E" w14:textId="77777777" w:rsidR="00345AF1" w:rsidRDefault="00345AF1" w:rsidP="00345AF1">
      <w:pPr>
        <w:pStyle w:val="Bibliography"/>
      </w:pPr>
      <w:r>
        <w:t xml:space="preserve">55. </w:t>
      </w:r>
      <w:r>
        <w:tab/>
        <w:t xml:space="preserve">Awalime DK, Davies-Teye BBK, Vanotoo LA, Owoo NS, Nketiah-Amponsah E. Economic evaluation of 2014 cholera outbreak in Ghana: a household cost analysis. Health Econ Rev. 2017 Dec 4;7(1):45. </w:t>
      </w:r>
    </w:p>
    <w:p w14:paraId="56F5C3FB" w14:textId="77777777" w:rsidR="00345AF1" w:rsidRDefault="00345AF1" w:rsidP="00345AF1">
      <w:pPr>
        <w:pStyle w:val="Bibliography"/>
      </w:pPr>
      <w:r>
        <w:t xml:space="preserve">56. </w:t>
      </w:r>
      <w:r>
        <w:tab/>
        <w:t xml:space="preserve">Poulos C, Riewpaiboon A, Stewart JF, Clemens J, Guh S, Agtini M, et al. Costs of Illness Due to Endemic Cholera. Epidemiol Infect. 2012 Mar;140(3):10.1017/S0950268811000513. </w:t>
      </w:r>
    </w:p>
    <w:p w14:paraId="2D6C56B7" w14:textId="77777777" w:rsidR="00345AF1" w:rsidRPr="00933DED" w:rsidRDefault="00345AF1" w:rsidP="00345AF1">
      <w:pPr>
        <w:pStyle w:val="Bibliography"/>
        <w:rPr>
          <w:lang w:val="de-DE"/>
        </w:rPr>
      </w:pPr>
      <w:r>
        <w:t xml:space="preserve">57. </w:t>
      </w:r>
      <w:r>
        <w:tab/>
        <w:t xml:space="preserve">Schaetti C, Weiss MG, Ali SM, Chaignat CL, Khatib AM, Reyburn R, et al. Costs of illness due to cholera, costs of immunization and cost-effectiveness of an oral cholera mass vaccination campaign in Zanzibar. </w:t>
      </w:r>
      <w:r w:rsidRPr="00933DED">
        <w:rPr>
          <w:lang w:val="de-DE"/>
        </w:rPr>
        <w:t xml:space="preserve">PLoS Negl Trop Dis. 2012;6(10):e1844. </w:t>
      </w:r>
    </w:p>
    <w:p w14:paraId="30477EDA" w14:textId="77777777" w:rsidR="00345AF1" w:rsidRDefault="00345AF1" w:rsidP="00345AF1">
      <w:pPr>
        <w:pStyle w:val="Bibliography"/>
      </w:pPr>
      <w:r w:rsidRPr="00933DED">
        <w:rPr>
          <w:lang w:val="de-DE"/>
        </w:rPr>
        <w:t xml:space="preserve">58. </w:t>
      </w:r>
      <w:r w:rsidRPr="00933DED">
        <w:rPr>
          <w:lang w:val="de-DE"/>
        </w:rPr>
        <w:tab/>
        <w:t xml:space="preserve">Ohene-Adjei K, Kenu E, Bandoh DA, Addo PNO, Noora CL, Nortey P, et al. </w:t>
      </w:r>
      <w:r>
        <w:t xml:space="preserve">Epidemiological link of a major cholera outbreak in Greater Accra region of Ghana, 2014. BMC Public Health. 2017 Oct 11;17(1):801. </w:t>
      </w:r>
    </w:p>
    <w:p w14:paraId="41DA38E7" w14:textId="77777777" w:rsidR="00345AF1" w:rsidRDefault="00345AF1" w:rsidP="00345AF1">
      <w:pPr>
        <w:pStyle w:val="Bibliography"/>
      </w:pPr>
      <w:r>
        <w:t xml:space="preserve">59. </w:t>
      </w:r>
      <w:r>
        <w:tab/>
        <w:t xml:space="preserve">Azman AS, Parker LA, Rumunu J, Tadesse F, Grandesso F, Deng LL, et al. Effectiveness of one dose of oral cholera vaccine in response to an outbreak: a case-cohort study. Lancet Glob Health. 2016 Nov 1;4(11):e856–63. </w:t>
      </w:r>
    </w:p>
    <w:p w14:paraId="6BC5C93C" w14:textId="77777777" w:rsidR="00345AF1" w:rsidRDefault="00345AF1" w:rsidP="00345AF1">
      <w:pPr>
        <w:pStyle w:val="Bibliography"/>
      </w:pPr>
      <w:r>
        <w:t xml:space="preserve">60. </w:t>
      </w:r>
      <w:r>
        <w:tab/>
        <w:t xml:space="preserve">Luquero FJ, Grout L, Ciglenecki I, Sakoba K, Traore B, Heile M, et al. Use of Vibrio cholerae Vaccine in an Outbreak in Guinea. N Engl J Med. 2014 May 29;370(22):2111–20. </w:t>
      </w:r>
    </w:p>
    <w:p w14:paraId="1DC60267" w14:textId="77777777" w:rsidR="00345AF1" w:rsidRDefault="00345AF1" w:rsidP="00345AF1">
      <w:pPr>
        <w:pStyle w:val="Bibliography"/>
      </w:pPr>
      <w:r>
        <w:t xml:space="preserve">61. </w:t>
      </w:r>
      <w:r>
        <w:tab/>
        <w:t xml:space="preserve">Weil AA, Khan AI, Chowdhury F, Larocque RC, Faruque ASG, Ryan ET, et al. Clinical outcomes in household contacts of patients with cholera in Bangladesh. Clin Infect Dis Off Publ Infect Dis Soc Am. 2009 Nov 15;49(10):1473–9. </w:t>
      </w:r>
    </w:p>
    <w:p w14:paraId="5056E9C8" w14:textId="77777777" w:rsidR="00345AF1" w:rsidRDefault="00345AF1" w:rsidP="00345AF1">
      <w:pPr>
        <w:pStyle w:val="Bibliography"/>
      </w:pPr>
      <w:r>
        <w:t xml:space="preserve">62. </w:t>
      </w:r>
      <w:r>
        <w:tab/>
        <w:t>United Nations, Department of Economic and Social Affairs, Population Division. World Population Prospects 2024, Online Edition [Internet]. 2024. Available from: https://population.un.org/wpp/Download/Standard/Mortality/</w:t>
      </w:r>
    </w:p>
    <w:p w14:paraId="3153789F" w14:textId="77777777" w:rsidR="00345AF1" w:rsidRDefault="00345AF1" w:rsidP="00345AF1">
      <w:pPr>
        <w:pStyle w:val="Bibliography"/>
      </w:pPr>
      <w:r>
        <w:t xml:space="preserve">63. </w:t>
      </w:r>
      <w:r>
        <w:tab/>
        <w:t>World Bank Group. GDP per capita (current US$) [Internet]. Available from: https://data.worldbank.org/indicator/NY.GDP.PCAP.CD</w:t>
      </w:r>
    </w:p>
    <w:p w14:paraId="6A4732DE" w14:textId="77777777" w:rsidR="00345AF1" w:rsidRDefault="00345AF1" w:rsidP="00345AF1">
      <w:pPr>
        <w:pStyle w:val="Bibliography"/>
      </w:pPr>
      <w:r>
        <w:lastRenderedPageBreak/>
        <w:t xml:space="preserve">64. </w:t>
      </w:r>
      <w:r>
        <w:tab/>
        <w:t>World Bank Group. Labor force participation rate, total (% of total population ages 15-64) (modeled ILO estimate) [Internet]. Available from: https://data.worldbank.org/indicator/SL.TLF.ACTI.ZS?end=2023&amp;start=1960</w:t>
      </w:r>
    </w:p>
    <w:p w14:paraId="487756F3" w14:textId="77777777" w:rsidR="00345AF1" w:rsidRDefault="00345AF1" w:rsidP="00345AF1">
      <w:pPr>
        <w:pStyle w:val="Bibliography"/>
      </w:pPr>
      <w:r>
        <w:t xml:space="preserve">65. </w:t>
      </w:r>
      <w:r>
        <w:tab/>
        <w:t xml:space="preserve">Pezzoli L. Global oral cholera vaccine use, 2013–2018. Vaccine. 2020 Feb;38:A132–40. </w:t>
      </w:r>
    </w:p>
    <w:p w14:paraId="254F7C20" w14:textId="77777777" w:rsidR="00345AF1" w:rsidRDefault="00345AF1" w:rsidP="00345AF1">
      <w:pPr>
        <w:pStyle w:val="Bibliography"/>
      </w:pPr>
      <w:r>
        <w:t xml:space="preserve">66. </w:t>
      </w:r>
      <w:r>
        <w:tab/>
        <w:t xml:space="preserve">Edosa M, Jeon Y, Gedefaw A, Hailu D, Mesfin Getachew E, Mogeni OD, et al. Comprehensive Review on the Use of Oral Cholera Vaccine (OCV) in Ethiopia: 2019 to 2023. Clin Infect Dis Off Publ Infect Dis Soc Am. 2024 Jul 12;79(Suppl 1):S20–32. </w:t>
      </w:r>
    </w:p>
    <w:p w14:paraId="755994EA" w14:textId="77777777" w:rsidR="00345AF1" w:rsidRDefault="00345AF1" w:rsidP="00345AF1">
      <w:pPr>
        <w:pStyle w:val="Bibliography"/>
      </w:pPr>
      <w:r w:rsidRPr="00933DED">
        <w:rPr>
          <w:lang w:val="de-DE"/>
        </w:rPr>
        <w:t xml:space="preserve">67. </w:t>
      </w:r>
      <w:r w:rsidRPr="00933DED">
        <w:rPr>
          <w:lang w:val="de-DE"/>
        </w:rPr>
        <w:tab/>
        <w:t xml:space="preserve">Mogasale V, Ramani E, Wee H, Kim JH. </w:t>
      </w:r>
      <w:r>
        <w:t xml:space="preserve">Oral Cholera Vaccination Delivery Cost in Low- and Middle-Income Countries: An Analysis Based on Systematic Review. Ryan ET, editor. PLoS Negl Trop Dis. 2016 Dec 8;10(12):e0005124. </w:t>
      </w:r>
    </w:p>
    <w:p w14:paraId="08B2C52E" w14:textId="77777777" w:rsidR="00345AF1" w:rsidRDefault="00345AF1" w:rsidP="00345AF1">
      <w:pPr>
        <w:pStyle w:val="Bibliography"/>
      </w:pPr>
      <w:r>
        <w:t xml:space="preserve">68. </w:t>
      </w:r>
      <w:r>
        <w:tab/>
        <w:t xml:space="preserve">Turner HC, Lauer JA, Tran BX, Teerawattananon Y, Jit M. Adjusting for Inflation and Currency Changes Within Health Economic Studies. Value Health. 2019 Sep;22(9):1026–32. </w:t>
      </w:r>
    </w:p>
    <w:p w14:paraId="4D43260A" w14:textId="77777777" w:rsidR="00345AF1" w:rsidRDefault="00345AF1" w:rsidP="00345AF1">
      <w:pPr>
        <w:pStyle w:val="Bibliography"/>
      </w:pPr>
      <w:r>
        <w:t xml:space="preserve">69. </w:t>
      </w:r>
      <w:r>
        <w:tab/>
        <w:t>Bureau of Labor Statistics. Math calculations to better utilize CPI data [Internet]. Bureau of Labor Statistics; Available from: https://www.bls.gov/cpi/factsheets/cpi-math-calculations.pdf</w:t>
      </w:r>
    </w:p>
    <w:p w14:paraId="24172D8B" w14:textId="77777777" w:rsidR="00345AF1" w:rsidRDefault="00345AF1" w:rsidP="00345AF1">
      <w:pPr>
        <w:pStyle w:val="Bibliography"/>
      </w:pPr>
      <w:r>
        <w:t xml:space="preserve">70. </w:t>
      </w:r>
      <w:r>
        <w:tab/>
        <w:t xml:space="preserve">Girotto CD, Behzadian K, Musah A, Chen AS, Djordjević S, Nichols G, et al. Analysis of environmental factors influencing endemic cholera risks in sub-Saharan Africa. Sci Total Environ. 2024 May 20;926:171896. </w:t>
      </w:r>
    </w:p>
    <w:p w14:paraId="283AF428" w14:textId="77777777" w:rsidR="00345AF1" w:rsidRDefault="00345AF1" w:rsidP="00345AF1">
      <w:pPr>
        <w:pStyle w:val="Bibliography"/>
      </w:pPr>
      <w:r>
        <w:t xml:space="preserve">71. </w:t>
      </w:r>
      <w:r>
        <w:tab/>
        <w:t xml:space="preserve">Koepke AA, Longini IM, Halloran ME, Wakefield J, Minin VN. PREDICTIVE MODELING OF CHOLERA OUTBREAKS IN BANGLADESH. Ann Appl Stat. 2016 Jun;10(2):575–95. </w:t>
      </w:r>
    </w:p>
    <w:p w14:paraId="78B56105" w14:textId="77777777" w:rsidR="00345AF1" w:rsidRDefault="00345AF1" w:rsidP="00345AF1">
      <w:pPr>
        <w:pStyle w:val="Bibliography"/>
      </w:pPr>
      <w:r>
        <w:t xml:space="preserve">72. </w:t>
      </w:r>
      <w:r>
        <w:tab/>
        <w:t xml:space="preserve">Armando CJ, Rocklöv J, Sidat M, Tozan Y, Mavume AF, Bunker A, et al. Spatial-temporal analysis of climate and socioeconomic conditions on cholera incidence in Mozambique from 2000 to 2018: an ecological longitudinal retrospective study. BMJ Open. 2024 Aug;14(8):e082503. </w:t>
      </w:r>
    </w:p>
    <w:p w14:paraId="6157E963" w14:textId="77777777" w:rsidR="00345AF1" w:rsidRDefault="00345AF1" w:rsidP="00345AF1">
      <w:pPr>
        <w:pStyle w:val="Bibliography"/>
      </w:pPr>
      <w:r>
        <w:t xml:space="preserve">73. </w:t>
      </w:r>
      <w:r>
        <w:tab/>
        <w:t xml:space="preserve">Ali M, Sen Gupta S, Arora N, Khasnobis P, Venkatesh S, Sur D, et al. Identification of burden hotspots and risk factors for cholera in India: An observational study. Moise IK, editor. PLOS ONE. 2017 Aug 24;12(8):e0183100. </w:t>
      </w:r>
    </w:p>
    <w:p w14:paraId="04A15C73" w14:textId="77777777" w:rsidR="00345AF1" w:rsidRPr="00933DED" w:rsidRDefault="00345AF1" w:rsidP="00345AF1">
      <w:pPr>
        <w:pStyle w:val="Bibliography"/>
        <w:rPr>
          <w:lang w:val="de-DE"/>
        </w:rPr>
      </w:pPr>
      <w:r>
        <w:t xml:space="preserve">74. </w:t>
      </w:r>
      <w:r>
        <w:tab/>
        <w:t xml:space="preserve">Lee EC, Azman AS, Kaminsky J, Moore SM, McKay HS, Lessler J. The projected impact of geographic targeting of oral cholera vaccination in sub-Saharan Africa: A modeling study. </w:t>
      </w:r>
      <w:r w:rsidRPr="00933DED">
        <w:rPr>
          <w:lang w:val="de-DE"/>
        </w:rPr>
        <w:t xml:space="preserve">Kretzschmar MEE, editor. PLOS Med. 2019 Dec 11;16(12):e1003003. </w:t>
      </w:r>
    </w:p>
    <w:p w14:paraId="3D646751" w14:textId="77777777" w:rsidR="00345AF1" w:rsidRDefault="00345AF1" w:rsidP="00345AF1">
      <w:pPr>
        <w:pStyle w:val="Bibliography"/>
      </w:pPr>
      <w:r w:rsidRPr="00933DED">
        <w:rPr>
          <w:lang w:val="de-DE"/>
        </w:rPr>
        <w:t xml:space="preserve">75. </w:t>
      </w:r>
      <w:r w:rsidRPr="00933DED">
        <w:rPr>
          <w:lang w:val="de-DE"/>
        </w:rPr>
        <w:tab/>
        <w:t xml:space="preserve">Delport D, Muellenmeister AM, MacKechnie G, Vaccher S, Mengistu T, Hogan D, et al. </w:t>
      </w:r>
      <w:r>
        <w:t xml:space="preserve">Estimating the historical impact of outbreak response immunization programs across 210 outbreaks in LMICs [Internet]. medRxiv; 2024 [cited 2025 Feb 21]. p. </w:t>
      </w:r>
      <w:r>
        <w:lastRenderedPageBreak/>
        <w:t>2024.06.02.24308241. Available from: https://www.medrxiv.org/content/10.1101/2024.06.02.24308241v1</w:t>
      </w:r>
    </w:p>
    <w:p w14:paraId="4FDC6977" w14:textId="77777777" w:rsidR="00345AF1" w:rsidRDefault="00345AF1" w:rsidP="00345AF1">
      <w:pPr>
        <w:pStyle w:val="Bibliography"/>
      </w:pPr>
      <w:r>
        <w:t xml:space="preserve">76. </w:t>
      </w:r>
      <w:r>
        <w:tab/>
        <w:t xml:space="preserve">Sikder M, Altare C, Doocy S, Trowbridge D, Kaur G, Kaushal N, et al. Case-area targeted preventive interventions to interrupt cholera transmission: Current implementation practices and lessons learned. PLoS Negl Trop Dis. 2021 Dec;15(12):e0010042. </w:t>
      </w:r>
    </w:p>
    <w:p w14:paraId="55C6C84E" w14:textId="77777777" w:rsidR="00345AF1" w:rsidRDefault="00345AF1" w:rsidP="00345AF1">
      <w:pPr>
        <w:pStyle w:val="Bibliography"/>
      </w:pPr>
      <w:r>
        <w:t xml:space="preserve">77. </w:t>
      </w:r>
      <w:r>
        <w:tab/>
        <w:t xml:space="preserve">OKeeffe J, Salem-Bango L, Desjardins MR, Lantagne D, Altare C, Kaur G, et al. Case-area targeted interventions during a large-scale cholera epidemic: A prospective cohort study in Northeast Nigeria. PLoS Med. 2024 May;21(5):e1004404. </w:t>
      </w:r>
    </w:p>
    <w:p w14:paraId="45FF3C84" w14:textId="77777777" w:rsidR="00345AF1" w:rsidRDefault="00345AF1" w:rsidP="00345AF1">
      <w:pPr>
        <w:pStyle w:val="Bibliography"/>
      </w:pPr>
      <w:r>
        <w:t xml:space="preserve">78. </w:t>
      </w:r>
      <w:r>
        <w:tab/>
        <w:t xml:space="preserve">Kaur G, Salem-Bango L, Nery ALMDS, Solomon EC, Ihemezue E, Kelly C, et al. Implementation considerations in case-area targeted interventions to prevent cholera transmission in Northeast Nigeria: A qualitative analysis. PLoS Negl Trop Dis. 2023 Apr;17(4):e0011298. </w:t>
      </w:r>
    </w:p>
    <w:p w14:paraId="6BC1682C" w14:textId="77777777" w:rsidR="00345AF1" w:rsidRPr="00933DED" w:rsidRDefault="00345AF1" w:rsidP="00345AF1">
      <w:pPr>
        <w:pStyle w:val="Bibliography"/>
        <w:rPr>
          <w:lang w:val="de-DE"/>
        </w:rPr>
      </w:pPr>
      <w:r>
        <w:t xml:space="preserve">79. </w:t>
      </w:r>
      <w:r>
        <w:tab/>
        <w:t xml:space="preserve">Lessler J, Metcalf CJE, Grais RF, Luquero FJ, Cummings DAT, Grenfell BT. Measuring the Performance of Vaccination Programs Using Cross-Sectional Surveys: A Likelihood Framework and Retrospective Analysis. </w:t>
      </w:r>
      <w:r w:rsidRPr="00933DED">
        <w:rPr>
          <w:lang w:val="de-DE"/>
        </w:rPr>
        <w:t xml:space="preserve">PLOS Med. 2011 25;8(10):e1001110. </w:t>
      </w:r>
    </w:p>
    <w:p w14:paraId="75C6401D" w14:textId="77777777" w:rsidR="00345AF1" w:rsidRPr="00933DED" w:rsidRDefault="00345AF1" w:rsidP="00345AF1">
      <w:pPr>
        <w:pStyle w:val="Bibliography"/>
        <w:rPr>
          <w:lang w:val="de-DE"/>
        </w:rPr>
      </w:pPr>
      <w:r w:rsidRPr="00933DED">
        <w:rPr>
          <w:lang w:val="de-DE"/>
        </w:rPr>
        <w:t xml:space="preserve">80. </w:t>
      </w:r>
      <w:r w:rsidRPr="00933DED">
        <w:rPr>
          <w:lang w:val="de-DE"/>
        </w:rPr>
        <w:tab/>
        <w:t xml:space="preserve">Ali M, Qadri F, Kim DR, Islam T, Im J, Ahmmed F, et al. </w:t>
      </w:r>
      <w:r>
        <w:t xml:space="preserve">Unmasking herd protection by an oral cholera vaccine in a cluster-randomized trial. </w:t>
      </w:r>
      <w:r w:rsidRPr="00933DED">
        <w:rPr>
          <w:lang w:val="de-DE"/>
        </w:rPr>
        <w:t xml:space="preserve">Int J Epidemiol. 2019 Aug 1;48(4):1252–61. </w:t>
      </w:r>
    </w:p>
    <w:p w14:paraId="51969A89" w14:textId="77777777" w:rsidR="00345AF1" w:rsidRDefault="00345AF1" w:rsidP="00345AF1">
      <w:pPr>
        <w:pStyle w:val="Bibliography"/>
      </w:pPr>
      <w:r w:rsidRPr="00933DED">
        <w:rPr>
          <w:lang w:val="de-DE"/>
        </w:rPr>
        <w:t xml:space="preserve">81. </w:t>
      </w:r>
      <w:r w:rsidRPr="00933DED">
        <w:rPr>
          <w:lang w:val="de-DE"/>
        </w:rPr>
        <w:tab/>
        <w:t xml:space="preserve">Khatib AM, Ali M, Seidlein L von, Kim DR, Hashim R, Reyburn R, et al. </w:t>
      </w:r>
      <w:r>
        <w:t xml:space="preserve">Effectiveness of an oral cholera vaccine in Zanzibar: findings from a mass vaccination campaign and observational cohort study. Lancet Infect Dis. 2012 Nov 1;12(11):837–44. </w:t>
      </w:r>
    </w:p>
    <w:p w14:paraId="19B3594E" w14:textId="77777777" w:rsidR="00345AF1" w:rsidRPr="00933DED" w:rsidRDefault="00345AF1" w:rsidP="00345AF1">
      <w:pPr>
        <w:pStyle w:val="Bibliography"/>
        <w:rPr>
          <w:lang w:val="de-DE"/>
        </w:rPr>
      </w:pPr>
      <w:r>
        <w:t xml:space="preserve">82. </w:t>
      </w:r>
      <w:r>
        <w:tab/>
        <w:t xml:space="preserve">Ali M, Sur D, You YA, Kanungo S, Sah B, Manna B, et al. Herd Protection by a Bivalent Killed Whole-Cell Oral Cholera Vaccine in the Slums of Kolkata, India. </w:t>
      </w:r>
      <w:r w:rsidRPr="00933DED">
        <w:rPr>
          <w:lang w:val="de-DE"/>
        </w:rPr>
        <w:t xml:space="preserve">Clin Infect Dis. 2013 Apr 15;56(8):1123–31. </w:t>
      </w:r>
    </w:p>
    <w:p w14:paraId="1075CF85" w14:textId="77777777" w:rsidR="00345AF1" w:rsidRDefault="00345AF1" w:rsidP="00345AF1">
      <w:pPr>
        <w:pStyle w:val="Bibliography"/>
      </w:pPr>
      <w:r w:rsidRPr="00933DED">
        <w:rPr>
          <w:lang w:val="de-DE"/>
        </w:rPr>
        <w:t xml:space="preserve">83. </w:t>
      </w:r>
      <w:r w:rsidRPr="00933DED">
        <w:rPr>
          <w:lang w:val="de-DE"/>
        </w:rPr>
        <w:tab/>
        <w:t xml:space="preserve">Ali M, Emch M, Seidlein L von, Yunus M, Sack DA, Rao M, et al. </w:t>
      </w:r>
      <w:r>
        <w:t xml:space="preserve">Herd immunity conferred by killed oral cholera vaccines in Bangladesh: a reanalysis. The Lancet. 2005 Jul 2;366(9479):44–9. </w:t>
      </w:r>
    </w:p>
    <w:p w14:paraId="12A6CE0D" w14:textId="77777777" w:rsidR="00345AF1" w:rsidRDefault="00345AF1" w:rsidP="00345AF1">
      <w:pPr>
        <w:pStyle w:val="Bibliography"/>
      </w:pPr>
      <w:r>
        <w:t xml:space="preserve">84. </w:t>
      </w:r>
      <w:r>
        <w:tab/>
        <w:t xml:space="preserve">Wiens KE, Xu H, Zou K, Mwaba J, Lessler J, Malembaka EB, et al. Estimating the proportion of clinically suspected cholera cases that are true Vibrio cholerae infections: A systematic review and meta-analysis. PLoS Med. 2023 Sep;20(9):e1004286. </w:t>
      </w:r>
    </w:p>
    <w:p w14:paraId="243B8D0F" w14:textId="77777777" w:rsidR="00345AF1" w:rsidRDefault="00345AF1" w:rsidP="00345AF1">
      <w:pPr>
        <w:pStyle w:val="Bibliography"/>
      </w:pPr>
      <w:r>
        <w:t xml:space="preserve">85. </w:t>
      </w:r>
      <w:r>
        <w:tab/>
        <w:t xml:space="preserve">Wiens KE, Miller MH, Costello DJ, Solomon AP, Hilbert SM, Shipper AG, et al. Care-seeking for diarrheal illness: A systematic review and meta-analysis. PLOS Glob Public Health. 2025 Apr 22;5(4):e0004483. </w:t>
      </w:r>
    </w:p>
    <w:p w14:paraId="42A40EB1" w14:textId="482AC951" w:rsidR="0091469E" w:rsidRPr="006C2B5B" w:rsidRDefault="0091469E" w:rsidP="00F57F15">
      <w:pPr>
        <w:rPr>
          <w:lang w:val="de-DE"/>
        </w:rPr>
      </w:pPr>
      <w:r w:rsidRPr="00097432">
        <w:rPr>
          <w:lang w:val="de-DE"/>
        </w:rPr>
        <w:fldChar w:fldCharType="end"/>
      </w:r>
    </w:p>
    <w:sectPr w:rsidR="0091469E" w:rsidRPr="006C2B5B">
      <w:pgSz w:w="12240" w:h="15840"/>
      <w:pgMar w:top="1440" w:right="135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3DE19C" w14:textId="77777777" w:rsidR="00D64905" w:rsidRDefault="00D64905" w:rsidP="00F57F15">
      <w:r>
        <w:separator/>
      </w:r>
    </w:p>
  </w:endnote>
  <w:endnote w:type="continuationSeparator" w:id="0">
    <w:p w14:paraId="1F0DB1F1" w14:textId="77777777" w:rsidR="00D64905" w:rsidRDefault="00D64905" w:rsidP="00F57F1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NewRomanPSMT">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B875AA" w14:textId="77777777" w:rsidR="00D64905" w:rsidRDefault="00D64905" w:rsidP="00F57F15">
      <w:r>
        <w:separator/>
      </w:r>
    </w:p>
  </w:footnote>
  <w:footnote w:type="continuationSeparator" w:id="0">
    <w:p w14:paraId="2C6F0799" w14:textId="77777777" w:rsidR="00D64905" w:rsidRDefault="00D64905" w:rsidP="00F57F1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DA48CA"/>
    <w:multiLevelType w:val="hybridMultilevel"/>
    <w:tmpl w:val="1FE05CB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C2B433B"/>
    <w:multiLevelType w:val="hybridMultilevel"/>
    <w:tmpl w:val="131A2FDA"/>
    <w:lvl w:ilvl="0" w:tplc="1DC452E8">
      <w:numFmt w:val="bullet"/>
      <w:lvlText w:val="-"/>
      <w:lvlJc w:val="left"/>
      <w:pPr>
        <w:ind w:left="720" w:hanging="360"/>
      </w:pPr>
      <w:rPr>
        <w:rFonts w:ascii="Aptos" w:eastAsiaTheme="minorEastAsia" w:hAnsi="Apto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CD07E53"/>
    <w:multiLevelType w:val="multilevel"/>
    <w:tmpl w:val="259C5E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236356A"/>
    <w:multiLevelType w:val="multilevel"/>
    <w:tmpl w:val="B78C2D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2E9099E"/>
    <w:multiLevelType w:val="hybridMultilevel"/>
    <w:tmpl w:val="86E0B92E"/>
    <w:lvl w:ilvl="0" w:tplc="D5E402FA">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35B181D"/>
    <w:multiLevelType w:val="hybridMultilevel"/>
    <w:tmpl w:val="394C84D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80778D7"/>
    <w:multiLevelType w:val="hybridMultilevel"/>
    <w:tmpl w:val="FD08CC8A"/>
    <w:lvl w:ilvl="0" w:tplc="8A0C8C5A">
      <w:numFmt w:val="bullet"/>
      <w:lvlText w:val=""/>
      <w:lvlJc w:val="left"/>
      <w:pPr>
        <w:ind w:left="720" w:hanging="360"/>
      </w:pPr>
      <w:rPr>
        <w:rFonts w:ascii="Symbol" w:eastAsiaTheme="minorEastAsia"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12F4EC8"/>
    <w:multiLevelType w:val="hybridMultilevel"/>
    <w:tmpl w:val="ACBE8B24"/>
    <w:lvl w:ilvl="0" w:tplc="15D84904">
      <w:numFmt w:val="bullet"/>
      <w:lvlText w:val=""/>
      <w:lvlJc w:val="left"/>
      <w:pPr>
        <w:ind w:left="360" w:hanging="360"/>
      </w:pPr>
      <w:rPr>
        <w:rFonts w:ascii="Symbol" w:eastAsiaTheme="minorEastAsia" w:hAnsi="Symbol" w:cs="Aria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518E7AE1"/>
    <w:multiLevelType w:val="multilevel"/>
    <w:tmpl w:val="B3ECED7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53E11695"/>
    <w:multiLevelType w:val="multilevel"/>
    <w:tmpl w:val="ED7EA3A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15:restartNumberingAfterBreak="0">
    <w:nsid w:val="5D9729BE"/>
    <w:multiLevelType w:val="multilevel"/>
    <w:tmpl w:val="1444CE0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5F3E1DC1"/>
    <w:multiLevelType w:val="multilevel"/>
    <w:tmpl w:val="682CE65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15:restartNumberingAfterBreak="0">
    <w:nsid w:val="61EA27E4"/>
    <w:multiLevelType w:val="hybridMultilevel"/>
    <w:tmpl w:val="865CEC2A"/>
    <w:lvl w:ilvl="0" w:tplc="4A2E18D8">
      <w:start w:val="1"/>
      <w:numFmt w:val="upp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67950DA9"/>
    <w:multiLevelType w:val="hybridMultilevel"/>
    <w:tmpl w:val="7F6832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A2358A6"/>
    <w:multiLevelType w:val="hybridMultilevel"/>
    <w:tmpl w:val="5E765FE8"/>
    <w:lvl w:ilvl="0" w:tplc="D7AA2784">
      <w:numFmt w:val="bullet"/>
      <w:lvlText w:val="-"/>
      <w:lvlJc w:val="left"/>
      <w:pPr>
        <w:ind w:left="720" w:hanging="360"/>
      </w:pPr>
      <w:rPr>
        <w:rFonts w:ascii="Aptos" w:eastAsiaTheme="minorEastAsia" w:hAnsi="Apto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02390957">
    <w:abstractNumId w:val="9"/>
  </w:num>
  <w:num w:numId="2" w16cid:durableId="1849833219">
    <w:abstractNumId w:val="8"/>
  </w:num>
  <w:num w:numId="3" w16cid:durableId="298729548">
    <w:abstractNumId w:val="11"/>
  </w:num>
  <w:num w:numId="4" w16cid:durableId="1003583786">
    <w:abstractNumId w:val="10"/>
  </w:num>
  <w:num w:numId="5" w16cid:durableId="1532298304">
    <w:abstractNumId w:val="2"/>
  </w:num>
  <w:num w:numId="6" w16cid:durableId="1729299850">
    <w:abstractNumId w:val="12"/>
  </w:num>
  <w:num w:numId="7" w16cid:durableId="1717197053">
    <w:abstractNumId w:val="5"/>
  </w:num>
  <w:num w:numId="8" w16cid:durableId="754012049">
    <w:abstractNumId w:val="6"/>
  </w:num>
  <w:num w:numId="9" w16cid:durableId="593559745">
    <w:abstractNumId w:val="0"/>
  </w:num>
  <w:num w:numId="10" w16cid:durableId="1431730596">
    <w:abstractNumId w:val="13"/>
  </w:num>
  <w:num w:numId="11" w16cid:durableId="1692105660">
    <w:abstractNumId w:val="3"/>
  </w:num>
  <w:num w:numId="12" w16cid:durableId="1975403864">
    <w:abstractNumId w:val="7"/>
  </w:num>
  <w:num w:numId="13" w16cid:durableId="449861837">
    <w:abstractNumId w:val="14"/>
  </w:num>
  <w:num w:numId="14" w16cid:durableId="499781609">
    <w:abstractNumId w:val="1"/>
  </w:num>
  <w:num w:numId="15" w16cid:durableId="27414493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552A"/>
    <w:rsid w:val="00000724"/>
    <w:rsid w:val="00000FB2"/>
    <w:rsid w:val="000010BB"/>
    <w:rsid w:val="00001A62"/>
    <w:rsid w:val="00001FA9"/>
    <w:rsid w:val="0000324B"/>
    <w:rsid w:val="00003973"/>
    <w:rsid w:val="00004AA3"/>
    <w:rsid w:val="00005545"/>
    <w:rsid w:val="00005E29"/>
    <w:rsid w:val="00005F2F"/>
    <w:rsid w:val="00007059"/>
    <w:rsid w:val="00010892"/>
    <w:rsid w:val="00010E50"/>
    <w:rsid w:val="00011160"/>
    <w:rsid w:val="00012CE2"/>
    <w:rsid w:val="0001318D"/>
    <w:rsid w:val="00014662"/>
    <w:rsid w:val="000156F0"/>
    <w:rsid w:val="0001799C"/>
    <w:rsid w:val="00020AD1"/>
    <w:rsid w:val="0002170C"/>
    <w:rsid w:val="000218B3"/>
    <w:rsid w:val="00022BDE"/>
    <w:rsid w:val="00022FC0"/>
    <w:rsid w:val="00023E55"/>
    <w:rsid w:val="00024C43"/>
    <w:rsid w:val="00025C83"/>
    <w:rsid w:val="00027492"/>
    <w:rsid w:val="000275CA"/>
    <w:rsid w:val="00027F63"/>
    <w:rsid w:val="00030182"/>
    <w:rsid w:val="000305FB"/>
    <w:rsid w:val="000331C4"/>
    <w:rsid w:val="00035690"/>
    <w:rsid w:val="0003631E"/>
    <w:rsid w:val="0003720E"/>
    <w:rsid w:val="00037AA9"/>
    <w:rsid w:val="000403F9"/>
    <w:rsid w:val="00040BD4"/>
    <w:rsid w:val="00042679"/>
    <w:rsid w:val="00043731"/>
    <w:rsid w:val="000450ED"/>
    <w:rsid w:val="00045F82"/>
    <w:rsid w:val="00046B2E"/>
    <w:rsid w:val="00047646"/>
    <w:rsid w:val="000479E2"/>
    <w:rsid w:val="00047A71"/>
    <w:rsid w:val="0005039D"/>
    <w:rsid w:val="00050D62"/>
    <w:rsid w:val="000519B7"/>
    <w:rsid w:val="00052116"/>
    <w:rsid w:val="0005281F"/>
    <w:rsid w:val="00053C6E"/>
    <w:rsid w:val="00055BEE"/>
    <w:rsid w:val="00057845"/>
    <w:rsid w:val="00057A1B"/>
    <w:rsid w:val="000609D7"/>
    <w:rsid w:val="00060ABE"/>
    <w:rsid w:val="000624FB"/>
    <w:rsid w:val="00062CE1"/>
    <w:rsid w:val="00064F4D"/>
    <w:rsid w:val="00065EB1"/>
    <w:rsid w:val="000661EB"/>
    <w:rsid w:val="00070B6A"/>
    <w:rsid w:val="000710D2"/>
    <w:rsid w:val="000716EF"/>
    <w:rsid w:val="00071795"/>
    <w:rsid w:val="0007207C"/>
    <w:rsid w:val="00072756"/>
    <w:rsid w:val="000728F0"/>
    <w:rsid w:val="00072A95"/>
    <w:rsid w:val="0007373B"/>
    <w:rsid w:val="00074046"/>
    <w:rsid w:val="00074500"/>
    <w:rsid w:val="0007515D"/>
    <w:rsid w:val="000755AF"/>
    <w:rsid w:val="00075E89"/>
    <w:rsid w:val="0007624C"/>
    <w:rsid w:val="000767F9"/>
    <w:rsid w:val="000803BB"/>
    <w:rsid w:val="00081747"/>
    <w:rsid w:val="000820C7"/>
    <w:rsid w:val="000825FA"/>
    <w:rsid w:val="000849A1"/>
    <w:rsid w:val="00085539"/>
    <w:rsid w:val="00085FFA"/>
    <w:rsid w:val="00086418"/>
    <w:rsid w:val="000875D9"/>
    <w:rsid w:val="00090679"/>
    <w:rsid w:val="000919B3"/>
    <w:rsid w:val="00093035"/>
    <w:rsid w:val="00093854"/>
    <w:rsid w:val="00094387"/>
    <w:rsid w:val="00094E23"/>
    <w:rsid w:val="00095C04"/>
    <w:rsid w:val="0009602B"/>
    <w:rsid w:val="0009703A"/>
    <w:rsid w:val="00097432"/>
    <w:rsid w:val="000A03AC"/>
    <w:rsid w:val="000A0FAC"/>
    <w:rsid w:val="000A2346"/>
    <w:rsid w:val="000A2E51"/>
    <w:rsid w:val="000A3B2F"/>
    <w:rsid w:val="000A4527"/>
    <w:rsid w:val="000A4996"/>
    <w:rsid w:val="000A4EDF"/>
    <w:rsid w:val="000A5801"/>
    <w:rsid w:val="000A5AD1"/>
    <w:rsid w:val="000A7845"/>
    <w:rsid w:val="000A78DF"/>
    <w:rsid w:val="000A7AD8"/>
    <w:rsid w:val="000A7BEE"/>
    <w:rsid w:val="000B24B0"/>
    <w:rsid w:val="000B2C70"/>
    <w:rsid w:val="000B37F2"/>
    <w:rsid w:val="000B5A14"/>
    <w:rsid w:val="000B6308"/>
    <w:rsid w:val="000B75AF"/>
    <w:rsid w:val="000C0BD4"/>
    <w:rsid w:val="000C4FE2"/>
    <w:rsid w:val="000C5195"/>
    <w:rsid w:val="000C5397"/>
    <w:rsid w:val="000C5DDE"/>
    <w:rsid w:val="000C678D"/>
    <w:rsid w:val="000C7D0B"/>
    <w:rsid w:val="000D043A"/>
    <w:rsid w:val="000D0A1C"/>
    <w:rsid w:val="000D0FFD"/>
    <w:rsid w:val="000D1E3D"/>
    <w:rsid w:val="000D2A12"/>
    <w:rsid w:val="000D2FDB"/>
    <w:rsid w:val="000D35EF"/>
    <w:rsid w:val="000D3CDC"/>
    <w:rsid w:val="000D3E63"/>
    <w:rsid w:val="000D466C"/>
    <w:rsid w:val="000D5217"/>
    <w:rsid w:val="000D65BA"/>
    <w:rsid w:val="000D6FC6"/>
    <w:rsid w:val="000E034B"/>
    <w:rsid w:val="000E0F95"/>
    <w:rsid w:val="000E1399"/>
    <w:rsid w:val="000E2C01"/>
    <w:rsid w:val="000E2CA2"/>
    <w:rsid w:val="000E2F5A"/>
    <w:rsid w:val="000E32B7"/>
    <w:rsid w:val="000E3795"/>
    <w:rsid w:val="000E5B51"/>
    <w:rsid w:val="000E65CD"/>
    <w:rsid w:val="000E7738"/>
    <w:rsid w:val="000F002E"/>
    <w:rsid w:val="000F04AE"/>
    <w:rsid w:val="000F1A86"/>
    <w:rsid w:val="000F1E7B"/>
    <w:rsid w:val="000F230E"/>
    <w:rsid w:val="000F26E2"/>
    <w:rsid w:val="000F3789"/>
    <w:rsid w:val="000F37C7"/>
    <w:rsid w:val="000F4FE8"/>
    <w:rsid w:val="000F5005"/>
    <w:rsid w:val="000F56BB"/>
    <w:rsid w:val="000F5F59"/>
    <w:rsid w:val="000F7281"/>
    <w:rsid w:val="000F7C2D"/>
    <w:rsid w:val="00100009"/>
    <w:rsid w:val="00100FD9"/>
    <w:rsid w:val="00100FEE"/>
    <w:rsid w:val="00101F19"/>
    <w:rsid w:val="00102822"/>
    <w:rsid w:val="0010342D"/>
    <w:rsid w:val="00103C17"/>
    <w:rsid w:val="00103C77"/>
    <w:rsid w:val="00104F1B"/>
    <w:rsid w:val="00106E6B"/>
    <w:rsid w:val="00107572"/>
    <w:rsid w:val="001108E3"/>
    <w:rsid w:val="001116CD"/>
    <w:rsid w:val="00114033"/>
    <w:rsid w:val="00115C22"/>
    <w:rsid w:val="00115FDE"/>
    <w:rsid w:val="001170DE"/>
    <w:rsid w:val="00117ADF"/>
    <w:rsid w:val="00117F81"/>
    <w:rsid w:val="00120C9F"/>
    <w:rsid w:val="0012237A"/>
    <w:rsid w:val="001224F4"/>
    <w:rsid w:val="001228B8"/>
    <w:rsid w:val="001230D6"/>
    <w:rsid w:val="0012374A"/>
    <w:rsid w:val="0012429E"/>
    <w:rsid w:val="00124556"/>
    <w:rsid w:val="00124F65"/>
    <w:rsid w:val="001277F5"/>
    <w:rsid w:val="00130379"/>
    <w:rsid w:val="00131310"/>
    <w:rsid w:val="00131323"/>
    <w:rsid w:val="00132EDE"/>
    <w:rsid w:val="001335AA"/>
    <w:rsid w:val="00133C0C"/>
    <w:rsid w:val="00134155"/>
    <w:rsid w:val="00134353"/>
    <w:rsid w:val="0013470C"/>
    <w:rsid w:val="00134978"/>
    <w:rsid w:val="00134B7C"/>
    <w:rsid w:val="00134F8D"/>
    <w:rsid w:val="00136FB6"/>
    <w:rsid w:val="00137A5B"/>
    <w:rsid w:val="00140B11"/>
    <w:rsid w:val="00141D83"/>
    <w:rsid w:val="001423A7"/>
    <w:rsid w:val="001449D6"/>
    <w:rsid w:val="0014585F"/>
    <w:rsid w:val="00145F73"/>
    <w:rsid w:val="00146AA8"/>
    <w:rsid w:val="0014740B"/>
    <w:rsid w:val="001475F2"/>
    <w:rsid w:val="00147A40"/>
    <w:rsid w:val="00150276"/>
    <w:rsid w:val="001505F0"/>
    <w:rsid w:val="001515E1"/>
    <w:rsid w:val="00152955"/>
    <w:rsid w:val="0015324B"/>
    <w:rsid w:val="00154F88"/>
    <w:rsid w:val="0015506C"/>
    <w:rsid w:val="0015596C"/>
    <w:rsid w:val="0015666A"/>
    <w:rsid w:val="00156EEE"/>
    <w:rsid w:val="001571CE"/>
    <w:rsid w:val="001571FC"/>
    <w:rsid w:val="0016071A"/>
    <w:rsid w:val="00161527"/>
    <w:rsid w:val="00161657"/>
    <w:rsid w:val="001616DF"/>
    <w:rsid w:val="001634F3"/>
    <w:rsid w:val="001639F0"/>
    <w:rsid w:val="0016449B"/>
    <w:rsid w:val="001649DA"/>
    <w:rsid w:val="00165D50"/>
    <w:rsid w:val="001662F3"/>
    <w:rsid w:val="00166ED8"/>
    <w:rsid w:val="0016701D"/>
    <w:rsid w:val="0016732A"/>
    <w:rsid w:val="001674DA"/>
    <w:rsid w:val="0016770F"/>
    <w:rsid w:val="00167CDD"/>
    <w:rsid w:val="00167EB9"/>
    <w:rsid w:val="0017083E"/>
    <w:rsid w:val="0017253B"/>
    <w:rsid w:val="00173B6F"/>
    <w:rsid w:val="0017455F"/>
    <w:rsid w:val="00174817"/>
    <w:rsid w:val="00174BB1"/>
    <w:rsid w:val="00174EE8"/>
    <w:rsid w:val="00174F30"/>
    <w:rsid w:val="00175A98"/>
    <w:rsid w:val="00176383"/>
    <w:rsid w:val="0017755B"/>
    <w:rsid w:val="001808BC"/>
    <w:rsid w:val="00180BB1"/>
    <w:rsid w:val="001817B1"/>
    <w:rsid w:val="00181EAE"/>
    <w:rsid w:val="00182003"/>
    <w:rsid w:val="00182739"/>
    <w:rsid w:val="00183AE5"/>
    <w:rsid w:val="00184257"/>
    <w:rsid w:val="001865A9"/>
    <w:rsid w:val="00186FD2"/>
    <w:rsid w:val="001877A8"/>
    <w:rsid w:val="00191FD8"/>
    <w:rsid w:val="001922C4"/>
    <w:rsid w:val="00192996"/>
    <w:rsid w:val="00192BA6"/>
    <w:rsid w:val="0019309B"/>
    <w:rsid w:val="00193B39"/>
    <w:rsid w:val="001946A6"/>
    <w:rsid w:val="00195330"/>
    <w:rsid w:val="001956AD"/>
    <w:rsid w:val="00195CA7"/>
    <w:rsid w:val="0019638F"/>
    <w:rsid w:val="00196645"/>
    <w:rsid w:val="00196699"/>
    <w:rsid w:val="00196E6D"/>
    <w:rsid w:val="001974F8"/>
    <w:rsid w:val="001A0191"/>
    <w:rsid w:val="001A0B1C"/>
    <w:rsid w:val="001A205D"/>
    <w:rsid w:val="001A384C"/>
    <w:rsid w:val="001A4257"/>
    <w:rsid w:val="001A6738"/>
    <w:rsid w:val="001A6CC0"/>
    <w:rsid w:val="001A76C9"/>
    <w:rsid w:val="001A7A89"/>
    <w:rsid w:val="001B04AC"/>
    <w:rsid w:val="001B12D1"/>
    <w:rsid w:val="001B145A"/>
    <w:rsid w:val="001B188C"/>
    <w:rsid w:val="001B2273"/>
    <w:rsid w:val="001B37F0"/>
    <w:rsid w:val="001B3C48"/>
    <w:rsid w:val="001B5238"/>
    <w:rsid w:val="001B6966"/>
    <w:rsid w:val="001B6A9C"/>
    <w:rsid w:val="001B6C05"/>
    <w:rsid w:val="001B6E25"/>
    <w:rsid w:val="001C09B1"/>
    <w:rsid w:val="001C0FB2"/>
    <w:rsid w:val="001C10AC"/>
    <w:rsid w:val="001C35C1"/>
    <w:rsid w:val="001C39C3"/>
    <w:rsid w:val="001C3B6B"/>
    <w:rsid w:val="001C64F9"/>
    <w:rsid w:val="001C6BD0"/>
    <w:rsid w:val="001C7874"/>
    <w:rsid w:val="001D17B5"/>
    <w:rsid w:val="001D2427"/>
    <w:rsid w:val="001D272D"/>
    <w:rsid w:val="001D33D5"/>
    <w:rsid w:val="001D3E8B"/>
    <w:rsid w:val="001E0554"/>
    <w:rsid w:val="001E16B3"/>
    <w:rsid w:val="001E21A7"/>
    <w:rsid w:val="001E22BA"/>
    <w:rsid w:val="001E299C"/>
    <w:rsid w:val="001E2D3A"/>
    <w:rsid w:val="001E3264"/>
    <w:rsid w:val="001E3E70"/>
    <w:rsid w:val="001E41A9"/>
    <w:rsid w:val="001E504F"/>
    <w:rsid w:val="001E5B2B"/>
    <w:rsid w:val="001E5CDB"/>
    <w:rsid w:val="001E653C"/>
    <w:rsid w:val="001E69BC"/>
    <w:rsid w:val="001E7B18"/>
    <w:rsid w:val="001E7F0C"/>
    <w:rsid w:val="001F0D9E"/>
    <w:rsid w:val="001F1759"/>
    <w:rsid w:val="001F2A6D"/>
    <w:rsid w:val="001F327A"/>
    <w:rsid w:val="001F5079"/>
    <w:rsid w:val="001F57A9"/>
    <w:rsid w:val="002007F1"/>
    <w:rsid w:val="002024E0"/>
    <w:rsid w:val="002028D0"/>
    <w:rsid w:val="00202AB1"/>
    <w:rsid w:val="00203322"/>
    <w:rsid w:val="0020460F"/>
    <w:rsid w:val="0020523E"/>
    <w:rsid w:val="002063E9"/>
    <w:rsid w:val="002067FA"/>
    <w:rsid w:val="002077D5"/>
    <w:rsid w:val="00207817"/>
    <w:rsid w:val="002111D9"/>
    <w:rsid w:val="00211686"/>
    <w:rsid w:val="0021189F"/>
    <w:rsid w:val="002120F9"/>
    <w:rsid w:val="00212C31"/>
    <w:rsid w:val="00212CB9"/>
    <w:rsid w:val="00212E4F"/>
    <w:rsid w:val="00214279"/>
    <w:rsid w:val="002146B4"/>
    <w:rsid w:val="00214C1B"/>
    <w:rsid w:val="00214CFE"/>
    <w:rsid w:val="00215147"/>
    <w:rsid w:val="00215D13"/>
    <w:rsid w:val="002172B7"/>
    <w:rsid w:val="002173D7"/>
    <w:rsid w:val="00220167"/>
    <w:rsid w:val="00220AC2"/>
    <w:rsid w:val="00220F78"/>
    <w:rsid w:val="00221068"/>
    <w:rsid w:val="00223F81"/>
    <w:rsid w:val="0022547D"/>
    <w:rsid w:val="00225579"/>
    <w:rsid w:val="00226CD4"/>
    <w:rsid w:val="002308AE"/>
    <w:rsid w:val="00232B0D"/>
    <w:rsid w:val="00233249"/>
    <w:rsid w:val="00235F5D"/>
    <w:rsid w:val="002360E5"/>
    <w:rsid w:val="002363B7"/>
    <w:rsid w:val="0023703C"/>
    <w:rsid w:val="0023763F"/>
    <w:rsid w:val="002419C3"/>
    <w:rsid w:val="00243E45"/>
    <w:rsid w:val="002450FE"/>
    <w:rsid w:val="00245E80"/>
    <w:rsid w:val="002463C5"/>
    <w:rsid w:val="00246F91"/>
    <w:rsid w:val="0024702D"/>
    <w:rsid w:val="00247AE3"/>
    <w:rsid w:val="00247AF8"/>
    <w:rsid w:val="00247D51"/>
    <w:rsid w:val="002501A0"/>
    <w:rsid w:val="00251406"/>
    <w:rsid w:val="00251C6C"/>
    <w:rsid w:val="00251C88"/>
    <w:rsid w:val="00252492"/>
    <w:rsid w:val="00253023"/>
    <w:rsid w:val="0025318A"/>
    <w:rsid w:val="00253C84"/>
    <w:rsid w:val="00253ECE"/>
    <w:rsid w:val="00254589"/>
    <w:rsid w:val="0025471D"/>
    <w:rsid w:val="00254DC1"/>
    <w:rsid w:val="0025523E"/>
    <w:rsid w:val="0025538F"/>
    <w:rsid w:val="0025785D"/>
    <w:rsid w:val="0026045A"/>
    <w:rsid w:val="00260A60"/>
    <w:rsid w:val="00260FB8"/>
    <w:rsid w:val="002612A7"/>
    <w:rsid w:val="00261A6A"/>
    <w:rsid w:val="00262CE6"/>
    <w:rsid w:val="0026334F"/>
    <w:rsid w:val="0026353F"/>
    <w:rsid w:val="002639AF"/>
    <w:rsid w:val="00263C80"/>
    <w:rsid w:val="00264BFF"/>
    <w:rsid w:val="00265040"/>
    <w:rsid w:val="002655D6"/>
    <w:rsid w:val="00265B1D"/>
    <w:rsid w:val="00266AD3"/>
    <w:rsid w:val="002701EC"/>
    <w:rsid w:val="00271280"/>
    <w:rsid w:val="00271E11"/>
    <w:rsid w:val="00272A96"/>
    <w:rsid w:val="00273BBB"/>
    <w:rsid w:val="00274651"/>
    <w:rsid w:val="002757A5"/>
    <w:rsid w:val="00275E2A"/>
    <w:rsid w:val="00276DCB"/>
    <w:rsid w:val="00277F78"/>
    <w:rsid w:val="00280018"/>
    <w:rsid w:val="00281BA4"/>
    <w:rsid w:val="002837D3"/>
    <w:rsid w:val="00284065"/>
    <w:rsid w:val="00284399"/>
    <w:rsid w:val="0028464C"/>
    <w:rsid w:val="00284D30"/>
    <w:rsid w:val="00285501"/>
    <w:rsid w:val="00286E84"/>
    <w:rsid w:val="00286EAF"/>
    <w:rsid w:val="00287384"/>
    <w:rsid w:val="00287A3F"/>
    <w:rsid w:val="002903B8"/>
    <w:rsid w:val="002914FA"/>
    <w:rsid w:val="002929F4"/>
    <w:rsid w:val="00293404"/>
    <w:rsid w:val="00294FF7"/>
    <w:rsid w:val="00295B3F"/>
    <w:rsid w:val="00296776"/>
    <w:rsid w:val="0029688A"/>
    <w:rsid w:val="00297A73"/>
    <w:rsid w:val="002A0203"/>
    <w:rsid w:val="002A0E0B"/>
    <w:rsid w:val="002A15F7"/>
    <w:rsid w:val="002A19C9"/>
    <w:rsid w:val="002A46E4"/>
    <w:rsid w:val="002A5036"/>
    <w:rsid w:val="002A529C"/>
    <w:rsid w:val="002A552A"/>
    <w:rsid w:val="002A59A5"/>
    <w:rsid w:val="002A5F03"/>
    <w:rsid w:val="002B04F2"/>
    <w:rsid w:val="002B1055"/>
    <w:rsid w:val="002B189F"/>
    <w:rsid w:val="002B205D"/>
    <w:rsid w:val="002B3301"/>
    <w:rsid w:val="002B33FC"/>
    <w:rsid w:val="002B35D1"/>
    <w:rsid w:val="002B4315"/>
    <w:rsid w:val="002B71D9"/>
    <w:rsid w:val="002B77C2"/>
    <w:rsid w:val="002C02A8"/>
    <w:rsid w:val="002C1100"/>
    <w:rsid w:val="002C183E"/>
    <w:rsid w:val="002C1FE4"/>
    <w:rsid w:val="002C2B64"/>
    <w:rsid w:val="002C39A5"/>
    <w:rsid w:val="002C52B0"/>
    <w:rsid w:val="002C5A21"/>
    <w:rsid w:val="002C6BF1"/>
    <w:rsid w:val="002C6E6D"/>
    <w:rsid w:val="002C71B2"/>
    <w:rsid w:val="002C7D9B"/>
    <w:rsid w:val="002D0828"/>
    <w:rsid w:val="002D2C53"/>
    <w:rsid w:val="002D36BC"/>
    <w:rsid w:val="002D44D8"/>
    <w:rsid w:val="002D57F4"/>
    <w:rsid w:val="002D642D"/>
    <w:rsid w:val="002D7D1D"/>
    <w:rsid w:val="002E0431"/>
    <w:rsid w:val="002E09E9"/>
    <w:rsid w:val="002E0E83"/>
    <w:rsid w:val="002E0EBE"/>
    <w:rsid w:val="002E16D5"/>
    <w:rsid w:val="002E331B"/>
    <w:rsid w:val="002E54AD"/>
    <w:rsid w:val="002E5B0B"/>
    <w:rsid w:val="002E66E2"/>
    <w:rsid w:val="002E787E"/>
    <w:rsid w:val="002E796C"/>
    <w:rsid w:val="002F1047"/>
    <w:rsid w:val="002F154A"/>
    <w:rsid w:val="002F2AFC"/>
    <w:rsid w:val="002F33F3"/>
    <w:rsid w:val="002F34DA"/>
    <w:rsid w:val="002F366D"/>
    <w:rsid w:val="002F4DDC"/>
    <w:rsid w:val="002F4DEA"/>
    <w:rsid w:val="002F5474"/>
    <w:rsid w:val="002F5C26"/>
    <w:rsid w:val="00300523"/>
    <w:rsid w:val="00300539"/>
    <w:rsid w:val="0030297E"/>
    <w:rsid w:val="00302AD4"/>
    <w:rsid w:val="00302AF8"/>
    <w:rsid w:val="0030376B"/>
    <w:rsid w:val="00304010"/>
    <w:rsid w:val="00304335"/>
    <w:rsid w:val="00304BD3"/>
    <w:rsid w:val="0030503D"/>
    <w:rsid w:val="00306905"/>
    <w:rsid w:val="00307055"/>
    <w:rsid w:val="0030720A"/>
    <w:rsid w:val="00310E1A"/>
    <w:rsid w:val="00315337"/>
    <w:rsid w:val="003161D9"/>
    <w:rsid w:val="00320574"/>
    <w:rsid w:val="003221D2"/>
    <w:rsid w:val="0032337A"/>
    <w:rsid w:val="0032574E"/>
    <w:rsid w:val="003266E3"/>
    <w:rsid w:val="0032689C"/>
    <w:rsid w:val="00327B42"/>
    <w:rsid w:val="003307B7"/>
    <w:rsid w:val="003330B0"/>
    <w:rsid w:val="0033445E"/>
    <w:rsid w:val="00334A5E"/>
    <w:rsid w:val="00334EF6"/>
    <w:rsid w:val="00335CC0"/>
    <w:rsid w:val="00335DAD"/>
    <w:rsid w:val="003360F7"/>
    <w:rsid w:val="003363F2"/>
    <w:rsid w:val="00336981"/>
    <w:rsid w:val="00336F2C"/>
    <w:rsid w:val="0034061A"/>
    <w:rsid w:val="0034118F"/>
    <w:rsid w:val="0034167F"/>
    <w:rsid w:val="00343482"/>
    <w:rsid w:val="00343E90"/>
    <w:rsid w:val="00343F62"/>
    <w:rsid w:val="003440A6"/>
    <w:rsid w:val="00344F4D"/>
    <w:rsid w:val="00345AF1"/>
    <w:rsid w:val="003476FD"/>
    <w:rsid w:val="00347F99"/>
    <w:rsid w:val="00350089"/>
    <w:rsid w:val="00353996"/>
    <w:rsid w:val="00353A49"/>
    <w:rsid w:val="00355255"/>
    <w:rsid w:val="00356B8A"/>
    <w:rsid w:val="00356BCD"/>
    <w:rsid w:val="00360DA3"/>
    <w:rsid w:val="00360E33"/>
    <w:rsid w:val="00360F50"/>
    <w:rsid w:val="0036194A"/>
    <w:rsid w:val="00361A6D"/>
    <w:rsid w:val="0036255C"/>
    <w:rsid w:val="00362788"/>
    <w:rsid w:val="00362D1D"/>
    <w:rsid w:val="003632A2"/>
    <w:rsid w:val="00363CA5"/>
    <w:rsid w:val="00364F26"/>
    <w:rsid w:val="003650D5"/>
    <w:rsid w:val="00365754"/>
    <w:rsid w:val="00367E6B"/>
    <w:rsid w:val="00367F77"/>
    <w:rsid w:val="0037037E"/>
    <w:rsid w:val="0037074F"/>
    <w:rsid w:val="003712A2"/>
    <w:rsid w:val="003715DC"/>
    <w:rsid w:val="00372943"/>
    <w:rsid w:val="003753A3"/>
    <w:rsid w:val="003753C9"/>
    <w:rsid w:val="00375913"/>
    <w:rsid w:val="0037598C"/>
    <w:rsid w:val="003763C0"/>
    <w:rsid w:val="00376562"/>
    <w:rsid w:val="00376D9C"/>
    <w:rsid w:val="003770F2"/>
    <w:rsid w:val="003801F9"/>
    <w:rsid w:val="00380964"/>
    <w:rsid w:val="00380A8A"/>
    <w:rsid w:val="003814DE"/>
    <w:rsid w:val="0038398C"/>
    <w:rsid w:val="003843EC"/>
    <w:rsid w:val="00385C39"/>
    <w:rsid w:val="00387E8F"/>
    <w:rsid w:val="003904FD"/>
    <w:rsid w:val="00390EF8"/>
    <w:rsid w:val="00390F55"/>
    <w:rsid w:val="00391694"/>
    <w:rsid w:val="003917BF"/>
    <w:rsid w:val="003921A0"/>
    <w:rsid w:val="00392F1E"/>
    <w:rsid w:val="0039389D"/>
    <w:rsid w:val="003938CB"/>
    <w:rsid w:val="00393E26"/>
    <w:rsid w:val="00394EA5"/>
    <w:rsid w:val="0039574C"/>
    <w:rsid w:val="00395BBC"/>
    <w:rsid w:val="003A060A"/>
    <w:rsid w:val="003A111A"/>
    <w:rsid w:val="003A206A"/>
    <w:rsid w:val="003A33CA"/>
    <w:rsid w:val="003A3B5A"/>
    <w:rsid w:val="003A3BDB"/>
    <w:rsid w:val="003A4C48"/>
    <w:rsid w:val="003A5092"/>
    <w:rsid w:val="003A519B"/>
    <w:rsid w:val="003A76F7"/>
    <w:rsid w:val="003B25CD"/>
    <w:rsid w:val="003B2FC4"/>
    <w:rsid w:val="003B3D47"/>
    <w:rsid w:val="003B42E6"/>
    <w:rsid w:val="003B456C"/>
    <w:rsid w:val="003B4ADA"/>
    <w:rsid w:val="003B5F48"/>
    <w:rsid w:val="003B6F7B"/>
    <w:rsid w:val="003B7D2B"/>
    <w:rsid w:val="003C06DC"/>
    <w:rsid w:val="003C118F"/>
    <w:rsid w:val="003C1AD2"/>
    <w:rsid w:val="003C4802"/>
    <w:rsid w:val="003C5C26"/>
    <w:rsid w:val="003C5D20"/>
    <w:rsid w:val="003C6173"/>
    <w:rsid w:val="003C6A0B"/>
    <w:rsid w:val="003C6E8E"/>
    <w:rsid w:val="003C7356"/>
    <w:rsid w:val="003C7620"/>
    <w:rsid w:val="003D01F6"/>
    <w:rsid w:val="003D1037"/>
    <w:rsid w:val="003D2996"/>
    <w:rsid w:val="003D2A90"/>
    <w:rsid w:val="003D2B3E"/>
    <w:rsid w:val="003D2CBE"/>
    <w:rsid w:val="003D31FB"/>
    <w:rsid w:val="003D3210"/>
    <w:rsid w:val="003D5658"/>
    <w:rsid w:val="003D5D81"/>
    <w:rsid w:val="003D620F"/>
    <w:rsid w:val="003D74EE"/>
    <w:rsid w:val="003D795F"/>
    <w:rsid w:val="003D7D41"/>
    <w:rsid w:val="003E0CDD"/>
    <w:rsid w:val="003E10F0"/>
    <w:rsid w:val="003E19A6"/>
    <w:rsid w:val="003E2188"/>
    <w:rsid w:val="003E6DE1"/>
    <w:rsid w:val="003E7E81"/>
    <w:rsid w:val="003F138B"/>
    <w:rsid w:val="003F3A8F"/>
    <w:rsid w:val="003F4FDB"/>
    <w:rsid w:val="003F51CF"/>
    <w:rsid w:val="003F557D"/>
    <w:rsid w:val="003F6F31"/>
    <w:rsid w:val="003F7330"/>
    <w:rsid w:val="003F7829"/>
    <w:rsid w:val="003F788D"/>
    <w:rsid w:val="0040123F"/>
    <w:rsid w:val="00401EA8"/>
    <w:rsid w:val="00402F66"/>
    <w:rsid w:val="0040353F"/>
    <w:rsid w:val="00403583"/>
    <w:rsid w:val="00403E1C"/>
    <w:rsid w:val="00405799"/>
    <w:rsid w:val="00407BAF"/>
    <w:rsid w:val="00407FC9"/>
    <w:rsid w:val="0041282D"/>
    <w:rsid w:val="00412CDE"/>
    <w:rsid w:val="00413F0C"/>
    <w:rsid w:val="00414133"/>
    <w:rsid w:val="00414FC2"/>
    <w:rsid w:val="00415280"/>
    <w:rsid w:val="004167C8"/>
    <w:rsid w:val="00416D80"/>
    <w:rsid w:val="00417190"/>
    <w:rsid w:val="00417331"/>
    <w:rsid w:val="00420814"/>
    <w:rsid w:val="00422D17"/>
    <w:rsid w:val="004238F7"/>
    <w:rsid w:val="0042420C"/>
    <w:rsid w:val="00425265"/>
    <w:rsid w:val="004257A0"/>
    <w:rsid w:val="00426996"/>
    <w:rsid w:val="00426D3F"/>
    <w:rsid w:val="00427562"/>
    <w:rsid w:val="00427B7F"/>
    <w:rsid w:val="00427DD4"/>
    <w:rsid w:val="00427FB4"/>
    <w:rsid w:val="0043069E"/>
    <w:rsid w:val="00431AA5"/>
    <w:rsid w:val="00431BC7"/>
    <w:rsid w:val="0043231C"/>
    <w:rsid w:val="0043279A"/>
    <w:rsid w:val="004327BB"/>
    <w:rsid w:val="004346B5"/>
    <w:rsid w:val="0043475A"/>
    <w:rsid w:val="00435373"/>
    <w:rsid w:val="004363E6"/>
    <w:rsid w:val="00436509"/>
    <w:rsid w:val="00436A92"/>
    <w:rsid w:val="00436F2C"/>
    <w:rsid w:val="0043769E"/>
    <w:rsid w:val="00440E95"/>
    <w:rsid w:val="0044305B"/>
    <w:rsid w:val="0044376F"/>
    <w:rsid w:val="0044382C"/>
    <w:rsid w:val="00443A82"/>
    <w:rsid w:val="00445A45"/>
    <w:rsid w:val="00451FBD"/>
    <w:rsid w:val="004529C0"/>
    <w:rsid w:val="004529D0"/>
    <w:rsid w:val="00452A8F"/>
    <w:rsid w:val="004558D7"/>
    <w:rsid w:val="00455A13"/>
    <w:rsid w:val="00457285"/>
    <w:rsid w:val="004615E8"/>
    <w:rsid w:val="00461F83"/>
    <w:rsid w:val="004632B6"/>
    <w:rsid w:val="004647EB"/>
    <w:rsid w:val="004649A2"/>
    <w:rsid w:val="00465F25"/>
    <w:rsid w:val="004669B4"/>
    <w:rsid w:val="0046747F"/>
    <w:rsid w:val="004677E4"/>
    <w:rsid w:val="00470261"/>
    <w:rsid w:val="00470B92"/>
    <w:rsid w:val="00470F26"/>
    <w:rsid w:val="00473939"/>
    <w:rsid w:val="00473C76"/>
    <w:rsid w:val="0047607C"/>
    <w:rsid w:val="0047646C"/>
    <w:rsid w:val="004775B5"/>
    <w:rsid w:val="004812B4"/>
    <w:rsid w:val="00483443"/>
    <w:rsid w:val="004848E4"/>
    <w:rsid w:val="004870F7"/>
    <w:rsid w:val="00487D19"/>
    <w:rsid w:val="0049047A"/>
    <w:rsid w:val="00492617"/>
    <w:rsid w:val="0049285E"/>
    <w:rsid w:val="00492A30"/>
    <w:rsid w:val="00494D92"/>
    <w:rsid w:val="00494EF3"/>
    <w:rsid w:val="00495335"/>
    <w:rsid w:val="0049571F"/>
    <w:rsid w:val="00495C19"/>
    <w:rsid w:val="0049683A"/>
    <w:rsid w:val="004972B9"/>
    <w:rsid w:val="00497ECC"/>
    <w:rsid w:val="004A0798"/>
    <w:rsid w:val="004A1600"/>
    <w:rsid w:val="004A1E65"/>
    <w:rsid w:val="004A3985"/>
    <w:rsid w:val="004A3E69"/>
    <w:rsid w:val="004A6BCD"/>
    <w:rsid w:val="004A6DA7"/>
    <w:rsid w:val="004B1084"/>
    <w:rsid w:val="004B10F8"/>
    <w:rsid w:val="004B3898"/>
    <w:rsid w:val="004B548D"/>
    <w:rsid w:val="004B551A"/>
    <w:rsid w:val="004B5AC7"/>
    <w:rsid w:val="004B675D"/>
    <w:rsid w:val="004C001F"/>
    <w:rsid w:val="004C26F5"/>
    <w:rsid w:val="004C3874"/>
    <w:rsid w:val="004C3BF3"/>
    <w:rsid w:val="004C4C27"/>
    <w:rsid w:val="004C522D"/>
    <w:rsid w:val="004C5274"/>
    <w:rsid w:val="004C56B5"/>
    <w:rsid w:val="004C58B7"/>
    <w:rsid w:val="004C5C36"/>
    <w:rsid w:val="004C5DC0"/>
    <w:rsid w:val="004C638A"/>
    <w:rsid w:val="004C6E24"/>
    <w:rsid w:val="004C7423"/>
    <w:rsid w:val="004C77B8"/>
    <w:rsid w:val="004D0E10"/>
    <w:rsid w:val="004D119E"/>
    <w:rsid w:val="004D1257"/>
    <w:rsid w:val="004D13A7"/>
    <w:rsid w:val="004D16A0"/>
    <w:rsid w:val="004D28B5"/>
    <w:rsid w:val="004D28B6"/>
    <w:rsid w:val="004D3BB4"/>
    <w:rsid w:val="004D45DB"/>
    <w:rsid w:val="004D461B"/>
    <w:rsid w:val="004D4FF7"/>
    <w:rsid w:val="004D5D19"/>
    <w:rsid w:val="004D644F"/>
    <w:rsid w:val="004D7362"/>
    <w:rsid w:val="004D77EE"/>
    <w:rsid w:val="004E0F2B"/>
    <w:rsid w:val="004E18AF"/>
    <w:rsid w:val="004E1BF2"/>
    <w:rsid w:val="004E2610"/>
    <w:rsid w:val="004E37E2"/>
    <w:rsid w:val="004E3B20"/>
    <w:rsid w:val="004E483E"/>
    <w:rsid w:val="004E4ED3"/>
    <w:rsid w:val="004E5977"/>
    <w:rsid w:val="004E5C8A"/>
    <w:rsid w:val="004E5D91"/>
    <w:rsid w:val="004E631B"/>
    <w:rsid w:val="004E6512"/>
    <w:rsid w:val="004E7CA8"/>
    <w:rsid w:val="004F0994"/>
    <w:rsid w:val="004F1918"/>
    <w:rsid w:val="004F1BC8"/>
    <w:rsid w:val="004F4187"/>
    <w:rsid w:val="004F43D6"/>
    <w:rsid w:val="004F5322"/>
    <w:rsid w:val="004F5DCD"/>
    <w:rsid w:val="004F5EC8"/>
    <w:rsid w:val="004F6579"/>
    <w:rsid w:val="004F7F79"/>
    <w:rsid w:val="004F7FEF"/>
    <w:rsid w:val="005014F9"/>
    <w:rsid w:val="00501B6A"/>
    <w:rsid w:val="00501BBD"/>
    <w:rsid w:val="00502700"/>
    <w:rsid w:val="00502DBB"/>
    <w:rsid w:val="00503102"/>
    <w:rsid w:val="00504935"/>
    <w:rsid w:val="0050673E"/>
    <w:rsid w:val="0050775B"/>
    <w:rsid w:val="005107E2"/>
    <w:rsid w:val="00510EE6"/>
    <w:rsid w:val="0051308E"/>
    <w:rsid w:val="00513813"/>
    <w:rsid w:val="00513AF0"/>
    <w:rsid w:val="005154CA"/>
    <w:rsid w:val="00515997"/>
    <w:rsid w:val="005162F7"/>
    <w:rsid w:val="00516652"/>
    <w:rsid w:val="00516690"/>
    <w:rsid w:val="00516E7C"/>
    <w:rsid w:val="00520F3D"/>
    <w:rsid w:val="00521BB7"/>
    <w:rsid w:val="005225FD"/>
    <w:rsid w:val="00523683"/>
    <w:rsid w:val="005237CA"/>
    <w:rsid w:val="00523E62"/>
    <w:rsid w:val="00523FF8"/>
    <w:rsid w:val="005246E0"/>
    <w:rsid w:val="0052511A"/>
    <w:rsid w:val="00525C84"/>
    <w:rsid w:val="00525D17"/>
    <w:rsid w:val="00526533"/>
    <w:rsid w:val="00526A9F"/>
    <w:rsid w:val="00526AE9"/>
    <w:rsid w:val="00526DD5"/>
    <w:rsid w:val="00530F5F"/>
    <w:rsid w:val="00531631"/>
    <w:rsid w:val="00532282"/>
    <w:rsid w:val="005346B5"/>
    <w:rsid w:val="00534B1A"/>
    <w:rsid w:val="0053626E"/>
    <w:rsid w:val="0053636D"/>
    <w:rsid w:val="005377FB"/>
    <w:rsid w:val="00540E73"/>
    <w:rsid w:val="00541763"/>
    <w:rsid w:val="00542CA3"/>
    <w:rsid w:val="00543F35"/>
    <w:rsid w:val="005445F0"/>
    <w:rsid w:val="00544F4F"/>
    <w:rsid w:val="005456BB"/>
    <w:rsid w:val="00547AA0"/>
    <w:rsid w:val="00547B10"/>
    <w:rsid w:val="00550A09"/>
    <w:rsid w:val="00551288"/>
    <w:rsid w:val="00551838"/>
    <w:rsid w:val="00554F75"/>
    <w:rsid w:val="00555116"/>
    <w:rsid w:val="005558E5"/>
    <w:rsid w:val="005560B3"/>
    <w:rsid w:val="00556E18"/>
    <w:rsid w:val="00556FEA"/>
    <w:rsid w:val="005578C4"/>
    <w:rsid w:val="00557A0F"/>
    <w:rsid w:val="00560048"/>
    <w:rsid w:val="005601C2"/>
    <w:rsid w:val="00561A48"/>
    <w:rsid w:val="005627AF"/>
    <w:rsid w:val="00563192"/>
    <w:rsid w:val="00563D63"/>
    <w:rsid w:val="00564106"/>
    <w:rsid w:val="005651E0"/>
    <w:rsid w:val="0056522C"/>
    <w:rsid w:val="005654E3"/>
    <w:rsid w:val="00565DAF"/>
    <w:rsid w:val="00566B40"/>
    <w:rsid w:val="005706E9"/>
    <w:rsid w:val="00573D44"/>
    <w:rsid w:val="005749EB"/>
    <w:rsid w:val="00576A40"/>
    <w:rsid w:val="005770C1"/>
    <w:rsid w:val="00577CB6"/>
    <w:rsid w:val="00577FFA"/>
    <w:rsid w:val="00580173"/>
    <w:rsid w:val="00581CC7"/>
    <w:rsid w:val="00582148"/>
    <w:rsid w:val="005822E0"/>
    <w:rsid w:val="00583485"/>
    <w:rsid w:val="00583882"/>
    <w:rsid w:val="005878EC"/>
    <w:rsid w:val="0059032A"/>
    <w:rsid w:val="00590500"/>
    <w:rsid w:val="00590AF1"/>
    <w:rsid w:val="00592F3F"/>
    <w:rsid w:val="00593F9A"/>
    <w:rsid w:val="005950F9"/>
    <w:rsid w:val="005961C4"/>
    <w:rsid w:val="00597188"/>
    <w:rsid w:val="00597A6C"/>
    <w:rsid w:val="00597CA1"/>
    <w:rsid w:val="005A20BB"/>
    <w:rsid w:val="005A383E"/>
    <w:rsid w:val="005A5E2C"/>
    <w:rsid w:val="005A687E"/>
    <w:rsid w:val="005A6991"/>
    <w:rsid w:val="005A7B66"/>
    <w:rsid w:val="005B080D"/>
    <w:rsid w:val="005B0AFB"/>
    <w:rsid w:val="005B0C0A"/>
    <w:rsid w:val="005B0FA2"/>
    <w:rsid w:val="005B1401"/>
    <w:rsid w:val="005B2CA9"/>
    <w:rsid w:val="005B32F8"/>
    <w:rsid w:val="005B3A97"/>
    <w:rsid w:val="005B4DD7"/>
    <w:rsid w:val="005B6CCE"/>
    <w:rsid w:val="005B6E32"/>
    <w:rsid w:val="005B721E"/>
    <w:rsid w:val="005C014B"/>
    <w:rsid w:val="005C0E72"/>
    <w:rsid w:val="005C12D6"/>
    <w:rsid w:val="005C14F9"/>
    <w:rsid w:val="005C18BB"/>
    <w:rsid w:val="005C235E"/>
    <w:rsid w:val="005C2A44"/>
    <w:rsid w:val="005C40AB"/>
    <w:rsid w:val="005C501B"/>
    <w:rsid w:val="005C5CC6"/>
    <w:rsid w:val="005C72C7"/>
    <w:rsid w:val="005C75E1"/>
    <w:rsid w:val="005C7DE2"/>
    <w:rsid w:val="005C7F58"/>
    <w:rsid w:val="005D05AD"/>
    <w:rsid w:val="005D2178"/>
    <w:rsid w:val="005D2A01"/>
    <w:rsid w:val="005D2F56"/>
    <w:rsid w:val="005D39E2"/>
    <w:rsid w:val="005D44F1"/>
    <w:rsid w:val="005D51E6"/>
    <w:rsid w:val="005D6407"/>
    <w:rsid w:val="005D6997"/>
    <w:rsid w:val="005D6D25"/>
    <w:rsid w:val="005D7F75"/>
    <w:rsid w:val="005E025B"/>
    <w:rsid w:val="005E04D5"/>
    <w:rsid w:val="005E0A44"/>
    <w:rsid w:val="005E1823"/>
    <w:rsid w:val="005E30F2"/>
    <w:rsid w:val="005E4336"/>
    <w:rsid w:val="005E4B3F"/>
    <w:rsid w:val="005E5483"/>
    <w:rsid w:val="005E6186"/>
    <w:rsid w:val="005E780F"/>
    <w:rsid w:val="005E788D"/>
    <w:rsid w:val="005F0490"/>
    <w:rsid w:val="005F14F6"/>
    <w:rsid w:val="005F32E9"/>
    <w:rsid w:val="005F3D69"/>
    <w:rsid w:val="005F437C"/>
    <w:rsid w:val="005F48B6"/>
    <w:rsid w:val="005F4D12"/>
    <w:rsid w:val="005F4D63"/>
    <w:rsid w:val="005F544E"/>
    <w:rsid w:val="005F67E5"/>
    <w:rsid w:val="005F6B03"/>
    <w:rsid w:val="005F6C9D"/>
    <w:rsid w:val="005F7CED"/>
    <w:rsid w:val="0060045E"/>
    <w:rsid w:val="0060105D"/>
    <w:rsid w:val="006017DB"/>
    <w:rsid w:val="00605DB4"/>
    <w:rsid w:val="0060756B"/>
    <w:rsid w:val="00607693"/>
    <w:rsid w:val="00610043"/>
    <w:rsid w:val="00610BC6"/>
    <w:rsid w:val="00610E2C"/>
    <w:rsid w:val="00611D33"/>
    <w:rsid w:val="006121D6"/>
    <w:rsid w:val="0061228B"/>
    <w:rsid w:val="00612C4F"/>
    <w:rsid w:val="006146FD"/>
    <w:rsid w:val="00614B7C"/>
    <w:rsid w:val="00614BCB"/>
    <w:rsid w:val="0061649D"/>
    <w:rsid w:val="006170AF"/>
    <w:rsid w:val="00617251"/>
    <w:rsid w:val="0062200F"/>
    <w:rsid w:val="00622DF2"/>
    <w:rsid w:val="00622EE4"/>
    <w:rsid w:val="006238F7"/>
    <w:rsid w:val="006250D7"/>
    <w:rsid w:val="00627D21"/>
    <w:rsid w:val="006305BB"/>
    <w:rsid w:val="0063066D"/>
    <w:rsid w:val="00630780"/>
    <w:rsid w:val="0063195B"/>
    <w:rsid w:val="0063258E"/>
    <w:rsid w:val="00633E03"/>
    <w:rsid w:val="00634B58"/>
    <w:rsid w:val="006351F2"/>
    <w:rsid w:val="0063589F"/>
    <w:rsid w:val="00635928"/>
    <w:rsid w:val="00635C39"/>
    <w:rsid w:val="00636064"/>
    <w:rsid w:val="00640D7D"/>
    <w:rsid w:val="00642B1A"/>
    <w:rsid w:val="00643E8A"/>
    <w:rsid w:val="00644520"/>
    <w:rsid w:val="00644B8B"/>
    <w:rsid w:val="00644DBF"/>
    <w:rsid w:val="00644F9E"/>
    <w:rsid w:val="0064639A"/>
    <w:rsid w:val="006464F7"/>
    <w:rsid w:val="006503FE"/>
    <w:rsid w:val="00650B81"/>
    <w:rsid w:val="00650F08"/>
    <w:rsid w:val="00650FAB"/>
    <w:rsid w:val="0065170D"/>
    <w:rsid w:val="00651B92"/>
    <w:rsid w:val="006535F4"/>
    <w:rsid w:val="00653DFF"/>
    <w:rsid w:val="006544DC"/>
    <w:rsid w:val="006547A9"/>
    <w:rsid w:val="006547CC"/>
    <w:rsid w:val="00654F2B"/>
    <w:rsid w:val="00655268"/>
    <w:rsid w:val="006561BC"/>
    <w:rsid w:val="0065678B"/>
    <w:rsid w:val="00657355"/>
    <w:rsid w:val="00657BB0"/>
    <w:rsid w:val="00657ED6"/>
    <w:rsid w:val="00657FBE"/>
    <w:rsid w:val="00660236"/>
    <w:rsid w:val="0066025E"/>
    <w:rsid w:val="00662D4B"/>
    <w:rsid w:val="00663D76"/>
    <w:rsid w:val="00664188"/>
    <w:rsid w:val="00665C9F"/>
    <w:rsid w:val="006666CF"/>
    <w:rsid w:val="00670389"/>
    <w:rsid w:val="00670DA5"/>
    <w:rsid w:val="0067127D"/>
    <w:rsid w:val="006724E2"/>
    <w:rsid w:val="006746EF"/>
    <w:rsid w:val="00674FC2"/>
    <w:rsid w:val="00675466"/>
    <w:rsid w:val="006759DA"/>
    <w:rsid w:val="00676EFF"/>
    <w:rsid w:val="0067774C"/>
    <w:rsid w:val="00677C95"/>
    <w:rsid w:val="006808EE"/>
    <w:rsid w:val="00680FD7"/>
    <w:rsid w:val="00681122"/>
    <w:rsid w:val="006822E6"/>
    <w:rsid w:val="00683BD9"/>
    <w:rsid w:val="00683C83"/>
    <w:rsid w:val="00683CD6"/>
    <w:rsid w:val="00684ECB"/>
    <w:rsid w:val="00685FA9"/>
    <w:rsid w:val="00686704"/>
    <w:rsid w:val="00686B3F"/>
    <w:rsid w:val="0069085D"/>
    <w:rsid w:val="00691A83"/>
    <w:rsid w:val="00692446"/>
    <w:rsid w:val="0069256A"/>
    <w:rsid w:val="00693B22"/>
    <w:rsid w:val="00693DCD"/>
    <w:rsid w:val="00693E37"/>
    <w:rsid w:val="00694A5F"/>
    <w:rsid w:val="00694EBF"/>
    <w:rsid w:val="006951DB"/>
    <w:rsid w:val="006957AB"/>
    <w:rsid w:val="00697264"/>
    <w:rsid w:val="006A1317"/>
    <w:rsid w:val="006A1BF9"/>
    <w:rsid w:val="006A1CDE"/>
    <w:rsid w:val="006A23A3"/>
    <w:rsid w:val="006A31BF"/>
    <w:rsid w:val="006A3A4B"/>
    <w:rsid w:val="006A3BB1"/>
    <w:rsid w:val="006A4F83"/>
    <w:rsid w:val="006A5A05"/>
    <w:rsid w:val="006B0AB1"/>
    <w:rsid w:val="006B138A"/>
    <w:rsid w:val="006B235C"/>
    <w:rsid w:val="006B31C6"/>
    <w:rsid w:val="006B37FA"/>
    <w:rsid w:val="006B4939"/>
    <w:rsid w:val="006B5475"/>
    <w:rsid w:val="006B5542"/>
    <w:rsid w:val="006B5EFA"/>
    <w:rsid w:val="006B6D3C"/>
    <w:rsid w:val="006B7E4E"/>
    <w:rsid w:val="006C006F"/>
    <w:rsid w:val="006C03E6"/>
    <w:rsid w:val="006C129D"/>
    <w:rsid w:val="006C1A24"/>
    <w:rsid w:val="006C2B5B"/>
    <w:rsid w:val="006C2FA1"/>
    <w:rsid w:val="006C3069"/>
    <w:rsid w:val="006C7944"/>
    <w:rsid w:val="006D2707"/>
    <w:rsid w:val="006D36A7"/>
    <w:rsid w:val="006D41EA"/>
    <w:rsid w:val="006D4479"/>
    <w:rsid w:val="006D5007"/>
    <w:rsid w:val="006D5DC4"/>
    <w:rsid w:val="006D7A70"/>
    <w:rsid w:val="006D7E85"/>
    <w:rsid w:val="006E14E2"/>
    <w:rsid w:val="006E397E"/>
    <w:rsid w:val="006E435E"/>
    <w:rsid w:val="006E625A"/>
    <w:rsid w:val="006E72B6"/>
    <w:rsid w:val="006F0F7A"/>
    <w:rsid w:val="006F2B82"/>
    <w:rsid w:val="006F3AEC"/>
    <w:rsid w:val="006F4981"/>
    <w:rsid w:val="006F5365"/>
    <w:rsid w:val="006F6E47"/>
    <w:rsid w:val="007000E4"/>
    <w:rsid w:val="00700354"/>
    <w:rsid w:val="00702707"/>
    <w:rsid w:val="00703B27"/>
    <w:rsid w:val="00704994"/>
    <w:rsid w:val="00704C8D"/>
    <w:rsid w:val="00705409"/>
    <w:rsid w:val="00707FAB"/>
    <w:rsid w:val="00710544"/>
    <w:rsid w:val="007109E7"/>
    <w:rsid w:val="00710A79"/>
    <w:rsid w:val="00711088"/>
    <w:rsid w:val="00711225"/>
    <w:rsid w:val="00712379"/>
    <w:rsid w:val="0071284E"/>
    <w:rsid w:val="0071338D"/>
    <w:rsid w:val="007157B6"/>
    <w:rsid w:val="00716BC2"/>
    <w:rsid w:val="0071722A"/>
    <w:rsid w:val="00717498"/>
    <w:rsid w:val="0072014A"/>
    <w:rsid w:val="00720527"/>
    <w:rsid w:val="007206D9"/>
    <w:rsid w:val="0072084B"/>
    <w:rsid w:val="00721A2F"/>
    <w:rsid w:val="00722A38"/>
    <w:rsid w:val="00722B3A"/>
    <w:rsid w:val="00722F43"/>
    <w:rsid w:val="00723A45"/>
    <w:rsid w:val="007242C1"/>
    <w:rsid w:val="00724A4D"/>
    <w:rsid w:val="007257B4"/>
    <w:rsid w:val="00726454"/>
    <w:rsid w:val="007268BF"/>
    <w:rsid w:val="00727E34"/>
    <w:rsid w:val="007310C5"/>
    <w:rsid w:val="00731BD9"/>
    <w:rsid w:val="00733D88"/>
    <w:rsid w:val="00734B2E"/>
    <w:rsid w:val="0073569F"/>
    <w:rsid w:val="00735FBA"/>
    <w:rsid w:val="00736E5F"/>
    <w:rsid w:val="007371F1"/>
    <w:rsid w:val="0074003F"/>
    <w:rsid w:val="00743174"/>
    <w:rsid w:val="00743304"/>
    <w:rsid w:val="00745821"/>
    <w:rsid w:val="00747E9A"/>
    <w:rsid w:val="00750E0E"/>
    <w:rsid w:val="007514E5"/>
    <w:rsid w:val="00751877"/>
    <w:rsid w:val="00752912"/>
    <w:rsid w:val="00753BB6"/>
    <w:rsid w:val="00753CA1"/>
    <w:rsid w:val="00753FBC"/>
    <w:rsid w:val="00757124"/>
    <w:rsid w:val="00757400"/>
    <w:rsid w:val="0076133F"/>
    <w:rsid w:val="00761601"/>
    <w:rsid w:val="0076172F"/>
    <w:rsid w:val="00761A58"/>
    <w:rsid w:val="00762EC7"/>
    <w:rsid w:val="00763002"/>
    <w:rsid w:val="00763376"/>
    <w:rsid w:val="00764C2E"/>
    <w:rsid w:val="007657AF"/>
    <w:rsid w:val="007658FC"/>
    <w:rsid w:val="00766F99"/>
    <w:rsid w:val="00767773"/>
    <w:rsid w:val="00767FF7"/>
    <w:rsid w:val="007714CD"/>
    <w:rsid w:val="007717CF"/>
    <w:rsid w:val="007731A2"/>
    <w:rsid w:val="00773EF3"/>
    <w:rsid w:val="007753A1"/>
    <w:rsid w:val="00775459"/>
    <w:rsid w:val="00775C97"/>
    <w:rsid w:val="007761E0"/>
    <w:rsid w:val="007779AF"/>
    <w:rsid w:val="0078031F"/>
    <w:rsid w:val="00780814"/>
    <w:rsid w:val="00780C0F"/>
    <w:rsid w:val="0078144B"/>
    <w:rsid w:val="00783587"/>
    <w:rsid w:val="00783716"/>
    <w:rsid w:val="00783F42"/>
    <w:rsid w:val="00784A5D"/>
    <w:rsid w:val="007854A5"/>
    <w:rsid w:val="00786EB6"/>
    <w:rsid w:val="007904DD"/>
    <w:rsid w:val="0079286C"/>
    <w:rsid w:val="00792A8E"/>
    <w:rsid w:val="00793D57"/>
    <w:rsid w:val="00794181"/>
    <w:rsid w:val="0079436F"/>
    <w:rsid w:val="00795B95"/>
    <w:rsid w:val="007965C2"/>
    <w:rsid w:val="00797A47"/>
    <w:rsid w:val="007A159C"/>
    <w:rsid w:val="007A2457"/>
    <w:rsid w:val="007A2DCC"/>
    <w:rsid w:val="007A2F1C"/>
    <w:rsid w:val="007A3518"/>
    <w:rsid w:val="007A5971"/>
    <w:rsid w:val="007B060D"/>
    <w:rsid w:val="007B06A9"/>
    <w:rsid w:val="007B0E65"/>
    <w:rsid w:val="007B1232"/>
    <w:rsid w:val="007B25E7"/>
    <w:rsid w:val="007B6AC6"/>
    <w:rsid w:val="007B7BA8"/>
    <w:rsid w:val="007B7FB8"/>
    <w:rsid w:val="007C0DC0"/>
    <w:rsid w:val="007C1682"/>
    <w:rsid w:val="007C178B"/>
    <w:rsid w:val="007C19A5"/>
    <w:rsid w:val="007C23AB"/>
    <w:rsid w:val="007C27A9"/>
    <w:rsid w:val="007C2D89"/>
    <w:rsid w:val="007C345C"/>
    <w:rsid w:val="007C37CD"/>
    <w:rsid w:val="007C3BBC"/>
    <w:rsid w:val="007C5A4E"/>
    <w:rsid w:val="007C6AF1"/>
    <w:rsid w:val="007C6C12"/>
    <w:rsid w:val="007C6DF4"/>
    <w:rsid w:val="007C72AD"/>
    <w:rsid w:val="007C7957"/>
    <w:rsid w:val="007C7BDE"/>
    <w:rsid w:val="007D1C75"/>
    <w:rsid w:val="007D27C4"/>
    <w:rsid w:val="007D30D2"/>
    <w:rsid w:val="007D33FE"/>
    <w:rsid w:val="007D38E6"/>
    <w:rsid w:val="007D4FB6"/>
    <w:rsid w:val="007D5760"/>
    <w:rsid w:val="007D5BF9"/>
    <w:rsid w:val="007D7444"/>
    <w:rsid w:val="007E0610"/>
    <w:rsid w:val="007E0D7C"/>
    <w:rsid w:val="007E0DA9"/>
    <w:rsid w:val="007E18A8"/>
    <w:rsid w:val="007E1D34"/>
    <w:rsid w:val="007E1F7D"/>
    <w:rsid w:val="007E2CE8"/>
    <w:rsid w:val="007E6A75"/>
    <w:rsid w:val="007E7344"/>
    <w:rsid w:val="007F0437"/>
    <w:rsid w:val="007F1402"/>
    <w:rsid w:val="007F20C7"/>
    <w:rsid w:val="007F23B9"/>
    <w:rsid w:val="007F3F8F"/>
    <w:rsid w:val="007F47FE"/>
    <w:rsid w:val="007F52ED"/>
    <w:rsid w:val="008031A2"/>
    <w:rsid w:val="00803889"/>
    <w:rsid w:val="00804684"/>
    <w:rsid w:val="008048F5"/>
    <w:rsid w:val="008049EF"/>
    <w:rsid w:val="00805578"/>
    <w:rsid w:val="0080565D"/>
    <w:rsid w:val="008058F7"/>
    <w:rsid w:val="00805BB5"/>
    <w:rsid w:val="0080780D"/>
    <w:rsid w:val="0081024F"/>
    <w:rsid w:val="0081188F"/>
    <w:rsid w:val="00814494"/>
    <w:rsid w:val="008161F4"/>
    <w:rsid w:val="0081795B"/>
    <w:rsid w:val="008205AF"/>
    <w:rsid w:val="008214EF"/>
    <w:rsid w:val="00824A16"/>
    <w:rsid w:val="00824B21"/>
    <w:rsid w:val="00825644"/>
    <w:rsid w:val="00825CAF"/>
    <w:rsid w:val="008264B2"/>
    <w:rsid w:val="00827307"/>
    <w:rsid w:val="00827C24"/>
    <w:rsid w:val="008305CB"/>
    <w:rsid w:val="00830728"/>
    <w:rsid w:val="008308DA"/>
    <w:rsid w:val="00832669"/>
    <w:rsid w:val="0083367B"/>
    <w:rsid w:val="008336BE"/>
    <w:rsid w:val="00833DCC"/>
    <w:rsid w:val="008345C3"/>
    <w:rsid w:val="008355E4"/>
    <w:rsid w:val="00835FBC"/>
    <w:rsid w:val="00836062"/>
    <w:rsid w:val="0083696B"/>
    <w:rsid w:val="00840073"/>
    <w:rsid w:val="00840303"/>
    <w:rsid w:val="008412EE"/>
    <w:rsid w:val="008438CF"/>
    <w:rsid w:val="00844022"/>
    <w:rsid w:val="0084661A"/>
    <w:rsid w:val="00846DA1"/>
    <w:rsid w:val="00850333"/>
    <w:rsid w:val="0085164D"/>
    <w:rsid w:val="008517D7"/>
    <w:rsid w:val="008523E5"/>
    <w:rsid w:val="008531D1"/>
    <w:rsid w:val="008537D2"/>
    <w:rsid w:val="008546B3"/>
    <w:rsid w:val="00854CF0"/>
    <w:rsid w:val="00855012"/>
    <w:rsid w:val="0085544E"/>
    <w:rsid w:val="00856B6B"/>
    <w:rsid w:val="00857FC1"/>
    <w:rsid w:val="00860F0A"/>
    <w:rsid w:val="0086147D"/>
    <w:rsid w:val="00861587"/>
    <w:rsid w:val="0086324F"/>
    <w:rsid w:val="008635DC"/>
    <w:rsid w:val="00863A1A"/>
    <w:rsid w:val="00863A7D"/>
    <w:rsid w:val="00865025"/>
    <w:rsid w:val="008650D7"/>
    <w:rsid w:val="00865BF4"/>
    <w:rsid w:val="00870E92"/>
    <w:rsid w:val="00871047"/>
    <w:rsid w:val="0087279B"/>
    <w:rsid w:val="008737BE"/>
    <w:rsid w:val="00874092"/>
    <w:rsid w:val="0087657B"/>
    <w:rsid w:val="00876E0E"/>
    <w:rsid w:val="008772A3"/>
    <w:rsid w:val="0088044A"/>
    <w:rsid w:val="0088048C"/>
    <w:rsid w:val="0088056E"/>
    <w:rsid w:val="00882B9E"/>
    <w:rsid w:val="00882FA9"/>
    <w:rsid w:val="00884077"/>
    <w:rsid w:val="0088440C"/>
    <w:rsid w:val="00884B9E"/>
    <w:rsid w:val="00884DE5"/>
    <w:rsid w:val="00885336"/>
    <w:rsid w:val="008867D4"/>
    <w:rsid w:val="00890273"/>
    <w:rsid w:val="00890297"/>
    <w:rsid w:val="008911D2"/>
    <w:rsid w:val="00891966"/>
    <w:rsid w:val="00891A53"/>
    <w:rsid w:val="00893069"/>
    <w:rsid w:val="008941AF"/>
    <w:rsid w:val="008946DF"/>
    <w:rsid w:val="00895260"/>
    <w:rsid w:val="00895DF6"/>
    <w:rsid w:val="00896562"/>
    <w:rsid w:val="00896F4C"/>
    <w:rsid w:val="008A1FE1"/>
    <w:rsid w:val="008A2A00"/>
    <w:rsid w:val="008A3037"/>
    <w:rsid w:val="008A31CC"/>
    <w:rsid w:val="008A5A18"/>
    <w:rsid w:val="008A5C38"/>
    <w:rsid w:val="008A65A3"/>
    <w:rsid w:val="008B0A52"/>
    <w:rsid w:val="008B12D6"/>
    <w:rsid w:val="008B1CAE"/>
    <w:rsid w:val="008B57A5"/>
    <w:rsid w:val="008B5DCB"/>
    <w:rsid w:val="008B7FA6"/>
    <w:rsid w:val="008C015D"/>
    <w:rsid w:val="008C1320"/>
    <w:rsid w:val="008C29C4"/>
    <w:rsid w:val="008C2E66"/>
    <w:rsid w:val="008C3536"/>
    <w:rsid w:val="008C5352"/>
    <w:rsid w:val="008C6A54"/>
    <w:rsid w:val="008C6AC4"/>
    <w:rsid w:val="008D181F"/>
    <w:rsid w:val="008D2EC7"/>
    <w:rsid w:val="008D339A"/>
    <w:rsid w:val="008D3D7E"/>
    <w:rsid w:val="008D3F74"/>
    <w:rsid w:val="008D3FFF"/>
    <w:rsid w:val="008D41B5"/>
    <w:rsid w:val="008D4899"/>
    <w:rsid w:val="008D4CA8"/>
    <w:rsid w:val="008D6FBC"/>
    <w:rsid w:val="008E067B"/>
    <w:rsid w:val="008E1B3D"/>
    <w:rsid w:val="008E20EC"/>
    <w:rsid w:val="008E2EC7"/>
    <w:rsid w:val="008E3E5C"/>
    <w:rsid w:val="008E4AD4"/>
    <w:rsid w:val="008E6CC1"/>
    <w:rsid w:val="008E6CE0"/>
    <w:rsid w:val="008E7059"/>
    <w:rsid w:val="008E7A11"/>
    <w:rsid w:val="008E7EF3"/>
    <w:rsid w:val="008F01B2"/>
    <w:rsid w:val="008F0BFD"/>
    <w:rsid w:val="008F0DD3"/>
    <w:rsid w:val="008F12BF"/>
    <w:rsid w:val="008F176F"/>
    <w:rsid w:val="008F214D"/>
    <w:rsid w:val="008F2A29"/>
    <w:rsid w:val="008F2C37"/>
    <w:rsid w:val="008F3133"/>
    <w:rsid w:val="008F364B"/>
    <w:rsid w:val="008F41FC"/>
    <w:rsid w:val="008F429E"/>
    <w:rsid w:val="008F51CE"/>
    <w:rsid w:val="008F5A35"/>
    <w:rsid w:val="008F5F97"/>
    <w:rsid w:val="008F6DE3"/>
    <w:rsid w:val="008F78FF"/>
    <w:rsid w:val="008F7A93"/>
    <w:rsid w:val="00900974"/>
    <w:rsid w:val="00900C32"/>
    <w:rsid w:val="0090109F"/>
    <w:rsid w:val="00901167"/>
    <w:rsid w:val="00901232"/>
    <w:rsid w:val="00901F39"/>
    <w:rsid w:val="00902FC3"/>
    <w:rsid w:val="009048F0"/>
    <w:rsid w:val="00904CBE"/>
    <w:rsid w:val="00905B37"/>
    <w:rsid w:val="00907091"/>
    <w:rsid w:val="00907FB8"/>
    <w:rsid w:val="0091006A"/>
    <w:rsid w:val="00910563"/>
    <w:rsid w:val="009114F9"/>
    <w:rsid w:val="00912C8E"/>
    <w:rsid w:val="00912F23"/>
    <w:rsid w:val="009130AF"/>
    <w:rsid w:val="0091383D"/>
    <w:rsid w:val="009140DE"/>
    <w:rsid w:val="00914618"/>
    <w:rsid w:val="0091469E"/>
    <w:rsid w:val="00915D6F"/>
    <w:rsid w:val="0091605D"/>
    <w:rsid w:val="00916660"/>
    <w:rsid w:val="00917E57"/>
    <w:rsid w:val="009206B5"/>
    <w:rsid w:val="00921978"/>
    <w:rsid w:val="00922420"/>
    <w:rsid w:val="00922F81"/>
    <w:rsid w:val="0092577D"/>
    <w:rsid w:val="009259E6"/>
    <w:rsid w:val="00925A7F"/>
    <w:rsid w:val="00925CB3"/>
    <w:rsid w:val="00926006"/>
    <w:rsid w:val="00926438"/>
    <w:rsid w:val="00927F7B"/>
    <w:rsid w:val="00930310"/>
    <w:rsid w:val="009320D2"/>
    <w:rsid w:val="0093335D"/>
    <w:rsid w:val="00933DED"/>
    <w:rsid w:val="00934718"/>
    <w:rsid w:val="0093489E"/>
    <w:rsid w:val="00934C26"/>
    <w:rsid w:val="00937DEB"/>
    <w:rsid w:val="0094039C"/>
    <w:rsid w:val="00940913"/>
    <w:rsid w:val="00941C5B"/>
    <w:rsid w:val="009424FB"/>
    <w:rsid w:val="00942A52"/>
    <w:rsid w:val="0094369C"/>
    <w:rsid w:val="00943796"/>
    <w:rsid w:val="00945BB2"/>
    <w:rsid w:val="00945BB8"/>
    <w:rsid w:val="00945BE6"/>
    <w:rsid w:val="00946B6A"/>
    <w:rsid w:val="009505A3"/>
    <w:rsid w:val="00950834"/>
    <w:rsid w:val="00952B50"/>
    <w:rsid w:val="00952EC8"/>
    <w:rsid w:val="009531CC"/>
    <w:rsid w:val="00953A0E"/>
    <w:rsid w:val="00953F08"/>
    <w:rsid w:val="00955EDE"/>
    <w:rsid w:val="009568FA"/>
    <w:rsid w:val="00956B63"/>
    <w:rsid w:val="00956B9C"/>
    <w:rsid w:val="00957115"/>
    <w:rsid w:val="009572ED"/>
    <w:rsid w:val="00957C30"/>
    <w:rsid w:val="009606D4"/>
    <w:rsid w:val="00960E66"/>
    <w:rsid w:val="00961EB1"/>
    <w:rsid w:val="0096259E"/>
    <w:rsid w:val="00962B07"/>
    <w:rsid w:val="0096332D"/>
    <w:rsid w:val="00963504"/>
    <w:rsid w:val="009646A8"/>
    <w:rsid w:val="00965468"/>
    <w:rsid w:val="00965599"/>
    <w:rsid w:val="00965916"/>
    <w:rsid w:val="009704F7"/>
    <w:rsid w:val="00970F23"/>
    <w:rsid w:val="00971346"/>
    <w:rsid w:val="00972DD3"/>
    <w:rsid w:val="009732D8"/>
    <w:rsid w:val="009737C9"/>
    <w:rsid w:val="009743B9"/>
    <w:rsid w:val="00974607"/>
    <w:rsid w:val="00977519"/>
    <w:rsid w:val="009810DC"/>
    <w:rsid w:val="009818F3"/>
    <w:rsid w:val="00981963"/>
    <w:rsid w:val="0098208C"/>
    <w:rsid w:val="0098397A"/>
    <w:rsid w:val="00983CB3"/>
    <w:rsid w:val="00984293"/>
    <w:rsid w:val="00984495"/>
    <w:rsid w:val="00984D37"/>
    <w:rsid w:val="0098538C"/>
    <w:rsid w:val="0098549E"/>
    <w:rsid w:val="00985B59"/>
    <w:rsid w:val="0098615F"/>
    <w:rsid w:val="00986407"/>
    <w:rsid w:val="009872A0"/>
    <w:rsid w:val="00990662"/>
    <w:rsid w:val="00993780"/>
    <w:rsid w:val="00993C2D"/>
    <w:rsid w:val="009943A9"/>
    <w:rsid w:val="00994CA3"/>
    <w:rsid w:val="0099516B"/>
    <w:rsid w:val="00996781"/>
    <w:rsid w:val="009974B0"/>
    <w:rsid w:val="009A13E7"/>
    <w:rsid w:val="009A2A2E"/>
    <w:rsid w:val="009A2C69"/>
    <w:rsid w:val="009A343B"/>
    <w:rsid w:val="009A3699"/>
    <w:rsid w:val="009A3BBB"/>
    <w:rsid w:val="009A55FC"/>
    <w:rsid w:val="009A5D40"/>
    <w:rsid w:val="009A7E65"/>
    <w:rsid w:val="009B0441"/>
    <w:rsid w:val="009B16D5"/>
    <w:rsid w:val="009B2A12"/>
    <w:rsid w:val="009B2D78"/>
    <w:rsid w:val="009B4EE0"/>
    <w:rsid w:val="009B72F5"/>
    <w:rsid w:val="009B7ECF"/>
    <w:rsid w:val="009C1E5E"/>
    <w:rsid w:val="009C2B9B"/>
    <w:rsid w:val="009C2F95"/>
    <w:rsid w:val="009C342D"/>
    <w:rsid w:val="009C449A"/>
    <w:rsid w:val="009C4EA9"/>
    <w:rsid w:val="009C5607"/>
    <w:rsid w:val="009C5F1E"/>
    <w:rsid w:val="009C5F9C"/>
    <w:rsid w:val="009C62F6"/>
    <w:rsid w:val="009C634C"/>
    <w:rsid w:val="009C63EF"/>
    <w:rsid w:val="009C669B"/>
    <w:rsid w:val="009C6CEB"/>
    <w:rsid w:val="009C7087"/>
    <w:rsid w:val="009D026B"/>
    <w:rsid w:val="009D05E8"/>
    <w:rsid w:val="009D068A"/>
    <w:rsid w:val="009D0896"/>
    <w:rsid w:val="009D0D16"/>
    <w:rsid w:val="009D10E9"/>
    <w:rsid w:val="009D1CE2"/>
    <w:rsid w:val="009D25F0"/>
    <w:rsid w:val="009D2ADA"/>
    <w:rsid w:val="009D3FE3"/>
    <w:rsid w:val="009D4203"/>
    <w:rsid w:val="009D4E76"/>
    <w:rsid w:val="009D585C"/>
    <w:rsid w:val="009D5CA1"/>
    <w:rsid w:val="009D6A39"/>
    <w:rsid w:val="009E0353"/>
    <w:rsid w:val="009E0F60"/>
    <w:rsid w:val="009E1BFE"/>
    <w:rsid w:val="009E2375"/>
    <w:rsid w:val="009E2A1A"/>
    <w:rsid w:val="009E4022"/>
    <w:rsid w:val="009E531F"/>
    <w:rsid w:val="009E5DCA"/>
    <w:rsid w:val="009E65F4"/>
    <w:rsid w:val="009E73A2"/>
    <w:rsid w:val="009E7D9D"/>
    <w:rsid w:val="009F01DB"/>
    <w:rsid w:val="009F0610"/>
    <w:rsid w:val="009F11B0"/>
    <w:rsid w:val="009F23B6"/>
    <w:rsid w:val="009F23FF"/>
    <w:rsid w:val="009F27C8"/>
    <w:rsid w:val="009F4F71"/>
    <w:rsid w:val="009F5645"/>
    <w:rsid w:val="009F5BDE"/>
    <w:rsid w:val="009F5DF3"/>
    <w:rsid w:val="009F63C0"/>
    <w:rsid w:val="009F6690"/>
    <w:rsid w:val="009F6D75"/>
    <w:rsid w:val="009F7A71"/>
    <w:rsid w:val="009F7B66"/>
    <w:rsid w:val="00A01387"/>
    <w:rsid w:val="00A013A2"/>
    <w:rsid w:val="00A020A3"/>
    <w:rsid w:val="00A020EF"/>
    <w:rsid w:val="00A0210A"/>
    <w:rsid w:val="00A04D26"/>
    <w:rsid w:val="00A05CED"/>
    <w:rsid w:val="00A068BD"/>
    <w:rsid w:val="00A069E2"/>
    <w:rsid w:val="00A06A2E"/>
    <w:rsid w:val="00A075D2"/>
    <w:rsid w:val="00A07832"/>
    <w:rsid w:val="00A07B98"/>
    <w:rsid w:val="00A10060"/>
    <w:rsid w:val="00A134B5"/>
    <w:rsid w:val="00A1373E"/>
    <w:rsid w:val="00A137EB"/>
    <w:rsid w:val="00A13C43"/>
    <w:rsid w:val="00A145EE"/>
    <w:rsid w:val="00A156ED"/>
    <w:rsid w:val="00A15E05"/>
    <w:rsid w:val="00A16201"/>
    <w:rsid w:val="00A16D9B"/>
    <w:rsid w:val="00A16F4C"/>
    <w:rsid w:val="00A1728C"/>
    <w:rsid w:val="00A173E2"/>
    <w:rsid w:val="00A17A01"/>
    <w:rsid w:val="00A21D3A"/>
    <w:rsid w:val="00A22AAC"/>
    <w:rsid w:val="00A25110"/>
    <w:rsid w:val="00A25B4D"/>
    <w:rsid w:val="00A26232"/>
    <w:rsid w:val="00A27F6F"/>
    <w:rsid w:val="00A300BB"/>
    <w:rsid w:val="00A30B32"/>
    <w:rsid w:val="00A30C7A"/>
    <w:rsid w:val="00A3110C"/>
    <w:rsid w:val="00A316A4"/>
    <w:rsid w:val="00A32C2E"/>
    <w:rsid w:val="00A33B64"/>
    <w:rsid w:val="00A33E08"/>
    <w:rsid w:val="00A34407"/>
    <w:rsid w:val="00A348E8"/>
    <w:rsid w:val="00A35438"/>
    <w:rsid w:val="00A3623C"/>
    <w:rsid w:val="00A3640F"/>
    <w:rsid w:val="00A40187"/>
    <w:rsid w:val="00A41E52"/>
    <w:rsid w:val="00A421DB"/>
    <w:rsid w:val="00A43F14"/>
    <w:rsid w:val="00A44904"/>
    <w:rsid w:val="00A45F33"/>
    <w:rsid w:val="00A46471"/>
    <w:rsid w:val="00A46621"/>
    <w:rsid w:val="00A47560"/>
    <w:rsid w:val="00A47C0D"/>
    <w:rsid w:val="00A47D3A"/>
    <w:rsid w:val="00A50E46"/>
    <w:rsid w:val="00A510AD"/>
    <w:rsid w:val="00A51574"/>
    <w:rsid w:val="00A516CF"/>
    <w:rsid w:val="00A518A8"/>
    <w:rsid w:val="00A51D17"/>
    <w:rsid w:val="00A524AD"/>
    <w:rsid w:val="00A52AA2"/>
    <w:rsid w:val="00A541CD"/>
    <w:rsid w:val="00A546D1"/>
    <w:rsid w:val="00A5601D"/>
    <w:rsid w:val="00A5707C"/>
    <w:rsid w:val="00A57D1C"/>
    <w:rsid w:val="00A627A2"/>
    <w:rsid w:val="00A62993"/>
    <w:rsid w:val="00A6350B"/>
    <w:rsid w:val="00A63942"/>
    <w:rsid w:val="00A64508"/>
    <w:rsid w:val="00A65834"/>
    <w:rsid w:val="00A65A3C"/>
    <w:rsid w:val="00A669C2"/>
    <w:rsid w:val="00A66B7D"/>
    <w:rsid w:val="00A66E69"/>
    <w:rsid w:val="00A67D4C"/>
    <w:rsid w:val="00A70040"/>
    <w:rsid w:val="00A70737"/>
    <w:rsid w:val="00A718D0"/>
    <w:rsid w:val="00A71E67"/>
    <w:rsid w:val="00A72191"/>
    <w:rsid w:val="00A7300B"/>
    <w:rsid w:val="00A7352C"/>
    <w:rsid w:val="00A73AF4"/>
    <w:rsid w:val="00A73F6E"/>
    <w:rsid w:val="00A75792"/>
    <w:rsid w:val="00A75DA3"/>
    <w:rsid w:val="00A76AE5"/>
    <w:rsid w:val="00A77C95"/>
    <w:rsid w:val="00A80FF7"/>
    <w:rsid w:val="00A81382"/>
    <w:rsid w:val="00A841D8"/>
    <w:rsid w:val="00A842BD"/>
    <w:rsid w:val="00A86B67"/>
    <w:rsid w:val="00A933DB"/>
    <w:rsid w:val="00A93FC1"/>
    <w:rsid w:val="00A9429E"/>
    <w:rsid w:val="00A94D32"/>
    <w:rsid w:val="00A95DDA"/>
    <w:rsid w:val="00A96292"/>
    <w:rsid w:val="00A96758"/>
    <w:rsid w:val="00A969F9"/>
    <w:rsid w:val="00A97CBF"/>
    <w:rsid w:val="00A97DD0"/>
    <w:rsid w:val="00AA1111"/>
    <w:rsid w:val="00AA1687"/>
    <w:rsid w:val="00AA18DA"/>
    <w:rsid w:val="00AA489D"/>
    <w:rsid w:val="00AA5ECC"/>
    <w:rsid w:val="00AA621F"/>
    <w:rsid w:val="00AA718A"/>
    <w:rsid w:val="00AA77F6"/>
    <w:rsid w:val="00AB0EE1"/>
    <w:rsid w:val="00AB10E3"/>
    <w:rsid w:val="00AB1163"/>
    <w:rsid w:val="00AB1280"/>
    <w:rsid w:val="00AB19A4"/>
    <w:rsid w:val="00AB4CD7"/>
    <w:rsid w:val="00AB50F2"/>
    <w:rsid w:val="00AB5195"/>
    <w:rsid w:val="00AB5C84"/>
    <w:rsid w:val="00AB5E20"/>
    <w:rsid w:val="00AB6733"/>
    <w:rsid w:val="00AB72A1"/>
    <w:rsid w:val="00AB76E9"/>
    <w:rsid w:val="00AC0086"/>
    <w:rsid w:val="00AC0570"/>
    <w:rsid w:val="00AC0611"/>
    <w:rsid w:val="00AC062E"/>
    <w:rsid w:val="00AC11C8"/>
    <w:rsid w:val="00AC25F3"/>
    <w:rsid w:val="00AC30C4"/>
    <w:rsid w:val="00AC4336"/>
    <w:rsid w:val="00AC5777"/>
    <w:rsid w:val="00AC5B8D"/>
    <w:rsid w:val="00AC5DEB"/>
    <w:rsid w:val="00AC6405"/>
    <w:rsid w:val="00AC65FA"/>
    <w:rsid w:val="00AD031C"/>
    <w:rsid w:val="00AD0339"/>
    <w:rsid w:val="00AD127C"/>
    <w:rsid w:val="00AD22C2"/>
    <w:rsid w:val="00AD23BB"/>
    <w:rsid w:val="00AD3B10"/>
    <w:rsid w:val="00AD5879"/>
    <w:rsid w:val="00AD6766"/>
    <w:rsid w:val="00AD6CFE"/>
    <w:rsid w:val="00AE499B"/>
    <w:rsid w:val="00AE4CCE"/>
    <w:rsid w:val="00AE66C5"/>
    <w:rsid w:val="00AE6C87"/>
    <w:rsid w:val="00AF0B27"/>
    <w:rsid w:val="00AF0EAC"/>
    <w:rsid w:val="00AF153F"/>
    <w:rsid w:val="00AF1FA1"/>
    <w:rsid w:val="00AF2DF7"/>
    <w:rsid w:val="00AF30D0"/>
    <w:rsid w:val="00AF4F95"/>
    <w:rsid w:val="00AF5B49"/>
    <w:rsid w:val="00AF729B"/>
    <w:rsid w:val="00B00CA7"/>
    <w:rsid w:val="00B02A33"/>
    <w:rsid w:val="00B03E6A"/>
    <w:rsid w:val="00B04768"/>
    <w:rsid w:val="00B04C24"/>
    <w:rsid w:val="00B1098B"/>
    <w:rsid w:val="00B10DCC"/>
    <w:rsid w:val="00B112A9"/>
    <w:rsid w:val="00B1216A"/>
    <w:rsid w:val="00B132CF"/>
    <w:rsid w:val="00B1341B"/>
    <w:rsid w:val="00B13DD3"/>
    <w:rsid w:val="00B13F8C"/>
    <w:rsid w:val="00B14798"/>
    <w:rsid w:val="00B1501B"/>
    <w:rsid w:val="00B15051"/>
    <w:rsid w:val="00B15849"/>
    <w:rsid w:val="00B16CCA"/>
    <w:rsid w:val="00B177C0"/>
    <w:rsid w:val="00B20827"/>
    <w:rsid w:val="00B20969"/>
    <w:rsid w:val="00B21384"/>
    <w:rsid w:val="00B2189F"/>
    <w:rsid w:val="00B221A0"/>
    <w:rsid w:val="00B226C2"/>
    <w:rsid w:val="00B228E9"/>
    <w:rsid w:val="00B22EE6"/>
    <w:rsid w:val="00B2340C"/>
    <w:rsid w:val="00B239A5"/>
    <w:rsid w:val="00B23CAC"/>
    <w:rsid w:val="00B23EF2"/>
    <w:rsid w:val="00B241A1"/>
    <w:rsid w:val="00B2462B"/>
    <w:rsid w:val="00B26ABE"/>
    <w:rsid w:val="00B26B46"/>
    <w:rsid w:val="00B30966"/>
    <w:rsid w:val="00B32D8B"/>
    <w:rsid w:val="00B340C5"/>
    <w:rsid w:val="00B34674"/>
    <w:rsid w:val="00B35D4A"/>
    <w:rsid w:val="00B36DAD"/>
    <w:rsid w:val="00B41538"/>
    <w:rsid w:val="00B41541"/>
    <w:rsid w:val="00B42B4E"/>
    <w:rsid w:val="00B44701"/>
    <w:rsid w:val="00B44D39"/>
    <w:rsid w:val="00B458D5"/>
    <w:rsid w:val="00B50BF4"/>
    <w:rsid w:val="00B52CFD"/>
    <w:rsid w:val="00B53357"/>
    <w:rsid w:val="00B53C0F"/>
    <w:rsid w:val="00B55B58"/>
    <w:rsid w:val="00B55BAF"/>
    <w:rsid w:val="00B56227"/>
    <w:rsid w:val="00B566BF"/>
    <w:rsid w:val="00B57589"/>
    <w:rsid w:val="00B57CC1"/>
    <w:rsid w:val="00B6041F"/>
    <w:rsid w:val="00B60FAD"/>
    <w:rsid w:val="00B61451"/>
    <w:rsid w:val="00B61FF5"/>
    <w:rsid w:val="00B62AD4"/>
    <w:rsid w:val="00B6364D"/>
    <w:rsid w:val="00B66B68"/>
    <w:rsid w:val="00B672A3"/>
    <w:rsid w:val="00B67AF4"/>
    <w:rsid w:val="00B7207E"/>
    <w:rsid w:val="00B7250E"/>
    <w:rsid w:val="00B72C4A"/>
    <w:rsid w:val="00B72D9A"/>
    <w:rsid w:val="00B73CF7"/>
    <w:rsid w:val="00B749B8"/>
    <w:rsid w:val="00B752FA"/>
    <w:rsid w:val="00B767C9"/>
    <w:rsid w:val="00B76E17"/>
    <w:rsid w:val="00B774B7"/>
    <w:rsid w:val="00B803B4"/>
    <w:rsid w:val="00B8058D"/>
    <w:rsid w:val="00B811DD"/>
    <w:rsid w:val="00B81AA4"/>
    <w:rsid w:val="00B81BE2"/>
    <w:rsid w:val="00B82050"/>
    <w:rsid w:val="00B83464"/>
    <w:rsid w:val="00B83DCC"/>
    <w:rsid w:val="00B84684"/>
    <w:rsid w:val="00B84ED6"/>
    <w:rsid w:val="00B8614D"/>
    <w:rsid w:val="00B8655D"/>
    <w:rsid w:val="00B906C9"/>
    <w:rsid w:val="00B9071F"/>
    <w:rsid w:val="00B910FF"/>
    <w:rsid w:val="00B931D7"/>
    <w:rsid w:val="00B933BB"/>
    <w:rsid w:val="00B9349E"/>
    <w:rsid w:val="00B94A51"/>
    <w:rsid w:val="00B9598A"/>
    <w:rsid w:val="00B96003"/>
    <w:rsid w:val="00BA1D6C"/>
    <w:rsid w:val="00BA1EE7"/>
    <w:rsid w:val="00BA2434"/>
    <w:rsid w:val="00BA2A77"/>
    <w:rsid w:val="00BA2E36"/>
    <w:rsid w:val="00BA3519"/>
    <w:rsid w:val="00BA3BEB"/>
    <w:rsid w:val="00BA3F63"/>
    <w:rsid w:val="00BA3F6F"/>
    <w:rsid w:val="00BA543A"/>
    <w:rsid w:val="00BA5EA7"/>
    <w:rsid w:val="00BA66F3"/>
    <w:rsid w:val="00BA69CB"/>
    <w:rsid w:val="00BA75C2"/>
    <w:rsid w:val="00BB052F"/>
    <w:rsid w:val="00BB0DF0"/>
    <w:rsid w:val="00BB237F"/>
    <w:rsid w:val="00BB2AA9"/>
    <w:rsid w:val="00BB2EA4"/>
    <w:rsid w:val="00BB369F"/>
    <w:rsid w:val="00BB42EB"/>
    <w:rsid w:val="00BB46E1"/>
    <w:rsid w:val="00BB5345"/>
    <w:rsid w:val="00BB694A"/>
    <w:rsid w:val="00BC0045"/>
    <w:rsid w:val="00BC0217"/>
    <w:rsid w:val="00BC0A62"/>
    <w:rsid w:val="00BC0BB4"/>
    <w:rsid w:val="00BC1FA0"/>
    <w:rsid w:val="00BC2CC4"/>
    <w:rsid w:val="00BC2FA4"/>
    <w:rsid w:val="00BC3017"/>
    <w:rsid w:val="00BC30A7"/>
    <w:rsid w:val="00BC331E"/>
    <w:rsid w:val="00BC342F"/>
    <w:rsid w:val="00BC36FD"/>
    <w:rsid w:val="00BC3907"/>
    <w:rsid w:val="00BC4A59"/>
    <w:rsid w:val="00BC5153"/>
    <w:rsid w:val="00BC7C63"/>
    <w:rsid w:val="00BD0568"/>
    <w:rsid w:val="00BD0DEB"/>
    <w:rsid w:val="00BD1BDF"/>
    <w:rsid w:val="00BD2B74"/>
    <w:rsid w:val="00BD46C8"/>
    <w:rsid w:val="00BD56DE"/>
    <w:rsid w:val="00BD5E15"/>
    <w:rsid w:val="00BD5EA2"/>
    <w:rsid w:val="00BD6493"/>
    <w:rsid w:val="00BD769A"/>
    <w:rsid w:val="00BE083F"/>
    <w:rsid w:val="00BE2880"/>
    <w:rsid w:val="00BE2DE0"/>
    <w:rsid w:val="00BE3322"/>
    <w:rsid w:val="00BE530F"/>
    <w:rsid w:val="00BE56E5"/>
    <w:rsid w:val="00BE66D1"/>
    <w:rsid w:val="00BE6BA0"/>
    <w:rsid w:val="00BE7348"/>
    <w:rsid w:val="00BE73EC"/>
    <w:rsid w:val="00BE7684"/>
    <w:rsid w:val="00BF02C5"/>
    <w:rsid w:val="00BF080F"/>
    <w:rsid w:val="00BF0842"/>
    <w:rsid w:val="00BF09D1"/>
    <w:rsid w:val="00BF0ED8"/>
    <w:rsid w:val="00BF1528"/>
    <w:rsid w:val="00BF23EA"/>
    <w:rsid w:val="00BF38CD"/>
    <w:rsid w:val="00BF3A43"/>
    <w:rsid w:val="00BF629D"/>
    <w:rsid w:val="00C01DBD"/>
    <w:rsid w:val="00C02519"/>
    <w:rsid w:val="00C0403E"/>
    <w:rsid w:val="00C04E49"/>
    <w:rsid w:val="00C057C7"/>
    <w:rsid w:val="00C064B8"/>
    <w:rsid w:val="00C06B4A"/>
    <w:rsid w:val="00C07FA1"/>
    <w:rsid w:val="00C10FD6"/>
    <w:rsid w:val="00C12094"/>
    <w:rsid w:val="00C158C1"/>
    <w:rsid w:val="00C15ACE"/>
    <w:rsid w:val="00C176B7"/>
    <w:rsid w:val="00C17E87"/>
    <w:rsid w:val="00C20A95"/>
    <w:rsid w:val="00C20B98"/>
    <w:rsid w:val="00C215C5"/>
    <w:rsid w:val="00C22E9E"/>
    <w:rsid w:val="00C22F7F"/>
    <w:rsid w:val="00C245C5"/>
    <w:rsid w:val="00C248E5"/>
    <w:rsid w:val="00C24930"/>
    <w:rsid w:val="00C24B99"/>
    <w:rsid w:val="00C24D7F"/>
    <w:rsid w:val="00C300E5"/>
    <w:rsid w:val="00C30494"/>
    <w:rsid w:val="00C30BE2"/>
    <w:rsid w:val="00C31012"/>
    <w:rsid w:val="00C3123F"/>
    <w:rsid w:val="00C3213E"/>
    <w:rsid w:val="00C33744"/>
    <w:rsid w:val="00C338AF"/>
    <w:rsid w:val="00C33FD0"/>
    <w:rsid w:val="00C34272"/>
    <w:rsid w:val="00C343DC"/>
    <w:rsid w:val="00C370F0"/>
    <w:rsid w:val="00C4131C"/>
    <w:rsid w:val="00C4280A"/>
    <w:rsid w:val="00C42B1B"/>
    <w:rsid w:val="00C42F09"/>
    <w:rsid w:val="00C431BA"/>
    <w:rsid w:val="00C435FD"/>
    <w:rsid w:val="00C44680"/>
    <w:rsid w:val="00C45263"/>
    <w:rsid w:val="00C45EE6"/>
    <w:rsid w:val="00C47082"/>
    <w:rsid w:val="00C47ADD"/>
    <w:rsid w:val="00C50353"/>
    <w:rsid w:val="00C53E41"/>
    <w:rsid w:val="00C55768"/>
    <w:rsid w:val="00C56397"/>
    <w:rsid w:val="00C568D4"/>
    <w:rsid w:val="00C57E2D"/>
    <w:rsid w:val="00C603BF"/>
    <w:rsid w:val="00C61E15"/>
    <w:rsid w:val="00C623BA"/>
    <w:rsid w:val="00C63DC5"/>
    <w:rsid w:val="00C6483E"/>
    <w:rsid w:val="00C66A61"/>
    <w:rsid w:val="00C66DAC"/>
    <w:rsid w:val="00C67A29"/>
    <w:rsid w:val="00C7032B"/>
    <w:rsid w:val="00C70795"/>
    <w:rsid w:val="00C72093"/>
    <w:rsid w:val="00C721EA"/>
    <w:rsid w:val="00C7223F"/>
    <w:rsid w:val="00C73859"/>
    <w:rsid w:val="00C73A13"/>
    <w:rsid w:val="00C73AD4"/>
    <w:rsid w:val="00C73BE3"/>
    <w:rsid w:val="00C73E77"/>
    <w:rsid w:val="00C74579"/>
    <w:rsid w:val="00C755C2"/>
    <w:rsid w:val="00C75641"/>
    <w:rsid w:val="00C75D55"/>
    <w:rsid w:val="00C7610B"/>
    <w:rsid w:val="00C77EF5"/>
    <w:rsid w:val="00C80535"/>
    <w:rsid w:val="00C807CF"/>
    <w:rsid w:val="00C80B24"/>
    <w:rsid w:val="00C80E7E"/>
    <w:rsid w:val="00C8267A"/>
    <w:rsid w:val="00C832C5"/>
    <w:rsid w:val="00C83427"/>
    <w:rsid w:val="00C83BF5"/>
    <w:rsid w:val="00C83DF6"/>
    <w:rsid w:val="00C840BE"/>
    <w:rsid w:val="00C87A45"/>
    <w:rsid w:val="00C87BAA"/>
    <w:rsid w:val="00C90959"/>
    <w:rsid w:val="00C90DA8"/>
    <w:rsid w:val="00C91102"/>
    <w:rsid w:val="00C91CA5"/>
    <w:rsid w:val="00C9313A"/>
    <w:rsid w:val="00C93375"/>
    <w:rsid w:val="00C93740"/>
    <w:rsid w:val="00C941FB"/>
    <w:rsid w:val="00C94D30"/>
    <w:rsid w:val="00C95493"/>
    <w:rsid w:val="00C95B63"/>
    <w:rsid w:val="00C95D26"/>
    <w:rsid w:val="00C96541"/>
    <w:rsid w:val="00C9665C"/>
    <w:rsid w:val="00C973CC"/>
    <w:rsid w:val="00CA1EA8"/>
    <w:rsid w:val="00CA233C"/>
    <w:rsid w:val="00CA259D"/>
    <w:rsid w:val="00CA304B"/>
    <w:rsid w:val="00CA31C5"/>
    <w:rsid w:val="00CA387D"/>
    <w:rsid w:val="00CA480A"/>
    <w:rsid w:val="00CA5068"/>
    <w:rsid w:val="00CA5694"/>
    <w:rsid w:val="00CA7059"/>
    <w:rsid w:val="00CA7613"/>
    <w:rsid w:val="00CA7AE1"/>
    <w:rsid w:val="00CA7B48"/>
    <w:rsid w:val="00CA7FB2"/>
    <w:rsid w:val="00CB0425"/>
    <w:rsid w:val="00CB0E04"/>
    <w:rsid w:val="00CB0EC5"/>
    <w:rsid w:val="00CB25D1"/>
    <w:rsid w:val="00CB3517"/>
    <w:rsid w:val="00CB3F33"/>
    <w:rsid w:val="00CB4955"/>
    <w:rsid w:val="00CB4BFE"/>
    <w:rsid w:val="00CB593D"/>
    <w:rsid w:val="00CB72F0"/>
    <w:rsid w:val="00CB75D7"/>
    <w:rsid w:val="00CB766C"/>
    <w:rsid w:val="00CC075B"/>
    <w:rsid w:val="00CC0B26"/>
    <w:rsid w:val="00CC1654"/>
    <w:rsid w:val="00CC190B"/>
    <w:rsid w:val="00CC2462"/>
    <w:rsid w:val="00CC2FA7"/>
    <w:rsid w:val="00CC3DD4"/>
    <w:rsid w:val="00CC549A"/>
    <w:rsid w:val="00CC6ACA"/>
    <w:rsid w:val="00CC77B9"/>
    <w:rsid w:val="00CD05F9"/>
    <w:rsid w:val="00CD0A6C"/>
    <w:rsid w:val="00CD16CA"/>
    <w:rsid w:val="00CD36B6"/>
    <w:rsid w:val="00CD448F"/>
    <w:rsid w:val="00CD560F"/>
    <w:rsid w:val="00CD6C24"/>
    <w:rsid w:val="00CD7508"/>
    <w:rsid w:val="00CE1011"/>
    <w:rsid w:val="00CE1623"/>
    <w:rsid w:val="00CE2959"/>
    <w:rsid w:val="00CE2AE7"/>
    <w:rsid w:val="00CE3F17"/>
    <w:rsid w:val="00CE5622"/>
    <w:rsid w:val="00CE6E71"/>
    <w:rsid w:val="00CE75ED"/>
    <w:rsid w:val="00CE7787"/>
    <w:rsid w:val="00CE7CD1"/>
    <w:rsid w:val="00CF02F5"/>
    <w:rsid w:val="00CF051D"/>
    <w:rsid w:val="00CF1AE9"/>
    <w:rsid w:val="00CF1D2D"/>
    <w:rsid w:val="00CF2402"/>
    <w:rsid w:val="00CF63C2"/>
    <w:rsid w:val="00CF66FE"/>
    <w:rsid w:val="00D003CC"/>
    <w:rsid w:val="00D004E2"/>
    <w:rsid w:val="00D00F48"/>
    <w:rsid w:val="00D01E9B"/>
    <w:rsid w:val="00D026DF"/>
    <w:rsid w:val="00D0371D"/>
    <w:rsid w:val="00D038B7"/>
    <w:rsid w:val="00D0536F"/>
    <w:rsid w:val="00D10C70"/>
    <w:rsid w:val="00D1126A"/>
    <w:rsid w:val="00D115BA"/>
    <w:rsid w:val="00D119BC"/>
    <w:rsid w:val="00D11BBE"/>
    <w:rsid w:val="00D139ED"/>
    <w:rsid w:val="00D1438D"/>
    <w:rsid w:val="00D158B8"/>
    <w:rsid w:val="00D16F23"/>
    <w:rsid w:val="00D175DE"/>
    <w:rsid w:val="00D21B6D"/>
    <w:rsid w:val="00D21C69"/>
    <w:rsid w:val="00D2343E"/>
    <w:rsid w:val="00D258AA"/>
    <w:rsid w:val="00D313CF"/>
    <w:rsid w:val="00D32155"/>
    <w:rsid w:val="00D33850"/>
    <w:rsid w:val="00D34652"/>
    <w:rsid w:val="00D34928"/>
    <w:rsid w:val="00D34BFB"/>
    <w:rsid w:val="00D34E0C"/>
    <w:rsid w:val="00D379F2"/>
    <w:rsid w:val="00D4066F"/>
    <w:rsid w:val="00D40A8C"/>
    <w:rsid w:val="00D41361"/>
    <w:rsid w:val="00D41B55"/>
    <w:rsid w:val="00D41E5F"/>
    <w:rsid w:val="00D4284E"/>
    <w:rsid w:val="00D4398F"/>
    <w:rsid w:val="00D44C3B"/>
    <w:rsid w:val="00D45226"/>
    <w:rsid w:val="00D453AA"/>
    <w:rsid w:val="00D45E30"/>
    <w:rsid w:val="00D511BF"/>
    <w:rsid w:val="00D51C6F"/>
    <w:rsid w:val="00D5366A"/>
    <w:rsid w:val="00D5402D"/>
    <w:rsid w:val="00D54CA8"/>
    <w:rsid w:val="00D553EC"/>
    <w:rsid w:val="00D55E04"/>
    <w:rsid w:val="00D55E1D"/>
    <w:rsid w:val="00D563E4"/>
    <w:rsid w:val="00D5640F"/>
    <w:rsid w:val="00D56829"/>
    <w:rsid w:val="00D56E65"/>
    <w:rsid w:val="00D5775D"/>
    <w:rsid w:val="00D577F6"/>
    <w:rsid w:val="00D57872"/>
    <w:rsid w:val="00D60C54"/>
    <w:rsid w:val="00D63D27"/>
    <w:rsid w:val="00D64905"/>
    <w:rsid w:val="00D64BE1"/>
    <w:rsid w:val="00D64F4C"/>
    <w:rsid w:val="00D656BC"/>
    <w:rsid w:val="00D66D20"/>
    <w:rsid w:val="00D67E8B"/>
    <w:rsid w:val="00D7029B"/>
    <w:rsid w:val="00D70A3D"/>
    <w:rsid w:val="00D714AB"/>
    <w:rsid w:val="00D71B88"/>
    <w:rsid w:val="00D71BC9"/>
    <w:rsid w:val="00D71F2F"/>
    <w:rsid w:val="00D73E44"/>
    <w:rsid w:val="00D761FB"/>
    <w:rsid w:val="00D76340"/>
    <w:rsid w:val="00D76513"/>
    <w:rsid w:val="00D77D11"/>
    <w:rsid w:val="00D80970"/>
    <w:rsid w:val="00D80C66"/>
    <w:rsid w:val="00D8120F"/>
    <w:rsid w:val="00D81424"/>
    <w:rsid w:val="00D81FC3"/>
    <w:rsid w:val="00D826ED"/>
    <w:rsid w:val="00D83EDC"/>
    <w:rsid w:val="00D84393"/>
    <w:rsid w:val="00D84815"/>
    <w:rsid w:val="00D859AD"/>
    <w:rsid w:val="00D860CE"/>
    <w:rsid w:val="00D86693"/>
    <w:rsid w:val="00D869F5"/>
    <w:rsid w:val="00D876A2"/>
    <w:rsid w:val="00D87BD1"/>
    <w:rsid w:val="00D87BE8"/>
    <w:rsid w:val="00D87D9D"/>
    <w:rsid w:val="00D902BA"/>
    <w:rsid w:val="00D90A9B"/>
    <w:rsid w:val="00D90ECF"/>
    <w:rsid w:val="00D915A6"/>
    <w:rsid w:val="00D91DB4"/>
    <w:rsid w:val="00D92215"/>
    <w:rsid w:val="00D9253E"/>
    <w:rsid w:val="00D9363C"/>
    <w:rsid w:val="00D937AF"/>
    <w:rsid w:val="00D93E07"/>
    <w:rsid w:val="00D951EA"/>
    <w:rsid w:val="00D95409"/>
    <w:rsid w:val="00D95BA4"/>
    <w:rsid w:val="00D9609E"/>
    <w:rsid w:val="00D9669B"/>
    <w:rsid w:val="00D97C76"/>
    <w:rsid w:val="00DA03EC"/>
    <w:rsid w:val="00DA1AEF"/>
    <w:rsid w:val="00DA1BF6"/>
    <w:rsid w:val="00DA1E77"/>
    <w:rsid w:val="00DA27F2"/>
    <w:rsid w:val="00DA37AB"/>
    <w:rsid w:val="00DA38FB"/>
    <w:rsid w:val="00DA3A5A"/>
    <w:rsid w:val="00DA4F85"/>
    <w:rsid w:val="00DA5032"/>
    <w:rsid w:val="00DA5891"/>
    <w:rsid w:val="00DA7088"/>
    <w:rsid w:val="00DA7488"/>
    <w:rsid w:val="00DB19D6"/>
    <w:rsid w:val="00DB29C4"/>
    <w:rsid w:val="00DB46F1"/>
    <w:rsid w:val="00DB4817"/>
    <w:rsid w:val="00DB4D04"/>
    <w:rsid w:val="00DB50F7"/>
    <w:rsid w:val="00DB51A7"/>
    <w:rsid w:val="00DB6385"/>
    <w:rsid w:val="00DB6486"/>
    <w:rsid w:val="00DB6B03"/>
    <w:rsid w:val="00DC1082"/>
    <w:rsid w:val="00DC12D8"/>
    <w:rsid w:val="00DC1597"/>
    <w:rsid w:val="00DC2444"/>
    <w:rsid w:val="00DC2783"/>
    <w:rsid w:val="00DC360A"/>
    <w:rsid w:val="00DC3B94"/>
    <w:rsid w:val="00DC550B"/>
    <w:rsid w:val="00DC5959"/>
    <w:rsid w:val="00DC614B"/>
    <w:rsid w:val="00DC6A60"/>
    <w:rsid w:val="00DC7502"/>
    <w:rsid w:val="00DD05BD"/>
    <w:rsid w:val="00DD0B5F"/>
    <w:rsid w:val="00DD1536"/>
    <w:rsid w:val="00DD1B3B"/>
    <w:rsid w:val="00DD1BC9"/>
    <w:rsid w:val="00DD3634"/>
    <w:rsid w:val="00DD366D"/>
    <w:rsid w:val="00DD462A"/>
    <w:rsid w:val="00DD486F"/>
    <w:rsid w:val="00DD5526"/>
    <w:rsid w:val="00DD5AD5"/>
    <w:rsid w:val="00DD5B7B"/>
    <w:rsid w:val="00DD611A"/>
    <w:rsid w:val="00DD664D"/>
    <w:rsid w:val="00DD772E"/>
    <w:rsid w:val="00DD7E8C"/>
    <w:rsid w:val="00DE1707"/>
    <w:rsid w:val="00DE1BA6"/>
    <w:rsid w:val="00DE2D3A"/>
    <w:rsid w:val="00DE3388"/>
    <w:rsid w:val="00DE33D3"/>
    <w:rsid w:val="00DE3642"/>
    <w:rsid w:val="00DE37C6"/>
    <w:rsid w:val="00DE4A52"/>
    <w:rsid w:val="00DE4AD0"/>
    <w:rsid w:val="00DE5989"/>
    <w:rsid w:val="00DE6430"/>
    <w:rsid w:val="00DE6BB0"/>
    <w:rsid w:val="00DE6C2B"/>
    <w:rsid w:val="00DF1828"/>
    <w:rsid w:val="00DF32BF"/>
    <w:rsid w:val="00DF5E3A"/>
    <w:rsid w:val="00DF7166"/>
    <w:rsid w:val="00E01758"/>
    <w:rsid w:val="00E01854"/>
    <w:rsid w:val="00E04908"/>
    <w:rsid w:val="00E05F67"/>
    <w:rsid w:val="00E06651"/>
    <w:rsid w:val="00E07CB0"/>
    <w:rsid w:val="00E112FB"/>
    <w:rsid w:val="00E1133B"/>
    <w:rsid w:val="00E125B2"/>
    <w:rsid w:val="00E13DBA"/>
    <w:rsid w:val="00E14B07"/>
    <w:rsid w:val="00E14F38"/>
    <w:rsid w:val="00E1583D"/>
    <w:rsid w:val="00E15ACE"/>
    <w:rsid w:val="00E162F5"/>
    <w:rsid w:val="00E165A5"/>
    <w:rsid w:val="00E16C05"/>
    <w:rsid w:val="00E203EA"/>
    <w:rsid w:val="00E22867"/>
    <w:rsid w:val="00E232A3"/>
    <w:rsid w:val="00E2389A"/>
    <w:rsid w:val="00E24047"/>
    <w:rsid w:val="00E24149"/>
    <w:rsid w:val="00E241D0"/>
    <w:rsid w:val="00E2580A"/>
    <w:rsid w:val="00E2622D"/>
    <w:rsid w:val="00E27257"/>
    <w:rsid w:val="00E27A36"/>
    <w:rsid w:val="00E27D56"/>
    <w:rsid w:val="00E30642"/>
    <w:rsid w:val="00E3283A"/>
    <w:rsid w:val="00E334EE"/>
    <w:rsid w:val="00E337B7"/>
    <w:rsid w:val="00E353D8"/>
    <w:rsid w:val="00E3578D"/>
    <w:rsid w:val="00E361C2"/>
    <w:rsid w:val="00E37EB3"/>
    <w:rsid w:val="00E404C3"/>
    <w:rsid w:val="00E4085D"/>
    <w:rsid w:val="00E439CB"/>
    <w:rsid w:val="00E440B8"/>
    <w:rsid w:val="00E44547"/>
    <w:rsid w:val="00E45B2C"/>
    <w:rsid w:val="00E509C7"/>
    <w:rsid w:val="00E50E5A"/>
    <w:rsid w:val="00E51396"/>
    <w:rsid w:val="00E526B6"/>
    <w:rsid w:val="00E52704"/>
    <w:rsid w:val="00E531D4"/>
    <w:rsid w:val="00E55B65"/>
    <w:rsid w:val="00E561E7"/>
    <w:rsid w:val="00E562B5"/>
    <w:rsid w:val="00E56F29"/>
    <w:rsid w:val="00E5702B"/>
    <w:rsid w:val="00E6070B"/>
    <w:rsid w:val="00E60A03"/>
    <w:rsid w:val="00E628D7"/>
    <w:rsid w:val="00E6457E"/>
    <w:rsid w:val="00E64C3F"/>
    <w:rsid w:val="00E65159"/>
    <w:rsid w:val="00E651E4"/>
    <w:rsid w:val="00E6759A"/>
    <w:rsid w:val="00E7130C"/>
    <w:rsid w:val="00E71768"/>
    <w:rsid w:val="00E717BF"/>
    <w:rsid w:val="00E71AF3"/>
    <w:rsid w:val="00E72FAE"/>
    <w:rsid w:val="00E7342B"/>
    <w:rsid w:val="00E7552A"/>
    <w:rsid w:val="00E759EC"/>
    <w:rsid w:val="00E75D3B"/>
    <w:rsid w:val="00E76AF1"/>
    <w:rsid w:val="00E77DDC"/>
    <w:rsid w:val="00E80805"/>
    <w:rsid w:val="00E81B88"/>
    <w:rsid w:val="00E827F7"/>
    <w:rsid w:val="00E83E20"/>
    <w:rsid w:val="00E847BC"/>
    <w:rsid w:val="00E84E4D"/>
    <w:rsid w:val="00E85B7A"/>
    <w:rsid w:val="00E877B9"/>
    <w:rsid w:val="00E908CA"/>
    <w:rsid w:val="00E91EDC"/>
    <w:rsid w:val="00E92455"/>
    <w:rsid w:val="00E93F4D"/>
    <w:rsid w:val="00E9543F"/>
    <w:rsid w:val="00E955AA"/>
    <w:rsid w:val="00E958A6"/>
    <w:rsid w:val="00E966AD"/>
    <w:rsid w:val="00E966BA"/>
    <w:rsid w:val="00E96B78"/>
    <w:rsid w:val="00EA097B"/>
    <w:rsid w:val="00EA15D0"/>
    <w:rsid w:val="00EA2066"/>
    <w:rsid w:val="00EA20CD"/>
    <w:rsid w:val="00EA4528"/>
    <w:rsid w:val="00EA5ACA"/>
    <w:rsid w:val="00EA6122"/>
    <w:rsid w:val="00EA6F89"/>
    <w:rsid w:val="00EA7B2D"/>
    <w:rsid w:val="00EB1900"/>
    <w:rsid w:val="00EB1A80"/>
    <w:rsid w:val="00EB268B"/>
    <w:rsid w:val="00EB3097"/>
    <w:rsid w:val="00EB360C"/>
    <w:rsid w:val="00EB3C62"/>
    <w:rsid w:val="00EB423B"/>
    <w:rsid w:val="00EB48E6"/>
    <w:rsid w:val="00EB4D9D"/>
    <w:rsid w:val="00EB5387"/>
    <w:rsid w:val="00EB65FF"/>
    <w:rsid w:val="00EB700F"/>
    <w:rsid w:val="00EB7971"/>
    <w:rsid w:val="00EC2380"/>
    <w:rsid w:val="00EC2890"/>
    <w:rsid w:val="00EC505D"/>
    <w:rsid w:val="00EC58FA"/>
    <w:rsid w:val="00EC6240"/>
    <w:rsid w:val="00EC7551"/>
    <w:rsid w:val="00EC7772"/>
    <w:rsid w:val="00ED0128"/>
    <w:rsid w:val="00ED0368"/>
    <w:rsid w:val="00ED03A0"/>
    <w:rsid w:val="00ED09BD"/>
    <w:rsid w:val="00ED17E0"/>
    <w:rsid w:val="00ED2F12"/>
    <w:rsid w:val="00ED3D7D"/>
    <w:rsid w:val="00ED4B27"/>
    <w:rsid w:val="00ED51B3"/>
    <w:rsid w:val="00ED617E"/>
    <w:rsid w:val="00ED687A"/>
    <w:rsid w:val="00ED6E2B"/>
    <w:rsid w:val="00ED7D5C"/>
    <w:rsid w:val="00EE0BD4"/>
    <w:rsid w:val="00EE0C61"/>
    <w:rsid w:val="00EE154C"/>
    <w:rsid w:val="00EE1A16"/>
    <w:rsid w:val="00EE21FD"/>
    <w:rsid w:val="00EE2E59"/>
    <w:rsid w:val="00EE3838"/>
    <w:rsid w:val="00EE4949"/>
    <w:rsid w:val="00EE5782"/>
    <w:rsid w:val="00EE6867"/>
    <w:rsid w:val="00EE7476"/>
    <w:rsid w:val="00EF105D"/>
    <w:rsid w:val="00EF1ACB"/>
    <w:rsid w:val="00EF1E8B"/>
    <w:rsid w:val="00EF4266"/>
    <w:rsid w:val="00EF7569"/>
    <w:rsid w:val="00EF7AB3"/>
    <w:rsid w:val="00EF7E82"/>
    <w:rsid w:val="00F00D13"/>
    <w:rsid w:val="00F00D59"/>
    <w:rsid w:val="00F00EE0"/>
    <w:rsid w:val="00F01AF5"/>
    <w:rsid w:val="00F02A58"/>
    <w:rsid w:val="00F039BC"/>
    <w:rsid w:val="00F050E8"/>
    <w:rsid w:val="00F05279"/>
    <w:rsid w:val="00F06969"/>
    <w:rsid w:val="00F06C9C"/>
    <w:rsid w:val="00F072B9"/>
    <w:rsid w:val="00F07ABA"/>
    <w:rsid w:val="00F10E2A"/>
    <w:rsid w:val="00F10EBE"/>
    <w:rsid w:val="00F11DAE"/>
    <w:rsid w:val="00F120D1"/>
    <w:rsid w:val="00F12995"/>
    <w:rsid w:val="00F133C7"/>
    <w:rsid w:val="00F13E5F"/>
    <w:rsid w:val="00F1464A"/>
    <w:rsid w:val="00F14D0A"/>
    <w:rsid w:val="00F14E40"/>
    <w:rsid w:val="00F15B34"/>
    <w:rsid w:val="00F15FC9"/>
    <w:rsid w:val="00F162F6"/>
    <w:rsid w:val="00F20009"/>
    <w:rsid w:val="00F20099"/>
    <w:rsid w:val="00F20F19"/>
    <w:rsid w:val="00F238F5"/>
    <w:rsid w:val="00F258A6"/>
    <w:rsid w:val="00F26151"/>
    <w:rsid w:val="00F264A5"/>
    <w:rsid w:val="00F265DA"/>
    <w:rsid w:val="00F27B2F"/>
    <w:rsid w:val="00F27E91"/>
    <w:rsid w:val="00F3055F"/>
    <w:rsid w:val="00F30C8E"/>
    <w:rsid w:val="00F30DBD"/>
    <w:rsid w:val="00F31227"/>
    <w:rsid w:val="00F333D1"/>
    <w:rsid w:val="00F34BA5"/>
    <w:rsid w:val="00F3627C"/>
    <w:rsid w:val="00F371B0"/>
    <w:rsid w:val="00F37B11"/>
    <w:rsid w:val="00F37D19"/>
    <w:rsid w:val="00F40085"/>
    <w:rsid w:val="00F40337"/>
    <w:rsid w:val="00F4059C"/>
    <w:rsid w:val="00F40A45"/>
    <w:rsid w:val="00F41F06"/>
    <w:rsid w:val="00F42582"/>
    <w:rsid w:val="00F42A50"/>
    <w:rsid w:val="00F42ECF"/>
    <w:rsid w:val="00F43032"/>
    <w:rsid w:val="00F445DA"/>
    <w:rsid w:val="00F456C1"/>
    <w:rsid w:val="00F475AB"/>
    <w:rsid w:val="00F47722"/>
    <w:rsid w:val="00F4775E"/>
    <w:rsid w:val="00F50900"/>
    <w:rsid w:val="00F50CD2"/>
    <w:rsid w:val="00F51751"/>
    <w:rsid w:val="00F51B40"/>
    <w:rsid w:val="00F51E31"/>
    <w:rsid w:val="00F52612"/>
    <w:rsid w:val="00F53EBD"/>
    <w:rsid w:val="00F53F2E"/>
    <w:rsid w:val="00F5505A"/>
    <w:rsid w:val="00F55B0A"/>
    <w:rsid w:val="00F55F56"/>
    <w:rsid w:val="00F57AD3"/>
    <w:rsid w:val="00F57F15"/>
    <w:rsid w:val="00F602D6"/>
    <w:rsid w:val="00F604A7"/>
    <w:rsid w:val="00F60A7A"/>
    <w:rsid w:val="00F61142"/>
    <w:rsid w:val="00F61815"/>
    <w:rsid w:val="00F61F17"/>
    <w:rsid w:val="00F638A6"/>
    <w:rsid w:val="00F63B91"/>
    <w:rsid w:val="00F666B7"/>
    <w:rsid w:val="00F70971"/>
    <w:rsid w:val="00F716E5"/>
    <w:rsid w:val="00F71CA7"/>
    <w:rsid w:val="00F71EA7"/>
    <w:rsid w:val="00F73E92"/>
    <w:rsid w:val="00F7634B"/>
    <w:rsid w:val="00F76672"/>
    <w:rsid w:val="00F804C8"/>
    <w:rsid w:val="00F8141C"/>
    <w:rsid w:val="00F81871"/>
    <w:rsid w:val="00F81FA2"/>
    <w:rsid w:val="00F82F62"/>
    <w:rsid w:val="00F83838"/>
    <w:rsid w:val="00F83B53"/>
    <w:rsid w:val="00F83BFE"/>
    <w:rsid w:val="00F849B9"/>
    <w:rsid w:val="00F84E65"/>
    <w:rsid w:val="00F85D9D"/>
    <w:rsid w:val="00F86166"/>
    <w:rsid w:val="00F87CFD"/>
    <w:rsid w:val="00F903D5"/>
    <w:rsid w:val="00F90836"/>
    <w:rsid w:val="00F90DBB"/>
    <w:rsid w:val="00F90F77"/>
    <w:rsid w:val="00F912E1"/>
    <w:rsid w:val="00F91B5E"/>
    <w:rsid w:val="00F91CEE"/>
    <w:rsid w:val="00F91E3E"/>
    <w:rsid w:val="00F924A6"/>
    <w:rsid w:val="00F955AB"/>
    <w:rsid w:val="00F95618"/>
    <w:rsid w:val="00F964E3"/>
    <w:rsid w:val="00F96D1C"/>
    <w:rsid w:val="00F97ADD"/>
    <w:rsid w:val="00FA02DE"/>
    <w:rsid w:val="00FA1F7C"/>
    <w:rsid w:val="00FA20AB"/>
    <w:rsid w:val="00FA29D7"/>
    <w:rsid w:val="00FA371C"/>
    <w:rsid w:val="00FA3AD1"/>
    <w:rsid w:val="00FA3FF9"/>
    <w:rsid w:val="00FA575E"/>
    <w:rsid w:val="00FA57D7"/>
    <w:rsid w:val="00FA7C7C"/>
    <w:rsid w:val="00FB0351"/>
    <w:rsid w:val="00FB03C4"/>
    <w:rsid w:val="00FB0583"/>
    <w:rsid w:val="00FB0CE5"/>
    <w:rsid w:val="00FB159F"/>
    <w:rsid w:val="00FB15CE"/>
    <w:rsid w:val="00FB1BFC"/>
    <w:rsid w:val="00FB219B"/>
    <w:rsid w:val="00FB2F0F"/>
    <w:rsid w:val="00FB487E"/>
    <w:rsid w:val="00FB6729"/>
    <w:rsid w:val="00FB71DC"/>
    <w:rsid w:val="00FB734E"/>
    <w:rsid w:val="00FC073F"/>
    <w:rsid w:val="00FC1312"/>
    <w:rsid w:val="00FC1D36"/>
    <w:rsid w:val="00FC1FB6"/>
    <w:rsid w:val="00FC392E"/>
    <w:rsid w:val="00FC3D58"/>
    <w:rsid w:val="00FC5766"/>
    <w:rsid w:val="00FC7D3B"/>
    <w:rsid w:val="00FD0125"/>
    <w:rsid w:val="00FD09BD"/>
    <w:rsid w:val="00FD0A1C"/>
    <w:rsid w:val="00FD2750"/>
    <w:rsid w:val="00FD2AFA"/>
    <w:rsid w:val="00FD2F63"/>
    <w:rsid w:val="00FD3462"/>
    <w:rsid w:val="00FD48FA"/>
    <w:rsid w:val="00FD5775"/>
    <w:rsid w:val="00FD6B99"/>
    <w:rsid w:val="00FD6CE8"/>
    <w:rsid w:val="00FE127C"/>
    <w:rsid w:val="00FE1B10"/>
    <w:rsid w:val="00FE52A5"/>
    <w:rsid w:val="00FE5AA4"/>
    <w:rsid w:val="00FE63DC"/>
    <w:rsid w:val="00FE65CE"/>
    <w:rsid w:val="00FE6C0E"/>
    <w:rsid w:val="00FE7037"/>
    <w:rsid w:val="00FE7B6A"/>
    <w:rsid w:val="00FF21C1"/>
    <w:rsid w:val="00FF26EF"/>
    <w:rsid w:val="00FF65F8"/>
    <w:rsid w:val="00FF7402"/>
  </w:rsids>
  <m:mathPr>
    <m:mathFont m:val="Cambria Math"/>
    <m:brkBin m:val="before"/>
    <m:brkBinSub m:val="--"/>
    <m:smallFrac m:val="0"/>
    <m:dispDef/>
    <m:lMargin m:val="0"/>
    <m:rMargin m:val="0"/>
    <m:defJc m:val="centerGroup"/>
    <m:wrapIndent m:val="144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049228"/>
  <w15:docId w15:val="{E1163DE5-2910-469F-B267-128D46CADB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en" w:eastAsia="ko-K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75CA"/>
    <w:pPr>
      <w:spacing w:line="360" w:lineRule="auto"/>
    </w:pPr>
    <w:rPr>
      <w:rFonts w:ascii="Aptos" w:hAnsi="Aptos"/>
      <w:color w:val="000000" w:themeColor="text1"/>
      <w:sz w:val="24"/>
      <w:szCs w:val="24"/>
    </w:rPr>
  </w:style>
  <w:style w:type="paragraph" w:styleId="Heading1">
    <w:name w:val="heading 1"/>
    <w:basedOn w:val="Heading2"/>
    <w:next w:val="Normal"/>
    <w:link w:val="Heading1Char"/>
    <w:uiPriority w:val="9"/>
    <w:qFormat/>
    <w:rsid w:val="00F57F15"/>
    <w:pPr>
      <w:outlineLvl w:val="0"/>
    </w:pPr>
  </w:style>
  <w:style w:type="paragraph" w:styleId="Heading2">
    <w:name w:val="heading 2"/>
    <w:basedOn w:val="Normal"/>
    <w:next w:val="Normal"/>
    <w:link w:val="Heading2Char"/>
    <w:uiPriority w:val="9"/>
    <w:unhideWhenUsed/>
    <w:qFormat/>
    <w:rsid w:val="00F57F15"/>
    <w:pPr>
      <w:keepNext/>
      <w:keepLines/>
      <w:spacing w:before="360" w:after="120"/>
      <w:outlineLvl w:val="1"/>
    </w:pPr>
    <w:rPr>
      <w:sz w:val="32"/>
      <w:szCs w:val="32"/>
    </w:rPr>
  </w:style>
  <w:style w:type="paragraph" w:styleId="Heading3">
    <w:name w:val="heading 3"/>
    <w:basedOn w:val="Normal"/>
    <w:next w:val="Normal"/>
    <w:link w:val="Heading3Char"/>
    <w:uiPriority w:val="9"/>
    <w:unhideWhenUsed/>
    <w:qFormat/>
    <w:pPr>
      <w:keepNext/>
      <w:keepLines/>
      <w:spacing w:before="320" w:after="80"/>
      <w:outlineLvl w:val="2"/>
    </w:pPr>
    <w:rPr>
      <w:sz w:val="28"/>
      <w:szCs w:val="28"/>
    </w:rPr>
  </w:style>
  <w:style w:type="paragraph" w:styleId="Heading4">
    <w:name w:val="heading 4"/>
    <w:basedOn w:val="Normal"/>
    <w:next w:val="Normal"/>
    <w:link w:val="Heading4Char"/>
    <w:uiPriority w:val="9"/>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10">
    <w:name w:val="10"/>
    <w:basedOn w:val="TableNormal"/>
    <w:tblPr>
      <w:tblStyleRowBandSize w:val="1"/>
      <w:tblStyleColBandSize w:val="1"/>
      <w:tblCellMar>
        <w:top w:w="100" w:type="dxa"/>
        <w:left w:w="100" w:type="dxa"/>
        <w:bottom w:w="100" w:type="dxa"/>
        <w:right w:w="100" w:type="dxa"/>
      </w:tblCellMar>
    </w:tblPr>
  </w:style>
  <w:style w:type="table" w:customStyle="1" w:styleId="9">
    <w:name w:val="9"/>
    <w:basedOn w:val="TableNormal"/>
    <w:tblPr>
      <w:tblStyleRowBandSize w:val="1"/>
      <w:tblStyleColBandSize w:val="1"/>
      <w:tblCellMar>
        <w:top w:w="100" w:type="dxa"/>
        <w:left w:w="100" w:type="dxa"/>
        <w:bottom w:w="100" w:type="dxa"/>
        <w:right w:w="100" w:type="dxa"/>
      </w:tblCellMar>
    </w:tblPr>
  </w:style>
  <w:style w:type="table" w:customStyle="1" w:styleId="8">
    <w:name w:val="8"/>
    <w:basedOn w:val="TableNormal"/>
    <w:tblPr>
      <w:tblStyleRowBandSize w:val="1"/>
      <w:tblStyleColBandSize w:val="1"/>
      <w:tblCellMar>
        <w:top w:w="100" w:type="dxa"/>
        <w:left w:w="100" w:type="dxa"/>
        <w:bottom w:w="100" w:type="dxa"/>
        <w:right w:w="100" w:type="dxa"/>
      </w:tblCellMar>
    </w:tblPr>
  </w:style>
  <w:style w:type="table" w:customStyle="1" w:styleId="7">
    <w:name w:val="7"/>
    <w:basedOn w:val="TableNormal"/>
    <w:tblPr>
      <w:tblStyleRowBandSize w:val="1"/>
      <w:tblStyleColBandSize w:val="1"/>
      <w:tblCellMar>
        <w:top w:w="100" w:type="dxa"/>
        <w:left w:w="100" w:type="dxa"/>
        <w:bottom w:w="100" w:type="dxa"/>
        <w:right w:w="100" w:type="dxa"/>
      </w:tblCellMar>
    </w:tblPr>
  </w:style>
  <w:style w:type="table" w:customStyle="1" w:styleId="6">
    <w:name w:val="6"/>
    <w:basedOn w:val="TableNormal"/>
    <w:tblPr>
      <w:tblStyleRowBandSize w:val="1"/>
      <w:tblStyleColBandSize w:val="1"/>
      <w:tblCellMar>
        <w:top w:w="100" w:type="dxa"/>
        <w:left w:w="100" w:type="dxa"/>
        <w:bottom w:w="100" w:type="dxa"/>
        <w:right w:w="100" w:type="dxa"/>
      </w:tblCellMar>
    </w:tbl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character" w:styleId="PlaceholderText">
    <w:name w:val="Placeholder Text"/>
    <w:basedOn w:val="DefaultParagraphFont"/>
    <w:uiPriority w:val="99"/>
    <w:semiHidden/>
    <w:rsid w:val="005127E5"/>
    <w:rPr>
      <w:color w:val="666666"/>
    </w:rPr>
  </w:style>
  <w:style w:type="paragraph" w:styleId="Header">
    <w:name w:val="header"/>
    <w:basedOn w:val="Normal"/>
    <w:link w:val="HeaderChar"/>
    <w:uiPriority w:val="99"/>
    <w:unhideWhenUsed/>
    <w:rsid w:val="005455C2"/>
    <w:pPr>
      <w:tabs>
        <w:tab w:val="center" w:pos="4680"/>
        <w:tab w:val="right" w:pos="9360"/>
      </w:tabs>
      <w:spacing w:line="240" w:lineRule="auto"/>
    </w:pPr>
  </w:style>
  <w:style w:type="character" w:customStyle="1" w:styleId="HeaderChar">
    <w:name w:val="Header Char"/>
    <w:basedOn w:val="DefaultParagraphFont"/>
    <w:link w:val="Header"/>
    <w:uiPriority w:val="99"/>
    <w:rsid w:val="005455C2"/>
  </w:style>
  <w:style w:type="paragraph" w:styleId="Footer">
    <w:name w:val="footer"/>
    <w:basedOn w:val="Normal"/>
    <w:link w:val="FooterChar"/>
    <w:uiPriority w:val="99"/>
    <w:unhideWhenUsed/>
    <w:rsid w:val="005455C2"/>
    <w:pPr>
      <w:tabs>
        <w:tab w:val="center" w:pos="4680"/>
        <w:tab w:val="right" w:pos="9360"/>
      </w:tabs>
      <w:spacing w:line="240" w:lineRule="auto"/>
    </w:pPr>
  </w:style>
  <w:style w:type="character" w:customStyle="1" w:styleId="FooterChar">
    <w:name w:val="Footer Char"/>
    <w:basedOn w:val="DefaultParagraphFont"/>
    <w:link w:val="Footer"/>
    <w:uiPriority w:val="99"/>
    <w:rsid w:val="005455C2"/>
  </w:style>
  <w:style w:type="paragraph" w:styleId="Bibliography">
    <w:name w:val="Bibliography"/>
    <w:basedOn w:val="Normal"/>
    <w:next w:val="Normal"/>
    <w:uiPriority w:val="37"/>
    <w:unhideWhenUsed/>
    <w:rsid w:val="00765344"/>
    <w:pPr>
      <w:tabs>
        <w:tab w:val="left" w:pos="260"/>
        <w:tab w:val="left" w:pos="380"/>
        <w:tab w:val="left" w:pos="504"/>
      </w:tabs>
      <w:spacing w:after="240" w:line="240" w:lineRule="auto"/>
      <w:ind w:left="384" w:hanging="384"/>
    </w:pPr>
  </w:style>
  <w:style w:type="table" w:customStyle="1" w:styleId="5">
    <w:name w:val="5"/>
    <w:basedOn w:val="TableNormal"/>
    <w:tblPr>
      <w:tblStyleRowBandSize w:val="1"/>
      <w:tblStyleColBandSize w:val="1"/>
      <w:tblCellMar>
        <w:top w:w="100" w:type="dxa"/>
        <w:left w:w="100" w:type="dxa"/>
        <w:bottom w:w="100" w:type="dxa"/>
        <w:right w:w="100" w:type="dxa"/>
      </w:tblCellMar>
    </w:tblPr>
  </w:style>
  <w:style w:type="table" w:customStyle="1" w:styleId="4">
    <w:name w:val="4"/>
    <w:basedOn w:val="TableNormal"/>
    <w:tblPr>
      <w:tblStyleRowBandSize w:val="1"/>
      <w:tblStyleColBandSize w:val="1"/>
      <w:tblCellMar>
        <w:top w:w="100" w:type="dxa"/>
        <w:left w:w="100" w:type="dxa"/>
        <w:bottom w:w="100" w:type="dxa"/>
        <w:right w:w="100" w:type="dxa"/>
      </w:tblCellMar>
    </w:tblPr>
  </w:style>
  <w:style w:type="table" w:customStyle="1" w:styleId="3">
    <w:name w:val="3"/>
    <w:basedOn w:val="TableNormal"/>
    <w:tblPr>
      <w:tblStyleRowBandSize w:val="1"/>
      <w:tblStyleColBandSize w:val="1"/>
      <w:tblCellMar>
        <w:top w:w="100" w:type="dxa"/>
        <w:left w:w="100" w:type="dxa"/>
        <w:bottom w:w="100" w:type="dxa"/>
        <w:right w:w="100" w:type="dxa"/>
      </w:tblCellMar>
    </w:tblPr>
  </w:style>
  <w:style w:type="table" w:customStyle="1" w:styleId="2">
    <w:name w:val="2"/>
    <w:basedOn w:val="TableNormal"/>
    <w:tblPr>
      <w:tblStyleRowBandSize w:val="1"/>
      <w:tblStyleColBandSize w:val="1"/>
      <w:tblCellMar>
        <w:top w:w="100" w:type="dxa"/>
        <w:left w:w="100" w:type="dxa"/>
        <w:bottom w:w="100" w:type="dxa"/>
        <w:right w:w="100" w:type="dxa"/>
      </w:tblCellMar>
    </w:tbl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character" w:customStyle="1" w:styleId="Heading3Char">
    <w:name w:val="Heading 3 Char"/>
    <w:basedOn w:val="DefaultParagraphFont"/>
    <w:link w:val="Heading3"/>
    <w:uiPriority w:val="9"/>
    <w:rsid w:val="00AB0EE1"/>
    <w:rPr>
      <w:color w:val="434343"/>
      <w:sz w:val="28"/>
      <w:szCs w:val="28"/>
    </w:rPr>
  </w:style>
  <w:style w:type="paragraph" w:styleId="ListParagraph">
    <w:name w:val="List Paragraph"/>
    <w:basedOn w:val="Normal"/>
    <w:uiPriority w:val="34"/>
    <w:qFormat/>
    <w:rsid w:val="0043475A"/>
    <w:pPr>
      <w:ind w:left="720"/>
      <w:contextualSpacing/>
    </w:pPr>
  </w:style>
  <w:style w:type="paragraph" w:styleId="CommentSubject">
    <w:name w:val="annotation subject"/>
    <w:basedOn w:val="CommentText"/>
    <w:next w:val="CommentText"/>
    <w:link w:val="CommentSubjectChar"/>
    <w:uiPriority w:val="99"/>
    <w:semiHidden/>
    <w:unhideWhenUsed/>
    <w:rsid w:val="00914618"/>
    <w:rPr>
      <w:b/>
      <w:bCs/>
    </w:rPr>
  </w:style>
  <w:style w:type="character" w:customStyle="1" w:styleId="CommentSubjectChar">
    <w:name w:val="Comment Subject Char"/>
    <w:basedOn w:val="CommentTextChar"/>
    <w:link w:val="CommentSubject"/>
    <w:uiPriority w:val="99"/>
    <w:semiHidden/>
    <w:rsid w:val="00914618"/>
    <w:rPr>
      <w:b/>
      <w:bCs/>
      <w:sz w:val="20"/>
      <w:szCs w:val="20"/>
    </w:rPr>
  </w:style>
  <w:style w:type="character" w:customStyle="1" w:styleId="Heading1Char">
    <w:name w:val="Heading 1 Char"/>
    <w:basedOn w:val="DefaultParagraphFont"/>
    <w:link w:val="Heading1"/>
    <w:uiPriority w:val="9"/>
    <w:rsid w:val="00F57F15"/>
    <w:rPr>
      <w:rFonts w:ascii="Aptos" w:hAnsi="Aptos"/>
      <w:sz w:val="32"/>
      <w:szCs w:val="32"/>
    </w:rPr>
  </w:style>
  <w:style w:type="character" w:styleId="Hyperlink">
    <w:name w:val="Hyperlink"/>
    <w:basedOn w:val="DefaultParagraphFont"/>
    <w:uiPriority w:val="99"/>
    <w:unhideWhenUsed/>
    <w:rsid w:val="00840073"/>
    <w:rPr>
      <w:color w:val="0000FF" w:themeColor="hyperlink"/>
      <w:u w:val="single"/>
    </w:rPr>
  </w:style>
  <w:style w:type="character" w:styleId="UnresolvedMention">
    <w:name w:val="Unresolved Mention"/>
    <w:basedOn w:val="DefaultParagraphFont"/>
    <w:uiPriority w:val="99"/>
    <w:semiHidden/>
    <w:unhideWhenUsed/>
    <w:rsid w:val="00840073"/>
    <w:rPr>
      <w:color w:val="605E5C"/>
      <w:shd w:val="clear" w:color="auto" w:fill="E1DFDD"/>
    </w:rPr>
  </w:style>
  <w:style w:type="paragraph" w:styleId="Revision">
    <w:name w:val="Revision"/>
    <w:hidden/>
    <w:uiPriority w:val="99"/>
    <w:semiHidden/>
    <w:rsid w:val="00D951EA"/>
    <w:pPr>
      <w:spacing w:line="240" w:lineRule="auto"/>
    </w:pPr>
  </w:style>
  <w:style w:type="character" w:customStyle="1" w:styleId="Heading2Char">
    <w:name w:val="Heading 2 Char"/>
    <w:basedOn w:val="DefaultParagraphFont"/>
    <w:link w:val="Heading2"/>
    <w:uiPriority w:val="9"/>
    <w:rsid w:val="00F57F15"/>
    <w:rPr>
      <w:rFonts w:ascii="Aptos" w:hAnsi="Aptos"/>
      <w:sz w:val="32"/>
      <w:szCs w:val="32"/>
    </w:rPr>
  </w:style>
  <w:style w:type="table" w:styleId="TableGrid">
    <w:name w:val="Table Grid"/>
    <w:basedOn w:val="TableNormal"/>
    <w:uiPriority w:val="39"/>
    <w:rsid w:val="00E531D4"/>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DA7488"/>
    <w:rPr>
      <w:color w:val="800080" w:themeColor="followedHyperlink"/>
      <w:u w:val="single"/>
    </w:rPr>
  </w:style>
  <w:style w:type="paragraph" w:styleId="HTMLPreformatted">
    <w:name w:val="HTML Preformatted"/>
    <w:basedOn w:val="Normal"/>
    <w:link w:val="HTMLPreformattedChar"/>
    <w:uiPriority w:val="99"/>
    <w:semiHidden/>
    <w:unhideWhenUsed/>
    <w:rsid w:val="00F90836"/>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F90836"/>
    <w:rPr>
      <w:rFonts w:ascii="Consolas" w:hAnsi="Consolas"/>
      <w:sz w:val="20"/>
      <w:szCs w:val="20"/>
    </w:rPr>
  </w:style>
  <w:style w:type="paragraph" w:styleId="TOCHeading">
    <w:name w:val="TOC Heading"/>
    <w:basedOn w:val="Heading1"/>
    <w:next w:val="Normal"/>
    <w:uiPriority w:val="39"/>
    <w:unhideWhenUsed/>
    <w:qFormat/>
    <w:rsid w:val="00885336"/>
    <w:pPr>
      <w:spacing w:before="480" w:after="0"/>
      <w:outlineLvl w:val="9"/>
    </w:pPr>
    <w:rPr>
      <w:rFonts w:asciiTheme="majorHAnsi" w:eastAsiaTheme="majorEastAsia" w:hAnsiTheme="majorHAnsi" w:cstheme="majorBidi"/>
      <w:b/>
      <w:bCs/>
      <w:color w:val="365F91" w:themeColor="accent1" w:themeShade="BF"/>
      <w:sz w:val="28"/>
      <w:szCs w:val="28"/>
      <w:lang w:val="en-US" w:eastAsia="en-US"/>
    </w:rPr>
  </w:style>
  <w:style w:type="paragraph" w:styleId="TOC2">
    <w:name w:val="toc 2"/>
    <w:basedOn w:val="Normal"/>
    <w:next w:val="Normal"/>
    <w:autoRedefine/>
    <w:uiPriority w:val="39"/>
    <w:unhideWhenUsed/>
    <w:rsid w:val="00885336"/>
    <w:pPr>
      <w:spacing w:before="120"/>
      <w:ind w:left="220"/>
    </w:pPr>
    <w:rPr>
      <w:rFonts w:asciiTheme="minorHAnsi" w:hAnsiTheme="minorHAnsi" w:cs="Times New Roman"/>
      <w:b/>
      <w:bCs/>
      <w:szCs w:val="26"/>
    </w:rPr>
  </w:style>
  <w:style w:type="paragraph" w:styleId="TOC3">
    <w:name w:val="toc 3"/>
    <w:basedOn w:val="Normal"/>
    <w:next w:val="Normal"/>
    <w:autoRedefine/>
    <w:uiPriority w:val="39"/>
    <w:unhideWhenUsed/>
    <w:rsid w:val="00885336"/>
    <w:pPr>
      <w:ind w:left="440"/>
    </w:pPr>
    <w:rPr>
      <w:rFonts w:asciiTheme="minorHAnsi" w:hAnsiTheme="minorHAnsi" w:cs="Times New Roman"/>
      <w:sz w:val="20"/>
    </w:rPr>
  </w:style>
  <w:style w:type="paragraph" w:styleId="TOC1">
    <w:name w:val="toc 1"/>
    <w:basedOn w:val="Normal"/>
    <w:next w:val="Normal"/>
    <w:autoRedefine/>
    <w:uiPriority w:val="39"/>
    <w:unhideWhenUsed/>
    <w:rsid w:val="00885336"/>
    <w:pPr>
      <w:spacing w:before="120"/>
    </w:pPr>
    <w:rPr>
      <w:rFonts w:asciiTheme="minorHAnsi" w:hAnsiTheme="minorHAnsi" w:cs="Times New Roman"/>
      <w:b/>
      <w:bCs/>
      <w:i/>
      <w:iCs/>
      <w:szCs w:val="28"/>
    </w:rPr>
  </w:style>
  <w:style w:type="paragraph" w:styleId="TOC4">
    <w:name w:val="toc 4"/>
    <w:basedOn w:val="Normal"/>
    <w:next w:val="Normal"/>
    <w:autoRedefine/>
    <w:uiPriority w:val="39"/>
    <w:semiHidden/>
    <w:unhideWhenUsed/>
    <w:rsid w:val="00885336"/>
    <w:pPr>
      <w:ind w:left="660"/>
    </w:pPr>
    <w:rPr>
      <w:rFonts w:asciiTheme="minorHAnsi" w:hAnsiTheme="minorHAnsi" w:cs="Times New Roman"/>
      <w:sz w:val="20"/>
    </w:rPr>
  </w:style>
  <w:style w:type="paragraph" w:styleId="TOC5">
    <w:name w:val="toc 5"/>
    <w:basedOn w:val="Normal"/>
    <w:next w:val="Normal"/>
    <w:autoRedefine/>
    <w:uiPriority w:val="39"/>
    <w:semiHidden/>
    <w:unhideWhenUsed/>
    <w:rsid w:val="00885336"/>
    <w:pPr>
      <w:ind w:left="880"/>
    </w:pPr>
    <w:rPr>
      <w:rFonts w:asciiTheme="minorHAnsi" w:hAnsiTheme="minorHAnsi" w:cs="Times New Roman"/>
      <w:sz w:val="20"/>
    </w:rPr>
  </w:style>
  <w:style w:type="paragraph" w:styleId="TOC6">
    <w:name w:val="toc 6"/>
    <w:basedOn w:val="Normal"/>
    <w:next w:val="Normal"/>
    <w:autoRedefine/>
    <w:uiPriority w:val="39"/>
    <w:semiHidden/>
    <w:unhideWhenUsed/>
    <w:rsid w:val="00885336"/>
    <w:pPr>
      <w:ind w:left="1100"/>
    </w:pPr>
    <w:rPr>
      <w:rFonts w:asciiTheme="minorHAnsi" w:hAnsiTheme="minorHAnsi" w:cs="Times New Roman"/>
      <w:sz w:val="20"/>
    </w:rPr>
  </w:style>
  <w:style w:type="paragraph" w:styleId="TOC7">
    <w:name w:val="toc 7"/>
    <w:basedOn w:val="Normal"/>
    <w:next w:val="Normal"/>
    <w:autoRedefine/>
    <w:uiPriority w:val="39"/>
    <w:semiHidden/>
    <w:unhideWhenUsed/>
    <w:rsid w:val="00885336"/>
    <w:pPr>
      <w:ind w:left="1320"/>
    </w:pPr>
    <w:rPr>
      <w:rFonts w:asciiTheme="minorHAnsi" w:hAnsiTheme="minorHAnsi" w:cs="Times New Roman"/>
      <w:sz w:val="20"/>
    </w:rPr>
  </w:style>
  <w:style w:type="paragraph" w:styleId="TOC8">
    <w:name w:val="toc 8"/>
    <w:basedOn w:val="Normal"/>
    <w:next w:val="Normal"/>
    <w:autoRedefine/>
    <w:uiPriority w:val="39"/>
    <w:semiHidden/>
    <w:unhideWhenUsed/>
    <w:rsid w:val="00885336"/>
    <w:pPr>
      <w:ind w:left="1540"/>
    </w:pPr>
    <w:rPr>
      <w:rFonts w:asciiTheme="minorHAnsi" w:hAnsiTheme="minorHAnsi" w:cs="Times New Roman"/>
      <w:sz w:val="20"/>
    </w:rPr>
  </w:style>
  <w:style w:type="paragraph" w:styleId="TOC9">
    <w:name w:val="toc 9"/>
    <w:basedOn w:val="Normal"/>
    <w:next w:val="Normal"/>
    <w:autoRedefine/>
    <w:uiPriority w:val="39"/>
    <w:semiHidden/>
    <w:unhideWhenUsed/>
    <w:rsid w:val="00885336"/>
    <w:pPr>
      <w:ind w:left="1760"/>
    </w:pPr>
    <w:rPr>
      <w:rFonts w:asciiTheme="minorHAnsi" w:hAnsiTheme="minorHAnsi" w:cs="Times New Roman"/>
      <w:sz w:val="20"/>
    </w:rPr>
  </w:style>
  <w:style w:type="character" w:customStyle="1" w:styleId="Heading4Char">
    <w:name w:val="Heading 4 Char"/>
    <w:basedOn w:val="DefaultParagraphFont"/>
    <w:link w:val="Heading4"/>
    <w:uiPriority w:val="9"/>
    <w:rsid w:val="005F544E"/>
    <w:rPr>
      <w:rFonts w:ascii="Aptos" w:hAnsi="Aptos"/>
      <w:color w:val="666666"/>
      <w:sz w:val="24"/>
      <w:szCs w:val="24"/>
    </w:rPr>
  </w:style>
  <w:style w:type="paragraph" w:styleId="NormalWeb">
    <w:name w:val="Normal (Web)"/>
    <w:basedOn w:val="Normal"/>
    <w:uiPriority w:val="99"/>
    <w:semiHidden/>
    <w:unhideWhenUsed/>
    <w:rsid w:val="007206D9"/>
    <w:rPr>
      <w:rFonts w:ascii="Times New Roman" w:hAnsi="Times New Roman" w:cs="Times New Roman"/>
    </w:rPr>
  </w:style>
  <w:style w:type="character" w:customStyle="1" w:styleId="fontstyle01">
    <w:name w:val="fontstyle01"/>
    <w:basedOn w:val="DefaultParagraphFont"/>
    <w:rsid w:val="002C1FE4"/>
    <w:rPr>
      <w:rFonts w:ascii="TimesNewRomanPSMT" w:hAnsi="TimesNewRomanPSMT" w:hint="default"/>
      <w:b w:val="0"/>
      <w:bCs w:val="0"/>
      <w:i w:val="0"/>
      <w:iCs w:val="0"/>
      <w:color w:val="000000"/>
      <w:sz w:val="12"/>
      <w:szCs w:val="1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105940">
      <w:bodyDiv w:val="1"/>
      <w:marLeft w:val="0"/>
      <w:marRight w:val="0"/>
      <w:marTop w:val="0"/>
      <w:marBottom w:val="0"/>
      <w:divBdr>
        <w:top w:val="none" w:sz="0" w:space="0" w:color="auto"/>
        <w:left w:val="none" w:sz="0" w:space="0" w:color="auto"/>
        <w:bottom w:val="none" w:sz="0" w:space="0" w:color="auto"/>
        <w:right w:val="none" w:sz="0" w:space="0" w:color="auto"/>
      </w:divBdr>
    </w:div>
    <w:div w:id="14700749">
      <w:bodyDiv w:val="1"/>
      <w:marLeft w:val="0"/>
      <w:marRight w:val="0"/>
      <w:marTop w:val="0"/>
      <w:marBottom w:val="0"/>
      <w:divBdr>
        <w:top w:val="none" w:sz="0" w:space="0" w:color="auto"/>
        <w:left w:val="none" w:sz="0" w:space="0" w:color="auto"/>
        <w:bottom w:val="none" w:sz="0" w:space="0" w:color="auto"/>
        <w:right w:val="none" w:sz="0" w:space="0" w:color="auto"/>
      </w:divBdr>
    </w:div>
    <w:div w:id="49353197">
      <w:bodyDiv w:val="1"/>
      <w:marLeft w:val="0"/>
      <w:marRight w:val="0"/>
      <w:marTop w:val="0"/>
      <w:marBottom w:val="0"/>
      <w:divBdr>
        <w:top w:val="none" w:sz="0" w:space="0" w:color="auto"/>
        <w:left w:val="none" w:sz="0" w:space="0" w:color="auto"/>
        <w:bottom w:val="none" w:sz="0" w:space="0" w:color="auto"/>
        <w:right w:val="none" w:sz="0" w:space="0" w:color="auto"/>
      </w:divBdr>
    </w:div>
    <w:div w:id="64032235">
      <w:bodyDiv w:val="1"/>
      <w:marLeft w:val="0"/>
      <w:marRight w:val="0"/>
      <w:marTop w:val="0"/>
      <w:marBottom w:val="0"/>
      <w:divBdr>
        <w:top w:val="none" w:sz="0" w:space="0" w:color="auto"/>
        <w:left w:val="none" w:sz="0" w:space="0" w:color="auto"/>
        <w:bottom w:val="none" w:sz="0" w:space="0" w:color="auto"/>
        <w:right w:val="none" w:sz="0" w:space="0" w:color="auto"/>
      </w:divBdr>
    </w:div>
    <w:div w:id="78643720">
      <w:bodyDiv w:val="1"/>
      <w:marLeft w:val="0"/>
      <w:marRight w:val="0"/>
      <w:marTop w:val="0"/>
      <w:marBottom w:val="0"/>
      <w:divBdr>
        <w:top w:val="none" w:sz="0" w:space="0" w:color="auto"/>
        <w:left w:val="none" w:sz="0" w:space="0" w:color="auto"/>
        <w:bottom w:val="none" w:sz="0" w:space="0" w:color="auto"/>
        <w:right w:val="none" w:sz="0" w:space="0" w:color="auto"/>
      </w:divBdr>
    </w:div>
    <w:div w:id="94597410">
      <w:bodyDiv w:val="1"/>
      <w:marLeft w:val="0"/>
      <w:marRight w:val="0"/>
      <w:marTop w:val="0"/>
      <w:marBottom w:val="0"/>
      <w:divBdr>
        <w:top w:val="none" w:sz="0" w:space="0" w:color="auto"/>
        <w:left w:val="none" w:sz="0" w:space="0" w:color="auto"/>
        <w:bottom w:val="none" w:sz="0" w:space="0" w:color="auto"/>
        <w:right w:val="none" w:sz="0" w:space="0" w:color="auto"/>
      </w:divBdr>
    </w:div>
    <w:div w:id="113257005">
      <w:bodyDiv w:val="1"/>
      <w:marLeft w:val="0"/>
      <w:marRight w:val="0"/>
      <w:marTop w:val="0"/>
      <w:marBottom w:val="0"/>
      <w:divBdr>
        <w:top w:val="none" w:sz="0" w:space="0" w:color="auto"/>
        <w:left w:val="none" w:sz="0" w:space="0" w:color="auto"/>
        <w:bottom w:val="none" w:sz="0" w:space="0" w:color="auto"/>
        <w:right w:val="none" w:sz="0" w:space="0" w:color="auto"/>
      </w:divBdr>
    </w:div>
    <w:div w:id="121311862">
      <w:bodyDiv w:val="1"/>
      <w:marLeft w:val="0"/>
      <w:marRight w:val="0"/>
      <w:marTop w:val="0"/>
      <w:marBottom w:val="0"/>
      <w:divBdr>
        <w:top w:val="none" w:sz="0" w:space="0" w:color="auto"/>
        <w:left w:val="none" w:sz="0" w:space="0" w:color="auto"/>
        <w:bottom w:val="none" w:sz="0" w:space="0" w:color="auto"/>
        <w:right w:val="none" w:sz="0" w:space="0" w:color="auto"/>
      </w:divBdr>
    </w:div>
    <w:div w:id="168371286">
      <w:bodyDiv w:val="1"/>
      <w:marLeft w:val="0"/>
      <w:marRight w:val="0"/>
      <w:marTop w:val="0"/>
      <w:marBottom w:val="0"/>
      <w:divBdr>
        <w:top w:val="none" w:sz="0" w:space="0" w:color="auto"/>
        <w:left w:val="none" w:sz="0" w:space="0" w:color="auto"/>
        <w:bottom w:val="none" w:sz="0" w:space="0" w:color="auto"/>
        <w:right w:val="none" w:sz="0" w:space="0" w:color="auto"/>
      </w:divBdr>
    </w:div>
    <w:div w:id="169031594">
      <w:bodyDiv w:val="1"/>
      <w:marLeft w:val="0"/>
      <w:marRight w:val="0"/>
      <w:marTop w:val="0"/>
      <w:marBottom w:val="0"/>
      <w:divBdr>
        <w:top w:val="none" w:sz="0" w:space="0" w:color="auto"/>
        <w:left w:val="none" w:sz="0" w:space="0" w:color="auto"/>
        <w:bottom w:val="none" w:sz="0" w:space="0" w:color="auto"/>
        <w:right w:val="none" w:sz="0" w:space="0" w:color="auto"/>
      </w:divBdr>
    </w:div>
    <w:div w:id="194579912">
      <w:bodyDiv w:val="1"/>
      <w:marLeft w:val="0"/>
      <w:marRight w:val="0"/>
      <w:marTop w:val="0"/>
      <w:marBottom w:val="0"/>
      <w:divBdr>
        <w:top w:val="none" w:sz="0" w:space="0" w:color="auto"/>
        <w:left w:val="none" w:sz="0" w:space="0" w:color="auto"/>
        <w:bottom w:val="none" w:sz="0" w:space="0" w:color="auto"/>
        <w:right w:val="none" w:sz="0" w:space="0" w:color="auto"/>
      </w:divBdr>
    </w:div>
    <w:div w:id="203174280">
      <w:bodyDiv w:val="1"/>
      <w:marLeft w:val="0"/>
      <w:marRight w:val="0"/>
      <w:marTop w:val="0"/>
      <w:marBottom w:val="0"/>
      <w:divBdr>
        <w:top w:val="none" w:sz="0" w:space="0" w:color="auto"/>
        <w:left w:val="none" w:sz="0" w:space="0" w:color="auto"/>
        <w:bottom w:val="none" w:sz="0" w:space="0" w:color="auto"/>
        <w:right w:val="none" w:sz="0" w:space="0" w:color="auto"/>
      </w:divBdr>
    </w:div>
    <w:div w:id="205146527">
      <w:bodyDiv w:val="1"/>
      <w:marLeft w:val="0"/>
      <w:marRight w:val="0"/>
      <w:marTop w:val="0"/>
      <w:marBottom w:val="0"/>
      <w:divBdr>
        <w:top w:val="none" w:sz="0" w:space="0" w:color="auto"/>
        <w:left w:val="none" w:sz="0" w:space="0" w:color="auto"/>
        <w:bottom w:val="none" w:sz="0" w:space="0" w:color="auto"/>
        <w:right w:val="none" w:sz="0" w:space="0" w:color="auto"/>
      </w:divBdr>
    </w:div>
    <w:div w:id="219905714">
      <w:bodyDiv w:val="1"/>
      <w:marLeft w:val="0"/>
      <w:marRight w:val="0"/>
      <w:marTop w:val="0"/>
      <w:marBottom w:val="0"/>
      <w:divBdr>
        <w:top w:val="none" w:sz="0" w:space="0" w:color="auto"/>
        <w:left w:val="none" w:sz="0" w:space="0" w:color="auto"/>
        <w:bottom w:val="none" w:sz="0" w:space="0" w:color="auto"/>
        <w:right w:val="none" w:sz="0" w:space="0" w:color="auto"/>
      </w:divBdr>
    </w:div>
    <w:div w:id="227885905">
      <w:bodyDiv w:val="1"/>
      <w:marLeft w:val="0"/>
      <w:marRight w:val="0"/>
      <w:marTop w:val="0"/>
      <w:marBottom w:val="0"/>
      <w:divBdr>
        <w:top w:val="none" w:sz="0" w:space="0" w:color="auto"/>
        <w:left w:val="none" w:sz="0" w:space="0" w:color="auto"/>
        <w:bottom w:val="none" w:sz="0" w:space="0" w:color="auto"/>
        <w:right w:val="none" w:sz="0" w:space="0" w:color="auto"/>
      </w:divBdr>
      <w:divsChild>
        <w:div w:id="1401828573">
          <w:marLeft w:val="0"/>
          <w:marRight w:val="0"/>
          <w:marTop w:val="0"/>
          <w:marBottom w:val="0"/>
          <w:divBdr>
            <w:top w:val="none" w:sz="0" w:space="0" w:color="auto"/>
            <w:left w:val="none" w:sz="0" w:space="0" w:color="auto"/>
            <w:bottom w:val="none" w:sz="0" w:space="0" w:color="auto"/>
            <w:right w:val="none" w:sz="0" w:space="0" w:color="auto"/>
          </w:divBdr>
        </w:div>
      </w:divsChild>
    </w:div>
    <w:div w:id="273170164">
      <w:bodyDiv w:val="1"/>
      <w:marLeft w:val="0"/>
      <w:marRight w:val="0"/>
      <w:marTop w:val="0"/>
      <w:marBottom w:val="0"/>
      <w:divBdr>
        <w:top w:val="none" w:sz="0" w:space="0" w:color="auto"/>
        <w:left w:val="none" w:sz="0" w:space="0" w:color="auto"/>
        <w:bottom w:val="none" w:sz="0" w:space="0" w:color="auto"/>
        <w:right w:val="none" w:sz="0" w:space="0" w:color="auto"/>
      </w:divBdr>
    </w:div>
    <w:div w:id="288824447">
      <w:bodyDiv w:val="1"/>
      <w:marLeft w:val="0"/>
      <w:marRight w:val="0"/>
      <w:marTop w:val="0"/>
      <w:marBottom w:val="0"/>
      <w:divBdr>
        <w:top w:val="none" w:sz="0" w:space="0" w:color="auto"/>
        <w:left w:val="none" w:sz="0" w:space="0" w:color="auto"/>
        <w:bottom w:val="none" w:sz="0" w:space="0" w:color="auto"/>
        <w:right w:val="none" w:sz="0" w:space="0" w:color="auto"/>
      </w:divBdr>
    </w:div>
    <w:div w:id="294066803">
      <w:bodyDiv w:val="1"/>
      <w:marLeft w:val="0"/>
      <w:marRight w:val="0"/>
      <w:marTop w:val="0"/>
      <w:marBottom w:val="0"/>
      <w:divBdr>
        <w:top w:val="none" w:sz="0" w:space="0" w:color="auto"/>
        <w:left w:val="none" w:sz="0" w:space="0" w:color="auto"/>
        <w:bottom w:val="none" w:sz="0" w:space="0" w:color="auto"/>
        <w:right w:val="none" w:sz="0" w:space="0" w:color="auto"/>
      </w:divBdr>
    </w:div>
    <w:div w:id="342247919">
      <w:bodyDiv w:val="1"/>
      <w:marLeft w:val="0"/>
      <w:marRight w:val="0"/>
      <w:marTop w:val="0"/>
      <w:marBottom w:val="0"/>
      <w:divBdr>
        <w:top w:val="none" w:sz="0" w:space="0" w:color="auto"/>
        <w:left w:val="none" w:sz="0" w:space="0" w:color="auto"/>
        <w:bottom w:val="none" w:sz="0" w:space="0" w:color="auto"/>
        <w:right w:val="none" w:sz="0" w:space="0" w:color="auto"/>
      </w:divBdr>
    </w:div>
    <w:div w:id="354620067">
      <w:bodyDiv w:val="1"/>
      <w:marLeft w:val="0"/>
      <w:marRight w:val="0"/>
      <w:marTop w:val="0"/>
      <w:marBottom w:val="0"/>
      <w:divBdr>
        <w:top w:val="none" w:sz="0" w:space="0" w:color="auto"/>
        <w:left w:val="none" w:sz="0" w:space="0" w:color="auto"/>
        <w:bottom w:val="none" w:sz="0" w:space="0" w:color="auto"/>
        <w:right w:val="none" w:sz="0" w:space="0" w:color="auto"/>
      </w:divBdr>
      <w:divsChild>
        <w:div w:id="252208739">
          <w:marLeft w:val="0"/>
          <w:marRight w:val="0"/>
          <w:marTop w:val="0"/>
          <w:marBottom w:val="0"/>
          <w:divBdr>
            <w:top w:val="none" w:sz="0" w:space="0" w:color="auto"/>
            <w:left w:val="none" w:sz="0" w:space="0" w:color="auto"/>
            <w:bottom w:val="none" w:sz="0" w:space="0" w:color="auto"/>
            <w:right w:val="none" w:sz="0" w:space="0" w:color="auto"/>
          </w:divBdr>
          <w:divsChild>
            <w:div w:id="98187655">
              <w:marLeft w:val="0"/>
              <w:marRight w:val="0"/>
              <w:marTop w:val="0"/>
              <w:marBottom w:val="0"/>
              <w:divBdr>
                <w:top w:val="none" w:sz="0" w:space="0" w:color="auto"/>
                <w:left w:val="none" w:sz="0" w:space="0" w:color="auto"/>
                <w:bottom w:val="none" w:sz="0" w:space="0" w:color="auto"/>
                <w:right w:val="none" w:sz="0" w:space="0" w:color="auto"/>
              </w:divBdr>
            </w:div>
          </w:divsChild>
        </w:div>
        <w:div w:id="1191459010">
          <w:marLeft w:val="-225"/>
          <w:marRight w:val="-225"/>
          <w:marTop w:val="0"/>
          <w:marBottom w:val="0"/>
          <w:divBdr>
            <w:top w:val="none" w:sz="0" w:space="0" w:color="auto"/>
            <w:left w:val="none" w:sz="0" w:space="0" w:color="auto"/>
            <w:bottom w:val="none" w:sz="0" w:space="0" w:color="auto"/>
            <w:right w:val="none" w:sz="0" w:space="0" w:color="auto"/>
          </w:divBdr>
          <w:divsChild>
            <w:div w:id="2029987104">
              <w:marLeft w:val="0"/>
              <w:marRight w:val="0"/>
              <w:marTop w:val="0"/>
              <w:marBottom w:val="0"/>
              <w:divBdr>
                <w:top w:val="none" w:sz="0" w:space="0" w:color="auto"/>
                <w:left w:val="none" w:sz="0" w:space="0" w:color="auto"/>
                <w:bottom w:val="none" w:sz="0" w:space="0" w:color="auto"/>
                <w:right w:val="none" w:sz="0" w:space="0" w:color="auto"/>
              </w:divBdr>
              <w:divsChild>
                <w:div w:id="603197721">
                  <w:marLeft w:val="0"/>
                  <w:marRight w:val="0"/>
                  <w:marTop w:val="0"/>
                  <w:marBottom w:val="0"/>
                  <w:divBdr>
                    <w:top w:val="none" w:sz="0" w:space="0" w:color="auto"/>
                    <w:left w:val="none" w:sz="0" w:space="0" w:color="auto"/>
                    <w:bottom w:val="none" w:sz="0" w:space="0" w:color="auto"/>
                    <w:right w:val="none" w:sz="0" w:space="0" w:color="auto"/>
                  </w:divBdr>
                  <w:divsChild>
                    <w:div w:id="602029471">
                      <w:marLeft w:val="-225"/>
                      <w:marRight w:val="-225"/>
                      <w:marTop w:val="0"/>
                      <w:marBottom w:val="0"/>
                      <w:divBdr>
                        <w:top w:val="none" w:sz="0" w:space="0" w:color="auto"/>
                        <w:left w:val="none" w:sz="0" w:space="0" w:color="auto"/>
                        <w:bottom w:val="none" w:sz="0" w:space="0" w:color="auto"/>
                        <w:right w:val="none" w:sz="0" w:space="0" w:color="auto"/>
                      </w:divBdr>
                      <w:divsChild>
                        <w:div w:id="1534735184">
                          <w:marLeft w:val="0"/>
                          <w:marRight w:val="0"/>
                          <w:marTop w:val="0"/>
                          <w:marBottom w:val="0"/>
                          <w:divBdr>
                            <w:top w:val="none" w:sz="0" w:space="0" w:color="auto"/>
                            <w:left w:val="none" w:sz="0" w:space="0" w:color="auto"/>
                            <w:bottom w:val="none" w:sz="0" w:space="0" w:color="auto"/>
                            <w:right w:val="none" w:sz="0" w:space="0" w:color="auto"/>
                          </w:divBdr>
                          <w:divsChild>
                            <w:div w:id="984236358">
                              <w:marLeft w:val="-225"/>
                              <w:marRight w:val="-225"/>
                              <w:marTop w:val="0"/>
                              <w:marBottom w:val="0"/>
                              <w:divBdr>
                                <w:top w:val="none" w:sz="0" w:space="0" w:color="auto"/>
                                <w:left w:val="none" w:sz="0" w:space="0" w:color="auto"/>
                                <w:bottom w:val="none" w:sz="0" w:space="0" w:color="auto"/>
                                <w:right w:val="none" w:sz="0" w:space="0" w:color="auto"/>
                              </w:divBdr>
                              <w:divsChild>
                                <w:div w:id="1563638563">
                                  <w:marLeft w:val="0"/>
                                  <w:marRight w:val="0"/>
                                  <w:marTop w:val="0"/>
                                  <w:marBottom w:val="0"/>
                                  <w:divBdr>
                                    <w:top w:val="none" w:sz="0" w:space="0" w:color="auto"/>
                                    <w:left w:val="none" w:sz="0" w:space="0" w:color="auto"/>
                                    <w:bottom w:val="none" w:sz="0" w:space="0" w:color="auto"/>
                                    <w:right w:val="none" w:sz="0" w:space="0" w:color="auto"/>
                                  </w:divBdr>
                                  <w:divsChild>
                                    <w:div w:id="373165106">
                                      <w:marLeft w:val="0"/>
                                      <w:marRight w:val="0"/>
                                      <w:marTop w:val="0"/>
                                      <w:marBottom w:val="0"/>
                                      <w:divBdr>
                                        <w:top w:val="none" w:sz="0" w:space="0" w:color="auto"/>
                                        <w:left w:val="none" w:sz="0" w:space="0" w:color="auto"/>
                                        <w:bottom w:val="none" w:sz="0" w:space="0" w:color="auto"/>
                                        <w:right w:val="none" w:sz="0" w:space="0" w:color="auto"/>
                                      </w:divBdr>
                                      <w:divsChild>
                                        <w:div w:id="176118897">
                                          <w:marLeft w:val="0"/>
                                          <w:marRight w:val="180"/>
                                          <w:marTop w:val="90"/>
                                          <w:marBottom w:val="90"/>
                                          <w:divBdr>
                                            <w:top w:val="single" w:sz="12" w:space="0" w:color="00205C"/>
                                            <w:left w:val="single" w:sz="12" w:space="0" w:color="00205C"/>
                                            <w:bottom w:val="single" w:sz="12" w:space="0" w:color="00205C"/>
                                            <w:right w:val="single" w:sz="12" w:space="0" w:color="00205C"/>
                                          </w:divBdr>
                                        </w:div>
                                        <w:div w:id="234778707">
                                          <w:marLeft w:val="0"/>
                                          <w:marRight w:val="180"/>
                                          <w:marTop w:val="90"/>
                                          <w:marBottom w:val="90"/>
                                          <w:divBdr>
                                            <w:top w:val="single" w:sz="12" w:space="0" w:color="00205C"/>
                                            <w:left w:val="single" w:sz="12" w:space="0" w:color="00205C"/>
                                            <w:bottom w:val="single" w:sz="12" w:space="0" w:color="00205C"/>
                                            <w:right w:val="single" w:sz="12" w:space="0" w:color="00205C"/>
                                          </w:divBdr>
                                        </w:div>
                                        <w:div w:id="292097729">
                                          <w:marLeft w:val="0"/>
                                          <w:marRight w:val="180"/>
                                          <w:marTop w:val="90"/>
                                          <w:marBottom w:val="90"/>
                                          <w:divBdr>
                                            <w:top w:val="single" w:sz="12" w:space="0" w:color="00205C"/>
                                            <w:left w:val="single" w:sz="12" w:space="0" w:color="00205C"/>
                                            <w:bottom w:val="single" w:sz="12" w:space="0" w:color="00205C"/>
                                            <w:right w:val="single" w:sz="12" w:space="0" w:color="00205C"/>
                                          </w:divBdr>
                                        </w:div>
                                        <w:div w:id="479230264">
                                          <w:marLeft w:val="0"/>
                                          <w:marRight w:val="180"/>
                                          <w:marTop w:val="90"/>
                                          <w:marBottom w:val="90"/>
                                          <w:divBdr>
                                            <w:top w:val="single" w:sz="12" w:space="0" w:color="00205C"/>
                                            <w:left w:val="single" w:sz="12" w:space="0" w:color="00205C"/>
                                            <w:bottom w:val="single" w:sz="12" w:space="0" w:color="00205C"/>
                                            <w:right w:val="single" w:sz="12" w:space="0" w:color="00205C"/>
                                          </w:divBdr>
                                        </w:div>
                                        <w:div w:id="1402220154">
                                          <w:marLeft w:val="0"/>
                                          <w:marRight w:val="180"/>
                                          <w:marTop w:val="90"/>
                                          <w:marBottom w:val="90"/>
                                          <w:divBdr>
                                            <w:top w:val="single" w:sz="12" w:space="0" w:color="00205C"/>
                                            <w:left w:val="single" w:sz="12" w:space="0" w:color="00205C"/>
                                            <w:bottom w:val="single" w:sz="12" w:space="0" w:color="00205C"/>
                                            <w:right w:val="single" w:sz="12" w:space="0" w:color="00205C"/>
                                          </w:divBdr>
                                        </w:div>
                                      </w:divsChild>
                                    </w:div>
                                  </w:divsChild>
                                </w:div>
                                <w:div w:id="1835025673">
                                  <w:marLeft w:val="0"/>
                                  <w:marRight w:val="0"/>
                                  <w:marTop w:val="0"/>
                                  <w:marBottom w:val="0"/>
                                  <w:divBdr>
                                    <w:top w:val="none" w:sz="0" w:space="0" w:color="auto"/>
                                    <w:left w:val="none" w:sz="0" w:space="0" w:color="auto"/>
                                    <w:bottom w:val="none" w:sz="0" w:space="0" w:color="auto"/>
                                    <w:right w:val="none" w:sz="0" w:space="0" w:color="auto"/>
                                  </w:divBdr>
                                  <w:divsChild>
                                    <w:div w:id="69544108">
                                      <w:marLeft w:val="0"/>
                                      <w:marRight w:val="0"/>
                                      <w:marTop w:val="0"/>
                                      <w:marBottom w:val="0"/>
                                      <w:divBdr>
                                        <w:top w:val="none" w:sz="0" w:space="0" w:color="auto"/>
                                        <w:left w:val="none" w:sz="0" w:space="0" w:color="auto"/>
                                        <w:bottom w:val="single" w:sz="12" w:space="4" w:color="F5F5F5"/>
                                        <w:right w:val="none" w:sz="0" w:space="0" w:color="auto"/>
                                      </w:divBdr>
                                      <w:divsChild>
                                        <w:div w:id="64303594">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2051413740">
                              <w:marLeft w:val="-225"/>
                              <w:marRight w:val="-225"/>
                              <w:marTop w:val="0"/>
                              <w:marBottom w:val="0"/>
                              <w:divBdr>
                                <w:top w:val="none" w:sz="0" w:space="0" w:color="auto"/>
                                <w:left w:val="none" w:sz="0" w:space="0" w:color="auto"/>
                                <w:bottom w:val="none" w:sz="0" w:space="0" w:color="auto"/>
                                <w:right w:val="none" w:sz="0" w:space="0" w:color="auto"/>
                              </w:divBdr>
                              <w:divsChild>
                                <w:div w:id="956444775">
                                  <w:marLeft w:val="0"/>
                                  <w:marRight w:val="0"/>
                                  <w:marTop w:val="0"/>
                                  <w:marBottom w:val="0"/>
                                  <w:divBdr>
                                    <w:top w:val="none" w:sz="0" w:space="0" w:color="auto"/>
                                    <w:left w:val="none" w:sz="0" w:space="0" w:color="auto"/>
                                    <w:bottom w:val="none" w:sz="0" w:space="0" w:color="auto"/>
                                    <w:right w:val="none" w:sz="0" w:space="0" w:color="auto"/>
                                  </w:divBdr>
                                  <w:divsChild>
                                    <w:div w:id="239678536">
                                      <w:marLeft w:val="0"/>
                                      <w:marRight w:val="0"/>
                                      <w:marTop w:val="0"/>
                                      <w:marBottom w:val="600"/>
                                      <w:divBdr>
                                        <w:top w:val="none" w:sz="0" w:space="0" w:color="auto"/>
                                        <w:left w:val="none" w:sz="0" w:space="0" w:color="auto"/>
                                        <w:bottom w:val="none" w:sz="0" w:space="0" w:color="auto"/>
                                        <w:right w:val="none" w:sz="0" w:space="0" w:color="auto"/>
                                      </w:divBdr>
                                      <w:divsChild>
                                        <w:div w:id="24186217">
                                          <w:marLeft w:val="0"/>
                                          <w:marRight w:val="0"/>
                                          <w:marTop w:val="0"/>
                                          <w:marBottom w:val="0"/>
                                          <w:divBdr>
                                            <w:top w:val="none" w:sz="0" w:space="0" w:color="auto"/>
                                            <w:left w:val="none" w:sz="0" w:space="0" w:color="auto"/>
                                            <w:bottom w:val="none" w:sz="0" w:space="0" w:color="auto"/>
                                            <w:right w:val="none" w:sz="0" w:space="0" w:color="auto"/>
                                          </w:divBdr>
                                        </w:div>
                                        <w:div w:id="306782703">
                                          <w:marLeft w:val="0"/>
                                          <w:marRight w:val="0"/>
                                          <w:marTop w:val="0"/>
                                          <w:marBottom w:val="0"/>
                                          <w:divBdr>
                                            <w:top w:val="none" w:sz="0" w:space="0" w:color="auto"/>
                                            <w:left w:val="none" w:sz="0" w:space="0" w:color="auto"/>
                                            <w:bottom w:val="none" w:sz="0" w:space="0" w:color="auto"/>
                                            <w:right w:val="none" w:sz="0" w:space="0" w:color="auto"/>
                                          </w:divBdr>
                                        </w:div>
                                        <w:div w:id="826630898">
                                          <w:marLeft w:val="0"/>
                                          <w:marRight w:val="0"/>
                                          <w:marTop w:val="0"/>
                                          <w:marBottom w:val="0"/>
                                          <w:divBdr>
                                            <w:top w:val="none" w:sz="0" w:space="0" w:color="auto"/>
                                            <w:left w:val="none" w:sz="0" w:space="0" w:color="auto"/>
                                            <w:bottom w:val="none" w:sz="0" w:space="0" w:color="auto"/>
                                            <w:right w:val="none" w:sz="0" w:space="0" w:color="auto"/>
                                          </w:divBdr>
                                        </w:div>
                                        <w:div w:id="2028673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05370962">
          <w:marLeft w:val="0"/>
          <w:marRight w:val="0"/>
          <w:marTop w:val="0"/>
          <w:marBottom w:val="0"/>
          <w:divBdr>
            <w:top w:val="none" w:sz="0" w:space="0" w:color="auto"/>
            <w:left w:val="none" w:sz="0" w:space="0" w:color="auto"/>
            <w:bottom w:val="none" w:sz="0" w:space="0" w:color="auto"/>
            <w:right w:val="none" w:sz="0" w:space="0" w:color="auto"/>
          </w:divBdr>
          <w:divsChild>
            <w:div w:id="328559667">
              <w:marLeft w:val="0"/>
              <w:marRight w:val="0"/>
              <w:marTop w:val="0"/>
              <w:marBottom w:val="0"/>
              <w:divBdr>
                <w:top w:val="none" w:sz="0" w:space="0" w:color="auto"/>
                <w:left w:val="none" w:sz="0" w:space="0" w:color="auto"/>
                <w:bottom w:val="none" w:sz="0" w:space="0" w:color="auto"/>
                <w:right w:val="none" w:sz="0" w:space="0" w:color="auto"/>
              </w:divBdr>
              <w:divsChild>
                <w:div w:id="904878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1507745">
      <w:bodyDiv w:val="1"/>
      <w:marLeft w:val="0"/>
      <w:marRight w:val="0"/>
      <w:marTop w:val="0"/>
      <w:marBottom w:val="0"/>
      <w:divBdr>
        <w:top w:val="none" w:sz="0" w:space="0" w:color="auto"/>
        <w:left w:val="none" w:sz="0" w:space="0" w:color="auto"/>
        <w:bottom w:val="none" w:sz="0" w:space="0" w:color="auto"/>
        <w:right w:val="none" w:sz="0" w:space="0" w:color="auto"/>
      </w:divBdr>
    </w:div>
    <w:div w:id="470295360">
      <w:bodyDiv w:val="1"/>
      <w:marLeft w:val="0"/>
      <w:marRight w:val="0"/>
      <w:marTop w:val="0"/>
      <w:marBottom w:val="0"/>
      <w:divBdr>
        <w:top w:val="none" w:sz="0" w:space="0" w:color="auto"/>
        <w:left w:val="none" w:sz="0" w:space="0" w:color="auto"/>
        <w:bottom w:val="none" w:sz="0" w:space="0" w:color="auto"/>
        <w:right w:val="none" w:sz="0" w:space="0" w:color="auto"/>
      </w:divBdr>
      <w:divsChild>
        <w:div w:id="839659994">
          <w:marLeft w:val="0"/>
          <w:marRight w:val="0"/>
          <w:marTop w:val="0"/>
          <w:marBottom w:val="0"/>
          <w:divBdr>
            <w:top w:val="none" w:sz="0" w:space="0" w:color="auto"/>
            <w:left w:val="none" w:sz="0" w:space="0" w:color="auto"/>
            <w:bottom w:val="none" w:sz="0" w:space="0" w:color="auto"/>
            <w:right w:val="none" w:sz="0" w:space="0" w:color="auto"/>
          </w:divBdr>
        </w:div>
      </w:divsChild>
    </w:div>
    <w:div w:id="470951065">
      <w:bodyDiv w:val="1"/>
      <w:marLeft w:val="0"/>
      <w:marRight w:val="0"/>
      <w:marTop w:val="0"/>
      <w:marBottom w:val="0"/>
      <w:divBdr>
        <w:top w:val="none" w:sz="0" w:space="0" w:color="auto"/>
        <w:left w:val="none" w:sz="0" w:space="0" w:color="auto"/>
        <w:bottom w:val="none" w:sz="0" w:space="0" w:color="auto"/>
        <w:right w:val="none" w:sz="0" w:space="0" w:color="auto"/>
      </w:divBdr>
    </w:div>
    <w:div w:id="485511552">
      <w:bodyDiv w:val="1"/>
      <w:marLeft w:val="0"/>
      <w:marRight w:val="0"/>
      <w:marTop w:val="0"/>
      <w:marBottom w:val="0"/>
      <w:divBdr>
        <w:top w:val="none" w:sz="0" w:space="0" w:color="auto"/>
        <w:left w:val="none" w:sz="0" w:space="0" w:color="auto"/>
        <w:bottom w:val="none" w:sz="0" w:space="0" w:color="auto"/>
        <w:right w:val="none" w:sz="0" w:space="0" w:color="auto"/>
      </w:divBdr>
    </w:div>
    <w:div w:id="488324489">
      <w:bodyDiv w:val="1"/>
      <w:marLeft w:val="0"/>
      <w:marRight w:val="0"/>
      <w:marTop w:val="0"/>
      <w:marBottom w:val="0"/>
      <w:divBdr>
        <w:top w:val="none" w:sz="0" w:space="0" w:color="auto"/>
        <w:left w:val="none" w:sz="0" w:space="0" w:color="auto"/>
        <w:bottom w:val="none" w:sz="0" w:space="0" w:color="auto"/>
        <w:right w:val="none" w:sz="0" w:space="0" w:color="auto"/>
      </w:divBdr>
    </w:div>
    <w:div w:id="490217999">
      <w:bodyDiv w:val="1"/>
      <w:marLeft w:val="0"/>
      <w:marRight w:val="0"/>
      <w:marTop w:val="0"/>
      <w:marBottom w:val="0"/>
      <w:divBdr>
        <w:top w:val="none" w:sz="0" w:space="0" w:color="auto"/>
        <w:left w:val="none" w:sz="0" w:space="0" w:color="auto"/>
        <w:bottom w:val="none" w:sz="0" w:space="0" w:color="auto"/>
        <w:right w:val="none" w:sz="0" w:space="0" w:color="auto"/>
      </w:divBdr>
    </w:div>
    <w:div w:id="503668040">
      <w:bodyDiv w:val="1"/>
      <w:marLeft w:val="0"/>
      <w:marRight w:val="0"/>
      <w:marTop w:val="0"/>
      <w:marBottom w:val="0"/>
      <w:divBdr>
        <w:top w:val="none" w:sz="0" w:space="0" w:color="auto"/>
        <w:left w:val="none" w:sz="0" w:space="0" w:color="auto"/>
        <w:bottom w:val="none" w:sz="0" w:space="0" w:color="auto"/>
        <w:right w:val="none" w:sz="0" w:space="0" w:color="auto"/>
      </w:divBdr>
    </w:div>
    <w:div w:id="516777340">
      <w:bodyDiv w:val="1"/>
      <w:marLeft w:val="0"/>
      <w:marRight w:val="0"/>
      <w:marTop w:val="0"/>
      <w:marBottom w:val="0"/>
      <w:divBdr>
        <w:top w:val="none" w:sz="0" w:space="0" w:color="auto"/>
        <w:left w:val="none" w:sz="0" w:space="0" w:color="auto"/>
        <w:bottom w:val="none" w:sz="0" w:space="0" w:color="auto"/>
        <w:right w:val="none" w:sz="0" w:space="0" w:color="auto"/>
      </w:divBdr>
    </w:div>
    <w:div w:id="619385025">
      <w:bodyDiv w:val="1"/>
      <w:marLeft w:val="0"/>
      <w:marRight w:val="0"/>
      <w:marTop w:val="0"/>
      <w:marBottom w:val="0"/>
      <w:divBdr>
        <w:top w:val="none" w:sz="0" w:space="0" w:color="auto"/>
        <w:left w:val="none" w:sz="0" w:space="0" w:color="auto"/>
        <w:bottom w:val="none" w:sz="0" w:space="0" w:color="auto"/>
        <w:right w:val="none" w:sz="0" w:space="0" w:color="auto"/>
      </w:divBdr>
    </w:div>
    <w:div w:id="650907384">
      <w:bodyDiv w:val="1"/>
      <w:marLeft w:val="0"/>
      <w:marRight w:val="0"/>
      <w:marTop w:val="0"/>
      <w:marBottom w:val="0"/>
      <w:divBdr>
        <w:top w:val="none" w:sz="0" w:space="0" w:color="auto"/>
        <w:left w:val="none" w:sz="0" w:space="0" w:color="auto"/>
        <w:bottom w:val="none" w:sz="0" w:space="0" w:color="auto"/>
        <w:right w:val="none" w:sz="0" w:space="0" w:color="auto"/>
      </w:divBdr>
    </w:div>
    <w:div w:id="656958250">
      <w:bodyDiv w:val="1"/>
      <w:marLeft w:val="0"/>
      <w:marRight w:val="0"/>
      <w:marTop w:val="0"/>
      <w:marBottom w:val="0"/>
      <w:divBdr>
        <w:top w:val="none" w:sz="0" w:space="0" w:color="auto"/>
        <w:left w:val="none" w:sz="0" w:space="0" w:color="auto"/>
        <w:bottom w:val="none" w:sz="0" w:space="0" w:color="auto"/>
        <w:right w:val="none" w:sz="0" w:space="0" w:color="auto"/>
      </w:divBdr>
    </w:div>
    <w:div w:id="661470701">
      <w:bodyDiv w:val="1"/>
      <w:marLeft w:val="0"/>
      <w:marRight w:val="0"/>
      <w:marTop w:val="0"/>
      <w:marBottom w:val="0"/>
      <w:divBdr>
        <w:top w:val="none" w:sz="0" w:space="0" w:color="auto"/>
        <w:left w:val="none" w:sz="0" w:space="0" w:color="auto"/>
        <w:bottom w:val="none" w:sz="0" w:space="0" w:color="auto"/>
        <w:right w:val="none" w:sz="0" w:space="0" w:color="auto"/>
      </w:divBdr>
    </w:div>
    <w:div w:id="683946353">
      <w:bodyDiv w:val="1"/>
      <w:marLeft w:val="0"/>
      <w:marRight w:val="0"/>
      <w:marTop w:val="0"/>
      <w:marBottom w:val="0"/>
      <w:divBdr>
        <w:top w:val="none" w:sz="0" w:space="0" w:color="auto"/>
        <w:left w:val="none" w:sz="0" w:space="0" w:color="auto"/>
        <w:bottom w:val="none" w:sz="0" w:space="0" w:color="auto"/>
        <w:right w:val="none" w:sz="0" w:space="0" w:color="auto"/>
      </w:divBdr>
    </w:div>
    <w:div w:id="724640968">
      <w:bodyDiv w:val="1"/>
      <w:marLeft w:val="0"/>
      <w:marRight w:val="0"/>
      <w:marTop w:val="0"/>
      <w:marBottom w:val="0"/>
      <w:divBdr>
        <w:top w:val="none" w:sz="0" w:space="0" w:color="auto"/>
        <w:left w:val="none" w:sz="0" w:space="0" w:color="auto"/>
        <w:bottom w:val="none" w:sz="0" w:space="0" w:color="auto"/>
        <w:right w:val="none" w:sz="0" w:space="0" w:color="auto"/>
      </w:divBdr>
    </w:div>
    <w:div w:id="737556862">
      <w:bodyDiv w:val="1"/>
      <w:marLeft w:val="0"/>
      <w:marRight w:val="0"/>
      <w:marTop w:val="0"/>
      <w:marBottom w:val="0"/>
      <w:divBdr>
        <w:top w:val="none" w:sz="0" w:space="0" w:color="auto"/>
        <w:left w:val="none" w:sz="0" w:space="0" w:color="auto"/>
        <w:bottom w:val="none" w:sz="0" w:space="0" w:color="auto"/>
        <w:right w:val="none" w:sz="0" w:space="0" w:color="auto"/>
      </w:divBdr>
    </w:div>
    <w:div w:id="777870963">
      <w:bodyDiv w:val="1"/>
      <w:marLeft w:val="0"/>
      <w:marRight w:val="0"/>
      <w:marTop w:val="0"/>
      <w:marBottom w:val="0"/>
      <w:divBdr>
        <w:top w:val="none" w:sz="0" w:space="0" w:color="auto"/>
        <w:left w:val="none" w:sz="0" w:space="0" w:color="auto"/>
        <w:bottom w:val="none" w:sz="0" w:space="0" w:color="auto"/>
        <w:right w:val="none" w:sz="0" w:space="0" w:color="auto"/>
      </w:divBdr>
    </w:div>
    <w:div w:id="789856825">
      <w:bodyDiv w:val="1"/>
      <w:marLeft w:val="0"/>
      <w:marRight w:val="0"/>
      <w:marTop w:val="0"/>
      <w:marBottom w:val="0"/>
      <w:divBdr>
        <w:top w:val="none" w:sz="0" w:space="0" w:color="auto"/>
        <w:left w:val="none" w:sz="0" w:space="0" w:color="auto"/>
        <w:bottom w:val="none" w:sz="0" w:space="0" w:color="auto"/>
        <w:right w:val="none" w:sz="0" w:space="0" w:color="auto"/>
      </w:divBdr>
    </w:div>
    <w:div w:id="809593022">
      <w:bodyDiv w:val="1"/>
      <w:marLeft w:val="0"/>
      <w:marRight w:val="0"/>
      <w:marTop w:val="0"/>
      <w:marBottom w:val="0"/>
      <w:divBdr>
        <w:top w:val="none" w:sz="0" w:space="0" w:color="auto"/>
        <w:left w:val="none" w:sz="0" w:space="0" w:color="auto"/>
        <w:bottom w:val="none" w:sz="0" w:space="0" w:color="auto"/>
        <w:right w:val="none" w:sz="0" w:space="0" w:color="auto"/>
      </w:divBdr>
    </w:div>
    <w:div w:id="842012473">
      <w:bodyDiv w:val="1"/>
      <w:marLeft w:val="0"/>
      <w:marRight w:val="0"/>
      <w:marTop w:val="0"/>
      <w:marBottom w:val="0"/>
      <w:divBdr>
        <w:top w:val="none" w:sz="0" w:space="0" w:color="auto"/>
        <w:left w:val="none" w:sz="0" w:space="0" w:color="auto"/>
        <w:bottom w:val="none" w:sz="0" w:space="0" w:color="auto"/>
        <w:right w:val="none" w:sz="0" w:space="0" w:color="auto"/>
      </w:divBdr>
    </w:div>
    <w:div w:id="896278278">
      <w:bodyDiv w:val="1"/>
      <w:marLeft w:val="0"/>
      <w:marRight w:val="0"/>
      <w:marTop w:val="0"/>
      <w:marBottom w:val="0"/>
      <w:divBdr>
        <w:top w:val="none" w:sz="0" w:space="0" w:color="auto"/>
        <w:left w:val="none" w:sz="0" w:space="0" w:color="auto"/>
        <w:bottom w:val="none" w:sz="0" w:space="0" w:color="auto"/>
        <w:right w:val="none" w:sz="0" w:space="0" w:color="auto"/>
      </w:divBdr>
    </w:div>
    <w:div w:id="940843846">
      <w:bodyDiv w:val="1"/>
      <w:marLeft w:val="0"/>
      <w:marRight w:val="0"/>
      <w:marTop w:val="0"/>
      <w:marBottom w:val="0"/>
      <w:divBdr>
        <w:top w:val="none" w:sz="0" w:space="0" w:color="auto"/>
        <w:left w:val="none" w:sz="0" w:space="0" w:color="auto"/>
        <w:bottom w:val="none" w:sz="0" w:space="0" w:color="auto"/>
        <w:right w:val="none" w:sz="0" w:space="0" w:color="auto"/>
      </w:divBdr>
    </w:div>
    <w:div w:id="955257795">
      <w:bodyDiv w:val="1"/>
      <w:marLeft w:val="0"/>
      <w:marRight w:val="0"/>
      <w:marTop w:val="0"/>
      <w:marBottom w:val="0"/>
      <w:divBdr>
        <w:top w:val="none" w:sz="0" w:space="0" w:color="auto"/>
        <w:left w:val="none" w:sz="0" w:space="0" w:color="auto"/>
        <w:bottom w:val="none" w:sz="0" w:space="0" w:color="auto"/>
        <w:right w:val="none" w:sz="0" w:space="0" w:color="auto"/>
      </w:divBdr>
    </w:div>
    <w:div w:id="1053239303">
      <w:bodyDiv w:val="1"/>
      <w:marLeft w:val="0"/>
      <w:marRight w:val="0"/>
      <w:marTop w:val="0"/>
      <w:marBottom w:val="0"/>
      <w:divBdr>
        <w:top w:val="none" w:sz="0" w:space="0" w:color="auto"/>
        <w:left w:val="none" w:sz="0" w:space="0" w:color="auto"/>
        <w:bottom w:val="none" w:sz="0" w:space="0" w:color="auto"/>
        <w:right w:val="none" w:sz="0" w:space="0" w:color="auto"/>
      </w:divBdr>
    </w:div>
    <w:div w:id="1057165922">
      <w:bodyDiv w:val="1"/>
      <w:marLeft w:val="0"/>
      <w:marRight w:val="0"/>
      <w:marTop w:val="0"/>
      <w:marBottom w:val="0"/>
      <w:divBdr>
        <w:top w:val="none" w:sz="0" w:space="0" w:color="auto"/>
        <w:left w:val="none" w:sz="0" w:space="0" w:color="auto"/>
        <w:bottom w:val="none" w:sz="0" w:space="0" w:color="auto"/>
        <w:right w:val="none" w:sz="0" w:space="0" w:color="auto"/>
      </w:divBdr>
    </w:div>
    <w:div w:id="1067993711">
      <w:bodyDiv w:val="1"/>
      <w:marLeft w:val="0"/>
      <w:marRight w:val="0"/>
      <w:marTop w:val="0"/>
      <w:marBottom w:val="0"/>
      <w:divBdr>
        <w:top w:val="none" w:sz="0" w:space="0" w:color="auto"/>
        <w:left w:val="none" w:sz="0" w:space="0" w:color="auto"/>
        <w:bottom w:val="none" w:sz="0" w:space="0" w:color="auto"/>
        <w:right w:val="none" w:sz="0" w:space="0" w:color="auto"/>
      </w:divBdr>
    </w:div>
    <w:div w:id="1079398899">
      <w:bodyDiv w:val="1"/>
      <w:marLeft w:val="0"/>
      <w:marRight w:val="0"/>
      <w:marTop w:val="0"/>
      <w:marBottom w:val="0"/>
      <w:divBdr>
        <w:top w:val="none" w:sz="0" w:space="0" w:color="auto"/>
        <w:left w:val="none" w:sz="0" w:space="0" w:color="auto"/>
        <w:bottom w:val="none" w:sz="0" w:space="0" w:color="auto"/>
        <w:right w:val="none" w:sz="0" w:space="0" w:color="auto"/>
      </w:divBdr>
    </w:div>
    <w:div w:id="1107504615">
      <w:bodyDiv w:val="1"/>
      <w:marLeft w:val="0"/>
      <w:marRight w:val="0"/>
      <w:marTop w:val="0"/>
      <w:marBottom w:val="0"/>
      <w:divBdr>
        <w:top w:val="none" w:sz="0" w:space="0" w:color="auto"/>
        <w:left w:val="none" w:sz="0" w:space="0" w:color="auto"/>
        <w:bottom w:val="none" w:sz="0" w:space="0" w:color="auto"/>
        <w:right w:val="none" w:sz="0" w:space="0" w:color="auto"/>
      </w:divBdr>
    </w:div>
    <w:div w:id="1136525932">
      <w:bodyDiv w:val="1"/>
      <w:marLeft w:val="0"/>
      <w:marRight w:val="0"/>
      <w:marTop w:val="0"/>
      <w:marBottom w:val="0"/>
      <w:divBdr>
        <w:top w:val="none" w:sz="0" w:space="0" w:color="auto"/>
        <w:left w:val="none" w:sz="0" w:space="0" w:color="auto"/>
        <w:bottom w:val="none" w:sz="0" w:space="0" w:color="auto"/>
        <w:right w:val="none" w:sz="0" w:space="0" w:color="auto"/>
      </w:divBdr>
    </w:div>
    <w:div w:id="1145390757">
      <w:bodyDiv w:val="1"/>
      <w:marLeft w:val="0"/>
      <w:marRight w:val="0"/>
      <w:marTop w:val="0"/>
      <w:marBottom w:val="0"/>
      <w:divBdr>
        <w:top w:val="none" w:sz="0" w:space="0" w:color="auto"/>
        <w:left w:val="none" w:sz="0" w:space="0" w:color="auto"/>
        <w:bottom w:val="none" w:sz="0" w:space="0" w:color="auto"/>
        <w:right w:val="none" w:sz="0" w:space="0" w:color="auto"/>
      </w:divBdr>
    </w:div>
    <w:div w:id="1155755953">
      <w:bodyDiv w:val="1"/>
      <w:marLeft w:val="0"/>
      <w:marRight w:val="0"/>
      <w:marTop w:val="0"/>
      <w:marBottom w:val="0"/>
      <w:divBdr>
        <w:top w:val="none" w:sz="0" w:space="0" w:color="auto"/>
        <w:left w:val="none" w:sz="0" w:space="0" w:color="auto"/>
        <w:bottom w:val="none" w:sz="0" w:space="0" w:color="auto"/>
        <w:right w:val="none" w:sz="0" w:space="0" w:color="auto"/>
      </w:divBdr>
    </w:div>
    <w:div w:id="1164736423">
      <w:bodyDiv w:val="1"/>
      <w:marLeft w:val="0"/>
      <w:marRight w:val="0"/>
      <w:marTop w:val="0"/>
      <w:marBottom w:val="0"/>
      <w:divBdr>
        <w:top w:val="none" w:sz="0" w:space="0" w:color="auto"/>
        <w:left w:val="none" w:sz="0" w:space="0" w:color="auto"/>
        <w:bottom w:val="none" w:sz="0" w:space="0" w:color="auto"/>
        <w:right w:val="none" w:sz="0" w:space="0" w:color="auto"/>
      </w:divBdr>
    </w:div>
    <w:div w:id="1167862000">
      <w:bodyDiv w:val="1"/>
      <w:marLeft w:val="0"/>
      <w:marRight w:val="0"/>
      <w:marTop w:val="0"/>
      <w:marBottom w:val="0"/>
      <w:divBdr>
        <w:top w:val="none" w:sz="0" w:space="0" w:color="auto"/>
        <w:left w:val="none" w:sz="0" w:space="0" w:color="auto"/>
        <w:bottom w:val="none" w:sz="0" w:space="0" w:color="auto"/>
        <w:right w:val="none" w:sz="0" w:space="0" w:color="auto"/>
      </w:divBdr>
    </w:div>
    <w:div w:id="1181746667">
      <w:bodyDiv w:val="1"/>
      <w:marLeft w:val="0"/>
      <w:marRight w:val="0"/>
      <w:marTop w:val="0"/>
      <w:marBottom w:val="0"/>
      <w:divBdr>
        <w:top w:val="none" w:sz="0" w:space="0" w:color="auto"/>
        <w:left w:val="none" w:sz="0" w:space="0" w:color="auto"/>
        <w:bottom w:val="none" w:sz="0" w:space="0" w:color="auto"/>
        <w:right w:val="none" w:sz="0" w:space="0" w:color="auto"/>
      </w:divBdr>
    </w:div>
    <w:div w:id="1187720674">
      <w:bodyDiv w:val="1"/>
      <w:marLeft w:val="0"/>
      <w:marRight w:val="0"/>
      <w:marTop w:val="0"/>
      <w:marBottom w:val="0"/>
      <w:divBdr>
        <w:top w:val="none" w:sz="0" w:space="0" w:color="auto"/>
        <w:left w:val="none" w:sz="0" w:space="0" w:color="auto"/>
        <w:bottom w:val="none" w:sz="0" w:space="0" w:color="auto"/>
        <w:right w:val="none" w:sz="0" w:space="0" w:color="auto"/>
      </w:divBdr>
    </w:div>
    <w:div w:id="1249077308">
      <w:bodyDiv w:val="1"/>
      <w:marLeft w:val="0"/>
      <w:marRight w:val="0"/>
      <w:marTop w:val="0"/>
      <w:marBottom w:val="0"/>
      <w:divBdr>
        <w:top w:val="none" w:sz="0" w:space="0" w:color="auto"/>
        <w:left w:val="none" w:sz="0" w:space="0" w:color="auto"/>
        <w:bottom w:val="none" w:sz="0" w:space="0" w:color="auto"/>
        <w:right w:val="none" w:sz="0" w:space="0" w:color="auto"/>
      </w:divBdr>
    </w:div>
    <w:div w:id="1259682333">
      <w:bodyDiv w:val="1"/>
      <w:marLeft w:val="0"/>
      <w:marRight w:val="0"/>
      <w:marTop w:val="0"/>
      <w:marBottom w:val="0"/>
      <w:divBdr>
        <w:top w:val="none" w:sz="0" w:space="0" w:color="auto"/>
        <w:left w:val="none" w:sz="0" w:space="0" w:color="auto"/>
        <w:bottom w:val="none" w:sz="0" w:space="0" w:color="auto"/>
        <w:right w:val="none" w:sz="0" w:space="0" w:color="auto"/>
      </w:divBdr>
      <w:divsChild>
        <w:div w:id="1359696080">
          <w:marLeft w:val="0"/>
          <w:marRight w:val="0"/>
          <w:marTop w:val="0"/>
          <w:marBottom w:val="0"/>
          <w:divBdr>
            <w:top w:val="none" w:sz="0" w:space="0" w:color="auto"/>
            <w:left w:val="none" w:sz="0" w:space="0" w:color="auto"/>
            <w:bottom w:val="none" w:sz="0" w:space="0" w:color="auto"/>
            <w:right w:val="none" w:sz="0" w:space="0" w:color="auto"/>
          </w:divBdr>
        </w:div>
      </w:divsChild>
    </w:div>
    <w:div w:id="1272858939">
      <w:bodyDiv w:val="1"/>
      <w:marLeft w:val="0"/>
      <w:marRight w:val="0"/>
      <w:marTop w:val="0"/>
      <w:marBottom w:val="0"/>
      <w:divBdr>
        <w:top w:val="none" w:sz="0" w:space="0" w:color="auto"/>
        <w:left w:val="none" w:sz="0" w:space="0" w:color="auto"/>
        <w:bottom w:val="none" w:sz="0" w:space="0" w:color="auto"/>
        <w:right w:val="none" w:sz="0" w:space="0" w:color="auto"/>
      </w:divBdr>
    </w:div>
    <w:div w:id="1304045042">
      <w:bodyDiv w:val="1"/>
      <w:marLeft w:val="0"/>
      <w:marRight w:val="0"/>
      <w:marTop w:val="0"/>
      <w:marBottom w:val="0"/>
      <w:divBdr>
        <w:top w:val="none" w:sz="0" w:space="0" w:color="auto"/>
        <w:left w:val="none" w:sz="0" w:space="0" w:color="auto"/>
        <w:bottom w:val="none" w:sz="0" w:space="0" w:color="auto"/>
        <w:right w:val="none" w:sz="0" w:space="0" w:color="auto"/>
      </w:divBdr>
    </w:div>
    <w:div w:id="1422098278">
      <w:bodyDiv w:val="1"/>
      <w:marLeft w:val="0"/>
      <w:marRight w:val="0"/>
      <w:marTop w:val="0"/>
      <w:marBottom w:val="0"/>
      <w:divBdr>
        <w:top w:val="none" w:sz="0" w:space="0" w:color="auto"/>
        <w:left w:val="none" w:sz="0" w:space="0" w:color="auto"/>
        <w:bottom w:val="none" w:sz="0" w:space="0" w:color="auto"/>
        <w:right w:val="none" w:sz="0" w:space="0" w:color="auto"/>
      </w:divBdr>
    </w:div>
    <w:div w:id="1431851573">
      <w:bodyDiv w:val="1"/>
      <w:marLeft w:val="0"/>
      <w:marRight w:val="0"/>
      <w:marTop w:val="0"/>
      <w:marBottom w:val="0"/>
      <w:divBdr>
        <w:top w:val="none" w:sz="0" w:space="0" w:color="auto"/>
        <w:left w:val="none" w:sz="0" w:space="0" w:color="auto"/>
        <w:bottom w:val="none" w:sz="0" w:space="0" w:color="auto"/>
        <w:right w:val="none" w:sz="0" w:space="0" w:color="auto"/>
      </w:divBdr>
    </w:div>
    <w:div w:id="1470131307">
      <w:bodyDiv w:val="1"/>
      <w:marLeft w:val="0"/>
      <w:marRight w:val="0"/>
      <w:marTop w:val="0"/>
      <w:marBottom w:val="0"/>
      <w:divBdr>
        <w:top w:val="none" w:sz="0" w:space="0" w:color="auto"/>
        <w:left w:val="none" w:sz="0" w:space="0" w:color="auto"/>
        <w:bottom w:val="none" w:sz="0" w:space="0" w:color="auto"/>
        <w:right w:val="none" w:sz="0" w:space="0" w:color="auto"/>
      </w:divBdr>
    </w:div>
    <w:div w:id="1482385359">
      <w:bodyDiv w:val="1"/>
      <w:marLeft w:val="0"/>
      <w:marRight w:val="0"/>
      <w:marTop w:val="0"/>
      <w:marBottom w:val="0"/>
      <w:divBdr>
        <w:top w:val="none" w:sz="0" w:space="0" w:color="auto"/>
        <w:left w:val="none" w:sz="0" w:space="0" w:color="auto"/>
        <w:bottom w:val="none" w:sz="0" w:space="0" w:color="auto"/>
        <w:right w:val="none" w:sz="0" w:space="0" w:color="auto"/>
      </w:divBdr>
    </w:div>
    <w:div w:id="1511724091">
      <w:bodyDiv w:val="1"/>
      <w:marLeft w:val="0"/>
      <w:marRight w:val="0"/>
      <w:marTop w:val="0"/>
      <w:marBottom w:val="0"/>
      <w:divBdr>
        <w:top w:val="none" w:sz="0" w:space="0" w:color="auto"/>
        <w:left w:val="none" w:sz="0" w:space="0" w:color="auto"/>
        <w:bottom w:val="none" w:sz="0" w:space="0" w:color="auto"/>
        <w:right w:val="none" w:sz="0" w:space="0" w:color="auto"/>
      </w:divBdr>
    </w:div>
    <w:div w:id="1527601882">
      <w:bodyDiv w:val="1"/>
      <w:marLeft w:val="0"/>
      <w:marRight w:val="0"/>
      <w:marTop w:val="0"/>
      <w:marBottom w:val="0"/>
      <w:divBdr>
        <w:top w:val="none" w:sz="0" w:space="0" w:color="auto"/>
        <w:left w:val="none" w:sz="0" w:space="0" w:color="auto"/>
        <w:bottom w:val="none" w:sz="0" w:space="0" w:color="auto"/>
        <w:right w:val="none" w:sz="0" w:space="0" w:color="auto"/>
      </w:divBdr>
    </w:div>
    <w:div w:id="1536776286">
      <w:bodyDiv w:val="1"/>
      <w:marLeft w:val="0"/>
      <w:marRight w:val="0"/>
      <w:marTop w:val="0"/>
      <w:marBottom w:val="0"/>
      <w:divBdr>
        <w:top w:val="none" w:sz="0" w:space="0" w:color="auto"/>
        <w:left w:val="none" w:sz="0" w:space="0" w:color="auto"/>
        <w:bottom w:val="none" w:sz="0" w:space="0" w:color="auto"/>
        <w:right w:val="none" w:sz="0" w:space="0" w:color="auto"/>
      </w:divBdr>
    </w:div>
    <w:div w:id="1549680694">
      <w:bodyDiv w:val="1"/>
      <w:marLeft w:val="0"/>
      <w:marRight w:val="0"/>
      <w:marTop w:val="0"/>
      <w:marBottom w:val="0"/>
      <w:divBdr>
        <w:top w:val="none" w:sz="0" w:space="0" w:color="auto"/>
        <w:left w:val="none" w:sz="0" w:space="0" w:color="auto"/>
        <w:bottom w:val="none" w:sz="0" w:space="0" w:color="auto"/>
        <w:right w:val="none" w:sz="0" w:space="0" w:color="auto"/>
      </w:divBdr>
    </w:div>
    <w:div w:id="1590313083">
      <w:bodyDiv w:val="1"/>
      <w:marLeft w:val="0"/>
      <w:marRight w:val="0"/>
      <w:marTop w:val="0"/>
      <w:marBottom w:val="0"/>
      <w:divBdr>
        <w:top w:val="none" w:sz="0" w:space="0" w:color="auto"/>
        <w:left w:val="none" w:sz="0" w:space="0" w:color="auto"/>
        <w:bottom w:val="none" w:sz="0" w:space="0" w:color="auto"/>
        <w:right w:val="none" w:sz="0" w:space="0" w:color="auto"/>
      </w:divBdr>
    </w:div>
    <w:div w:id="1633972857">
      <w:bodyDiv w:val="1"/>
      <w:marLeft w:val="0"/>
      <w:marRight w:val="0"/>
      <w:marTop w:val="0"/>
      <w:marBottom w:val="0"/>
      <w:divBdr>
        <w:top w:val="none" w:sz="0" w:space="0" w:color="auto"/>
        <w:left w:val="none" w:sz="0" w:space="0" w:color="auto"/>
        <w:bottom w:val="none" w:sz="0" w:space="0" w:color="auto"/>
        <w:right w:val="none" w:sz="0" w:space="0" w:color="auto"/>
      </w:divBdr>
    </w:div>
    <w:div w:id="1644039284">
      <w:bodyDiv w:val="1"/>
      <w:marLeft w:val="0"/>
      <w:marRight w:val="0"/>
      <w:marTop w:val="0"/>
      <w:marBottom w:val="0"/>
      <w:divBdr>
        <w:top w:val="none" w:sz="0" w:space="0" w:color="auto"/>
        <w:left w:val="none" w:sz="0" w:space="0" w:color="auto"/>
        <w:bottom w:val="none" w:sz="0" w:space="0" w:color="auto"/>
        <w:right w:val="none" w:sz="0" w:space="0" w:color="auto"/>
      </w:divBdr>
    </w:div>
    <w:div w:id="1648322467">
      <w:bodyDiv w:val="1"/>
      <w:marLeft w:val="0"/>
      <w:marRight w:val="0"/>
      <w:marTop w:val="0"/>
      <w:marBottom w:val="0"/>
      <w:divBdr>
        <w:top w:val="none" w:sz="0" w:space="0" w:color="auto"/>
        <w:left w:val="none" w:sz="0" w:space="0" w:color="auto"/>
        <w:bottom w:val="none" w:sz="0" w:space="0" w:color="auto"/>
        <w:right w:val="none" w:sz="0" w:space="0" w:color="auto"/>
      </w:divBdr>
    </w:div>
    <w:div w:id="1756827955">
      <w:bodyDiv w:val="1"/>
      <w:marLeft w:val="0"/>
      <w:marRight w:val="0"/>
      <w:marTop w:val="0"/>
      <w:marBottom w:val="0"/>
      <w:divBdr>
        <w:top w:val="none" w:sz="0" w:space="0" w:color="auto"/>
        <w:left w:val="none" w:sz="0" w:space="0" w:color="auto"/>
        <w:bottom w:val="none" w:sz="0" w:space="0" w:color="auto"/>
        <w:right w:val="none" w:sz="0" w:space="0" w:color="auto"/>
      </w:divBdr>
    </w:div>
    <w:div w:id="1788768213">
      <w:bodyDiv w:val="1"/>
      <w:marLeft w:val="0"/>
      <w:marRight w:val="0"/>
      <w:marTop w:val="0"/>
      <w:marBottom w:val="0"/>
      <w:divBdr>
        <w:top w:val="none" w:sz="0" w:space="0" w:color="auto"/>
        <w:left w:val="none" w:sz="0" w:space="0" w:color="auto"/>
        <w:bottom w:val="none" w:sz="0" w:space="0" w:color="auto"/>
        <w:right w:val="none" w:sz="0" w:space="0" w:color="auto"/>
      </w:divBdr>
    </w:div>
    <w:div w:id="1855414771">
      <w:bodyDiv w:val="1"/>
      <w:marLeft w:val="0"/>
      <w:marRight w:val="0"/>
      <w:marTop w:val="0"/>
      <w:marBottom w:val="0"/>
      <w:divBdr>
        <w:top w:val="none" w:sz="0" w:space="0" w:color="auto"/>
        <w:left w:val="none" w:sz="0" w:space="0" w:color="auto"/>
        <w:bottom w:val="none" w:sz="0" w:space="0" w:color="auto"/>
        <w:right w:val="none" w:sz="0" w:space="0" w:color="auto"/>
      </w:divBdr>
    </w:div>
    <w:div w:id="1879539014">
      <w:bodyDiv w:val="1"/>
      <w:marLeft w:val="0"/>
      <w:marRight w:val="0"/>
      <w:marTop w:val="0"/>
      <w:marBottom w:val="0"/>
      <w:divBdr>
        <w:top w:val="none" w:sz="0" w:space="0" w:color="auto"/>
        <w:left w:val="none" w:sz="0" w:space="0" w:color="auto"/>
        <w:bottom w:val="none" w:sz="0" w:space="0" w:color="auto"/>
        <w:right w:val="none" w:sz="0" w:space="0" w:color="auto"/>
      </w:divBdr>
    </w:div>
    <w:div w:id="1898543961">
      <w:bodyDiv w:val="1"/>
      <w:marLeft w:val="0"/>
      <w:marRight w:val="0"/>
      <w:marTop w:val="0"/>
      <w:marBottom w:val="0"/>
      <w:divBdr>
        <w:top w:val="none" w:sz="0" w:space="0" w:color="auto"/>
        <w:left w:val="none" w:sz="0" w:space="0" w:color="auto"/>
        <w:bottom w:val="none" w:sz="0" w:space="0" w:color="auto"/>
        <w:right w:val="none" w:sz="0" w:space="0" w:color="auto"/>
      </w:divBdr>
    </w:div>
    <w:div w:id="1923296738">
      <w:bodyDiv w:val="1"/>
      <w:marLeft w:val="0"/>
      <w:marRight w:val="0"/>
      <w:marTop w:val="0"/>
      <w:marBottom w:val="0"/>
      <w:divBdr>
        <w:top w:val="none" w:sz="0" w:space="0" w:color="auto"/>
        <w:left w:val="none" w:sz="0" w:space="0" w:color="auto"/>
        <w:bottom w:val="none" w:sz="0" w:space="0" w:color="auto"/>
        <w:right w:val="none" w:sz="0" w:space="0" w:color="auto"/>
      </w:divBdr>
    </w:div>
    <w:div w:id="1926645698">
      <w:bodyDiv w:val="1"/>
      <w:marLeft w:val="0"/>
      <w:marRight w:val="0"/>
      <w:marTop w:val="0"/>
      <w:marBottom w:val="0"/>
      <w:divBdr>
        <w:top w:val="none" w:sz="0" w:space="0" w:color="auto"/>
        <w:left w:val="none" w:sz="0" w:space="0" w:color="auto"/>
        <w:bottom w:val="none" w:sz="0" w:space="0" w:color="auto"/>
        <w:right w:val="none" w:sz="0" w:space="0" w:color="auto"/>
      </w:divBdr>
    </w:div>
    <w:div w:id="1945577498">
      <w:bodyDiv w:val="1"/>
      <w:marLeft w:val="0"/>
      <w:marRight w:val="0"/>
      <w:marTop w:val="0"/>
      <w:marBottom w:val="0"/>
      <w:divBdr>
        <w:top w:val="none" w:sz="0" w:space="0" w:color="auto"/>
        <w:left w:val="none" w:sz="0" w:space="0" w:color="auto"/>
        <w:bottom w:val="none" w:sz="0" w:space="0" w:color="auto"/>
        <w:right w:val="none" w:sz="0" w:space="0" w:color="auto"/>
      </w:divBdr>
    </w:div>
    <w:div w:id="1957759313">
      <w:bodyDiv w:val="1"/>
      <w:marLeft w:val="0"/>
      <w:marRight w:val="0"/>
      <w:marTop w:val="0"/>
      <w:marBottom w:val="0"/>
      <w:divBdr>
        <w:top w:val="none" w:sz="0" w:space="0" w:color="auto"/>
        <w:left w:val="none" w:sz="0" w:space="0" w:color="auto"/>
        <w:bottom w:val="none" w:sz="0" w:space="0" w:color="auto"/>
        <w:right w:val="none" w:sz="0" w:space="0" w:color="auto"/>
      </w:divBdr>
      <w:divsChild>
        <w:div w:id="1160460121">
          <w:marLeft w:val="0"/>
          <w:marRight w:val="0"/>
          <w:marTop w:val="0"/>
          <w:marBottom w:val="0"/>
          <w:divBdr>
            <w:top w:val="none" w:sz="0" w:space="0" w:color="auto"/>
            <w:left w:val="none" w:sz="0" w:space="0" w:color="auto"/>
            <w:bottom w:val="none" w:sz="0" w:space="0" w:color="auto"/>
            <w:right w:val="none" w:sz="0" w:space="0" w:color="auto"/>
          </w:divBdr>
        </w:div>
      </w:divsChild>
    </w:div>
    <w:div w:id="2018386316">
      <w:bodyDiv w:val="1"/>
      <w:marLeft w:val="0"/>
      <w:marRight w:val="0"/>
      <w:marTop w:val="0"/>
      <w:marBottom w:val="0"/>
      <w:divBdr>
        <w:top w:val="none" w:sz="0" w:space="0" w:color="auto"/>
        <w:left w:val="none" w:sz="0" w:space="0" w:color="auto"/>
        <w:bottom w:val="none" w:sz="0" w:space="0" w:color="auto"/>
        <w:right w:val="none" w:sz="0" w:space="0" w:color="auto"/>
      </w:divBdr>
    </w:div>
    <w:div w:id="2041203136">
      <w:bodyDiv w:val="1"/>
      <w:marLeft w:val="0"/>
      <w:marRight w:val="0"/>
      <w:marTop w:val="0"/>
      <w:marBottom w:val="0"/>
      <w:divBdr>
        <w:top w:val="none" w:sz="0" w:space="0" w:color="auto"/>
        <w:left w:val="none" w:sz="0" w:space="0" w:color="auto"/>
        <w:bottom w:val="none" w:sz="0" w:space="0" w:color="auto"/>
        <w:right w:val="none" w:sz="0" w:space="0" w:color="auto"/>
      </w:divBdr>
      <w:divsChild>
        <w:div w:id="1191842627">
          <w:marLeft w:val="0"/>
          <w:marRight w:val="0"/>
          <w:marTop w:val="0"/>
          <w:marBottom w:val="0"/>
          <w:divBdr>
            <w:top w:val="none" w:sz="0" w:space="0" w:color="auto"/>
            <w:left w:val="none" w:sz="0" w:space="0" w:color="auto"/>
            <w:bottom w:val="none" w:sz="0" w:space="0" w:color="auto"/>
            <w:right w:val="none" w:sz="0" w:space="0" w:color="auto"/>
          </w:divBdr>
        </w:div>
      </w:divsChild>
    </w:div>
    <w:div w:id="2086101607">
      <w:bodyDiv w:val="1"/>
      <w:marLeft w:val="0"/>
      <w:marRight w:val="0"/>
      <w:marTop w:val="0"/>
      <w:marBottom w:val="0"/>
      <w:divBdr>
        <w:top w:val="none" w:sz="0" w:space="0" w:color="auto"/>
        <w:left w:val="none" w:sz="0" w:space="0" w:color="auto"/>
        <w:bottom w:val="none" w:sz="0" w:space="0" w:color="auto"/>
        <w:right w:val="none" w:sz="0" w:space="0" w:color="auto"/>
      </w:divBdr>
    </w:div>
    <w:div w:id="2093355471">
      <w:bodyDiv w:val="1"/>
      <w:marLeft w:val="0"/>
      <w:marRight w:val="0"/>
      <w:marTop w:val="0"/>
      <w:marBottom w:val="0"/>
      <w:divBdr>
        <w:top w:val="none" w:sz="0" w:space="0" w:color="auto"/>
        <w:left w:val="none" w:sz="0" w:space="0" w:color="auto"/>
        <w:bottom w:val="none" w:sz="0" w:space="0" w:color="auto"/>
        <w:right w:val="none" w:sz="0" w:space="0" w:color="auto"/>
      </w:divBdr>
    </w:div>
    <w:div w:id="2102330392">
      <w:bodyDiv w:val="1"/>
      <w:marLeft w:val="0"/>
      <w:marRight w:val="0"/>
      <w:marTop w:val="0"/>
      <w:marBottom w:val="0"/>
      <w:divBdr>
        <w:top w:val="none" w:sz="0" w:space="0" w:color="auto"/>
        <w:left w:val="none" w:sz="0" w:space="0" w:color="auto"/>
        <w:bottom w:val="none" w:sz="0" w:space="0" w:color="auto"/>
        <w:right w:val="none" w:sz="0" w:space="0" w:color="auto"/>
      </w:divBdr>
    </w:div>
    <w:div w:id="2117283814">
      <w:bodyDiv w:val="1"/>
      <w:marLeft w:val="0"/>
      <w:marRight w:val="0"/>
      <w:marTop w:val="0"/>
      <w:marBottom w:val="0"/>
      <w:divBdr>
        <w:top w:val="none" w:sz="0" w:space="0" w:color="auto"/>
        <w:left w:val="none" w:sz="0" w:space="0" w:color="auto"/>
        <w:bottom w:val="none" w:sz="0" w:space="0" w:color="auto"/>
        <w:right w:val="none" w:sz="0" w:space="0" w:color="auto"/>
      </w:divBdr>
    </w:div>
    <w:div w:id="214284319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A2E3680EE573554D94035A4421814AE7" ma:contentTypeVersion="17" ma:contentTypeDescription="Create a new document." ma:contentTypeScope="" ma:versionID="677f1e42a8347fa1a33a1e5bd082a6f0">
  <xsd:schema xmlns:xsd="http://www.w3.org/2001/XMLSchema" xmlns:xs="http://www.w3.org/2001/XMLSchema" xmlns:p="http://schemas.microsoft.com/office/2006/metadata/properties" xmlns:ns3="00f5eb7a-3f09-4ccb-9a17-2c4fa8202c3e" xmlns:ns4="534d57da-ff16-4cef-a6f3-6603b923fb9d" targetNamespace="http://schemas.microsoft.com/office/2006/metadata/properties" ma:root="true" ma:fieldsID="3152a6d693dc4f03211544ef130251e4" ns3:_="" ns4:_="">
    <xsd:import namespace="00f5eb7a-3f09-4ccb-9a17-2c4fa8202c3e"/>
    <xsd:import namespace="534d57da-ff16-4cef-a6f3-6603b923fb9d"/>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MediaServiceLocation" minOccurs="0"/>
                <xsd:element ref="ns3:MediaLengthInSeconds" minOccurs="0"/>
                <xsd:element ref="ns3:_activity" minOccurs="0"/>
                <xsd:element ref="ns3:MediaServiceObjectDetectorVersions" minOccurs="0"/>
                <xsd:element ref="ns4:SharedWithUsers" minOccurs="0"/>
                <xsd:element ref="ns4:SharedWithDetails" minOccurs="0"/>
                <xsd:element ref="ns4:SharingHintHash"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0f5eb7a-3f09-4ccb-9a17-2c4fa8202c3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_activity" ma:index="19" nillable="true" ma:displayName="_activity" ma:hidden="true" ma:internalName="_activity">
      <xsd:simpleType>
        <xsd:restriction base="dms:Note"/>
      </xsd:simpleType>
    </xsd:element>
    <xsd:element name="MediaServiceObjectDetectorVersions" ma:index="20"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534d57da-ff16-4cef-a6f3-6603b923fb9d" elementFormDefault="qualified">
    <xsd:import namespace="http://schemas.microsoft.com/office/2006/documentManagement/types"/>
    <xsd:import namespace="http://schemas.microsoft.com/office/infopath/2007/PartnerControls"/>
    <xsd:element name="SharedWithUsers" ma:index="2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Shared With Details" ma:internalName="SharedWithDetails" ma:readOnly="true">
      <xsd:simpleType>
        <xsd:restriction base="dms:Note">
          <xsd:maxLength value="255"/>
        </xsd:restriction>
      </xsd:simpleType>
    </xsd:element>
    <xsd:element name="SharingHintHash" ma:index="23"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dndu53wYGt6HnkXDpKDmMCu/43A==">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</go:docsCustomData>
</go:gDocsCustomXmlDataStorage>
</file>

<file path=customXml/item4.xml><?xml version="1.0" encoding="utf-8"?>
<p:properties xmlns:p="http://schemas.microsoft.com/office/2006/metadata/properties" xmlns:xsi="http://www.w3.org/2001/XMLSchema-instance" xmlns:pc="http://schemas.microsoft.com/office/infopath/2007/PartnerControls">
  <documentManagement>
    <_activity xmlns="00f5eb7a-3f09-4ccb-9a17-2c4fa8202c3e" xsi:nil="true"/>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F6F51F4-5859-44B7-B20A-7EB4E4161878}">
  <ds:schemaRefs>
    <ds:schemaRef ds:uri="http://schemas.openxmlformats.org/officeDocument/2006/bibliography"/>
  </ds:schemaRefs>
</ds:datastoreItem>
</file>

<file path=customXml/itemProps2.xml><?xml version="1.0" encoding="utf-8"?>
<ds:datastoreItem xmlns:ds="http://schemas.openxmlformats.org/officeDocument/2006/customXml" ds:itemID="{84C8490E-D3BA-4C03-B8F3-1DA315608BF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0f5eb7a-3f09-4ccb-9a17-2c4fa8202c3e"/>
    <ds:schemaRef ds:uri="534d57da-ff16-4cef-a6f3-6603b923fb9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4.xml><?xml version="1.0" encoding="utf-8"?>
<ds:datastoreItem xmlns:ds="http://schemas.openxmlformats.org/officeDocument/2006/customXml" ds:itemID="{9C00E788-F0BC-46FB-A07D-C58627BA0AFE}">
  <ds:schemaRefs>
    <ds:schemaRef ds:uri="http://schemas.microsoft.com/office/2006/metadata/properties"/>
    <ds:schemaRef ds:uri="http://schemas.microsoft.com/office/infopath/2007/PartnerControls"/>
    <ds:schemaRef ds:uri="00f5eb7a-3f09-4ccb-9a17-2c4fa8202c3e"/>
  </ds:schemaRefs>
</ds:datastoreItem>
</file>

<file path=customXml/itemProps5.xml><?xml version="1.0" encoding="utf-8"?>
<ds:datastoreItem xmlns:ds="http://schemas.openxmlformats.org/officeDocument/2006/customXml" ds:itemID="{337A23CE-E10A-4043-BC60-ADD821B08A3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123</TotalTime>
  <Pages>29</Pages>
  <Words>66961</Words>
  <Characters>295972</Characters>
  <Application>Microsoft Office Word</Application>
  <DocSecurity>0</DocSecurity>
  <Lines>42281</Lines>
  <Paragraphs>24195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338738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Jong-Hoon Kim</dc:creator>
  <cp:keywords/>
  <dc:description/>
  <cp:lastModifiedBy>Jong-Hoon Kim</cp:lastModifiedBy>
  <cp:revision>15</cp:revision>
  <cp:lastPrinted>2025-07-25T08:19:00Z</cp:lastPrinted>
  <dcterms:created xsi:type="dcterms:W3CDTF">2025-09-30T07:21:00Z</dcterms:created>
  <dcterms:modified xsi:type="dcterms:W3CDTF">2025-10-02T06:19:00Z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zotero-version="7.0.16"&gt;&lt;session id="EgwuGF5k"/&gt;&lt;style id="http://www.zotero.org/styles/vancouver-superscript" locale="en-CA" hasBibliography="1" bibliographyStyleHasBeenSet="1"/&gt;&lt;prefs&gt;&lt;pref name="fieldType" value="Field"/&gt;&lt;pref na</vt:lpwstr>
  </property>
  <property fmtid="{D5CDD505-2E9C-101B-9397-08002B2CF9AE}" pid="3" name="ZOTERO_PREF_2">
    <vt:lpwstr>me="automaticJournalAbbreviations" value="true"/&gt;&lt;/prefs&gt;&lt;/data&gt;</vt:lpwstr>
  </property>
  <property fmtid="{D5CDD505-2E9C-101B-9397-08002B2CF9AE}" pid="4" name="ContentTypeId">
    <vt:lpwstr>0x010100A2E3680EE573554D94035A4421814AE7</vt:lpwstr>
  </property>
  <property fmtid="{D5CDD505-2E9C-101B-9397-08002B2CF9AE}" pid="5" name="_activity">
    <vt:lpwstr/>
  </property>
</Properties>
</file>