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E1926F" w14:textId="2E077501" w:rsidR="00B04C24" w:rsidRPr="002A0251" w:rsidRDefault="00062CE1" w:rsidP="0046747F">
      <w:pPr>
        <w:pStyle w:val="Heading2"/>
      </w:pPr>
      <w:r w:rsidRPr="002A0251">
        <w:rPr>
          <w:rFonts w:hint="eastAsia"/>
        </w:rPr>
        <w:t>Title</w:t>
      </w:r>
    </w:p>
    <w:p w14:paraId="0E31A7A9" w14:textId="26B44B65" w:rsidR="00686B3F" w:rsidRPr="002A0251" w:rsidRDefault="00686B3F" w:rsidP="00F57F15">
      <w:bookmarkStart w:id="0" w:name="_Hlk207826528"/>
      <w:r w:rsidRPr="002A0251">
        <w:t xml:space="preserve">Impact of cholera outbreak response </w:t>
      </w:r>
      <w:r w:rsidR="004870F7" w:rsidRPr="002A0251">
        <w:t>immunization</w:t>
      </w:r>
      <w:r w:rsidRPr="002A0251">
        <w:t>: Insights from modeling outbreak</w:t>
      </w:r>
      <w:r w:rsidR="00136FB6" w:rsidRPr="002A0251">
        <w:t xml:space="preserve">s </w:t>
      </w:r>
      <w:r w:rsidR="00B72C4A" w:rsidRPr="002A0251">
        <w:t>in</w:t>
      </w:r>
      <w:r w:rsidRPr="002A0251">
        <w:t xml:space="preserve"> sub-Saharan Africa, 2010-202</w:t>
      </w:r>
      <w:r w:rsidR="00AC4336" w:rsidRPr="002A0251">
        <w:rPr>
          <w:rFonts w:hint="eastAsia"/>
        </w:rPr>
        <w:t>0</w:t>
      </w:r>
      <w:r w:rsidR="00B04C24" w:rsidRPr="002A0251">
        <w:t>.</w:t>
      </w:r>
    </w:p>
    <w:bookmarkEnd w:id="0"/>
    <w:p w14:paraId="069CE2D0" w14:textId="77777777" w:rsidR="00B04C24" w:rsidRPr="002A0251" w:rsidRDefault="00B04C24" w:rsidP="00F57F15"/>
    <w:p w14:paraId="660EBB00" w14:textId="77777777" w:rsidR="00B04C24" w:rsidRPr="002A0251" w:rsidRDefault="00B04C24" w:rsidP="00F57F15">
      <w:pPr>
        <w:rPr>
          <w:lang w:val="en-US"/>
        </w:rPr>
      </w:pPr>
    </w:p>
    <w:p w14:paraId="3ED3EF66" w14:textId="77777777" w:rsidR="00B04C24" w:rsidRPr="002A0251" w:rsidRDefault="00B04C24" w:rsidP="00F57F15">
      <w:pPr>
        <w:rPr>
          <w:lang w:val="en-US"/>
        </w:rPr>
      </w:pPr>
    </w:p>
    <w:p w14:paraId="3F9A94DD" w14:textId="77777777" w:rsidR="00B04C24" w:rsidRPr="002A0251" w:rsidRDefault="00B04C24" w:rsidP="00F57F15">
      <w:pPr>
        <w:rPr>
          <w:lang w:val="en-US"/>
        </w:rPr>
      </w:pPr>
    </w:p>
    <w:p w14:paraId="467F4898" w14:textId="77777777" w:rsidR="00B04C24" w:rsidRPr="002A0251" w:rsidRDefault="00B04C24" w:rsidP="00F57F15">
      <w:pPr>
        <w:rPr>
          <w:lang w:val="en-US"/>
        </w:rPr>
      </w:pPr>
    </w:p>
    <w:p w14:paraId="4AE71728" w14:textId="77777777" w:rsidR="00B04C24" w:rsidRPr="002A0251" w:rsidRDefault="00B04C24" w:rsidP="00F57F15">
      <w:pPr>
        <w:rPr>
          <w:lang w:val="en-US"/>
        </w:rPr>
      </w:pPr>
    </w:p>
    <w:p w14:paraId="508F5F45" w14:textId="77777777" w:rsidR="00B04C24" w:rsidRPr="002A0251" w:rsidRDefault="00B04C24" w:rsidP="00F57F15">
      <w:pPr>
        <w:rPr>
          <w:lang w:val="en-US"/>
        </w:rPr>
      </w:pPr>
    </w:p>
    <w:p w14:paraId="608D04A3" w14:textId="77777777" w:rsidR="00B04C24" w:rsidRPr="002A0251" w:rsidRDefault="00B04C24" w:rsidP="00F57F15">
      <w:pPr>
        <w:rPr>
          <w:lang w:val="en-US"/>
        </w:rPr>
      </w:pPr>
    </w:p>
    <w:p w14:paraId="6B5EE540" w14:textId="77777777" w:rsidR="00B04C24" w:rsidRPr="002A0251" w:rsidRDefault="00B04C24" w:rsidP="00F57F15">
      <w:pPr>
        <w:rPr>
          <w:lang w:val="en-US"/>
        </w:rPr>
      </w:pPr>
    </w:p>
    <w:p w14:paraId="00B80547" w14:textId="77777777" w:rsidR="00B04C24" w:rsidRPr="002A0251" w:rsidRDefault="00B04C24" w:rsidP="00F57F15">
      <w:pPr>
        <w:rPr>
          <w:lang w:val="en-US"/>
        </w:rPr>
      </w:pPr>
    </w:p>
    <w:p w14:paraId="0E0AEEE0" w14:textId="77777777" w:rsidR="00B04C24" w:rsidRPr="002A0251" w:rsidRDefault="00B04C24" w:rsidP="00F57F15">
      <w:pPr>
        <w:rPr>
          <w:lang w:val="en-US"/>
        </w:rPr>
      </w:pPr>
    </w:p>
    <w:p w14:paraId="053229DB" w14:textId="77777777" w:rsidR="00B04C24" w:rsidRPr="002A0251" w:rsidRDefault="00B04C24" w:rsidP="00F57F15">
      <w:pPr>
        <w:rPr>
          <w:lang w:val="en-US"/>
        </w:rPr>
      </w:pPr>
    </w:p>
    <w:p w14:paraId="702D8ABD" w14:textId="77777777" w:rsidR="00B04C24" w:rsidRPr="002A0251" w:rsidRDefault="00B04C24" w:rsidP="00F57F15">
      <w:pPr>
        <w:rPr>
          <w:lang w:val="en-US"/>
        </w:rPr>
      </w:pPr>
    </w:p>
    <w:p w14:paraId="5DC7909D" w14:textId="77777777" w:rsidR="00B04C24" w:rsidRPr="002A0251" w:rsidRDefault="00B04C24" w:rsidP="00F57F15">
      <w:pPr>
        <w:rPr>
          <w:lang w:val="en-US"/>
        </w:rPr>
      </w:pPr>
    </w:p>
    <w:p w14:paraId="44C4F1A0" w14:textId="77777777" w:rsidR="00B04C24" w:rsidRPr="002A0251" w:rsidRDefault="00B04C24" w:rsidP="00F57F15">
      <w:pPr>
        <w:rPr>
          <w:lang w:val="en-US"/>
        </w:rPr>
      </w:pPr>
    </w:p>
    <w:p w14:paraId="41CCE0E5" w14:textId="77777777" w:rsidR="00994CA3" w:rsidRPr="002A0251" w:rsidRDefault="00994CA3" w:rsidP="00F57F15">
      <w:pPr>
        <w:rPr>
          <w:lang w:val="en-US"/>
        </w:rPr>
      </w:pPr>
    </w:p>
    <w:p w14:paraId="06F9A1A4" w14:textId="77777777" w:rsidR="00994CA3" w:rsidRPr="002A0251" w:rsidRDefault="00994CA3" w:rsidP="00F57F15">
      <w:pPr>
        <w:rPr>
          <w:lang w:val="en-US"/>
        </w:rPr>
      </w:pPr>
    </w:p>
    <w:p w14:paraId="672DC5AB" w14:textId="77777777" w:rsidR="00994CA3" w:rsidRPr="002A0251" w:rsidRDefault="00994CA3" w:rsidP="00F57F15">
      <w:pPr>
        <w:rPr>
          <w:lang w:val="en-US"/>
        </w:rPr>
      </w:pPr>
    </w:p>
    <w:p w14:paraId="4A5074A5" w14:textId="77777777" w:rsidR="00885336" w:rsidRPr="002A0251" w:rsidRDefault="00885336" w:rsidP="00F57F15">
      <w:pPr>
        <w:rPr>
          <w:lang w:val="en-US"/>
        </w:rPr>
      </w:pPr>
    </w:p>
    <w:p w14:paraId="549DBA68" w14:textId="77777777" w:rsidR="00885336" w:rsidRPr="002A0251" w:rsidRDefault="00885336" w:rsidP="00F57F15">
      <w:pPr>
        <w:rPr>
          <w:lang w:val="en-US"/>
        </w:rPr>
      </w:pPr>
    </w:p>
    <w:p w14:paraId="57F90174" w14:textId="77777777" w:rsidR="00885336" w:rsidRPr="002A0251" w:rsidRDefault="00885336" w:rsidP="00F57F15">
      <w:pPr>
        <w:rPr>
          <w:lang w:val="en-US"/>
        </w:rPr>
      </w:pPr>
    </w:p>
    <w:p w14:paraId="5786FD7E" w14:textId="77777777" w:rsidR="005C235E" w:rsidRPr="002A0251" w:rsidRDefault="005C235E" w:rsidP="00F57F15">
      <w:pPr>
        <w:rPr>
          <w:lang w:val="en-US"/>
        </w:rPr>
      </w:pPr>
    </w:p>
    <w:p w14:paraId="511EA21A" w14:textId="77777777" w:rsidR="005C235E" w:rsidRPr="002A0251" w:rsidRDefault="005C235E" w:rsidP="00F57F15">
      <w:pPr>
        <w:rPr>
          <w:lang w:val="en-US"/>
        </w:rPr>
      </w:pPr>
    </w:p>
    <w:p w14:paraId="04BA14AF" w14:textId="77777777" w:rsidR="005C235E" w:rsidRPr="002A0251" w:rsidRDefault="005C235E" w:rsidP="00F57F15">
      <w:pPr>
        <w:rPr>
          <w:lang w:val="en-US"/>
        </w:rPr>
      </w:pPr>
    </w:p>
    <w:p w14:paraId="54C14224" w14:textId="77777777" w:rsidR="006C2B5B" w:rsidRPr="002A0251" w:rsidRDefault="006C2B5B" w:rsidP="00F57F15">
      <w:pPr>
        <w:rPr>
          <w:lang w:val="en-US"/>
        </w:rPr>
      </w:pPr>
    </w:p>
    <w:p w14:paraId="000000C6" w14:textId="420514BA" w:rsidR="00E7552A" w:rsidRPr="002A0251" w:rsidRDefault="0091383D" w:rsidP="00F57F15">
      <w:pPr>
        <w:pStyle w:val="Heading2"/>
      </w:pPr>
      <w:bookmarkStart w:id="1" w:name="_Toc184909194"/>
      <w:r w:rsidRPr="002A0251">
        <w:lastRenderedPageBreak/>
        <w:t>Abstract</w:t>
      </w:r>
      <w:bookmarkEnd w:id="1"/>
    </w:p>
    <w:p w14:paraId="1D4423AE" w14:textId="6BDB337F" w:rsidR="00DC0B27" w:rsidRDefault="001475F2" w:rsidP="00DC0B27">
      <w:bookmarkStart w:id="2" w:name="_heading=h.2s8eyo1" w:colFirst="0" w:colLast="0"/>
      <w:bookmarkStart w:id="3" w:name="_Hlk163510065"/>
      <w:bookmarkEnd w:id="2"/>
      <w:r w:rsidRPr="002A0251">
        <w:rPr>
          <w:b/>
          <w:bCs/>
        </w:rPr>
        <w:t>Background</w:t>
      </w:r>
      <w:r w:rsidR="00DC0B27" w:rsidRPr="00DC0B27">
        <w:t xml:space="preserve"> </w:t>
      </w:r>
    </w:p>
    <w:p w14:paraId="51FFFC04" w14:textId="1FDD2983" w:rsidR="002701EC" w:rsidRPr="002A0251" w:rsidRDefault="00DC0B27" w:rsidP="00F57F15">
      <w:r w:rsidRPr="00DC0B27">
        <w:t xml:space="preserve">Cholera outbreaks remain a major public health threat in sub-Saharan Africa. </w:t>
      </w:r>
      <w:r w:rsidR="00C51CA7">
        <w:rPr>
          <w:rFonts w:hint="eastAsia"/>
        </w:rPr>
        <w:t>The impact of o</w:t>
      </w:r>
      <w:r w:rsidRPr="00DC0B27">
        <w:t>ral cholera vaccines (OCVs)</w:t>
      </w:r>
      <w:r w:rsidR="00E04E78">
        <w:rPr>
          <w:rFonts w:hint="eastAsia"/>
        </w:rPr>
        <w:t xml:space="preserve"> depends on </w:t>
      </w:r>
      <w:r>
        <w:rPr>
          <w:rFonts w:hint="eastAsia"/>
        </w:rPr>
        <w:t>deployment conditions.</w:t>
      </w:r>
      <w:r w:rsidRPr="00DC0B27">
        <w:t xml:space="preserve"> We </w:t>
      </w:r>
      <w:r w:rsidR="00E04E78">
        <w:rPr>
          <w:rFonts w:hint="eastAsia"/>
        </w:rPr>
        <w:t>evaluated</w:t>
      </w:r>
      <w:r w:rsidR="00C51CA7">
        <w:rPr>
          <w:rFonts w:hint="eastAsia"/>
        </w:rPr>
        <w:t xml:space="preserve"> how </w:t>
      </w:r>
      <w:r w:rsidR="00E04E78" w:rsidRPr="00E04E78">
        <w:t>the health and economic</w:t>
      </w:r>
      <w:r w:rsidR="00E04E78">
        <w:rPr>
          <w:rFonts w:hint="eastAsia"/>
        </w:rPr>
        <w:t xml:space="preserve"> imp</w:t>
      </w:r>
      <w:r w:rsidR="00C51CA7">
        <w:rPr>
          <w:rFonts w:hint="eastAsia"/>
        </w:rPr>
        <w:t xml:space="preserve">act of </w:t>
      </w:r>
      <w:r w:rsidRPr="00DC0B27">
        <w:t xml:space="preserve">single-dose </w:t>
      </w:r>
      <w:r w:rsidR="00DC7542">
        <w:rPr>
          <w:rFonts w:hint="eastAsia"/>
        </w:rPr>
        <w:t>outbreak response immunization (ORIs)</w:t>
      </w:r>
      <w:r w:rsidR="00C51CA7">
        <w:rPr>
          <w:rFonts w:hint="eastAsia"/>
        </w:rPr>
        <w:t xml:space="preserve"> </w:t>
      </w:r>
      <w:proofErr w:type="gramStart"/>
      <w:r w:rsidR="00E04E78">
        <w:rPr>
          <w:rFonts w:hint="eastAsia"/>
        </w:rPr>
        <w:t>varies</w:t>
      </w:r>
      <w:proofErr w:type="gramEnd"/>
      <w:r w:rsidR="00E04E78">
        <w:rPr>
          <w:rFonts w:hint="eastAsia"/>
        </w:rPr>
        <w:t xml:space="preserve"> </w:t>
      </w:r>
      <w:r w:rsidRPr="00DC0B27">
        <w:t>across</w:t>
      </w:r>
      <w:r w:rsidR="00C51CA7">
        <w:rPr>
          <w:rFonts w:hint="eastAsia"/>
        </w:rPr>
        <w:t xml:space="preserve"> </w:t>
      </w:r>
      <w:r w:rsidR="00E04E78">
        <w:rPr>
          <w:rFonts w:hint="eastAsia"/>
        </w:rPr>
        <w:t xml:space="preserve">outbreak and implementation </w:t>
      </w:r>
      <w:r w:rsidR="00C51CA7">
        <w:rPr>
          <w:rFonts w:hint="eastAsia"/>
        </w:rPr>
        <w:t xml:space="preserve">parameters.  </w:t>
      </w:r>
    </w:p>
    <w:p w14:paraId="4A8910B3" w14:textId="77777777" w:rsidR="001475F2" w:rsidRPr="002A0251" w:rsidRDefault="001475F2" w:rsidP="00F57F15"/>
    <w:p w14:paraId="07526D23" w14:textId="77777777" w:rsidR="001475F2" w:rsidRPr="002A0251" w:rsidRDefault="001475F2" w:rsidP="00F57F15">
      <w:pPr>
        <w:rPr>
          <w:b/>
          <w:bCs/>
        </w:rPr>
      </w:pPr>
      <w:r w:rsidRPr="002A0251">
        <w:rPr>
          <w:b/>
          <w:bCs/>
        </w:rPr>
        <w:t>Methods</w:t>
      </w:r>
    </w:p>
    <w:p w14:paraId="35B26ABA" w14:textId="0F63C0D4" w:rsidR="00D4398F" w:rsidRPr="002A0251" w:rsidRDefault="00E04E78" w:rsidP="00F57F15">
      <w:r w:rsidRPr="00E04E78">
        <w:t>Using data from 1,192 cholera outbreaks (2010–2020) in sub-Saharan Africa</w:t>
      </w:r>
      <w:r w:rsidR="00DC7542">
        <w:rPr>
          <w:rFonts w:hint="eastAsia"/>
        </w:rPr>
        <w:t>, we</w:t>
      </w:r>
      <w:r w:rsidR="00C51CA7">
        <w:rPr>
          <w:rFonts w:hint="eastAsia"/>
        </w:rPr>
        <w:t xml:space="preserve"> </w:t>
      </w:r>
      <w:r>
        <w:rPr>
          <w:rFonts w:hint="eastAsia"/>
        </w:rPr>
        <w:t>simulated counterfactual O</w:t>
      </w:r>
      <w:r w:rsidR="003B0205" w:rsidRPr="003B0205">
        <w:t>RI</w:t>
      </w:r>
      <w:r w:rsidR="00DC7542">
        <w:rPr>
          <w:rFonts w:hint="eastAsia"/>
        </w:rPr>
        <w:t>s</w:t>
      </w:r>
      <w:r w:rsidR="00DC0B27">
        <w:rPr>
          <w:rFonts w:hint="eastAsia"/>
        </w:rPr>
        <w:t xml:space="preserve"> </w:t>
      </w:r>
      <w:r w:rsidR="003B0205" w:rsidRPr="003B0205">
        <w:t xml:space="preserve">varying </w:t>
      </w:r>
      <w:r w:rsidR="003B0205">
        <w:rPr>
          <w:rFonts w:hint="eastAsia"/>
        </w:rPr>
        <w:t>by</w:t>
      </w:r>
      <w:r w:rsidR="003B0205" w:rsidRPr="003B0205">
        <w:t xml:space="preserve"> timing, coverage, triggering</w:t>
      </w:r>
      <w:r w:rsidR="00DC7542">
        <w:rPr>
          <w:rFonts w:hint="eastAsia"/>
        </w:rPr>
        <w:t xml:space="preserve"> criteria,</w:t>
      </w:r>
      <w:r w:rsidR="003B0205" w:rsidRPr="003B0205">
        <w:t xml:space="preserve"> and target outbreak</w:t>
      </w:r>
      <w:r>
        <w:rPr>
          <w:rFonts w:hint="eastAsia"/>
        </w:rPr>
        <w:t xml:space="preserve"> </w:t>
      </w:r>
      <w:r w:rsidR="00DC7542">
        <w:rPr>
          <w:rFonts w:hint="eastAsia"/>
        </w:rPr>
        <w:t>s</w:t>
      </w:r>
      <w:r>
        <w:rPr>
          <w:rFonts w:hint="eastAsia"/>
        </w:rPr>
        <w:t>election. Outcome</w:t>
      </w:r>
      <w:r w:rsidR="00DC7542">
        <w:rPr>
          <w:rFonts w:hint="eastAsia"/>
        </w:rPr>
        <w:t>s</w:t>
      </w:r>
      <w:r w:rsidR="003B0205" w:rsidRPr="003B0205">
        <w:t>—evaluated at the individual</w:t>
      </w:r>
      <w:r w:rsidR="00031D13">
        <w:rPr>
          <w:rFonts w:hint="eastAsia"/>
        </w:rPr>
        <w:t>-</w:t>
      </w:r>
      <w:r w:rsidR="003B0205" w:rsidRPr="003B0205">
        <w:t xml:space="preserve">outbreak level and aggregated across subsets—included </w:t>
      </w:r>
      <w:r w:rsidR="003B0205" w:rsidRPr="00DC0B27">
        <w:rPr>
          <w:i/>
          <w:iCs/>
        </w:rPr>
        <w:t>impact</w:t>
      </w:r>
      <w:r w:rsidR="003B0205" w:rsidRPr="003B0205">
        <w:t xml:space="preserve"> (cases, deaths, and DALYs averted), </w:t>
      </w:r>
      <w:r w:rsidR="003B0205" w:rsidRPr="00DC0B27">
        <w:rPr>
          <w:i/>
          <w:iCs/>
        </w:rPr>
        <w:t>efficiency</w:t>
      </w:r>
      <w:r w:rsidR="003B0205" w:rsidRPr="003B0205">
        <w:t xml:space="preserve"> (impact per 1,000 OCV doses), and </w:t>
      </w:r>
      <w:r w:rsidR="003B0205" w:rsidRPr="00DC0B27">
        <w:rPr>
          <w:i/>
          <w:iCs/>
        </w:rPr>
        <w:t>cost-effectiveness</w:t>
      </w:r>
      <w:r w:rsidR="003B0205" w:rsidRPr="003B0205">
        <w:t xml:space="preserve"> (cost per unit of impact). Stochastic simulations </w:t>
      </w:r>
      <w:r w:rsidR="00031D13" w:rsidRPr="00031D13">
        <w:t>incorporated</w:t>
      </w:r>
      <w:r w:rsidR="00031D13">
        <w:rPr>
          <w:rFonts w:hint="eastAsia"/>
        </w:rPr>
        <w:t xml:space="preserve"> </w:t>
      </w:r>
      <w:r w:rsidR="003B0205" w:rsidRPr="003B0205">
        <w:t xml:space="preserve">age-specific vaccine efficacy, indirect protection, delays in </w:t>
      </w:r>
      <w:r w:rsidR="003B0205">
        <w:rPr>
          <w:rFonts w:hint="eastAsia"/>
        </w:rPr>
        <w:t>ORI</w:t>
      </w:r>
      <w:r w:rsidR="003B0205" w:rsidRPr="003B0205">
        <w:t xml:space="preserve"> initiation, and the time required to develop vaccine-derived immunity.</w:t>
      </w:r>
    </w:p>
    <w:p w14:paraId="7A05D036" w14:textId="77777777" w:rsidR="00D4398F" w:rsidRPr="002A0251" w:rsidRDefault="00D4398F" w:rsidP="00F57F15"/>
    <w:p w14:paraId="0AB7515C" w14:textId="784E6B70" w:rsidR="001475F2" w:rsidRPr="002A0251" w:rsidRDefault="001475F2" w:rsidP="00F57F15">
      <w:pPr>
        <w:rPr>
          <w:b/>
          <w:bCs/>
        </w:rPr>
      </w:pPr>
      <w:r w:rsidRPr="002A0251">
        <w:rPr>
          <w:b/>
          <w:bCs/>
        </w:rPr>
        <w:t>Findings</w:t>
      </w:r>
    </w:p>
    <w:p w14:paraId="53F55803" w14:textId="0CDB860F" w:rsidR="00DC0B27" w:rsidRDefault="00DC0B27" w:rsidP="0006181A">
      <w:r w:rsidRPr="00DC0B27">
        <w:t xml:space="preserve">At 75% coverage, ORI initiated in week 1 averted a median of 129 cases (IQR 41–375; 70% of total). Impact declined exponentially with </w:t>
      </w:r>
      <w:proofErr w:type="gramStart"/>
      <w:r w:rsidRPr="00DC0B27">
        <w:t>delay—</w:t>
      </w:r>
      <w:proofErr w:type="gramEnd"/>
      <w:r w:rsidRPr="00DC0B27">
        <w:t>by 15% per week and by half every 4·2 weeks—falling to 22 cases (9·8%) by week 9, c</w:t>
      </w:r>
      <w:r>
        <w:rPr>
          <w:rFonts w:hint="eastAsia"/>
        </w:rPr>
        <w:t xml:space="preserve">omparable to </w:t>
      </w:r>
      <w:r w:rsidRPr="00DC0B27">
        <w:t xml:space="preserve">historical response times. Early ORIs averted 0·69 cases (IQR 0·19–2·40) per 1,000 doses at US$4,659 per case averted; week 9 responses achieved 0·11 cases per 1,000 doses at US$13,039 per case. </w:t>
      </w:r>
      <w:r w:rsidR="00031D13" w:rsidRPr="00031D13">
        <w:t>Outbreaks in the top quartile of size or attack rate yielded up to sixfold greater impact and sevenfold higher efficiency.</w:t>
      </w:r>
      <w:r w:rsidR="00031D13">
        <w:rPr>
          <w:rFonts w:hint="eastAsia"/>
        </w:rPr>
        <w:t xml:space="preserve"> </w:t>
      </w:r>
      <w:r w:rsidR="00C51CA7" w:rsidRPr="00C51CA7">
        <w:t xml:space="preserve"> When aggregated across outbreaks reflecting OCV stockpile use, week 9 ORIs still achieved 0.44 </w:t>
      </w:r>
      <w:r w:rsidR="00E04E78" w:rsidRPr="00DC0B27">
        <w:t>(IQR 0·</w:t>
      </w:r>
      <w:r w:rsidR="00E04E78">
        <w:rPr>
          <w:rFonts w:hint="eastAsia"/>
        </w:rPr>
        <w:t>40</w:t>
      </w:r>
      <w:r w:rsidR="00E04E78" w:rsidRPr="00DC0B27">
        <w:t>–</w:t>
      </w:r>
      <w:r w:rsidR="00E04E78">
        <w:rPr>
          <w:rFonts w:hint="eastAsia"/>
        </w:rPr>
        <w:t>0</w:t>
      </w:r>
      <w:r w:rsidR="00E04E78" w:rsidRPr="00DC0B27">
        <w:t>·4</w:t>
      </w:r>
      <w:r w:rsidR="00E04E78">
        <w:rPr>
          <w:rFonts w:hint="eastAsia"/>
        </w:rPr>
        <w:t>7</w:t>
      </w:r>
      <w:r w:rsidR="00E04E78" w:rsidRPr="00DC0B27">
        <w:t xml:space="preserve">) </w:t>
      </w:r>
      <w:r w:rsidR="00C51CA7" w:rsidRPr="00C51CA7">
        <w:t xml:space="preserve">cases averted per 1,000 doses, </w:t>
      </w:r>
      <w:r w:rsidR="00E04E78">
        <w:rPr>
          <w:rFonts w:hint="eastAsia"/>
        </w:rPr>
        <w:t>ri</w:t>
      </w:r>
      <w:r w:rsidR="00C51CA7" w:rsidRPr="00C51CA7">
        <w:t>sing to 2.13</w:t>
      </w:r>
      <w:r w:rsidR="00E04E78">
        <w:rPr>
          <w:rFonts w:hint="eastAsia"/>
        </w:rPr>
        <w:t xml:space="preserve"> (IQR </w:t>
      </w:r>
      <w:r w:rsidR="00E04E78" w:rsidRPr="002A0251">
        <w:t>2.08 - 2.15</w:t>
      </w:r>
      <w:r w:rsidR="00E04E78">
        <w:rPr>
          <w:rFonts w:hint="eastAsia"/>
        </w:rPr>
        <w:t>)</w:t>
      </w:r>
      <w:r w:rsidR="00C51CA7" w:rsidRPr="00C51CA7">
        <w:t xml:space="preserve"> </w:t>
      </w:r>
      <w:r w:rsidR="00E04E78">
        <w:rPr>
          <w:rFonts w:hint="eastAsia"/>
        </w:rPr>
        <w:t xml:space="preserve">when </w:t>
      </w:r>
      <w:r w:rsidR="00031D13">
        <w:rPr>
          <w:rFonts w:hint="eastAsia"/>
        </w:rPr>
        <w:t xml:space="preserve">initiated </w:t>
      </w:r>
      <w:r w:rsidR="00E04E78">
        <w:rPr>
          <w:rFonts w:hint="eastAsia"/>
        </w:rPr>
        <w:t>i</w:t>
      </w:r>
      <w:r w:rsidR="00C51CA7" w:rsidRPr="00C51CA7">
        <w:t>n week 1 among the top 70% of outbreaks by attack rate.</w:t>
      </w:r>
    </w:p>
    <w:p w14:paraId="2181E69F" w14:textId="77777777" w:rsidR="00DC0B27" w:rsidRDefault="00DC0B27" w:rsidP="0006181A"/>
    <w:p w14:paraId="36191556" w14:textId="77777777" w:rsidR="00DC0B27" w:rsidRDefault="00DC0B27" w:rsidP="0006181A"/>
    <w:p w14:paraId="6F9E724E" w14:textId="77777777" w:rsidR="00DC0B27" w:rsidRDefault="00DC0B27" w:rsidP="0006181A"/>
    <w:p w14:paraId="58C802B0" w14:textId="77777777" w:rsidR="001475F2" w:rsidRPr="002A0251" w:rsidRDefault="001475F2" w:rsidP="00F57F15">
      <w:pPr>
        <w:rPr>
          <w:b/>
          <w:bCs/>
        </w:rPr>
      </w:pPr>
      <w:r w:rsidRPr="002A0251">
        <w:rPr>
          <w:b/>
          <w:bCs/>
        </w:rPr>
        <w:lastRenderedPageBreak/>
        <w:t>Conclusion</w:t>
      </w:r>
    </w:p>
    <w:p w14:paraId="059796FB" w14:textId="65E9657B" w:rsidR="003917BF" w:rsidRPr="002A0251" w:rsidRDefault="00DC0B27" w:rsidP="00F57F15">
      <w:r w:rsidRPr="00DC0B27">
        <w:t xml:space="preserve">Rapid OCV deployment and prioritization of large, sustained, high–attack-rate outbreaks are </w:t>
      </w:r>
      <w:r w:rsidR="00031D13">
        <w:rPr>
          <w:rFonts w:hint="eastAsia"/>
        </w:rPr>
        <w:t>critical</w:t>
      </w:r>
      <w:r w:rsidRPr="00DC0B27">
        <w:t xml:space="preserve"> to maximize impact. Even with delays, stockpile-supported campaigns can substantially reduce cholera burden in Africa.</w:t>
      </w:r>
    </w:p>
    <w:p w14:paraId="739FA1D6" w14:textId="77777777" w:rsidR="00885336" w:rsidRPr="002A0251" w:rsidRDefault="00885336" w:rsidP="00F57F15"/>
    <w:p w14:paraId="322866F6" w14:textId="6D6A2036" w:rsidR="002173D7" w:rsidRPr="002A0251" w:rsidRDefault="002173D7" w:rsidP="00F57F15">
      <w:pPr>
        <w:pStyle w:val="Heading2"/>
      </w:pPr>
      <w:bookmarkStart w:id="4" w:name="_Toc184909195"/>
      <w:r w:rsidRPr="002A0251">
        <w:t>Key messages</w:t>
      </w:r>
      <w:bookmarkEnd w:id="4"/>
    </w:p>
    <w:p w14:paraId="149C94E2" w14:textId="272E9972" w:rsidR="003F788D" w:rsidRPr="002A0251" w:rsidRDefault="003F788D" w:rsidP="00F57F15">
      <w:pPr>
        <w:pStyle w:val="ListParagraph"/>
        <w:numPr>
          <w:ilvl w:val="0"/>
          <w:numId w:val="10"/>
        </w:numPr>
      </w:pPr>
      <w:bookmarkStart w:id="5" w:name="_Hlk182818708"/>
      <w:r w:rsidRPr="002A0251">
        <w:t xml:space="preserve">We </w:t>
      </w:r>
      <w:r w:rsidR="00247AE3" w:rsidRPr="002A0251">
        <w:rPr>
          <w:rFonts w:hint="eastAsia"/>
        </w:rPr>
        <w:t>analyzed</w:t>
      </w:r>
      <w:r w:rsidRPr="002A0251">
        <w:t xml:space="preserve"> 1,192 cholera outbreaks across sub-Saharan Africa (2010–2020) to estimate the health and economic impact of </w:t>
      </w:r>
      <w:r w:rsidR="006462DA" w:rsidRPr="002A0251">
        <w:t>outbreak response immunization</w:t>
      </w:r>
      <w:r w:rsidR="006462DA">
        <w:rPr>
          <w:rFonts w:hint="eastAsia"/>
        </w:rPr>
        <w:t>s</w:t>
      </w:r>
      <w:r w:rsidR="006462DA" w:rsidRPr="002A0251">
        <w:t xml:space="preserve"> (ORI</w:t>
      </w:r>
      <w:r w:rsidR="006462DA">
        <w:rPr>
          <w:rFonts w:hint="eastAsia"/>
        </w:rPr>
        <w:t>s</w:t>
      </w:r>
      <w:r w:rsidR="006462DA" w:rsidRPr="002A0251">
        <w:t>)</w:t>
      </w:r>
      <w:r w:rsidR="006462DA">
        <w:rPr>
          <w:rFonts w:hint="eastAsia"/>
        </w:rPr>
        <w:t xml:space="preserve"> using single-dose oral cholera vaccine (OCV)</w:t>
      </w:r>
      <w:r w:rsidR="002172B7" w:rsidRPr="002A0251">
        <w:rPr>
          <w:rFonts w:hint="eastAsia"/>
        </w:rPr>
        <w:t>.</w:t>
      </w:r>
      <w:r w:rsidRPr="002A0251">
        <w:t xml:space="preserve"> </w:t>
      </w:r>
    </w:p>
    <w:p w14:paraId="72CC8770" w14:textId="0992F8F3" w:rsidR="00247AE3" w:rsidRPr="002A0251" w:rsidRDefault="00247AE3" w:rsidP="00F57F15">
      <w:pPr>
        <w:pStyle w:val="ListParagraph"/>
        <w:numPr>
          <w:ilvl w:val="0"/>
          <w:numId w:val="10"/>
        </w:numPr>
      </w:pPr>
      <w:r w:rsidRPr="002A0251">
        <w:t xml:space="preserve">When ORI was implemented within one week of outbreak onset, </w:t>
      </w:r>
      <w:r w:rsidR="007B63E9" w:rsidRPr="002A0251">
        <w:t xml:space="preserve">129 cases </w:t>
      </w:r>
      <w:r w:rsidR="006462DA">
        <w:rPr>
          <w:rFonts w:hint="eastAsia"/>
        </w:rPr>
        <w:t>(</w:t>
      </w:r>
      <w:r w:rsidR="007B63E9" w:rsidRPr="002A0251">
        <w:t>IQR: 41 – 375</w:t>
      </w:r>
      <w:r w:rsidR="006462DA">
        <w:rPr>
          <w:rFonts w:hint="eastAsia"/>
        </w:rPr>
        <w:t xml:space="preserve">; </w:t>
      </w:r>
      <w:r w:rsidR="007B63E9" w:rsidRPr="002A0251">
        <w:t>70% [IQR:49.8 - 82.5]</w:t>
      </w:r>
      <w:r w:rsidR="006462DA">
        <w:rPr>
          <w:rFonts w:hint="eastAsia"/>
        </w:rPr>
        <w:t>)</w:t>
      </w:r>
      <w:r w:rsidR="007B63E9" w:rsidRPr="002A0251">
        <w:rPr>
          <w:rFonts w:hint="eastAsia"/>
        </w:rPr>
        <w:t xml:space="preserve">, </w:t>
      </w:r>
      <w:r w:rsidR="007B63E9" w:rsidRPr="002A0251">
        <w:t>cases</w:t>
      </w:r>
      <w:r w:rsidRPr="002A0251">
        <w:t xml:space="preserve"> were averted; however, impact declined sharply, halving each four</w:t>
      </w:r>
      <w:r w:rsidR="006462DA">
        <w:rPr>
          <w:rFonts w:hint="eastAsia"/>
        </w:rPr>
        <w:t xml:space="preserve"> </w:t>
      </w:r>
      <w:r w:rsidRPr="002A0251">
        <w:t>week</w:t>
      </w:r>
      <w:r w:rsidR="006462DA">
        <w:rPr>
          <w:rFonts w:hint="eastAsia"/>
        </w:rPr>
        <w:t>s of</w:t>
      </w:r>
      <w:r w:rsidRPr="002A0251">
        <w:t xml:space="preserve"> delay.</w:t>
      </w:r>
    </w:p>
    <w:p w14:paraId="507D4134" w14:textId="60BEDF1E" w:rsidR="007B63E9" w:rsidRPr="002A0251" w:rsidRDefault="006462DA" w:rsidP="007B63E9">
      <w:pPr>
        <w:pStyle w:val="ListParagraph"/>
        <w:numPr>
          <w:ilvl w:val="0"/>
          <w:numId w:val="10"/>
        </w:numPr>
      </w:pPr>
      <w:r>
        <w:rPr>
          <w:rFonts w:hint="eastAsia"/>
        </w:rPr>
        <w:t>P</w:t>
      </w:r>
      <w:r w:rsidR="007B63E9" w:rsidRPr="002A0251">
        <w:t>rioritizing large</w:t>
      </w:r>
      <w:r w:rsidR="007B63E9" w:rsidRPr="002A0251">
        <w:rPr>
          <w:rFonts w:hint="eastAsia"/>
        </w:rPr>
        <w:t>, prolonged, and high</w:t>
      </w:r>
      <w:r>
        <w:rPr>
          <w:rFonts w:hint="eastAsia"/>
        </w:rPr>
        <w:t>-</w:t>
      </w:r>
      <w:r w:rsidR="007B63E9" w:rsidRPr="002A0251">
        <w:rPr>
          <w:rFonts w:hint="eastAsia"/>
        </w:rPr>
        <w:t>attack</w:t>
      </w:r>
      <w:r>
        <w:rPr>
          <w:rFonts w:hint="eastAsia"/>
        </w:rPr>
        <w:t>-</w:t>
      </w:r>
      <w:r w:rsidR="007B63E9" w:rsidRPr="002A0251">
        <w:rPr>
          <w:rFonts w:hint="eastAsia"/>
        </w:rPr>
        <w:t>rate</w:t>
      </w:r>
      <w:r w:rsidR="007B63E9" w:rsidRPr="002A0251">
        <w:t xml:space="preserve"> outbreaks </w:t>
      </w:r>
      <w:r>
        <w:rPr>
          <w:rFonts w:hint="eastAsia"/>
        </w:rPr>
        <w:t>yielded</w:t>
      </w:r>
      <w:r w:rsidR="007B63E9" w:rsidRPr="002A0251">
        <w:t xml:space="preserve"> markedly impact</w:t>
      </w:r>
      <w:r w:rsidR="007B63E9" w:rsidRPr="002A0251">
        <w:rPr>
          <w:rFonts w:hint="eastAsia"/>
        </w:rPr>
        <w:t>, efficiency,</w:t>
      </w:r>
      <w:r w:rsidR="007B63E9" w:rsidRPr="002A0251">
        <w:t xml:space="preserve"> and cost-effectiveness</w:t>
      </w:r>
      <w:r w:rsidR="007B63E9" w:rsidRPr="002A0251">
        <w:rPr>
          <w:rFonts w:hint="eastAsia"/>
        </w:rPr>
        <w:t>.</w:t>
      </w:r>
    </w:p>
    <w:p w14:paraId="428F8215" w14:textId="77777777" w:rsidR="006462DA" w:rsidRDefault="006462DA" w:rsidP="00F57F15">
      <w:pPr>
        <w:pStyle w:val="ListParagraph"/>
        <w:numPr>
          <w:ilvl w:val="0"/>
          <w:numId w:val="10"/>
        </w:numPr>
      </w:pPr>
      <w:r w:rsidRPr="006462DA">
        <w:t>When simulations reflected historical OCV stockpile deployments</w:t>
      </w:r>
      <w:r w:rsidR="00247AE3" w:rsidRPr="002A0251">
        <w:t xml:space="preserve">, </w:t>
      </w:r>
      <w:r w:rsidRPr="006462DA">
        <w:t>even 9-week-delayed ORIs still averted 0·44 (IQR 0·40–0·47) cases per 1,000 doses. These values increased to 2·13 (IQR 2·08–2·15) when campaigns were initiated in week 1 among the top 70% of outbreaks by attack rate.</w:t>
      </w:r>
    </w:p>
    <w:p w14:paraId="00859DCB" w14:textId="0A56AFD3" w:rsidR="003F788D" w:rsidRPr="002A0251" w:rsidRDefault="006462DA" w:rsidP="00F57F15">
      <w:pPr>
        <w:pStyle w:val="ListParagraph"/>
        <w:numPr>
          <w:ilvl w:val="0"/>
          <w:numId w:val="10"/>
        </w:numPr>
      </w:pPr>
      <w:bookmarkStart w:id="6" w:name="_Hlk182937165"/>
      <w:r w:rsidRPr="006462DA">
        <w:t>Timely and targeted ORI deployment is essential to maximize the impact of limited global OCV supply and reduce cholera burden in Africa.</w:t>
      </w:r>
    </w:p>
    <w:p w14:paraId="0B42E769" w14:textId="46333FE8" w:rsidR="009D1CE2" w:rsidRPr="002A0251" w:rsidRDefault="009D1CE2" w:rsidP="003F788D">
      <w:pPr>
        <w:ind w:left="360"/>
      </w:pPr>
    </w:p>
    <w:p w14:paraId="111DB3FB" w14:textId="0345AF46" w:rsidR="000A4EDF" w:rsidRPr="002A0251" w:rsidRDefault="000A4EDF" w:rsidP="00F57F15">
      <w:pPr>
        <w:pStyle w:val="Heading2"/>
      </w:pPr>
      <w:bookmarkStart w:id="7" w:name="_Toc184909196"/>
      <w:bookmarkEnd w:id="5"/>
      <w:bookmarkEnd w:id="6"/>
      <w:r w:rsidRPr="002A0251">
        <w:t>Research in context</w:t>
      </w:r>
      <w:bookmarkEnd w:id="7"/>
    </w:p>
    <w:p w14:paraId="328383B8" w14:textId="7A6109C0" w:rsidR="005C235E" w:rsidRPr="002A0251" w:rsidRDefault="009A2C69" w:rsidP="00F57F15">
      <w:pPr>
        <w:rPr>
          <w:b/>
          <w:bCs/>
        </w:rPr>
      </w:pPr>
      <w:r w:rsidRPr="002A0251">
        <w:rPr>
          <w:b/>
          <w:bCs/>
        </w:rPr>
        <w:t>Evidence before this study</w:t>
      </w:r>
    </w:p>
    <w:p w14:paraId="2FAD3889" w14:textId="5CB4C517" w:rsidR="009A2C69" w:rsidRPr="002A0251" w:rsidRDefault="009A2C69" w:rsidP="00F57F15">
      <w:r w:rsidRPr="002A0251">
        <w:t xml:space="preserve">We searched PubMed on March 15, 2024, with no language or date restrictions, using the search terms (("Cholera"[Mesh] OR "Vibrio cholerae"[Mesh])) AND "Cholera Vaccines"[Mesh] AND ((model*[Title/Abstract]) OR (math*[Title/Abstract])) AND </w:t>
      </w:r>
      <w:r w:rsidRPr="002A0251">
        <w:lastRenderedPageBreak/>
        <w:t>(vaccine*[Title/Abstract])</w:t>
      </w:r>
      <w:r w:rsidR="00734B2E" w:rsidRPr="002A0251">
        <w:t>, yielding 1</w:t>
      </w:r>
      <w:r w:rsidRPr="002A0251">
        <w:t>64 articles</w:t>
      </w:r>
      <w:r w:rsidR="00734B2E" w:rsidRPr="002A0251">
        <w:t xml:space="preserve">. Of these, </w:t>
      </w:r>
      <w:r w:rsidRPr="002A0251">
        <w:t>17</w:t>
      </w:r>
      <w:r w:rsidR="00734B2E" w:rsidRPr="002A0251">
        <w:t xml:space="preserve"> studies met the inclusion criteria, focusing on cholera transmission modeling to evaluate vaccine impact under various scenarios.</w:t>
      </w:r>
      <w:r w:rsidRPr="002A0251">
        <w:t xml:space="preserve"> Most </w:t>
      </w:r>
      <w:r w:rsidR="00734B2E" w:rsidRPr="002A0251">
        <w:t xml:space="preserve">studies simulated </w:t>
      </w:r>
      <w:r w:rsidRPr="002A0251">
        <w:t>outbreaks in single, unique geographic setting</w:t>
      </w:r>
      <w:r w:rsidRPr="002A0251">
        <w:rPr>
          <w:vertAlign w:val="superscript"/>
        </w:rPr>
        <w:fldChar w:fldCharType="begin"/>
      </w:r>
      <w:r w:rsidR="00492FC8" w:rsidRPr="002A0251">
        <w:rPr>
          <w:vertAlign w:val="superscript"/>
        </w:rPr>
        <w:instrText xml:space="preserve"> ADDIN ZOTERO_ITEM CSL_CITATION {"citationID":"l33n60L3","properties":{"formattedCitation":"\\super 1\\uc0\\u8211{}13\\nosupersub{}","plainCitation":"1–13","noteIndex":0},"citationItems":[{"id":"ybNQHeeS/FsjA11A9","uris":["http://zotero.org/users/local/xDVOxgbN/items/3KCFPCDX"],"itemData":{"id":67,"type":"article-journal","container-title":"PLOS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WLXBPUFH","uris":["http://zotero.org/users/local/xDVOxgbN/items/DYE8YE5X"],"itemData":{"id":101,"type":"article-journal","container-title":"Vaccine","DOI":"10.1016/j.vaccine.2015.09.088","ISSN":"0264410X","issue":"46","journalAbbreviation":"Vaccine","language":"en","page":"6218-6223","source":"DOI.org (Crossref)","title":"Optimized oral cholera vaccine distribution strategies to minimize disease incidence: A mixed integer programming model and analysis of a Bangladesh scenario","title-short":"Optimized oral cholera vaccine distribution strategies to minimize disease incidence","volume":"33","author":[{"family":"Smalley","given":"Hannah K."},{"family":"Keskinocak","given":"Pinar"},{"family":"Swann","given":"Julie"},{"family":"Hinman","given":"Alan"}],"issued":{"date-parts":[["2015",11]]}}},{"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1–13</w:t>
      </w:r>
      <w:r w:rsidRPr="002A0251">
        <w:rPr>
          <w:vertAlign w:val="superscript"/>
        </w:rPr>
        <w:fldChar w:fldCharType="end"/>
      </w:r>
      <w:r w:rsidRPr="002A0251">
        <w:t xml:space="preserve">, while </w:t>
      </w:r>
      <w:r w:rsidR="00734B2E" w:rsidRPr="002A0251">
        <w:t>only a few a</w:t>
      </w:r>
      <w:r w:rsidRPr="002A0251">
        <w:t xml:space="preserve">rticles </w:t>
      </w:r>
      <w:r w:rsidR="00734B2E" w:rsidRPr="002A0251">
        <w:t>examined</w:t>
      </w:r>
      <w:r w:rsidRPr="002A0251">
        <w:t xml:space="preserve"> outbreaks across </w:t>
      </w:r>
      <w:r w:rsidR="00EA15D0" w:rsidRPr="002A0251">
        <w:t>more than one</w:t>
      </w:r>
      <w:r w:rsidRPr="002A0251">
        <w:t xml:space="preserve"> geographic setting</w:t>
      </w:r>
      <w:r w:rsidR="00734B2E" w:rsidRPr="002A0251">
        <w:t>.</w:t>
      </w:r>
      <w:r w:rsidRPr="002A0251">
        <w:rPr>
          <w:vertAlign w:val="superscript"/>
        </w:rPr>
        <w:fldChar w:fldCharType="begin"/>
      </w:r>
      <w:r w:rsidR="00492FC8" w:rsidRPr="002A0251">
        <w:rPr>
          <w:vertAlign w:val="superscript"/>
        </w:rPr>
        <w:instrText xml:space="preserve"> ADDIN ZOTERO_ITEM CSL_CITATION {"citationID":"d0XWZaVf","properties":{"formattedCitation":"\\super 14\\uc0\\u8211{}17\\nosupersub{}","plainCitation":"14–17","noteIndex":0},"citationItems":[{"id":"ybNQHeeS/DZXg9sJk","uris":["http://zotero.org/users/local/xDVOxgbN/items/P34TEJN2"],"itemData":{"id":93,"type":"article-journal","abstract":"Background\n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F."}],"issued":{"date-parts":[["2016",4]]}}},{"id":"ybNQHeeS/Zl1ZWNeN","uris":["http://zotero.org/users/local/xDVOxgbN/items/ITJIZHPY"],"itemData":{"id":143,"type":"article-journal","abstract":"Abstract\n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vertAlign w:val="superscript"/>
        </w:rPr>
        <w:fldChar w:fldCharType="separate"/>
      </w:r>
      <w:r w:rsidR="00EA15D0" w:rsidRPr="002A0251">
        <w:rPr>
          <w:vertAlign w:val="superscript"/>
        </w:rPr>
        <w:t>14–17</w:t>
      </w:r>
      <w:r w:rsidRPr="002A0251">
        <w:rPr>
          <w:vertAlign w:val="superscript"/>
        </w:rPr>
        <w:fldChar w:fldCharType="end"/>
      </w:r>
      <w:r w:rsidRPr="002A0251">
        <w:t xml:space="preserve"> </w:t>
      </w:r>
      <w:r w:rsidR="00734B2E" w:rsidRPr="002A0251">
        <w:t>These studies</w:t>
      </w:r>
      <w:r w:rsidRPr="002A0251">
        <w:t xml:space="preserve"> </w:t>
      </w:r>
      <w:r w:rsidR="00734B2E" w:rsidRPr="002A0251">
        <w:t xml:space="preserve">varied significantly in campaign type, including </w:t>
      </w:r>
      <w:r w:rsidRPr="002A0251">
        <w:t xml:space="preserve">reactive mass campaigns, proactive campaigns, “hotspot” or area-targeted campaigns. </w:t>
      </w:r>
      <w:r w:rsidR="00734B2E" w:rsidRPr="002A0251">
        <w:t>Varia</w:t>
      </w:r>
      <w:r w:rsidR="00F61142" w:rsidRPr="002A0251">
        <w:rPr>
          <w:rFonts w:hint="eastAsia"/>
        </w:rPr>
        <w:t>bility</w:t>
      </w:r>
      <w:r w:rsidR="00734B2E" w:rsidRPr="002A0251">
        <w:t xml:space="preserve"> in outbreak size, duration, and modeling parameters—such as vaccine delivery and immunogenicity delays—were also common.</w:t>
      </w:r>
      <w:r w:rsidR="00504935" w:rsidRPr="002A0251">
        <w:t xml:space="preserve"> </w:t>
      </w:r>
      <w:r w:rsidRPr="002A0251">
        <w:t>For example, while some authors assumed protection immediately following vaccination</w:t>
      </w:r>
      <w:r w:rsidR="00427DD4" w:rsidRPr="002A0251">
        <w:t xml:space="preserve"> </w:t>
      </w:r>
      <w:r w:rsidRPr="002A0251">
        <w:rPr>
          <w:vertAlign w:val="superscript"/>
        </w:rPr>
        <w:fldChar w:fldCharType="begin"/>
      </w:r>
      <w:r w:rsidR="00492FC8" w:rsidRPr="002A0251">
        <w:rPr>
          <w:vertAlign w:val="superscript"/>
        </w:rPr>
        <w:instrText xml:space="preserve"> ADDIN ZOTERO_ITEM CSL_CITATION {"citationID":"hxdwoJZp","properties":{"formattedCitation":"\\super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Pr="002A0251">
        <w:rPr>
          <w:vertAlign w:val="superscript"/>
        </w:rPr>
        <w:fldChar w:fldCharType="separate"/>
      </w:r>
      <w:r w:rsidR="00EA15D0" w:rsidRPr="002A0251">
        <w:rPr>
          <w:vertAlign w:val="superscript"/>
        </w:rPr>
        <w:t>9,13–15</w:t>
      </w:r>
      <w:r w:rsidRPr="002A0251">
        <w:rPr>
          <w:vertAlign w:val="superscript"/>
        </w:rPr>
        <w:fldChar w:fldCharType="end"/>
      </w:r>
      <w:r w:rsidRPr="002A0251">
        <w:t>, others considered a lag between vaccination and protection</w:t>
      </w:r>
      <w:r w:rsidR="00F61142"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{"citationID":"XbAfQysx","properties":{"formattedCitation":"\\super 1,6,8,10\\nosupersub{}","plainCitation":"1,6,8,10","noteIndex":0},"citationItems":[{"id":"ybNQHeeS/FsjA11A9","uris":["http://zotero.org/users/local/xDVOxgbN/items/3KCFPCDX"],"itemData":{"id":67,"type":"article-journal","container-title":"PLOS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M."}],"issued":{"date-parts":[["2012",11,8]]}}}],"schema":"https://github.com/citation-style-language/schema/raw/master/csl-citation.json"} </w:instrText>
      </w:r>
      <w:r w:rsidRPr="002A0251">
        <w:rPr>
          <w:vertAlign w:val="superscript"/>
        </w:rPr>
        <w:fldChar w:fldCharType="separate"/>
      </w:r>
      <w:r w:rsidR="00EA15D0" w:rsidRPr="002A0251">
        <w:rPr>
          <w:vertAlign w:val="superscript"/>
        </w:rPr>
        <w:t>1,6,8,10</w:t>
      </w:r>
      <w:r w:rsidRPr="002A0251">
        <w:rPr>
          <w:vertAlign w:val="superscript"/>
        </w:rPr>
        <w:fldChar w:fldCharType="end"/>
      </w:r>
      <w:r w:rsidR="00504935" w:rsidRPr="002A0251">
        <w:t xml:space="preserve"> Most prior models focused on large outbreaks (e.g., Zimbabwe with 98,591 cases or Haiti with 119,902 cases)</w:t>
      </w:r>
      <w:r w:rsidR="00504935" w:rsidRPr="002A0251">
        <w:rPr>
          <w:vertAlign w:val="superscript"/>
        </w:rPr>
        <w:fldChar w:fldCharType="begin"/>
      </w:r>
      <w:r w:rsidR="00492FC8" w:rsidRPr="002A0251">
        <w:rPr>
          <w:vertAlign w:val="superscript"/>
        </w:rPr>
        <w:instrText xml:space="preserve"> ADDIN ZOTERO_ITEM CSL_CITATION {"citationID":"6odv1JBj","properties":{"formattedCitation":"\\super 8,15\\nosupersub{}","plainCitation":"8,15","noteIndex":0},"citationItems":[{"id":"ybNQHeeS/JSVKjJjQ","uris":["http://zotero.org/users/local/xDVOxgbN/items/TR5894IS"],"itemData":{"id":91,"type":"article-journal","abstract":"Abstract\n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504935" w:rsidRPr="002A0251">
        <w:rPr>
          <w:vertAlign w:val="superscript"/>
        </w:rPr>
        <w:fldChar w:fldCharType="separate"/>
      </w:r>
      <w:r w:rsidR="00504935" w:rsidRPr="002A0251">
        <w:rPr>
          <w:vertAlign w:val="superscript"/>
        </w:rPr>
        <w:t>8,15</w:t>
      </w:r>
      <w:r w:rsidR="00504935" w:rsidRPr="002A0251">
        <w:rPr>
          <w:vertAlign w:val="superscript"/>
        </w:rPr>
        <w:fldChar w:fldCharType="end"/>
      </w:r>
      <w:r w:rsidR="00504935" w:rsidRPr="002A0251">
        <w:t xml:space="preserve"> and lacked small or short-duration outbreaks. These gaps highlight the need for models that reflect a broader spectrum of outbreak characteristics to enhance the generalizability of vaccine impact assessments.</w:t>
      </w:r>
    </w:p>
    <w:p w14:paraId="1CF1AA95" w14:textId="77777777" w:rsidR="005C235E" w:rsidRPr="002A0251" w:rsidRDefault="005C235E" w:rsidP="00F57F15"/>
    <w:p w14:paraId="235EAC46" w14:textId="77777777" w:rsidR="009A2C69" w:rsidRPr="002A0251" w:rsidRDefault="009A2C69" w:rsidP="00F57F15">
      <w:pPr>
        <w:rPr>
          <w:b/>
          <w:bCs/>
        </w:rPr>
      </w:pPr>
      <w:r w:rsidRPr="002A0251">
        <w:rPr>
          <w:b/>
          <w:bCs/>
        </w:rPr>
        <w:t>Added value of this study</w:t>
      </w:r>
    </w:p>
    <w:p w14:paraId="1E46796F" w14:textId="018D06F4" w:rsidR="00504935" w:rsidRPr="002A0251" w:rsidRDefault="00504935" w:rsidP="00F57F15">
      <w:r w:rsidRPr="002A0251">
        <w:t xml:space="preserve">To our knowledge, this is the first study to model cholera vaccine impact across a large, diverse dataset of outbreaks from multiple temporal and geographic contexts in sub-Saharan Africa. By analyzing 1,406 unique outbreaks from 2010 to 2023—ranging in size, duration, </w:t>
      </w:r>
      <w:r w:rsidR="00F61142" w:rsidRPr="002A0251">
        <w:rPr>
          <w:rFonts w:hint="eastAsia"/>
        </w:rPr>
        <w:t xml:space="preserve">attack rate, </w:t>
      </w:r>
      <w:r w:rsidRPr="002A0251">
        <w:t>and population dynamics—our model offers a comprehensive and generalizable framework for evaluating oral cholera vaccine (OCV) impact in outbreak response immunizations (ORIs). Unlike previous studies focused on isolated large outbreaks, our approach captures the variability of outbreaks in their responses to vaccination timing and coverage. This broader modeling framework provides insights into cases and deaths averted and the cost-effectiveness of ORI campaigns across different outbreak characteristics and resource allocation strategies.</w:t>
      </w:r>
    </w:p>
    <w:p w14:paraId="657A07DC" w14:textId="77777777" w:rsidR="00504935" w:rsidRPr="002A0251" w:rsidRDefault="00504935" w:rsidP="00F57F15"/>
    <w:p w14:paraId="2A510C3C" w14:textId="163375D2" w:rsidR="008A2A00" w:rsidRPr="002A0251" w:rsidRDefault="009A2C69" w:rsidP="003D74EE">
      <w:r w:rsidRPr="002A0251">
        <w:rPr>
          <w:b/>
          <w:bCs/>
        </w:rPr>
        <w:t>Implications of the available evidence</w:t>
      </w:r>
      <w:r w:rsidRPr="002A0251">
        <w:br/>
      </w:r>
      <w:r w:rsidR="00504935" w:rsidRPr="002A0251">
        <w:t xml:space="preserve">Our study offers critical insights for guiding global cholera vaccine </w:t>
      </w:r>
      <w:r w:rsidR="00B72C4A" w:rsidRPr="002A0251">
        <w:t>implementation strategy</w:t>
      </w:r>
      <w:r w:rsidR="00504935" w:rsidRPr="002A0251">
        <w:t xml:space="preserve">. We demonstrate that ORI effectiveness declines by half </w:t>
      </w:r>
      <w:r w:rsidR="00F61142" w:rsidRPr="002A0251">
        <w:rPr>
          <w:rFonts w:hint="eastAsia"/>
        </w:rPr>
        <w:t xml:space="preserve">approximately </w:t>
      </w:r>
      <w:r w:rsidR="00504935" w:rsidRPr="002A0251">
        <w:t xml:space="preserve">every </w:t>
      </w:r>
      <w:r w:rsidR="00FC5766" w:rsidRPr="002A0251">
        <w:rPr>
          <w:rFonts w:hint="eastAsia"/>
        </w:rPr>
        <w:t>four</w:t>
      </w:r>
      <w:r w:rsidR="00504935" w:rsidRPr="002A0251">
        <w:t xml:space="preserve"> weeks </w:t>
      </w:r>
      <w:r w:rsidR="00504935" w:rsidRPr="002A0251">
        <w:lastRenderedPageBreak/>
        <w:t>during the first 1</w:t>
      </w:r>
      <w:r w:rsidR="00FC5766" w:rsidRPr="002A0251">
        <w:rPr>
          <w:rFonts w:hint="eastAsia"/>
        </w:rPr>
        <w:t>5</w:t>
      </w:r>
      <w:r w:rsidR="00504935" w:rsidRPr="002A0251">
        <w:t xml:space="preserve"> weeks of delay, underscoring the importance of timely campaign </w:t>
      </w:r>
      <w:r w:rsidR="00B72C4A" w:rsidRPr="002A0251">
        <w:t>implementation</w:t>
      </w:r>
      <w:r w:rsidR="00504935" w:rsidRPr="002A0251">
        <w:t>. Despite these delays, ORIs remain highly effective for large, prolonged outbreaks, even when initiated as late as nine weeks post-outbreak onset.</w:t>
      </w:r>
      <w:r w:rsidR="00FB0583" w:rsidRPr="002A0251">
        <w:t xml:space="preserve"> </w:t>
      </w:r>
      <w:r w:rsidR="00504935" w:rsidRPr="002A0251">
        <w:t xml:space="preserve">For example, with a 9-week delay, the median number of cases averted was 6 (&lt;5%) across all outbreaks, whereas the largest 10% of outbreaks saw a median of 1,338 cases averted (&gt;40%). When </w:t>
      </w:r>
      <w:r w:rsidR="008C1320" w:rsidRPr="002A0251">
        <w:rPr>
          <w:rFonts w:hint="eastAsia"/>
        </w:rPr>
        <w:t xml:space="preserve">the </w:t>
      </w:r>
      <w:r w:rsidR="00F61142" w:rsidRPr="002A0251">
        <w:rPr>
          <w:rFonts w:hint="eastAsia"/>
        </w:rPr>
        <w:t xml:space="preserve">vaccine impact </w:t>
      </w:r>
      <w:r w:rsidR="008C1320" w:rsidRPr="002A0251">
        <w:t>is</w:t>
      </w:r>
      <w:r w:rsidR="00F61142" w:rsidRPr="002A0251">
        <w:rPr>
          <w:rFonts w:hint="eastAsia"/>
        </w:rPr>
        <w:t xml:space="preserve"> </w:t>
      </w:r>
      <w:r w:rsidR="00773EF3" w:rsidRPr="002A0251">
        <w:rPr>
          <w:rFonts w:hint="eastAsia"/>
        </w:rPr>
        <w:t xml:space="preserve">assessed across </w:t>
      </w:r>
      <w:r w:rsidR="00F61142" w:rsidRPr="002A0251">
        <w:rPr>
          <w:rFonts w:hint="eastAsia"/>
        </w:rPr>
        <w:t>outbreaks</w:t>
      </w:r>
      <w:r w:rsidR="00773EF3" w:rsidRPr="002A0251">
        <w:rPr>
          <w:rFonts w:hint="eastAsia"/>
        </w:rPr>
        <w:t xml:space="preserve"> collectively</w:t>
      </w:r>
      <w:r w:rsidR="00504935" w:rsidRPr="002A0251">
        <w:t xml:space="preserve">, </w:t>
      </w:r>
      <w:r w:rsidR="002501A0" w:rsidRPr="002A0251">
        <w:rPr>
          <w:rFonts w:hint="eastAsia"/>
        </w:rPr>
        <w:t xml:space="preserve">overall </w:t>
      </w:r>
      <w:r w:rsidR="00773EF3" w:rsidRPr="002A0251">
        <w:rPr>
          <w:rFonts w:hint="eastAsia"/>
        </w:rPr>
        <w:t xml:space="preserve">percent reduction in cases </w:t>
      </w:r>
      <w:r w:rsidR="00504935" w:rsidRPr="002A0251">
        <w:t>reach</w:t>
      </w:r>
      <w:r w:rsidR="002501A0" w:rsidRPr="002A0251">
        <w:rPr>
          <w:rFonts w:hint="eastAsia"/>
        </w:rPr>
        <w:t>es</w:t>
      </w:r>
      <w:r w:rsidR="00504935" w:rsidRPr="002A0251">
        <w:t xml:space="preserve"> </w:t>
      </w:r>
      <w:r w:rsidR="00FC5766" w:rsidRPr="002A0251">
        <w:t>27.7</w:t>
      </w:r>
      <w:r w:rsidR="00FC5766" w:rsidRPr="002A0251">
        <w:rPr>
          <w:rFonts w:hint="eastAsia"/>
        </w:rPr>
        <w:t>% [IQR:</w:t>
      </w:r>
      <w:r w:rsidR="00FC5766" w:rsidRPr="002A0251">
        <w:t xml:space="preserve"> 25.1</w:t>
      </w:r>
      <w:r w:rsidR="00FC5766" w:rsidRPr="002A0251">
        <w:rPr>
          <w:rFonts w:hint="eastAsia"/>
        </w:rPr>
        <w:t>,</w:t>
      </w:r>
      <w:r w:rsidR="00FC5766" w:rsidRPr="002A0251">
        <w:t xml:space="preserve"> 30.2]</w:t>
      </w:r>
      <w:r w:rsidR="00A04D26" w:rsidRPr="002A0251">
        <w:t xml:space="preserve"> </w:t>
      </w:r>
      <w:r w:rsidR="00A04D26" w:rsidRPr="002A0251">
        <w:rPr>
          <w:rFonts w:hint="eastAsia"/>
        </w:rPr>
        <w:t xml:space="preserve">and </w:t>
      </w:r>
      <w:r w:rsidR="00FC5766" w:rsidRPr="002A0251">
        <w:t xml:space="preserve">0.435 </w:t>
      </w:r>
      <w:r w:rsidR="00FC5766" w:rsidRPr="002A0251">
        <w:rPr>
          <w:rFonts w:hint="eastAsia"/>
        </w:rPr>
        <w:t>[IQR:</w:t>
      </w:r>
      <w:r w:rsidR="00FC5766" w:rsidRPr="002A0251">
        <w:t>0.401 - 0.477</w:t>
      </w:r>
      <w:r w:rsidR="00FC5766" w:rsidRPr="002A0251">
        <w:rPr>
          <w:rFonts w:hint="eastAsia"/>
        </w:rPr>
        <w:t xml:space="preserve">] </w:t>
      </w:r>
      <w:r w:rsidR="00A04D26" w:rsidRPr="002A0251">
        <w:rPr>
          <w:rFonts w:hint="eastAsia"/>
        </w:rPr>
        <w:t xml:space="preserve">cases </w:t>
      </w:r>
      <w:r w:rsidR="008C1320" w:rsidRPr="002A0251">
        <w:rPr>
          <w:rFonts w:hint="eastAsia"/>
        </w:rPr>
        <w:t xml:space="preserve">are averted </w:t>
      </w:r>
      <w:r w:rsidR="00A04D26" w:rsidRPr="002A0251">
        <w:rPr>
          <w:rFonts w:hint="eastAsia"/>
        </w:rPr>
        <w:t>per 1,000 OCVs</w:t>
      </w:r>
      <w:r w:rsidR="00773EF3" w:rsidRPr="002A0251">
        <w:rPr>
          <w:rFonts w:hint="eastAsia"/>
        </w:rPr>
        <w:t xml:space="preserve">. </w:t>
      </w:r>
      <w:r w:rsidR="008C1320" w:rsidRPr="002A0251">
        <w:rPr>
          <w:rFonts w:hint="eastAsia"/>
        </w:rPr>
        <w:t xml:space="preserve">These impacts can be further amplified if ORI </w:t>
      </w:r>
      <w:r w:rsidR="00504935" w:rsidRPr="002A0251">
        <w:t>campaigns are prioritized for large outbreaks. These findings highlight the need for targeted vaccination strategies that prioritize high-burden outbreaks</w:t>
      </w:r>
      <w:r w:rsidR="00FC5766" w:rsidRPr="002A0251">
        <w:rPr>
          <w:rFonts w:hint="eastAsia"/>
        </w:rPr>
        <w:t>,</w:t>
      </w:r>
      <w:r w:rsidR="00504935" w:rsidRPr="002A0251">
        <w:t xml:space="preserve"> enabling more efficient resource allocation and maximizing the overall impact of limited OCV supplies.</w:t>
      </w:r>
      <w:r w:rsidR="00FB0583" w:rsidRPr="002A0251">
        <w:t xml:space="preserve"> </w:t>
      </w:r>
    </w:p>
    <w:p w14:paraId="000000D3" w14:textId="77777777" w:rsidR="00E7552A" w:rsidRPr="002A0251" w:rsidRDefault="0091383D" w:rsidP="00F57F15">
      <w:pPr>
        <w:pStyle w:val="Heading1"/>
      </w:pPr>
      <w:bookmarkStart w:id="8" w:name="_Toc184909197"/>
      <w:bookmarkEnd w:id="3"/>
      <w:r w:rsidRPr="002A0251">
        <w:t>Main text</w:t>
      </w:r>
      <w:bookmarkEnd w:id="8"/>
    </w:p>
    <w:p w14:paraId="7718A75B" w14:textId="6EC40004" w:rsidR="00A546D1" w:rsidRPr="002A0251" w:rsidRDefault="0091383D" w:rsidP="008A2A00">
      <w:pPr>
        <w:pStyle w:val="Heading2"/>
      </w:pPr>
      <w:bookmarkStart w:id="9" w:name="_heading=h.26in1rg" w:colFirst="0" w:colLast="0"/>
      <w:bookmarkStart w:id="10" w:name="_Toc184909198"/>
      <w:bookmarkEnd w:id="9"/>
      <w:r w:rsidRPr="002A0251">
        <w:t>Introduction</w:t>
      </w:r>
      <w:bookmarkEnd w:id="10"/>
    </w:p>
    <w:p w14:paraId="5B6814B3" w14:textId="18F3C13B" w:rsidR="003A111A" w:rsidRDefault="00027F63" w:rsidP="00B2189F">
      <w:r w:rsidRPr="002A0251">
        <w:t>Cholera, one of the oldest infectious diseases affecting humans, has persisted as a major public health challenge since the 7th pandemic began near the Bay of Bengal in 1961</w:t>
      </w:r>
      <w:r w:rsidR="001C10AC" w:rsidRPr="002A0251">
        <w:rPr>
          <w:rFonts w:hint="eastAsia"/>
        </w:rPr>
        <w:t>.</w:t>
      </w:r>
      <w:r w:rsidR="00DE4AD0" w:rsidRPr="002A0251">
        <w:fldChar w:fldCharType="begin"/>
      </w:r>
      <w:r w:rsidR="000B5A14" w:rsidRPr="002A0251">
        <w:instrText xml:space="preserve"> ADDIN ZOTERO_ITEM CSL_CITATION {"citationID":"tcNSGqYs","properties":{"formattedCitation":"\\super 18\\nosupersub{}","plainCitation":"18","noteIndex":0},"citationItems":[{"id":8622,"uris":["http://zotero.org/users/7663102/items/K8X26V6I"],"itemData":{"id":8622,"type":"article-journal","abstract":"Despite more than a century of study, cholera still presents challenges and surprises to us. Throughout most of the 20th century, cholera was caused by Vibrio cholerae of the O1 serogroup and the disease was largely confined to Asia and Africa. However, the last decade of the 20th century has witnessed two major developments in the history of this disease. In 1991, a massive outbreak of cholera started in South America, the one continent previously untouched by cholera in this century. In 1992, an apparently new pandemic caused by a previously unknown serogroup of V. cholerae (O139) began in India and Bangladesh. The O139 epidemic has been occurring in populations assumed to be largely immune to V. cholerae O1 and has rapidly spread to many countries including the United States. In this review, we discuss all aspects of cholera, including the clinical microbiology, epidemiology, pathogenesis, and clinical features of the disease. Special attention will be paid to the extraordinary advances that have been made in recent years in unravelling the molecular pathogenesis of this infection and in the development of new generations of vaccines to prevent it.","container-title":"Clinical Microbiology Reviews","DOI":"10.1128/CMR.8.1.48","ISSN":"0893-8512","issue":"1","journalAbbreviation":"Clin Microbiol Rev","language":"eng","note":"PMID: 7704895\nPMCID: PMC172849","page":"48-86","source":"PubMed","title":"Cholera","volume":"8","author":[{"family":"Kaper","given":"J. B."},{"family":"Morris","given":"J. G."},{"family":"Levine","given":"M. M."}],"issued":{"date-parts":[["1995",1]]},"citation-key":"kaperCholera1995"}}],"schema":"https://github.com/citation-style-language/schema/raw/master/csl-citation.json"} </w:instrText>
      </w:r>
      <w:r w:rsidR="00DE4AD0" w:rsidRPr="002A0251">
        <w:fldChar w:fldCharType="separate"/>
      </w:r>
      <w:r w:rsidR="00DE4AD0" w:rsidRPr="002A0251">
        <w:rPr>
          <w:rFonts w:cs="Times New Roman"/>
          <w:vertAlign w:val="superscript"/>
        </w:rPr>
        <w:t>18</w:t>
      </w:r>
      <w:r w:rsidR="00DE4AD0" w:rsidRPr="002A0251">
        <w:fldChar w:fldCharType="end"/>
      </w:r>
      <w:r w:rsidR="00A134B5" w:rsidRPr="002A0251">
        <w:rPr>
          <w:rFonts w:hint="eastAsia"/>
        </w:rPr>
        <w:t xml:space="preserve"> </w:t>
      </w:r>
      <w:r w:rsidRPr="002A0251">
        <w:t xml:space="preserve">It remains a significant </w:t>
      </w:r>
      <w:r w:rsidR="008C1F6C">
        <w:rPr>
          <w:rFonts w:hint="eastAsia"/>
        </w:rPr>
        <w:t>threat</w:t>
      </w:r>
      <w:r w:rsidRPr="002A0251">
        <w:t xml:space="preserve"> in </w:t>
      </w:r>
      <w:r w:rsidR="008C1F6C">
        <w:rPr>
          <w:rFonts w:hint="eastAsia"/>
        </w:rPr>
        <w:t>settings</w:t>
      </w:r>
      <w:r w:rsidRPr="002A0251">
        <w:t xml:space="preserve"> with inadequate water, sanitation, and hygiene (</w:t>
      </w:r>
      <w:proofErr w:type="spellStart"/>
      <w:r w:rsidRPr="002A0251">
        <w:t>WaSH</w:t>
      </w:r>
      <w:proofErr w:type="spellEnd"/>
      <w:r w:rsidRPr="002A0251">
        <w:t>), particularly in low- and middle-income countries (LMICs).</w:t>
      </w:r>
      <w:r w:rsidR="00C45EE6" w:rsidRPr="002A0251">
        <w:fldChar w:fldCharType="begin"/>
      </w:r>
      <w:r w:rsidR="000B5A14" w:rsidRPr="002A0251">
        <w:instrText xml:space="preserve"> ADDIN ZOTERO_ITEM CSL_CITATION {"citationID":"YdCJLktU","properties":{"formattedCitation":"\\super 19\\nosupersub{}","plainCitation":"19","noteIndex":0},"citationItems":[{"id":15132,"uris":["http://zotero.org/users/7663102/items/JFZ6PANM"],"itemData":{"id":15132,"type":"article-journal","abstract":"Improvements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S."}],"issued":{"date-parts":[["2023",7,18]]},"citation-key":"sikderWaterSanitationCholera2023"}}],"schema":"https://github.com/citation-style-language/schema/raw/master/csl-citation.json"} </w:instrText>
      </w:r>
      <w:r w:rsidR="00C45EE6" w:rsidRPr="002A0251">
        <w:fldChar w:fldCharType="separate"/>
      </w:r>
      <w:r w:rsidR="00C45EE6" w:rsidRPr="002A0251">
        <w:rPr>
          <w:rFonts w:cs="Times New Roman"/>
          <w:vertAlign w:val="superscript"/>
        </w:rPr>
        <w:t>19</w:t>
      </w:r>
      <w:r w:rsidR="00C45EE6" w:rsidRPr="002A0251">
        <w:fldChar w:fldCharType="end"/>
      </w:r>
      <w:r w:rsidR="00C95493" w:rsidRPr="002A0251">
        <w:rPr>
          <w:rFonts w:hint="eastAsia"/>
        </w:rPr>
        <w:t xml:space="preserve"> </w:t>
      </w:r>
      <w:r w:rsidRPr="002A0251">
        <w:t>Modelled estimates</w:t>
      </w:r>
      <w:r w:rsidR="008C1F6C">
        <w:rPr>
          <w:rFonts w:hint="eastAsia"/>
        </w:rPr>
        <w:t xml:space="preserve"> and </w:t>
      </w:r>
      <w:r w:rsidRPr="002A0251">
        <w:t xml:space="preserve">World Health Organization (WHO) </w:t>
      </w:r>
      <w:r w:rsidR="008C1F6C">
        <w:rPr>
          <w:rFonts w:hint="eastAsia"/>
        </w:rPr>
        <w:t xml:space="preserve">reports </w:t>
      </w:r>
      <w:r w:rsidRPr="002A0251">
        <w:t>indicate that sub-Saharan Africa</w:t>
      </w:r>
      <w:r w:rsidR="008C1F6C">
        <w:rPr>
          <w:rFonts w:hint="eastAsia"/>
        </w:rPr>
        <w:t xml:space="preserve"> carries</w:t>
      </w:r>
      <w:r w:rsidRPr="002A0251">
        <w:t xml:space="preserve"> the majority of the global burden, </w:t>
      </w:r>
      <w:r w:rsidR="008C1F6C">
        <w:rPr>
          <w:rFonts w:hint="eastAsia"/>
        </w:rPr>
        <w:t xml:space="preserve">marked by </w:t>
      </w:r>
      <w:r w:rsidRPr="002A0251">
        <w:t>substantial spatial heterogeneity</w:t>
      </w:r>
      <w:r w:rsidR="00074500" w:rsidRPr="002A0251">
        <w:rPr>
          <w:rFonts w:hint="eastAsia"/>
        </w:rPr>
        <w:t>.</w:t>
      </w:r>
      <w:r w:rsidR="00BC0045" w:rsidRPr="002A0251">
        <w:fldChar w:fldCharType="begin"/>
      </w:r>
      <w:r w:rsidR="000B5A14" w:rsidRPr="002A0251">
        <w:instrText xml:space="preserve"> ADDIN ZOTERO_ITEM CSL_CITATION {"citationID":"RqlFSadK","properties":{"formattedCitation":"\\super 20\\uc0\\u8211{}22\\nosupersub{}","plainCitation":"20–22","noteIndex":0},"citationItems":[{"id":15350,"uris":["http://zotero.org/users/7663102/items/DLLP4L4V"],"itemData":{"id":15350,"type":"article-journal","abstract":"The global burden of cholera is largely unknown because the majority of cases are not reported. The low reporting can be attributed to limited capacity of epidemiological surveillance and laboratories, as well as social, political, and economic disincentives for reporting. We previously estimated 2.8 million cases and 91,000 deaths annually due to cholera in 51 endemic countries. A major limitation in our previous estimate was that the endemic and non-endemic countries were defined based on the countries’ reported cholera cases. If a country did not report cases even though the country had cholera, the country was classified as cholera free. This time we addressed this limitation by using a spatial modelling technique, which helped us define the cholera-endemic countries based on access to improved water and sanitation in the country as well as cholera incidence in neighboring countries. Our new estimate illustrates 2.9 million of cases and 95,000 deaths in 69 endemic countries, with the majority of the burden in Sub-Saharan Africa. The sustained high burden of cholera points to the necessity for integrated and improved control efforts, and these findings may help programmatic decision-making for controlling the disease in endemic countries.","container-title":"PLoS Neglected Tropical Diseases","DOI":"10.1371/journal.pntd.0003832","ISSN":"1935-2727","issue":"6","journalAbbreviation":"PLoS Negl Trop Dis","note":"PMID: 26043000\nPMCID: PMC4455997","page":"e0003832","source":"PubMed Central","title":"Updated Global Burden of Cholera in Endemic Countries","volume":"9","author":[{"family":"Ali","given":"Mohammad"},{"family":"Nelson","given":"Allyson R."},{"family":"Lopez","given":"Anna Lena"},{"family":"Sack","given":"David A."}],"issued":{"date-parts":[["2015",6,4]]},"citation-key":"ali2015"}},{"id":15339,"uris":["http://zotero.org/users/7663102/items/DGTZE44I"],"itemData":{"id":15339,"type":"article-journal","abstract":"Cholera is an acute, watery diarrhoeal disease caused by Vibrio cholerae of the O1 or O139 serogroups. In the past two centuries, cholera has emerged and spread from the Ganges Delta six times and from Indonesia once to cause global pandemics. Rational approaches to the case management of cholera with oral and intravenous rehydration therapy have reduced the case fatality of cholera from more than 50% to much less than 1%. Despite improvements in water quality, sanitation, and hygiene, as well as in the clinical treatment of cholera, the disease is still estimated to cause about 100</w:instrText>
      </w:r>
      <w:r w:rsidR="000B5A14" w:rsidRPr="002A0251">
        <w:rPr>
          <w:rFonts w:ascii="Arial" w:hAnsi="Arial"/>
        </w:rPr>
        <w:instrText> </w:instrText>
      </w:r>
      <w:r w:rsidR="000B5A14" w:rsidRPr="002A0251">
        <w:instrText>000 deaths every year. Most deaths occur in cholera-endemic settings, and virtually all deaths occur in developing countries. Contemporary understanding of immune protection against cholera, which results from local intestinal immunity, has yielded safe and protective orally administered cholera vaccines that are now globally stockpiled for use in the control of both epidemic and endemic cholera.","container-title":"Lancet (London, England)","DOI":"10.1016/S0140-6736(17)30559-7","ISSN":"1474-547X","issue":"10101","journalAbbreviation":"Lancet","language":"eng","note":"PMID: 28302312","page":"1539-1549","source":"PubMed","title":"Cholera","volume":"390","author":[{"family":"Clemens","given":"John D."},{"family":"Nair","given":"G. Balakrish"},{"family":"Ahmed","given":"Tahmeed"},{"family":"Qadri","given":"Firdausi"},{"family":"Holmgren","given":"Jan"}],"issued":{"date-parts":[["2017",9,23]]},"citation-key":"clemensCholera2017"}},{"id":7242,"uris":["http://zotero.org/users/7663102/items/FWUSSHKN"],"itemData":{"id":7242,"type":"article-journal","abstract":"BACKGROUND: Cholera remains a persistent health problem in sub-Saharan Africa and worldwide. Cholera can be controlled through appropriate water and s</w:instrText>
      </w:r>
      <w:r w:rsidR="000B5A14" w:rsidRPr="002A0251">
        <w:rPr>
          <w:rFonts w:hint="eastAsia"/>
        </w:rPr>
        <w:instrText>anitation, or  by oral cholera vaccination, which provides transient (</w:instrText>
      </w:r>
      <w:r w:rsidR="000B5A14" w:rsidRPr="002A0251">
        <w:rPr>
          <w:rFonts w:hint="eastAsia"/>
        </w:rPr>
        <w:instrText>∼</w:instrText>
      </w:r>
      <w:r w:rsidR="000B5A14" w:rsidRPr="002A0251">
        <w:rPr>
          <w:rFonts w:hint="eastAsia"/>
        </w:rPr>
        <w:instrText>3 years) protection,  although vaccine supplies remain scarce. We aimed to map cholera burden in  sub-Saharan Africa and assess how geographical targeting could lead to more  efficient</w:instrText>
      </w:r>
      <w:r w:rsidR="000B5A14" w:rsidRPr="002A0251">
        <w:instrText xml:space="preserve"> interventions. METHODS: We combined information on cholera incidence in  sub-Saharan Africa (excluding Djibouti and Eritrea) from 2010 to 2016 from  datasets from WHO, Médecins Sans Frontières, ProMED, ReliefWeb, ministries of  health, and the scientific literature. We divided the study region into 20  km</w:instrText>
      </w:r>
      <w:r w:rsidR="000B5A14" w:rsidRPr="002A0251">
        <w:rPr>
          <w:rFonts w:ascii="Arial" w:hAnsi="Arial"/>
        </w:rPr>
        <w:instrText> </w:instrText>
      </w:r>
      <w:r w:rsidR="000B5A14" w:rsidRPr="002A0251">
        <w:rPr>
          <w:rFonts w:cs="Aptos"/>
        </w:rPr>
        <w:instrText>×</w:instrText>
      </w:r>
      <w:r w:rsidR="000B5A14" w:rsidRPr="002A0251">
        <w:rPr>
          <w:rFonts w:ascii="Arial" w:hAnsi="Arial"/>
        </w:rPr>
        <w:instrText> </w:instrText>
      </w:r>
      <w:r w:rsidR="000B5A14" w:rsidRPr="002A0251">
        <w:instrText>20 km grid cells and modelled annual cholera incidence in each grid cell  assuming a Poisson process adjusted for covariates and spatially correlated  random effects. We combined these findings with data on population distribution  to estimate the number of people living in areas of high cholera incidence (&gt;1  case per 1000 people per year). We further estimated the reduction in cholera  incidence that could be achieved by targeting cholera prevention and control  interventions at areas of high cholera incidence. FINDINGS: We included 279  datasets covering 2283 locations in our analyses. In sub-Saharan Africa  (excluding Djibouti and Eritrea), a mean of 141</w:instrText>
      </w:r>
      <w:r w:rsidR="000B5A14" w:rsidRPr="002A0251">
        <w:rPr>
          <w:rFonts w:ascii="Arial" w:hAnsi="Arial"/>
        </w:rPr>
        <w:instrText> </w:instrText>
      </w:r>
      <w:r w:rsidR="000B5A14" w:rsidRPr="002A0251">
        <w:instrText>918 cholera cases (95% credible  interval [CrI] 141</w:instrText>
      </w:r>
      <w:r w:rsidR="000B5A14" w:rsidRPr="002A0251">
        <w:rPr>
          <w:rFonts w:ascii="Arial" w:hAnsi="Arial"/>
        </w:rPr>
        <w:instrText> </w:instrText>
      </w:r>
      <w:r w:rsidR="000B5A14" w:rsidRPr="002A0251">
        <w:instrText>538-146</w:instrText>
      </w:r>
      <w:r w:rsidR="000B5A14" w:rsidRPr="002A0251">
        <w:rPr>
          <w:rFonts w:ascii="Arial" w:hAnsi="Arial"/>
        </w:rPr>
        <w:instrText> </w:instrText>
      </w:r>
      <w:r w:rsidR="000B5A14" w:rsidRPr="002A0251">
        <w:instrText>505) were reported per year. 4</w:instrText>
      </w:r>
      <w:r w:rsidR="000B5A14" w:rsidRPr="002A0251">
        <w:rPr>
          <w:rFonts w:cs="Aptos"/>
        </w:rPr>
        <w:instrText>·</w:instrText>
      </w:r>
      <w:r w:rsidR="000B5A14" w:rsidRPr="002A0251">
        <w:instrText>0% (95% CrI 1</w:instrText>
      </w:r>
      <w:r w:rsidR="000B5A14" w:rsidRPr="002A0251">
        <w:rPr>
          <w:rFonts w:cs="Aptos"/>
        </w:rPr>
        <w:instrText>·</w:instrText>
      </w:r>
      <w:r w:rsidR="000B5A14" w:rsidRPr="002A0251">
        <w:instrText>7-16</w:instrText>
      </w:r>
      <w:r w:rsidR="000B5A14" w:rsidRPr="002A0251">
        <w:rPr>
          <w:rFonts w:cs="Aptos"/>
        </w:rPr>
        <w:instrText>·</w:instrText>
      </w:r>
      <w:r w:rsidR="000B5A14" w:rsidRPr="002A0251">
        <w:instrText>8)  of districts, home to 87</w:instrText>
      </w:r>
      <w:r w:rsidR="000B5A14" w:rsidRPr="002A0251">
        <w:rPr>
          <w:rFonts w:cs="Aptos"/>
        </w:rPr>
        <w:instrText>·</w:instrText>
      </w:r>
      <w:r w:rsidR="000B5A14" w:rsidRPr="002A0251">
        <w:instrText>2 million people (95% CrI 60</w:instrText>
      </w:r>
      <w:r w:rsidR="000B5A14" w:rsidRPr="002A0251">
        <w:rPr>
          <w:rFonts w:cs="Aptos"/>
        </w:rPr>
        <w:instrText>·</w:instrText>
      </w:r>
      <w:r w:rsidR="000B5A14" w:rsidRPr="002A0251">
        <w:instrText>3 million to 118</w:instrText>
      </w:r>
      <w:r w:rsidR="000B5A14" w:rsidRPr="002A0251">
        <w:rPr>
          <w:rFonts w:cs="Aptos"/>
        </w:rPr>
        <w:instrText>·</w:instrText>
      </w:r>
      <w:r w:rsidR="000B5A14" w:rsidRPr="002A0251">
        <w:instrText>9  million), have high cholera incidence. By focusing on the highest incidence  districts first, effective targeted interventions could eliminate 50% of the  region's cholera by covering 35</w:instrText>
      </w:r>
      <w:r w:rsidR="000B5A14" w:rsidRPr="002A0251">
        <w:rPr>
          <w:rFonts w:cs="Aptos"/>
        </w:rPr>
        <w:instrText>·</w:instrText>
      </w:r>
      <w:r w:rsidR="000B5A14" w:rsidRPr="002A0251">
        <w:instrText>3 million people (95% CrI 26</w:instrText>
      </w:r>
      <w:r w:rsidR="000B5A14" w:rsidRPr="002A0251">
        <w:rPr>
          <w:rFonts w:cs="Aptos"/>
        </w:rPr>
        <w:instrText>·</w:instrText>
      </w:r>
      <w:r w:rsidR="000B5A14" w:rsidRPr="002A0251">
        <w:instrText>3 million to 62</w:instrText>
      </w:r>
      <w:r w:rsidR="000B5A14" w:rsidRPr="002A0251">
        <w:rPr>
          <w:rFonts w:cs="Aptos"/>
        </w:rPr>
        <w:instrText>·</w:instrText>
      </w:r>
      <w:r w:rsidR="000B5A14" w:rsidRPr="002A0251">
        <w:instrText xml:space="preserve">0  million), which is less than 4% of the total population. INTERPRETATION: Although  cholera occurs throughout sub-Saharan Africa, its highest incidence is  concentrated in a small proportion of the continent. Prioritising high-risk areas  could substantially increase the efficiency of cholera control programmes.  FUNDING: The Bill &amp; Melinda Gates Foundation.","container-title":"Lancet (London, England)","DOI":"10.1016/S0140-6736(17)33050-7","ISSN":"1474-547X 0140-6736","issue":"10133","journalAbbreviation":"Lancet","language":"eng","page":"1908-1915","title":"Mapping the burden of cholera in sub-Saharan Africa and implications for control: an analysis of data across geographical scales.","volume":"391","author":[{"family":"Lessler","given":"Justin"},{"family":"Moore","given":"Sean M."},{"family":"Luquero","given":"Francisco J."},{"family":"McKay","given":"Heather S."},{"family":"Grais","given":"Rebecca"},{"family":"Henkens","given":"Myriam"},{"family":"Mengel","given":"Martin"},{"family":"Dunoyer","given":"Jessica"},{"family":"M'bangombe","given":"Maurice"},{"family":"Lee","given":"Elizabeth C."},{"family":"Djingarey","given":"Mamoudou Harouna"},{"family":"Sudre","given":"Bertrand"},{"family":"Bompangue","given":"Didier"},{"family":"Fraser","given":"Robert S. M."},{"family":"Abubakar","given":"Abdinasir"},{"family":"Perea","given":"William"},{"family":"Legros","given":"Dominique"},{"family":"Azman","given":"Andrew S."}],"issued":{"date-parts":[["2018",5,12]]},"citation-key":"lessler2018"}}],"schema":"https://github.com/citation-style-language/schema/raw/master/csl-citation.json"} </w:instrText>
      </w:r>
      <w:r w:rsidR="00BC0045" w:rsidRPr="002A0251">
        <w:fldChar w:fldCharType="separate"/>
      </w:r>
      <w:r w:rsidR="00FF65F8" w:rsidRPr="002A0251">
        <w:rPr>
          <w:rFonts w:cs="Times New Roman"/>
          <w:vertAlign w:val="superscript"/>
        </w:rPr>
        <w:t>20–22</w:t>
      </w:r>
      <w:r w:rsidR="00BC0045" w:rsidRPr="002A0251">
        <w:fldChar w:fldCharType="end"/>
      </w:r>
      <w:r w:rsidRPr="002A0251">
        <w:t xml:space="preserve"> </w:t>
      </w:r>
      <w:r w:rsidR="004F5EC8" w:rsidRPr="002A0251">
        <w:rPr>
          <w:rFonts w:hint="eastAsia"/>
        </w:rPr>
        <w:t>A</w:t>
      </w:r>
      <w:r w:rsidRPr="002A0251">
        <w:t>nalysis of cholera incidence</w:t>
      </w:r>
      <w:r w:rsidR="008C1F6C">
        <w:rPr>
          <w:rFonts w:hint="eastAsia"/>
        </w:rPr>
        <w:t xml:space="preserve"> in the region </w:t>
      </w:r>
      <w:r w:rsidRPr="002A0251">
        <w:t xml:space="preserve">from 2010 to 2016 identified </w:t>
      </w:r>
      <w:r w:rsidR="008C1F6C">
        <w:rPr>
          <w:rFonts w:hint="eastAsia"/>
        </w:rPr>
        <w:t>nearly</w:t>
      </w:r>
      <w:r w:rsidRPr="002A0251">
        <w:t xml:space="preserve"> 1,000 outbreaks of varying scale across </w:t>
      </w:r>
      <w:r w:rsidR="008C1F6C">
        <w:rPr>
          <w:rFonts w:hint="eastAsia"/>
        </w:rPr>
        <w:t>multiple</w:t>
      </w:r>
      <w:r w:rsidRPr="002A0251">
        <w:t xml:space="preserve"> administrative </w:t>
      </w:r>
      <w:r w:rsidR="00BC3054">
        <w:rPr>
          <w:rFonts w:hint="eastAsia"/>
        </w:rPr>
        <w:t>levels,</w:t>
      </w:r>
      <w:r w:rsidRPr="002A0251">
        <w:fldChar w:fldCharType="begin"/>
      </w:r>
      <w:r w:rsidR="000B5A14" w:rsidRPr="002A0251">
        <w:instrText xml:space="preserve"> ADDIN ZOTERO_ITEM CSL_CITATION {"citationID":"zgtGFza0","properties":{"formattedCitation":"\\super 23\\nosupersub{}","plainCitation":"23","noteIndex":0},"citationItems":[{"id":7876,"uris":["http://zotero.org/users/7663102/items/CQNDTP3Y"],"itemData":{"id":7876,"type":"article-journal","container-title":"International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Pr="002A0251">
        <w:fldChar w:fldCharType="separate"/>
      </w:r>
      <w:r w:rsidR="00FF65F8" w:rsidRPr="002A0251">
        <w:rPr>
          <w:rFonts w:cs="Times New Roman"/>
          <w:vertAlign w:val="superscript"/>
        </w:rPr>
        <w:t>23</w:t>
      </w:r>
      <w:r w:rsidRPr="002A0251">
        <w:fldChar w:fldCharType="end"/>
      </w:r>
      <w:r w:rsidR="00BC3054" w:rsidRPr="00BC3054">
        <w:t xml:space="preserve"> underscoring the complexity of controlling transmission.</w:t>
      </w:r>
    </w:p>
    <w:p w14:paraId="308C6540" w14:textId="77777777" w:rsidR="00BC3054" w:rsidRPr="002A0251" w:rsidRDefault="00BC3054" w:rsidP="00B2189F"/>
    <w:p w14:paraId="5883A7A4" w14:textId="6DDE80B9" w:rsidR="003A111A" w:rsidRPr="002A0251" w:rsidRDefault="003A111A" w:rsidP="00F57F15">
      <w:r w:rsidRPr="002A0251">
        <w:t>Sustain</w:t>
      </w:r>
      <w:r w:rsidR="00BC3054">
        <w:rPr>
          <w:rFonts w:hint="eastAsia"/>
        </w:rPr>
        <w:t>ed</w:t>
      </w:r>
      <w:r w:rsidRPr="002A0251">
        <w:t xml:space="preserve"> access to adequate </w:t>
      </w:r>
      <w:proofErr w:type="spellStart"/>
      <w:r w:rsidRPr="002A0251">
        <w:t>WaSH</w:t>
      </w:r>
      <w:proofErr w:type="spellEnd"/>
      <w:r w:rsidR="00BC3054">
        <w:t>—</w:t>
      </w:r>
      <w:r w:rsidR="00BC3054">
        <w:rPr>
          <w:rFonts w:hint="eastAsia"/>
        </w:rPr>
        <w:t xml:space="preserve">along with </w:t>
      </w:r>
      <w:r w:rsidRPr="002A0251">
        <w:t>case management and surveillance</w:t>
      </w:r>
      <w:r w:rsidR="00BC3054">
        <w:t>—</w:t>
      </w:r>
      <w:r w:rsidRPr="002A0251">
        <w:t xml:space="preserve">remains the foundation of cholera control. However, the oral cholera vaccine (OCV) </w:t>
      </w:r>
      <w:r w:rsidR="00BC3054">
        <w:rPr>
          <w:rFonts w:hint="eastAsia"/>
        </w:rPr>
        <w:t>provides an essential complementary</w:t>
      </w:r>
      <w:r w:rsidRPr="002A0251">
        <w:t xml:space="preserve"> tool, </w:t>
      </w:r>
      <w:r w:rsidR="00BC3054" w:rsidRPr="00BC3054">
        <w:t xml:space="preserve">particularly where long-term infrastructure improvements are difficult. To support rapid vaccine access, WHO established a global </w:t>
      </w:r>
      <w:r w:rsidR="00BC3054" w:rsidRPr="00BC3054">
        <w:lastRenderedPageBreak/>
        <w:t>OCV stockpile in 2013 with Gavi’s support.</w:t>
      </w:r>
      <w:r w:rsidR="001D3E8B" w:rsidRPr="002A0251">
        <w:fldChar w:fldCharType="begin"/>
      </w:r>
      <w:r w:rsidR="000B5A14" w:rsidRPr="002A0251">
        <w:instrText xml:space="preserve"> ADDIN ZOTERO_ITEM CSL_CITATION {"citationID":"xvRgiITD","properties":{"formattedCitation":"\\super 24\\nosupersub{}","plainCitation":"24","noteIndex":0},"citationItems":[{"id":15163,"uris":["http://zotero.org/users/7663102/items/YTZD3ZVC"],"itemData":{"id":15163,"type":"article-journal","abstract":"Global vaccine stockpiles, in which vaccines are reserved for use when needed for emergencies or supply shortages, have effectively provided countries with the capacity for rapid response to emergency situations, such as outbreaks of yellow fever and meningococcal meningitis. The high cost and insufficient supply of many vaccines, including oral cholera vaccine and pandemic influenza vaccine, have prompted discussion on expansion of the use of vaccine stockpiles to address a wider range of emerging and re-emerging diseases. However, the decision to establish and maintain a vaccine stockpile is complex and must take account of disease and vaccine characteristics, stockpile management, funding, and ethical concerns, such as equity. Past experience with global vaccine stockpiles provide valuable information about the processes for their establishment and maintenance. In this Review we explored existing literature and stockpile data to discuss the lessons learned and to inform the development of future vaccine stockpiles.","container-title":"The Lancet Infectious Diseases","DOI":"10.1016/S1473-3099(14)70999-5","ISSN":"1473-3099","issue":"3","journalAbbreviation":"Lancet Inf Dis","page":"340-347","source":"ScienceDirect","title":"The development of global vaccine stockpiles","volume":"15","author":[{"family":"Yen","given":"Catherine"},{"family":"Hyde","given":"Terri B"},{"family":"Costa","given":"Alejandro J"},{"family":"Fernandez","given":"Katya"},{"family":"Tam","given":"John S"},{"family":"Hugonnet","given":"Stéphane"},{"family":"Huvos","given":"Anne M"},{"family":"Duclos","given":"Philippe"},{"family":"Dietz","given":"Vance J"},{"family":"Burkholder","given":"Brenton T"}],"issued":{"date-parts":[["2015",3,1]]},"citation-key":"yenDevelopmentGlobalVaccine2015"}}],"schema":"https://github.com/citation-style-language/schema/raw/master/csl-citation.json"} </w:instrText>
      </w:r>
      <w:r w:rsidR="001D3E8B" w:rsidRPr="002A0251">
        <w:fldChar w:fldCharType="separate"/>
      </w:r>
      <w:r w:rsidR="00FF65F8" w:rsidRPr="002A0251">
        <w:rPr>
          <w:rFonts w:cs="Times New Roman"/>
          <w:vertAlign w:val="superscript"/>
        </w:rPr>
        <w:t>24</w:t>
      </w:r>
      <w:r w:rsidR="001D3E8B" w:rsidRPr="002A0251">
        <w:fldChar w:fldCharType="end"/>
      </w:r>
      <w:r w:rsidR="001922C4" w:rsidRPr="002A0251">
        <w:rPr>
          <w:rFonts w:hint="eastAsia"/>
        </w:rPr>
        <w:t xml:space="preserve"> </w:t>
      </w:r>
      <w:r w:rsidRPr="002A0251">
        <w:t>Between 2013 and 202</w:t>
      </w:r>
      <w:r w:rsidRPr="002A0251">
        <w:rPr>
          <w:rFonts w:hint="eastAsia"/>
        </w:rPr>
        <w:t>4</w:t>
      </w:r>
      <w:r w:rsidRPr="002A0251">
        <w:t xml:space="preserve">, </w:t>
      </w:r>
      <w:r w:rsidR="00BC3054">
        <w:rPr>
          <w:rFonts w:hint="eastAsia"/>
        </w:rPr>
        <w:t xml:space="preserve">more than </w:t>
      </w:r>
      <w:r w:rsidRPr="002A0251">
        <w:rPr>
          <w:rFonts w:hint="eastAsia"/>
        </w:rPr>
        <w:t xml:space="preserve">200 </w:t>
      </w:r>
      <w:r w:rsidRPr="002A0251">
        <w:t xml:space="preserve">million doses </w:t>
      </w:r>
      <w:r w:rsidRPr="002A0251">
        <w:rPr>
          <w:rFonts w:hint="eastAsia"/>
        </w:rPr>
        <w:t xml:space="preserve">have been </w:t>
      </w:r>
      <w:r w:rsidRPr="002A0251">
        <w:t xml:space="preserve">deployed </w:t>
      </w:r>
      <w:r w:rsidR="00BC3054">
        <w:rPr>
          <w:rFonts w:hint="eastAsia"/>
        </w:rPr>
        <w:t xml:space="preserve">for </w:t>
      </w:r>
      <w:r w:rsidRPr="002A0251">
        <w:t>both proactive and reactive campaigns</w:t>
      </w:r>
      <w:r w:rsidR="00726454" w:rsidRPr="002A0251">
        <w:t>.</w:t>
      </w:r>
      <w:r w:rsidR="00726454" w:rsidRPr="002A0251">
        <w:rPr>
          <w:rFonts w:eastAsia="Aptos"/>
        </w:rPr>
        <w:fldChar w:fldCharType="begin"/>
      </w:r>
      <w:r w:rsidR="00492FC8" w:rsidRPr="002A0251">
        <w:rPr>
          <w:rFonts w:eastAsia="Aptos"/>
        </w:rPr>
        <w:instrText xml:space="preserve"> ADDIN ZOTERO_ITEM CSL_CITATION {"citationID":"tNGxXTzf","properties":{"formattedCitation":"\\super 25\\nosupersub{}","plainCitation":"25","noteIndex":0},"citationItems":[{"id":"ybNQHeeS/kkRpyyQ9","uris":["http://zotero.org/users/local/xDVOxgbN/items/UK5GYXXH"],"itemData":{"id":176,"type":"dataset","title":"GTFCC OCV Dashboard","URL":"https://apps.epicentre-msf.org/public/app/gtfcc","author":[{"literal":"Global Task Force on Cholera Control"}]}}],"schema":"https://github.com/citation-style-language/schema/raw/master/csl-citation.json"} </w:instrText>
      </w:r>
      <w:r w:rsidR="00726454" w:rsidRPr="002A0251">
        <w:rPr>
          <w:rFonts w:eastAsia="Aptos"/>
        </w:rPr>
        <w:fldChar w:fldCharType="separate"/>
      </w:r>
      <w:r w:rsidR="00FF65F8" w:rsidRPr="002A0251">
        <w:rPr>
          <w:rFonts w:cs="Times New Roman"/>
          <w:vertAlign w:val="superscript"/>
        </w:rPr>
        <w:t>25</w:t>
      </w:r>
      <w:r w:rsidR="00726454" w:rsidRPr="002A0251">
        <w:rPr>
          <w:rFonts w:eastAsia="Aptos"/>
        </w:rPr>
        <w:fldChar w:fldCharType="end"/>
      </w:r>
      <w:r w:rsidR="00726454" w:rsidRPr="002A0251">
        <w:rPr>
          <w:rFonts w:hint="eastAsia"/>
        </w:rPr>
        <w:t xml:space="preserve"> </w:t>
      </w:r>
      <w:r w:rsidR="00BC3054">
        <w:rPr>
          <w:rFonts w:hint="eastAsia"/>
        </w:rPr>
        <w:t>In response to r</w:t>
      </w:r>
      <w:r w:rsidRPr="002A0251">
        <w:t>ising demand</w:t>
      </w:r>
      <w:r w:rsidR="00BC3054">
        <w:rPr>
          <w:rFonts w:hint="eastAsia"/>
        </w:rPr>
        <w:t xml:space="preserve"> and constrained supply, t</w:t>
      </w:r>
      <w:r w:rsidRPr="002A0251">
        <w:t>he International Coordinating Group (ICG)—which manages the stockpile for WHO and Gavi—</w:t>
      </w:r>
      <w:r w:rsidR="006544DC" w:rsidRPr="002A0251">
        <w:t xml:space="preserve">temporarily </w:t>
      </w:r>
      <w:r w:rsidRPr="002A0251">
        <w:t>adopt</w:t>
      </w:r>
      <w:r w:rsidR="00BC3054">
        <w:rPr>
          <w:rFonts w:hint="eastAsia"/>
        </w:rPr>
        <w:t>ed</w:t>
      </w:r>
      <w:r w:rsidRPr="002A0251">
        <w:t xml:space="preserve"> a single-dose </w:t>
      </w:r>
      <w:r w:rsidR="00BC3054">
        <w:rPr>
          <w:rFonts w:hint="eastAsia"/>
        </w:rPr>
        <w:t xml:space="preserve">strategy </w:t>
      </w:r>
      <w:r w:rsidRPr="002A0251">
        <w:t>for outbreak response in October 2022, replacing the standard two-dose schedule</w:t>
      </w:r>
      <w:r w:rsidR="00726454" w:rsidRPr="002A0251">
        <w:rPr>
          <w:rFonts w:hint="eastAsia"/>
        </w:rPr>
        <w:t>.</w:t>
      </w:r>
      <w:r w:rsidR="00726454" w:rsidRPr="002A0251">
        <w:rPr>
          <w:rFonts w:eastAsia="Aptos"/>
        </w:rPr>
        <w:fldChar w:fldCharType="begin"/>
      </w:r>
      <w:r w:rsidR="00726454" w:rsidRPr="002A0251">
        <w:rPr>
          <w:rFonts w:eastAsia="Aptos"/>
        </w:rPr>
        <w:instrText xml:space="preserve"> ADDIN ZOTERO_TEMP </w:instrText>
      </w:r>
      <w:r w:rsidR="00726454" w:rsidRPr="002A0251">
        <w:rPr>
          <w:rFonts w:eastAsia="Aptos"/>
        </w:rPr>
        <w:fldChar w:fldCharType="separate"/>
      </w:r>
      <w:r w:rsidR="00726454" w:rsidRPr="002A0251">
        <w:rPr>
          <w:vertAlign w:val="superscript"/>
          <w:lang w:val="en-US"/>
        </w:rPr>
        <w:t>26</w:t>
      </w:r>
      <w:r w:rsidR="00726454" w:rsidRPr="002A0251">
        <w:rPr>
          <w:rFonts w:eastAsia="Aptos"/>
        </w:rPr>
        <w:fldChar w:fldCharType="end"/>
      </w:r>
      <w:r w:rsidR="00726454" w:rsidRPr="002A0251">
        <w:rPr>
          <w:rFonts w:hint="eastAsia"/>
        </w:rPr>
        <w:t xml:space="preserve"> </w:t>
      </w:r>
    </w:p>
    <w:p w14:paraId="52DF97C6" w14:textId="77777777" w:rsidR="003A111A" w:rsidRPr="002A0251" w:rsidRDefault="003A111A" w:rsidP="00F57F15"/>
    <w:p w14:paraId="787D1F52" w14:textId="77777777" w:rsidR="00860369" w:rsidRDefault="003A111A" w:rsidP="003A111A">
      <w:pPr>
        <w:rPr>
          <w:lang w:val="en-US"/>
        </w:rPr>
      </w:pPr>
      <w:r w:rsidRPr="002A0251">
        <w:t>Given limited resources</w:t>
      </w:r>
      <w:r w:rsidR="00BC3054" w:rsidRPr="00BC3054">
        <w:t>, optimizing vaccine use is critical.</w:t>
      </w:r>
      <w:r w:rsidRPr="002A0251">
        <w:rPr>
          <w:rFonts w:ascii="Times New Roman" w:eastAsia="Times New Roman" w:hAnsi="Times New Roman" w:cs="Times New Roman"/>
          <w:color w:val="auto"/>
          <w:lang w:val="en-US"/>
        </w:rPr>
        <w:t xml:space="preserve"> </w:t>
      </w:r>
      <w:r w:rsidR="00BC3054">
        <w:rPr>
          <w:rFonts w:hint="eastAsia"/>
          <w:lang w:val="en-US"/>
        </w:rPr>
        <w:t xml:space="preserve">Although </w:t>
      </w:r>
      <w:r w:rsidR="00BC3054">
        <w:rPr>
          <w:lang w:val="en-US"/>
        </w:rPr>
        <w:t>targeting</w:t>
      </w:r>
      <w:r w:rsidR="00BC3054">
        <w:rPr>
          <w:rFonts w:hint="eastAsia"/>
          <w:lang w:val="en-US"/>
        </w:rPr>
        <w:t xml:space="preserve"> high-risk areas </w:t>
      </w:r>
      <w:r w:rsidR="00860369">
        <w:rPr>
          <w:rFonts w:hint="eastAsia"/>
          <w:lang w:val="en-US"/>
        </w:rPr>
        <w:t xml:space="preserve">preemptively </w:t>
      </w:r>
      <w:r w:rsidR="00BC3054">
        <w:rPr>
          <w:rFonts w:hint="eastAsia"/>
          <w:lang w:val="en-US"/>
        </w:rPr>
        <w:t xml:space="preserve">based on </w:t>
      </w:r>
      <w:r w:rsidR="00BC3054">
        <w:rPr>
          <w:lang w:val="en-US"/>
        </w:rPr>
        <w:t>environmental</w:t>
      </w:r>
      <w:r w:rsidR="00BC3054">
        <w:rPr>
          <w:rFonts w:hint="eastAsia"/>
          <w:lang w:val="en-US"/>
        </w:rPr>
        <w:t xml:space="preserve"> covariates or </w:t>
      </w:r>
      <w:r w:rsidRPr="002A0251">
        <w:rPr>
          <w:lang w:val="en-US"/>
        </w:rPr>
        <w:t>historical incidence</w:t>
      </w:r>
      <w:r w:rsidRPr="002A0251">
        <w:rPr>
          <w:lang w:val="en-US"/>
        </w:rPr>
        <w:fldChar w:fldCharType="begin"/>
      </w:r>
      <w:r w:rsidR="000B5A14" w:rsidRPr="002A0251">
        <w:rPr>
          <w:lang w:val="en-US"/>
        </w:rPr>
        <w:instrText xml:space="preserve"> ADDIN ZOTERO_ITEM CSL_CITATION {"citationID":"7mhhCNU6","properties":{"formattedCitation":"\\super 26\\nosupersub{}","plainCitation":"26","noteIndex":0},"citationItems":[{"id":5403,"uris":["http://zotero.org/users/7663102/items/SCWEB8AF"],"itemData":{"id":5403,"type":"article-journal","abstract":"BACKGROUND: Cholera causes an estimated 100,000 deaths annually worldwide, with the majority of burden reported in sub-Saharan Africa. In May 2018, the World Health Assembly committed to reducing worldwide cholera deaths by 90% by 2030. Oral cholera vaccine (OCV) plays a key role in reducing the near-term risk of cholera, although global supplies are limited. Characterizing the potential impact and cost-effectiveness of mass OCV deployment strategies is critical for setting expectations and developing cholera control plans that maximize the chances of success.\nMETHODS AND FINDINGS: We compared the projected impacts of vaccination campaigns across sub-Saharan Africa from 2018 through 2030 when targeting geographically according to historical cholera burden and risk factors. We assessed the number of averted cases, deaths, and disability-adjusted life years and the cost-effectiveness of these campaigns with models that accounted for direct and indirect vaccine effects and population projections over time. Under current vaccine supply projections, an approach optimized to targeting by historical burden is projected to avert 828,971 (95% CI 803,370-859,980) cases (equivalent to 34.0% of projected cases; 95% CI 33.2%-34.8%). An approach that balances logistical feasibility with targeting historical burden is projected to avert 617,424 (95% CI 599,150-643,891) cases. In contrast, approaches optimized for targeting locations with limited access to water and sanitation are projected to avert 273,939 (95% CI 270,319-277,002) and 109,817 (95% CI 103,735-114,110) cases, respectively. We find that the most logistically feasible targeting strategy costs US$1,843 (95% CI 1,328-14,312) per DALY averted during this period and that effective geographic targeting of OCV campaigns can have a greater impact on cost-effectiveness than improvements to vaccine efficacy and moderate increases in coverage. Although our modeling approach does not project annual changes in baseline cholera risk or directly incorporate immunity from natural cholera infection, our estimates of the relative performance of different vaccination strategies should be robust to these factors.\nCONCLUSIONS: Our study suggests that geographic targeting substantially improves the cost-effectiveness and impact of oral cholera vaccination campaigns. Districts with the poorest access to improved water and sanitation are not the same as districts with the greatest historical cholera incidence. While OCV campaigns can improve cholera control in the near term, without rapid progress in developing water and sanitation services or dramatic increases in OCV supply, our results suggest that vaccine use alone is unlikely to allow us to achieve the 2030 goal.","container-title":"PLoS medicine","DOI":"10.1371/journal.pmed.1003003","ISSN":"1549-1676","issue":"12","journalAbbreviation":"PLoS Med","language":"eng","page":"e1003003","source":"PubMed","title":"The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S."},{"family":"Lessler","given":"Justin"}],"issued":{"date-parts":[["2019",12]]},"citation-key":"leeProjectedImpactGeographic2019"}}],"schema":"https://github.com/citation-style-language/schema/raw/master/csl-citation.json"} </w:instrText>
      </w:r>
      <w:r w:rsidRPr="002A0251">
        <w:rPr>
          <w:lang w:val="en-US"/>
        </w:rPr>
        <w:fldChar w:fldCharType="separate"/>
      </w:r>
      <w:r w:rsidRPr="002A0251">
        <w:rPr>
          <w:rFonts w:cs="Times New Roman"/>
          <w:vertAlign w:val="superscript"/>
        </w:rPr>
        <w:t>26</w:t>
      </w:r>
      <w:r w:rsidRPr="002A0251">
        <w:rPr>
          <w:lang w:val="en-US"/>
        </w:rPr>
        <w:fldChar w:fldCharType="end"/>
      </w:r>
      <w:r w:rsidRPr="002A0251">
        <w:rPr>
          <w:lang w:val="en-US"/>
        </w:rPr>
        <w:t>, or sensitive diagnostics,</w:t>
      </w:r>
      <w:r w:rsidRPr="002A0251">
        <w:rPr>
          <w:lang w:val="en-US"/>
        </w:rPr>
        <w:fldChar w:fldCharType="begin"/>
      </w:r>
      <w:r w:rsidR="00492FC8" w:rsidRPr="002A0251">
        <w:rPr>
          <w:lang w:val="en-US"/>
        </w:rPr>
        <w:instrText xml:space="preserve"> ADDIN ZOTERO_ITEM CSL_CITATION {"citationID":"Q17eouH9","properties":{"formattedCitation":"\\super 17\\nosupersub{}","plainCitation":"17","noteIndex":0},"citationItems":[{"id":"ybNQHeeS/Zl1ZWNeN","uris":["http://zotero.org/users/local/xDVOxgbN/items/ITJIZHPY"],"itemData":{"id":"5XBzLMkf/9yzJEX2N","type":"article-journal","abstract":"Abstract\n            \n              Systematic testing for\n              Vibrio cholerae\n              O1 is rare, which means that the world’s limited supply of oral cholera vaccines (OCVs) may not be delivered to areas with the highest true cholera burden. Here we used a phenomenological model with subnational geographic targeting and fine-scale vaccine effects to model how expanding\n              V. cholerae\n              testing affected impact and cost-effectiveness for preventive vaccination campaigns across different bacteriological confirmation and vaccine targeting assumptions in 35 African countries. Systematic testing followed by OCV targeting based on confirmed cholera yielded higher efficiency and cost-effectiveness and slightly fewer averted cases than status quo scenarios targeting suspected cholera. Targeting vaccine to populations with an annual incidence rate greater than 10 per 10,000, the testing scenario averted 10.8 (95% prediction interval (PI) 9.4–12.6) cases per 1,000 fully vaccinated persons while the status quo scenario averted 6.9 (95% PI 6.0–7.8) cases per 1,000 fully vaccinated persons. In the testing scenario, testing costs increased by US$31 (95% PI 25–39) while vaccination costs reduced by US$248 (95% PI 176–326) per averted case compared to the status quo. Introduction of systematic testing into cholera surveillance could improve efficiency and reach of global OCV supply for preventive vaccination.","container-title":"Nature Medicine","DOI":"10.1038/s41591-024-02852-8","ISSN":"1078-8956, 1546-170X","journalAbbreviation":"Nat Med","language":"en","source":"DOI.org (Crossref)","title":"Enhanced cholera surveillance to improve vaccination campaign efficiency","URL":"https://www.nature.com/articles/s41591-024-02852-8","author":[{"family":"Xu","given":"Hanmeng"},{"family":"Zou","given":"Kaiyue"},{"family":"Dent","given":"Juan"},{"family":"Wiens","given":"Kirsten E."},{"family":"Malembaka","given":"Espoir Bwenge"},{"family":"Bwire","given":"Godfrey"},{"family":"Okitayemba","given":"Placide Welo"},{"family":"Hampton","given":"Lee M."},{"family":"Azman","given":"Andrew S."},{"family":"Lee","given":"Elizabeth C."}],"accessed":{"date-parts":[["2024",4,16]]},"issued":{"date-parts":[["2024",3,5]]}}}],"schema":"https://github.com/citation-style-language/schema/raw/master/csl-citation.json"} </w:instrText>
      </w:r>
      <w:r w:rsidRPr="002A0251">
        <w:rPr>
          <w:lang w:val="en-US"/>
        </w:rPr>
        <w:fldChar w:fldCharType="separate"/>
      </w:r>
      <w:r w:rsidRPr="002A0251">
        <w:rPr>
          <w:rFonts w:cs="Times New Roman"/>
          <w:vertAlign w:val="superscript"/>
        </w:rPr>
        <w:t>17</w:t>
      </w:r>
      <w:r w:rsidRPr="002A0251">
        <w:rPr>
          <w:lang w:val="en-US"/>
        </w:rPr>
        <w:fldChar w:fldCharType="end"/>
      </w:r>
      <w:r w:rsidRPr="002A0251">
        <w:rPr>
          <w:lang w:val="en-US"/>
        </w:rPr>
        <w:t xml:space="preserve"> </w:t>
      </w:r>
      <w:r w:rsidR="00860369">
        <w:rPr>
          <w:rFonts w:hint="eastAsia"/>
          <w:lang w:val="en-US"/>
        </w:rPr>
        <w:t xml:space="preserve">can improve </w:t>
      </w:r>
      <w:r w:rsidRPr="002A0251">
        <w:rPr>
          <w:lang w:val="en-US"/>
        </w:rPr>
        <w:t>benefits</w:t>
      </w:r>
      <w:r w:rsidR="00860369">
        <w:rPr>
          <w:rFonts w:hint="eastAsia"/>
          <w:lang w:val="en-US"/>
        </w:rPr>
        <w:t xml:space="preserve">, such approaches are challenged by </w:t>
      </w:r>
      <w:r w:rsidRPr="002A0251">
        <w:rPr>
          <w:lang w:val="en-US"/>
        </w:rPr>
        <w:t>fluctuatin</w:t>
      </w:r>
      <w:r w:rsidR="00860369">
        <w:rPr>
          <w:rFonts w:hint="eastAsia"/>
          <w:lang w:val="en-US"/>
        </w:rPr>
        <w:t>g</w:t>
      </w:r>
      <w:r w:rsidRPr="002A0251">
        <w:rPr>
          <w:lang w:val="en-US"/>
        </w:rPr>
        <w:t xml:space="preserve"> incidence,</w:t>
      </w:r>
      <w:r w:rsidR="0016770F" w:rsidRPr="002A0251">
        <w:rPr>
          <w:lang w:val="en-US"/>
        </w:rPr>
        <w:fldChar w:fldCharType="begin"/>
      </w:r>
      <w:r w:rsidR="000B5A14" w:rsidRPr="002A0251">
        <w:rPr>
          <w:lang w:val="en-US"/>
        </w:rPr>
        <w:instrText xml:space="preserve"> ADDIN ZOTERO_ITEM CSL_CITATION {"citationID":"BuAgz2W3","properties":{"formattedCitation":"\\super 27\\nosupersub{}","plainCitation":"27","noteIndex":0},"citationItems":[{"id":7881,"uris":["http://zotero.org/users/7663102/items/C9MKCSYB"],"itemData":{"id":7881,"type":"article-journal","container-title":"The Lancet Global Health","DOI":"10.1016/S2214-109X(22)00007-9","ISSN":"2214-109X","issue":"6","journalAbbreviation":"Lancet Glob Health","language":"English","note":"publisher: Elsevier\nPMID: 35461521","page":"e831-e839","source":"www.thelancet.com","title":"The seasonality of cholera in sub-Saharan Africa: a statistical modelling study","title-short":"The seasonality of cholera in sub-Saharan Africa","volume":"10","author":[{"family":"Perez-Saez","given":"Javier"},{"family":"Lessler","given":"Justin"},{"family":"Lee","given":"Elizabeth C."},{"family":"Luquero","given":"Francisco J."},{"family":"Malembaka","given":"Espoir Bwenge"},{"family":"Finger","given":"Flavio"},{"family":"Langa","given":"José Paulo"},{"family":"Yennan","given":"Sebastian"},{"family":"Zaitchik","given":"Benjamin"},{"family":"Azman","given":"Andrew S."}],"issued":{"date-parts":[["2022",6,1]]},"citation-key":"perez-saezSeasonalityCholeraSubSaharan2022"}}],"schema":"https://github.com/citation-style-language/schema/raw/master/csl-citation.json"}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27</w:t>
      </w:r>
      <w:r w:rsidR="0016770F" w:rsidRPr="002A0251">
        <w:rPr>
          <w:lang w:val="en-US"/>
        </w:rPr>
        <w:fldChar w:fldCharType="end"/>
      </w:r>
      <w:r w:rsidRPr="002A0251">
        <w:rPr>
          <w:lang w:val="en-US"/>
        </w:rPr>
        <w:t xml:space="preserve"> waning immunity,</w:t>
      </w:r>
      <w:r w:rsidR="0016770F" w:rsidRPr="002A0251">
        <w:rPr>
          <w:lang w:val="en-US"/>
        </w:rPr>
        <w:fldChar w:fldCharType="begin"/>
      </w:r>
      <w:r w:rsidR="000B5A14" w:rsidRPr="002A0251">
        <w:rPr>
          <w:lang w:val="en-US"/>
        </w:rPr>
        <w:instrText xml:space="preserve"> ADDIN ZOTERO_ITEM CSL_CITATION {"citationID":"YnSqaMbk","properties":{"formattedCitation":"\\super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0016770F" w:rsidRPr="002A0251">
        <w:rPr>
          <w:lang w:val="en-US"/>
        </w:rPr>
        <w:fldChar w:fldCharType="separate"/>
      </w:r>
      <w:r w:rsidR="0016770F" w:rsidRPr="002A0251">
        <w:rPr>
          <w:rFonts w:cs="Times New Roman"/>
          <w:vertAlign w:val="superscript"/>
        </w:rPr>
        <w:t>28</w:t>
      </w:r>
      <w:r w:rsidR="0016770F" w:rsidRPr="002A0251">
        <w:rPr>
          <w:lang w:val="en-US"/>
        </w:rPr>
        <w:fldChar w:fldCharType="end"/>
      </w:r>
      <w:r w:rsidRPr="002A0251">
        <w:rPr>
          <w:lang w:val="en-US"/>
        </w:rPr>
        <w:t xml:space="preserve"> and population mobility.</w:t>
      </w:r>
      <w:r w:rsidR="00900C32" w:rsidRPr="002A0251">
        <w:rPr>
          <w:lang w:val="en-US"/>
        </w:rPr>
        <w:fldChar w:fldCharType="begin"/>
      </w:r>
      <w:r w:rsidR="00492FC8" w:rsidRPr="002A0251">
        <w:rPr>
          <w:lang w:val="en-US"/>
        </w:rPr>
        <w:instrText xml:space="preserve"> ADDIN ZOTERO_ITEM CSL_CITATION {"citationID":"FAoRYxXD","properties":{"formattedCitation":"\\super 9,29\\nosupersub{}","plainCitation":"9,29","noteIndex":0},"citationItems":[{"id":"ybNQHeeS/AcbiNQSK","uris":["http://zotero.org/users/local/xDVOxgbN/items/ZJQSH5FR"],"itemData":{"id":"5XBzLMkf/q8Y577lX","type":"article-journal","container-title":"PLOS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O."}],"editor":[{"family":"Marks","given":"Florian"}],"issued":{"date-parts":[["2018",2,28]]}}},{"id":15388,"uris":["http://zotero.org/users/7663102/items/6U3KMJRH"],"itemData":{"id":15388,"type":"article-journal","abstract":"Human mobility is a core component of human behavior and its quantification is critical for understanding its impact on infectious disease transmission, traffic forecasting, access to resources and care, intervention strategies, and migratory flows. When mobility data are limited, spatial interaction models have been widely used to estimate human travel, but have not been extensively validated in low- and middle-income settings. Geographic, sociodemographic, and infrastructure differences may impact the ability for models to capture these patterns, particularly in rural settings. Here, we analyzed mobility patterns inferred from mobile phone data in four Sub-Saharan African countries to investigate the ability for variants on gravity and radiation models to estimate travel. Adjusting the gravity model such that parameters were fit to different trip types, including travel between more or less populated areas and/or different regions, improved model fit in all four countries. This suggests that alternative models may be more useful in these settings and better able to capture the range of mobility patterns observed.","container-title":"eLife","DOI":"10.7554/eLife.68441","ISSN":"2050-084X","journalAbbreviation":"Elife","language":"eng","note":"PMID: 34533456\nPMCID: PMC8448534","page":"e68441","source":"PubMed","title":"Characterizing human mobility patterns in rural settings of sub-Saharan Africa","volume":"10","author":[{"family":"Meredith","given":"Hannah R."},{"family":"Giles","given":"John R."},{"family":"Perez-Saez","given":"Javier"},{"family":"Mande","given":"Théophile"},{"family":"Rinaldo","given":"Andrea"},{"family":"Mutembo","given":"Simon"},{"family":"Kabalo","given":"Elliot N."},{"family":"Makungo","given":"Kabondo"},{"family":"Buckee","given":"Caroline O."},{"family":"Tatem","given":"Andrew J."},{"family":"Metcalf","given":"C. Jessica E."},{"family":"Wesolowski","given":"Amy"}],"issued":{"date-parts":[["2021",9,17]]},"citation-key":"meredithCharacterizingHumanMobility2021"}}],"schema":"https://github.com/citation-style-language/schema/raw/master/csl-citation.json"}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9,29</w:t>
      </w:r>
      <w:r w:rsidR="00900C32" w:rsidRPr="002A0251">
        <w:rPr>
          <w:lang w:val="en-US"/>
        </w:rPr>
        <w:fldChar w:fldCharType="end"/>
      </w:r>
      <w:r w:rsidR="00860369">
        <w:rPr>
          <w:rFonts w:hint="eastAsia"/>
          <w:lang w:val="en-US"/>
        </w:rPr>
        <w:t xml:space="preserve"> </w:t>
      </w:r>
      <w:r w:rsidRPr="002A0251">
        <w:rPr>
          <w:lang w:val="en-US"/>
        </w:rPr>
        <w:t>In contrast, outbreak</w:t>
      </w:r>
      <w:r w:rsidR="00823573">
        <w:rPr>
          <w:rFonts w:hint="eastAsia"/>
          <w:lang w:val="en-US"/>
        </w:rPr>
        <w:t xml:space="preserve"> </w:t>
      </w:r>
      <w:r w:rsidRPr="002A0251">
        <w:rPr>
          <w:lang w:val="en-US"/>
        </w:rPr>
        <w:t xml:space="preserve">response immunizations (ORIs)—vaccinating populations where outbreaks </w:t>
      </w:r>
      <w:r w:rsidR="00860369">
        <w:rPr>
          <w:rFonts w:hint="eastAsia"/>
          <w:lang w:val="en-US"/>
        </w:rPr>
        <w:t>occur</w:t>
      </w:r>
      <w:r w:rsidRPr="002A0251">
        <w:rPr>
          <w:lang w:val="en-US"/>
        </w:rPr>
        <w:t xml:space="preserve">—reduce uncertainties tied to preemptive targeting. In practice, </w:t>
      </w:r>
      <w:r w:rsidR="00900C32" w:rsidRPr="002A0251">
        <w:rPr>
          <w:rFonts w:hint="eastAsia"/>
          <w:lang w:val="en-US"/>
        </w:rPr>
        <w:t>77</w:t>
      </w:r>
      <w:r w:rsidRPr="002A0251">
        <w:rPr>
          <w:lang w:val="en-US"/>
        </w:rPr>
        <w:t>%</w:t>
      </w:r>
      <w:r w:rsidR="00823573">
        <w:rPr>
          <w:rFonts w:hint="eastAsia"/>
          <w:lang w:val="en-US"/>
        </w:rPr>
        <w:t xml:space="preserve"> of </w:t>
      </w:r>
      <w:r w:rsidR="00823573" w:rsidRPr="002A0251">
        <w:rPr>
          <w:lang w:val="en-US"/>
        </w:rPr>
        <w:t xml:space="preserve">over </w:t>
      </w:r>
      <w:r w:rsidR="00823573" w:rsidRPr="002A0251">
        <w:rPr>
          <w:rFonts w:hint="eastAsia"/>
          <w:lang w:val="en-US"/>
        </w:rPr>
        <w:t>200</w:t>
      </w:r>
      <w:r w:rsidR="00823573" w:rsidRPr="002A0251">
        <w:rPr>
          <w:lang w:val="en-US"/>
        </w:rPr>
        <w:t xml:space="preserve"> million doses deployed by 202</w:t>
      </w:r>
      <w:r w:rsidR="00823573" w:rsidRPr="002A0251">
        <w:rPr>
          <w:rFonts w:hint="eastAsia"/>
          <w:lang w:val="en-US"/>
        </w:rPr>
        <w:t>4</w:t>
      </w:r>
      <w:r w:rsidR="00823573">
        <w:rPr>
          <w:rFonts w:hint="eastAsia"/>
          <w:lang w:val="en-US"/>
        </w:rPr>
        <w:t xml:space="preserve"> </w:t>
      </w:r>
      <w:r w:rsidR="00860369">
        <w:rPr>
          <w:rFonts w:hint="eastAsia"/>
          <w:lang w:val="en-US"/>
        </w:rPr>
        <w:t xml:space="preserve">were used for </w:t>
      </w:r>
      <w:r w:rsidR="00823573">
        <w:rPr>
          <w:rFonts w:hint="eastAsia"/>
          <w:lang w:val="en-US"/>
        </w:rPr>
        <w:t>ORIs</w:t>
      </w:r>
      <w:r w:rsidRPr="002A0251">
        <w:rPr>
          <w:lang w:val="en-US"/>
        </w:rPr>
        <w:t xml:space="preserve"> rather than prevention.</w:t>
      </w:r>
      <w:r w:rsidR="00900C32" w:rsidRPr="002A0251">
        <w:rPr>
          <w:lang w:val="en-US"/>
        </w:rPr>
        <w:fldChar w:fldCharType="begin"/>
      </w:r>
      <w:r w:rsidR="00492FC8" w:rsidRPr="002A0251">
        <w:rPr>
          <w:lang w:val="en-US"/>
        </w:rPr>
        <w:instrText xml:space="preserve"> ADDIN ZOTERO_ITEM CSL_CITATION {"citationID":"C8a5rL6J","properties":{"formattedCitation":"\\super 25\\nosupersub{}","plainCitation":"25","noteIndex":0},"citationItems":[{"id":"ybNQHeeS/kkRpyyQ9","uris":["http://zotero.org/users/local/xDVOxgbN/items/UK5GYXXH"],"itemData":{"id":"5XBzLMkf/7bbSUNqx","type":"dataset","title":"GTFCC OCV Dashboard","URL":"https://apps.epicentre-msf.org/public/app/gtfcc","author":[{"literal":"Global Task Force on Cholera Control"}]}}],"schema":"https://github.com/citation-style-language/schema/raw/master/csl-citation.json"} </w:instrText>
      </w:r>
      <w:r w:rsidR="00900C32" w:rsidRPr="002A0251">
        <w:rPr>
          <w:lang w:val="en-US"/>
        </w:rPr>
        <w:fldChar w:fldCharType="separate"/>
      </w:r>
      <w:r w:rsidR="00900C32" w:rsidRPr="002A0251">
        <w:rPr>
          <w:rFonts w:cs="Times New Roman"/>
          <w:vertAlign w:val="superscript"/>
        </w:rPr>
        <w:t>25</w:t>
      </w:r>
      <w:r w:rsidR="00900C32" w:rsidRPr="002A0251">
        <w:rPr>
          <w:lang w:val="en-US"/>
        </w:rPr>
        <w:fldChar w:fldCharType="end"/>
      </w:r>
      <w:r w:rsidRPr="002A0251">
        <w:rPr>
          <w:lang w:val="en-US"/>
        </w:rPr>
        <w:t xml:space="preserve"> </w:t>
      </w:r>
    </w:p>
    <w:p w14:paraId="4FCBB8D9" w14:textId="77777777" w:rsidR="00860369" w:rsidRDefault="00860369" w:rsidP="003A111A">
      <w:pPr>
        <w:rPr>
          <w:lang w:val="en-US"/>
        </w:rPr>
      </w:pPr>
    </w:p>
    <w:p w14:paraId="01DA66F7" w14:textId="7DCB5F7E" w:rsidR="00590AF1" w:rsidRPr="002A0251" w:rsidRDefault="00860369" w:rsidP="005F437C">
      <w:r w:rsidRPr="00860369">
        <w:t xml:space="preserve">Despite this widespread use, evidence on ORI impact remains fragmented. </w:t>
      </w:r>
      <w:r>
        <w:rPr>
          <w:rFonts w:hint="eastAsia"/>
        </w:rPr>
        <w:t xml:space="preserve">Most previous </w:t>
      </w:r>
      <w:r>
        <w:rPr>
          <w:rFonts w:hint="eastAsia"/>
          <w:lang w:val="en-US"/>
        </w:rPr>
        <w:t>analyses</w:t>
      </w:r>
      <w:r w:rsidR="00590AF1" w:rsidRPr="002A0251">
        <w:rPr>
          <w:lang w:val="en-US"/>
        </w:rPr>
        <w:t xml:space="preserve"> </w:t>
      </w:r>
      <w:r w:rsidR="00E71B90">
        <w:rPr>
          <w:rFonts w:hint="eastAsia"/>
          <w:lang w:val="en-US"/>
        </w:rPr>
        <w:t xml:space="preserve">examined a few </w:t>
      </w:r>
      <w:r w:rsidR="00590AF1" w:rsidRPr="002A0251">
        <w:rPr>
          <w:lang w:val="en-US"/>
        </w:rPr>
        <w:t>large outbreaks,</w:t>
      </w:r>
      <w:r w:rsidR="00590AF1" w:rsidRPr="002A0251">
        <w:fldChar w:fldCharType="begin"/>
      </w:r>
      <w:r w:rsidR="00492FC8" w:rsidRPr="002A0251">
        <w:instrText xml:space="preserve"> ADDIN ZOTERO_ITEM CSL_CITATION {"citationID":"Yl7qnHdA","properties":{"formattedCitation":"\\super 1,3,5,6,10,15,23\\nosupersub{}","plainCitation":"1,3,5,6,10,15,23","noteIndex":0},"citationItems":[{"id":"ybNQHeeS/FsjA11A9","uris":["http://zotero.org/users/local/xDVOxgbN/items/3KCFPCDX"],"itemData":{"id":67,"type":"article-journal","container-title":"PLOS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L."}],"editor":[{"family":"Baker","given":"Stephen"}],"issued":{"date-parts":[["2014",12,4]]}}},{"id":"ybNQHeeS/BUgPXzVF","uris":["http://zotero.org/users/local/xDVOxgbN/items/YPZZPLI9"],"itemData":{"id":80,"type":"article-journal","container-title":"The Lancet Global Health","DOI":"10.1016/S2214-109X(20)30310-7","ISSN":"2214109X","issue":"8","journalAbbreviation":"The Lancet Global Health","language":"en","page":"e1081-e1089","source":"DOI.org (Crossref)","title":"Achieving coordinated national immunity and cholera elimination in Haiti through vaccination: a modelling study","title-short":"Achieving coordinated national immunity and cholera elimination in Haiti through vaccination","volume":"8","author":[{"family":"Lee","given":"Elizabeth C"},{"family":"Chao","given":"Dennis L"},{"family":"Lemaitre","given":"Joseph C"},{"family":"Matrajt","given":"Laura"},{"family":"Pasetto","given":"Damiano"},{"family":"Perez-Saez","given":"Javier"},{"family":"Finger","given":"Flavio"},{"family":"Rinaldo","given":"Andrea"},{"family":"Sugimoto","given":"Jonathan D"},{"family":"Halloran","given":"M Elizabeth"},{"family":"Longini","given":"Ira M"},{"family":"Ternier","given":"Ralph"},{"family":"Vissieres","given":"Kenia"},{"family":"Azman","given":"Andrew S"},{"family":"Lessler","given":"Justin"},{"family":"Ivers","given":"Louise C"}],"issued":{"date-parts":[["2020",8]]}}},{"id":"ybNQHeeS/SclWsZkd","uris":["http://zotero.org/users/local/xDVOxgbN/items/C9VJ6Y9N"],"itemData":{"id":87,"type":"article-journal","abstract":"In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C."}],"issued":{"date-parts":[["2022",9,1]]},"citation-key":"zhengCholeraOutbreaksSubSaharan2022"}}],"schema":"https://github.com/citation-style-language/schema/raw/master/csl-citation.json"} </w:instrText>
      </w:r>
      <w:r w:rsidR="00590AF1" w:rsidRPr="002A0251">
        <w:fldChar w:fldCharType="separate"/>
      </w:r>
      <w:r w:rsidR="00590AF1" w:rsidRPr="002A0251">
        <w:rPr>
          <w:rFonts w:cs="Times New Roman"/>
          <w:vertAlign w:val="superscript"/>
        </w:rPr>
        <w:t>1,3,5,6,10,15,23</w:t>
      </w:r>
      <w:r w:rsidR="00590AF1" w:rsidRPr="002A0251">
        <w:fldChar w:fldCharType="end"/>
      </w:r>
      <w:r w:rsidR="00E71B90">
        <w:rPr>
          <w:rFonts w:hint="eastAsia"/>
        </w:rPr>
        <w:t xml:space="preserve"> which </w:t>
      </w:r>
      <w:r w:rsidR="00590AF1" w:rsidRPr="002A0251">
        <w:rPr>
          <w:lang w:val="en-US"/>
        </w:rPr>
        <w:t>fail to represent the diverse epidemiological profiles</w:t>
      </w:r>
      <w:r w:rsidR="003F23D9">
        <w:rPr>
          <w:rFonts w:hint="eastAsia"/>
          <w:lang w:val="en-US"/>
        </w:rPr>
        <w:t xml:space="preserve"> </w:t>
      </w:r>
      <w:r w:rsidR="00590AF1" w:rsidRPr="002A0251">
        <w:rPr>
          <w:lang w:val="en-US"/>
        </w:rPr>
        <w:t>of cholera outbreaks</w:t>
      </w:r>
      <w:r w:rsidR="003F23D9">
        <w:rPr>
          <w:rFonts w:hint="eastAsia"/>
          <w:lang w:val="en-US"/>
        </w:rPr>
        <w:t>,</w:t>
      </w:r>
      <w:r w:rsidR="00780C0F" w:rsidRPr="002A0251">
        <w:fldChar w:fldCharType="begin"/>
      </w:r>
      <w:r w:rsidR="000B5A14" w:rsidRPr="002A0251">
        <w:instrText xml:space="preserve"> ADDIN ZOTERO_ITEM CSL_CITATION {"citationID":"CjSpsH7r","properties":{"formattedCitation":"\\super 23,30\\nosupersub{}","plainCitation":"23,30","noteIndex":0},"citationItems":[{"id":7876,"uris":["http://zotero.org/users/7663102/items/CQNDTP3Y"],"itemData":{"id":7876,"type":"article-journal","container-title":"International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780C0F" w:rsidRPr="002A0251">
        <w:fldChar w:fldCharType="separate"/>
      </w:r>
      <w:r w:rsidR="00900C32" w:rsidRPr="002A0251">
        <w:rPr>
          <w:rFonts w:cs="Times New Roman"/>
          <w:vertAlign w:val="superscript"/>
        </w:rPr>
        <w:t>23,30</w:t>
      </w:r>
      <w:r w:rsidR="00780C0F" w:rsidRPr="002A0251">
        <w:fldChar w:fldCharType="end"/>
      </w:r>
      <w:r w:rsidR="0065170D" w:rsidRPr="002A0251">
        <w:t xml:space="preserve"> </w:t>
      </w:r>
      <w:r w:rsidR="003F23D9">
        <w:rPr>
          <w:rFonts w:hint="eastAsia"/>
        </w:rPr>
        <w:t xml:space="preserve">or </w:t>
      </w:r>
      <w:r w:rsidR="00590AF1" w:rsidRPr="002A0251">
        <w:rPr>
          <w:lang w:val="en-US"/>
        </w:rPr>
        <w:t>overlook key operational and immunological factors</w:t>
      </w:r>
      <w:r w:rsidR="003F23D9">
        <w:rPr>
          <w:rFonts w:hint="eastAsia"/>
          <w:lang w:val="en-US"/>
        </w:rPr>
        <w:t xml:space="preserve"> such ss delayed campaign initiation</w:t>
      </w:r>
      <w:r w:rsidR="00526A9F" w:rsidRPr="002A0251">
        <w:rPr>
          <w:lang w:val="en-US"/>
        </w:rPr>
        <w:fldChar w:fldCharType="begin"/>
      </w:r>
      <w:r w:rsidR="00492FC8" w:rsidRPr="002A0251">
        <w:rPr>
          <w:lang w:val="en-US"/>
        </w:rPr>
        <w:instrText xml:space="preserve"> ADDIN ZOTERO_ITEM CSL_CITATION {"citationID":"e9IFkJPi","properties":{"formattedCitation":"\\super 25,31\\nosupersub{}","plainCitation":"25,31","noteIndex":0},"citationItems":[{"id":"ybNQHeeS/kkRpyyQ9","uris":["http://zotero.org/users/local/xDVOxgbN/items/UK5GYXXH"],"itemData":{"id":"qgjhK9ns/wTRZRA3s","type":"dataset","title":"GTFCC OCV Dashboard","URL":"https://apps.epicentre-msf.org/public/app/gtfcc","author":[{"literal":"Global Task Force on Cholera Control"}]}},{"id":"ybNQHeeS/JC1Ar5Vn","uris":["http://zotero.org/users/local/xDVOxgbN/items/5UAYTNFT"],"itemData":{"id":132,"type":"article-journal","abstract":"Vaccination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lang w:val="en-US"/>
        </w:rPr>
        <w:instrText> </w:instrText>
      </w:r>
      <w:r w:rsidR="00492FC8" w:rsidRPr="002A0251">
        <w:rPr>
          <w:lang w:val="en-US"/>
        </w:rPr>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00526A9F" w:rsidRPr="002A0251">
        <w:rPr>
          <w:lang w:val="en-US"/>
        </w:rPr>
        <w:fldChar w:fldCharType="separate"/>
      </w:r>
      <w:r w:rsidR="00FD2750" w:rsidRPr="002A0251">
        <w:rPr>
          <w:rFonts w:cs="Times New Roman"/>
          <w:vertAlign w:val="superscript"/>
        </w:rPr>
        <w:t>25,31</w:t>
      </w:r>
      <w:r w:rsidR="00526A9F" w:rsidRPr="002A0251">
        <w:rPr>
          <w:lang w:val="en-US"/>
        </w:rPr>
        <w:fldChar w:fldCharType="end"/>
      </w:r>
      <w:r w:rsidR="003F23D9">
        <w:rPr>
          <w:rFonts w:hint="eastAsia"/>
          <w:lang w:val="en-US"/>
        </w:rPr>
        <w:t>or time to develop vaccine-derived immunity.</w:t>
      </w:r>
      <w:r w:rsidR="00590AF1" w:rsidRPr="002A0251">
        <w:fldChar w:fldCharType="begin"/>
      </w:r>
      <w:r w:rsidR="00492FC8" w:rsidRPr="002A0251">
        <w:instrText xml:space="preserve"> ADDIN ZOTERO_ITEM CSL_CITATION {"citationID":"p62dvBbO","properties":{"formattedCitation":"\\super 9,13\\uc0\\u8211{}15\\nosupersub{}","plainCitation":"9,13–15","noteIndex":0},"citationItems":[{"id":"ybNQHeeS/AcbiNQSK","uris":["http://zotero.org/users/local/xDVOxgbN/items/ZJQSH5FR"],"itemData":{"id":95,"type":"article-journal","container-title":"PLOS Neglected Tropical Diseases","DOI":"10.1371/journal.pntd.0006257","ISSN":"1935-2735","issue":"2","journalAbbreviation":"PLoS Negl Trop Dis","language":"en","page":"e0006257","source":"DOI.org (Crossref)","title":"Prolonging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O."}],"editor":[{"family":"Marks","given":"Florian"}],"issued":{"date-parts":[["2018",2,28]]}}},{"id":"ybNQHeeS/DZXg9sJk","uris":["http://zotero.org/users/local/xDVOxgbN/items/P34TEJN2"],"itemData":{"id":93,"type":"article-journal","abstract":"Background\n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E."}],"issued":{"date-parts":[["2015",8,25]]}}},{"id":"ybNQHeeS/73MCWKFh","uris":["http://zotero.org/users/local/xDVOxgbN/items/I4JWC6R2"],"itemData":{"id":82,"type":"article-journal","abstract":"Reactive vaccination has recently been adopted as an outbreak response tool for cholera and other infectious diseases. Owing to the global shortage of oral cholera vaccine, health officials must quickly decide who and where to distribute limited vaccine. Targeted vaccination in transmission hotspots (i.e. areas with high transmission efficiency) may be a potential approach to efficiently allocate vaccine, however its effectiveness will likely be context-dependent. We compared strategies for allocating vaccine across multiple areas with heterogeneous transmission efficiency. We constructed metapopulation models of a cholera-like disease and compared simulated epidemics where: vaccine is targeted at areas of high or low transmission efficiency, where vaccine is distributed across the population, and where no vaccine is used. We find that connectivity between populations, transmission efficiency, vaccination timing and the amount of vaccine available all shape the performance of different allocation strategies. In highly connected settings (e.g. cities) when vaccinating early in the epidemic, targeting limited vaccine at transmission hotspots is often optimal. Once vaccination is delayed, targeting the hotspot is rarely optimal, and strategies that either spread vaccine between areas or those targeted at non-hotspots will avert more cases. Although hotspots may be an intuitive outbreak control target, we show that, in many situations, the hotspot-epidemic proceeds so fast that hotspot-targeted reactive vaccination will prevent relatively few cases, and vaccination shared across areas where transmission can be sustained is often best.","container-title":"Proceedings of the Royal Society B: Biological Sciences","DOI":"10.1098/rspb.2014.1341","ISSN":"0962-8452, 1471-2954","issue":"1798","journalAbbreviation":"Proc. R. Soc. B.","language":"en","page":"20141341","source":"DOI.org (Crossref)","title":"Reactive vaccination in the presence of disease hotspots","volume":"282","author":[{"family":"Azman","given":"Andrew S."},{"family":"Lessler","given":"Justin"}],"issued":{"date-parts":[["2015",1,7]]}}}],"schema":"https://github.com/citation-style-language/schema/raw/master/csl-citation.json"} </w:instrText>
      </w:r>
      <w:r w:rsidR="00590AF1" w:rsidRPr="002A0251">
        <w:fldChar w:fldCharType="separate"/>
      </w:r>
      <w:r w:rsidR="00590AF1" w:rsidRPr="002A0251">
        <w:rPr>
          <w:vertAlign w:val="superscript"/>
          <w:lang w:val="en-US"/>
        </w:rPr>
        <w:t>9,13–15</w:t>
      </w:r>
      <w:r w:rsidR="00590AF1" w:rsidRPr="002A0251">
        <w:fldChar w:fldCharType="end"/>
      </w:r>
      <w:r w:rsidR="00590AF1" w:rsidRPr="002A0251">
        <w:rPr>
          <w:lang w:val="en-US"/>
        </w:rPr>
        <w:t xml:space="preserve"> A</w:t>
      </w:r>
      <w:r w:rsidR="003F23D9">
        <w:rPr>
          <w:rFonts w:hint="eastAsia"/>
          <w:lang w:val="en-US"/>
        </w:rPr>
        <w:t xml:space="preserve"> comprehensive </w:t>
      </w:r>
      <w:r w:rsidR="00590AF1" w:rsidRPr="002A0251">
        <w:rPr>
          <w:lang w:val="en-US"/>
        </w:rPr>
        <w:t xml:space="preserve">modeling </w:t>
      </w:r>
      <w:r w:rsidR="003F23D9">
        <w:rPr>
          <w:rFonts w:hint="eastAsia"/>
          <w:lang w:val="en-US"/>
        </w:rPr>
        <w:t xml:space="preserve">framework that captures the full </w:t>
      </w:r>
      <w:r w:rsidR="00590AF1" w:rsidRPr="002A0251">
        <w:rPr>
          <w:lang w:val="en-US"/>
        </w:rPr>
        <w:t>epidemiological diversity</w:t>
      </w:r>
      <w:r w:rsidR="003F23D9">
        <w:rPr>
          <w:rFonts w:hint="eastAsia"/>
          <w:lang w:val="en-US"/>
        </w:rPr>
        <w:t xml:space="preserve"> of outbreaks</w:t>
      </w:r>
      <w:r w:rsidR="00590AF1" w:rsidRPr="002A0251">
        <w:rPr>
          <w:lang w:val="en-US"/>
        </w:rPr>
        <w:t xml:space="preserve">, </w:t>
      </w:r>
      <w:r w:rsidR="009E3304">
        <w:rPr>
          <w:rFonts w:hint="eastAsia"/>
          <w:lang w:val="en-US"/>
        </w:rPr>
        <w:t xml:space="preserve">real-world </w:t>
      </w:r>
      <w:r w:rsidR="00590AF1" w:rsidRPr="002A0251">
        <w:rPr>
          <w:lang w:val="en-US"/>
        </w:rPr>
        <w:t xml:space="preserve">immunological delays, and operational constraints is </w:t>
      </w:r>
      <w:r w:rsidR="009E3304">
        <w:rPr>
          <w:rFonts w:hint="eastAsia"/>
          <w:lang w:val="en-US"/>
        </w:rPr>
        <w:t xml:space="preserve">therefore </w:t>
      </w:r>
      <w:r w:rsidR="00590AF1" w:rsidRPr="002A0251">
        <w:rPr>
          <w:lang w:val="en-US"/>
        </w:rPr>
        <w:t>essential to inform cholera control strategies.</w:t>
      </w:r>
    </w:p>
    <w:p w14:paraId="0724CE47" w14:textId="77777777" w:rsidR="00C06B4A" w:rsidRPr="00823573" w:rsidRDefault="00C06B4A" w:rsidP="00F57F15"/>
    <w:p w14:paraId="22C26A0D" w14:textId="4982E08C" w:rsidR="00B30966" w:rsidRPr="002A0251" w:rsidRDefault="009E3304" w:rsidP="00F57F15">
      <w:pPr>
        <w:rPr>
          <w:lang w:val="en-US"/>
        </w:rPr>
      </w:pPr>
      <w:r>
        <w:rPr>
          <w:rFonts w:hint="eastAsia"/>
          <w:lang w:val="en-US"/>
        </w:rPr>
        <w:t xml:space="preserve">We </w:t>
      </w:r>
      <w:r w:rsidR="00526A9F" w:rsidRPr="002A0251">
        <w:rPr>
          <w:lang w:val="en-US"/>
        </w:rPr>
        <w:t>addresse</w:t>
      </w:r>
      <w:r>
        <w:rPr>
          <w:rFonts w:hint="eastAsia"/>
          <w:lang w:val="en-US"/>
        </w:rPr>
        <w:t>d</w:t>
      </w:r>
      <w:r w:rsidR="00526A9F" w:rsidRPr="002A0251">
        <w:rPr>
          <w:lang w:val="en-US"/>
        </w:rPr>
        <w:t xml:space="preserve"> </w:t>
      </w:r>
      <w:r>
        <w:rPr>
          <w:rFonts w:hint="eastAsia"/>
          <w:lang w:val="en-US"/>
        </w:rPr>
        <w:t xml:space="preserve">this </w:t>
      </w:r>
      <w:r w:rsidR="00EE21FD" w:rsidRPr="002A0251">
        <w:rPr>
          <w:rFonts w:hint="eastAsia"/>
          <w:lang w:val="en-US"/>
        </w:rPr>
        <w:t>evidence</w:t>
      </w:r>
      <w:r w:rsidR="00526A9F" w:rsidRPr="002A0251">
        <w:rPr>
          <w:lang w:val="en-US"/>
        </w:rPr>
        <w:t xml:space="preserve"> gaps by evaluating the </w:t>
      </w:r>
      <w:r w:rsidR="00EE21FD" w:rsidRPr="002A0251">
        <w:rPr>
          <w:rFonts w:hint="eastAsia"/>
          <w:lang w:val="en-US"/>
        </w:rPr>
        <w:t xml:space="preserve">health and economic </w:t>
      </w:r>
      <w:r w:rsidR="00526A9F" w:rsidRPr="002A0251">
        <w:rPr>
          <w:lang w:val="en-US"/>
        </w:rPr>
        <w:t xml:space="preserve">impact of </w:t>
      </w:r>
      <w:r w:rsidR="00823573">
        <w:rPr>
          <w:rFonts w:hint="eastAsia"/>
          <w:lang w:val="en-US"/>
        </w:rPr>
        <w:t xml:space="preserve">single-dose </w:t>
      </w:r>
      <w:r w:rsidR="00526A9F" w:rsidRPr="002A0251">
        <w:rPr>
          <w:lang w:val="en-US"/>
        </w:rPr>
        <w:t xml:space="preserve">OCV </w:t>
      </w:r>
      <w:r w:rsidR="00823573">
        <w:rPr>
          <w:rFonts w:hint="eastAsia"/>
          <w:lang w:val="en-US"/>
        </w:rPr>
        <w:t>ORIs</w:t>
      </w:r>
      <w:r w:rsidR="00526A9F" w:rsidRPr="002A0251">
        <w:rPr>
          <w:lang w:val="en-US"/>
        </w:rPr>
        <w:t xml:space="preserve"> across 1,192 cholera outbreaks in sub-Saharan Africa from 2010 to 202</w:t>
      </w:r>
      <w:r w:rsidR="00526A9F" w:rsidRPr="002A0251">
        <w:rPr>
          <w:rFonts w:hint="eastAsia"/>
          <w:lang w:val="en-US"/>
        </w:rPr>
        <w:t>0</w:t>
      </w:r>
      <w:r w:rsidR="00EE21FD" w:rsidRPr="002A0251">
        <w:rPr>
          <w:rFonts w:hint="eastAsia"/>
          <w:lang w:val="en-US"/>
        </w:rPr>
        <w:t>.</w:t>
      </w:r>
      <w:r w:rsidR="00526A9F" w:rsidRPr="002A0251">
        <w:rPr>
          <w:lang w:val="en-US"/>
        </w:rPr>
        <w:t xml:space="preserve"> </w:t>
      </w:r>
      <w:r w:rsidR="00FC2CC5">
        <w:rPr>
          <w:rFonts w:hint="eastAsia"/>
          <w:lang w:val="en-US"/>
        </w:rPr>
        <w:t>Specifically</w:t>
      </w:r>
      <w:r w:rsidR="008C1F6C">
        <w:rPr>
          <w:rFonts w:hint="eastAsia"/>
          <w:lang w:val="en-US"/>
        </w:rPr>
        <w:t xml:space="preserve">, </w:t>
      </w:r>
      <w:r w:rsidRPr="009E3304">
        <w:rPr>
          <w:lang w:val="en-US"/>
        </w:rPr>
        <w:t>we asked: (1) how effective are single-dose OCV ORIs when implemented under varying delays and coverage levels during individual outbreaks? and (2) how effective are ORIs when deployed across multiple heterogeneous outbreaks, as in global stockpile operations?</w:t>
      </w:r>
      <w:r w:rsidRPr="009E3304">
        <w:rPr>
          <w:rFonts w:hint="eastAsia"/>
          <w:lang w:val="en-US"/>
        </w:rPr>
        <w:t xml:space="preserve"> </w:t>
      </w:r>
      <w:r w:rsidR="001E41A9" w:rsidRPr="002A0251">
        <w:t xml:space="preserve">To </w:t>
      </w:r>
      <w:r>
        <w:rPr>
          <w:rFonts w:hint="eastAsia"/>
        </w:rPr>
        <w:t>answer</w:t>
      </w:r>
      <w:r w:rsidR="001E41A9" w:rsidRPr="002A0251">
        <w:t xml:space="preserve"> these questions, </w:t>
      </w:r>
      <w:r w:rsidRPr="009E3304">
        <w:t xml:space="preserve">we combined outbreak-level impact estimates with </w:t>
      </w:r>
      <w:r w:rsidRPr="009E3304">
        <w:lastRenderedPageBreak/>
        <w:t>aggregate analyses simulating vaccine deployment under stockpile constraints</w:t>
      </w:r>
      <w:r w:rsidR="001E41A9" w:rsidRPr="002A0251">
        <w:t xml:space="preserve"> across a range of implementation scenarios</w:t>
      </w:r>
      <w:r>
        <w:rPr>
          <w:rFonts w:hint="eastAsia"/>
        </w:rPr>
        <w:t xml:space="preserve">. </w:t>
      </w:r>
    </w:p>
    <w:p w14:paraId="3AC5626F" w14:textId="2D918828" w:rsidR="006B31C6" w:rsidRPr="002A0251" w:rsidRDefault="0091383D" w:rsidP="00F57F15">
      <w:pPr>
        <w:pStyle w:val="Heading2"/>
      </w:pPr>
      <w:bookmarkStart w:id="11" w:name="_heading=h.lnxbz9" w:colFirst="0" w:colLast="0"/>
      <w:bookmarkStart w:id="12" w:name="_Toc184909199"/>
      <w:bookmarkStart w:id="13" w:name="_Hlk162276114"/>
      <w:bookmarkEnd w:id="11"/>
      <w:r w:rsidRPr="002A0251">
        <w:t>Methods</w:t>
      </w:r>
      <w:bookmarkStart w:id="14" w:name="_heading=h.35nkun2" w:colFirst="0" w:colLast="0"/>
      <w:bookmarkEnd w:id="12"/>
      <w:bookmarkEnd w:id="14"/>
    </w:p>
    <w:p w14:paraId="5746FF8B" w14:textId="1BF498F2" w:rsidR="00D45E30" w:rsidRPr="002A0251" w:rsidRDefault="00D45E30" w:rsidP="00C941FB">
      <w:pPr>
        <w:pStyle w:val="Heading3"/>
      </w:pPr>
      <w:bookmarkStart w:id="15" w:name="_Toc184909200"/>
      <w:r w:rsidRPr="002A0251">
        <w:t>Outbreak data</w:t>
      </w:r>
      <w:bookmarkEnd w:id="15"/>
    </w:p>
    <w:p w14:paraId="2484E63A" w14:textId="1543C95F" w:rsidR="00E501CE" w:rsidRDefault="00BA69CB" w:rsidP="00F57F15">
      <w:r w:rsidRPr="002A0251">
        <w:rPr>
          <w:rFonts w:hint="eastAsia"/>
        </w:rPr>
        <w:t>We compiled w</w:t>
      </w:r>
      <w:r w:rsidR="00743304" w:rsidRPr="002A0251">
        <w:t xml:space="preserve">eekly </w:t>
      </w:r>
      <w:r w:rsidR="00994CA3" w:rsidRPr="002A0251">
        <w:t xml:space="preserve">suspected </w:t>
      </w:r>
      <w:r w:rsidR="00743304" w:rsidRPr="002A0251">
        <w:t xml:space="preserve">cholera incidence data from the </w:t>
      </w:r>
      <w:r w:rsidR="00B8058D" w:rsidRPr="002A0251">
        <w:rPr>
          <w:rFonts w:hint="eastAsia"/>
        </w:rPr>
        <w:t>Cholera Taxonomy Data</w:t>
      </w:r>
      <w:r w:rsidRPr="002A0251">
        <w:rPr>
          <w:rFonts w:hint="eastAsia"/>
        </w:rPr>
        <w:t>,</w:t>
      </w:r>
      <w:r w:rsidR="00B8058D" w:rsidRPr="002A0251">
        <w:fldChar w:fldCharType="begin"/>
      </w:r>
      <w:r w:rsidR="000B5A14" w:rsidRPr="002A0251">
        <w:instrText xml:space="preserve"> ADDIN ZOTERO_ITEM CSL_CITATION {"citationID":"oWyJX6gc","properties":{"formattedCitation":"\\super 32\\nosupersub{}","plainCitation":"32","noteIndex":0},"citationItems":[{"id":15237,"uris":["http://zotero.org/users/7663102/items/A7V925WC"],"itemData":{"id":15237,"type":"webpage","title":"CholeraTaxonomy","URL":"https://cholera-taxonomy.middle-distance.com/","author":[{"family":"Johns Hopkins Cholera Dynamics Team","given":""}],"accessed":{"date-parts":[["2025",1,2]]},"citation-key":"johnshopkinscholeradynamicsteamCholeraTaxonomy"}}],"schema":"https://github.com/citation-style-language/schema/raw/master/csl-citation.json"} </w:instrText>
      </w:r>
      <w:r w:rsidR="00B8058D" w:rsidRPr="002A0251">
        <w:fldChar w:fldCharType="separate"/>
      </w:r>
      <w:r w:rsidR="000B5A14" w:rsidRPr="002A0251">
        <w:rPr>
          <w:rFonts w:cs="Times New Roman"/>
          <w:vertAlign w:val="superscript"/>
        </w:rPr>
        <w:t>32</w:t>
      </w:r>
      <w:r w:rsidR="00B8058D" w:rsidRPr="002A0251">
        <w:fldChar w:fldCharType="end"/>
      </w:r>
      <w:r w:rsidR="00F91B5E" w:rsidRPr="002A0251">
        <w:t xml:space="preserve"> </w:t>
      </w:r>
      <w:r w:rsidR="00E960E6">
        <w:rPr>
          <w:rFonts w:hint="eastAsia"/>
        </w:rPr>
        <w:t>which includes</w:t>
      </w:r>
      <w:r w:rsidRPr="002A0251">
        <w:rPr>
          <w:rFonts w:hint="eastAsia"/>
        </w:rPr>
        <w:t xml:space="preserve"> </w:t>
      </w:r>
      <w:r w:rsidR="00763376" w:rsidRPr="002A0251">
        <w:t xml:space="preserve">1,664 outbreaks </w:t>
      </w:r>
      <w:r w:rsidR="003F7829" w:rsidRPr="002A0251">
        <w:t xml:space="preserve">reported </w:t>
      </w:r>
      <w:r w:rsidR="00E960E6">
        <w:rPr>
          <w:rFonts w:hint="eastAsia"/>
        </w:rPr>
        <w:t>across</w:t>
      </w:r>
      <w:r w:rsidRPr="002A0251">
        <w:rPr>
          <w:rFonts w:hint="eastAsia"/>
        </w:rPr>
        <w:t xml:space="preserve"> </w:t>
      </w:r>
      <w:r w:rsidR="0065170D" w:rsidRPr="002A0251">
        <w:t xml:space="preserve">various </w:t>
      </w:r>
      <w:r w:rsidR="003F7829" w:rsidRPr="002A0251">
        <w:t xml:space="preserve">administrative </w:t>
      </w:r>
      <w:r w:rsidR="00E960E6">
        <w:rPr>
          <w:rFonts w:hint="eastAsia"/>
        </w:rPr>
        <w:t>levels</w:t>
      </w:r>
      <w:r w:rsidR="003F7829" w:rsidRPr="002A0251">
        <w:t xml:space="preserve"> </w:t>
      </w:r>
      <w:r w:rsidR="00E960E6">
        <w:rPr>
          <w:rFonts w:hint="eastAsia"/>
        </w:rPr>
        <w:t>in</w:t>
      </w:r>
      <w:r w:rsidR="00763376" w:rsidRPr="002A0251">
        <w:t xml:space="preserve"> 30 countries in sub-Saharan Africa from January 2010 to July 2023</w:t>
      </w:r>
      <w:r w:rsidR="00F91B5E" w:rsidRPr="002A0251">
        <w:t>.</w:t>
      </w:r>
      <w:r w:rsidR="00286E84" w:rsidRPr="002A0251">
        <w:fldChar w:fldCharType="begin"/>
      </w:r>
      <w:r w:rsidR="00426D3F" w:rsidRPr="002A0251">
        <w:instrText xml:space="preserve"> ADDIN ZOTERO_ITEM CSL_CITATION {"citationID":"jdcYw5wM","properties":{"formattedCitation":"\\super 23,33\\nosupersub{}","plainCitation":"23,33","noteIndex":0},"citationItems":[{"id":7876,"uris":["http://zotero.org/users/7663102/items/CQNDTP3Y"],"itemData":{"id":7876,"type":"article-journal","container-title":"International Journal of Infectious Diseases","DOI":"10.1016/j.ijid.2022.05.039","ISSN":"1201-9712","journalAbbreviation":"IJID","language":"English","note":"publisher: Elsevier\nPMID: 35605949","page":"215-221","source":"www.ijidonline.com","title":"Cholera outbreaks in sub-Saharan Africa during 2010-2019: a descriptive analysis","title-short":"Cholera outbreaks in sub-Saharan Africa during 2010-2019","volume":"122","author":[{"family":"Zheng","given":"Qulu"},{"family":"Luquero","given":"Francisco J."},{"family":"Ciglenecki","given":"Iza"},{"family":"Wamala","given":"Joseph F."},{"family":"Abubakar","given":"Abdinasir"},{"family":"Welo","given":"Placide"},{"family":"Hussen","given":"Mukemil"},{"family":"Wossen","given":"Mesfin"},{"family":"Yennan","given":"Sebastian"},{"family":"Keita","given":"Alama"},{"family":"Lessler","given":"Justin"},{"family":"Azman","given":"Andrew S."},{"family":"Lee","given":"Elizabeth C."}],"issued":{"date-parts":[["2022",9,1]]},"citation-key":"zhengCholeraOutbreaksSubSaharan2022"}},{"id":15761,"uris":["http://zotero.org/users/7663102/items/JCYGWDIF"],"itemData":{"id":15761,"type":"article-journal","abstract":"Background Cholera remains a significant public health challenge in Africa, where outbreaks routinely strain public health and healthcare systems. Cholera surveillance time series data could be used to inform the efficient distribution of resources like oral cholera vaccine (OCV) and emergency response personnel, spur research on the impacts of different cholera control activities, and investigate longer-term epidemiologic patterns in cholera dynamics in this region. However, public reporting of cholera surveillance data historically has been sporadic and often limited to outbreak periods, thus limiting the availability of these useful time series datasets. We sought to fill this gap by preparing, cleaning, and processing weekly consecutive time series and outbreak-specific time series from 2010 to 2023 for African countries from heterogeneous data contributed to a global cholera surveillance database.","container-title":"VeriXiv","DOI":"https://doi.org/10.12688/verixiv.1061.1","issue":"116","language":"en","source":"Zotero","title":"Cholera surveillance time series in Africa between 2010 and 2023","volume":"2","author":[{"family":"Zheng","given":"Qulu"},{"family":"DePencier","given":"Rachel"},{"family":"Demby","given":"Maya N"},{"family":"Azman","given":"Andrew S"},{"family":"Lee","given":"Elizabeth C"}],"issued":{"date-parts":[["2025"]]},"citation-key":"zheng2025"}}],"schema":"https://github.com/citation-style-language/schema/raw/master/csl-citation.json"} </w:instrText>
      </w:r>
      <w:r w:rsidR="00286E84" w:rsidRPr="002A0251">
        <w:fldChar w:fldCharType="separate"/>
      </w:r>
      <w:r w:rsidR="005377FB" w:rsidRPr="002A0251">
        <w:rPr>
          <w:rFonts w:cs="Times New Roman"/>
          <w:vertAlign w:val="superscript"/>
        </w:rPr>
        <w:t>23,33</w:t>
      </w:r>
      <w:r w:rsidR="00286E84" w:rsidRPr="002A0251">
        <w:fldChar w:fldCharType="end"/>
      </w:r>
      <w:r w:rsidR="00743304" w:rsidRPr="002A0251">
        <w:t xml:space="preserve"> Outbreaks were defined by location-specific average weekly incidence thresholds, spanning from the first to the last reported suspected case</w:t>
      </w:r>
      <w:r w:rsidR="009C63EF" w:rsidRPr="002A0251">
        <w:t>, with</w:t>
      </w:r>
      <w:r w:rsidRPr="002A0251">
        <w:rPr>
          <w:rFonts w:hint="eastAsia"/>
        </w:rPr>
        <w:t xml:space="preserve"> </w:t>
      </w:r>
      <w:r w:rsidR="009C63EF" w:rsidRPr="002A0251">
        <w:t xml:space="preserve">weeks </w:t>
      </w:r>
      <w:r w:rsidR="00E960E6">
        <w:rPr>
          <w:rFonts w:hint="eastAsia"/>
        </w:rPr>
        <w:t>without</w:t>
      </w:r>
      <w:r w:rsidRPr="002A0251">
        <w:rPr>
          <w:rFonts w:hint="eastAsia"/>
        </w:rPr>
        <w:t xml:space="preserve"> data</w:t>
      </w:r>
      <w:r w:rsidR="009C63EF" w:rsidRPr="002A0251">
        <w:t xml:space="preserve"> assumed to have zero cases</w:t>
      </w:r>
      <w:r w:rsidR="00743304" w:rsidRPr="002A0251">
        <w:t>.</w:t>
      </w:r>
      <w:r w:rsidR="000B2C70" w:rsidRPr="002A0251">
        <w:fldChar w:fldCharType="begin"/>
      </w:r>
      <w:r w:rsidR="000B5A14" w:rsidRPr="002A0251">
        <w:instrText xml:space="preserve"> ADDIN ZOTERO_ITEM CSL_CITATION {"citationID":"S20QoVfg","properties":{"formattedCitation":"\\super 30\\nosupersub{}","plainCitation":"30","noteIndex":0},"citationItems":[{"id":15218,"uris":["http://zotero.org/users/7663102/items/UWYP5WF6"],"itemData":{"id":15218,"type":"manuscript","event-place":"In preparation","publisher-place":"In preparation","title":"Cholera outbreak time series in Africa between 2010 and 2023.","author":[{"family":"Zheng","given":"Q."},{"family":"Lee","given":"E. C."}],"citation-key":"zhengCholeraOutbreakTime"}}],"schema":"https://github.com/citation-style-language/schema/raw/master/csl-citation.json"} </w:instrText>
      </w:r>
      <w:r w:rsidR="000B2C70" w:rsidRPr="002A0251">
        <w:fldChar w:fldCharType="separate"/>
      </w:r>
      <w:r w:rsidR="00900C32" w:rsidRPr="002A0251">
        <w:rPr>
          <w:rFonts w:cs="Times New Roman"/>
          <w:vertAlign w:val="superscript"/>
        </w:rPr>
        <w:t>30</w:t>
      </w:r>
      <w:r w:rsidR="000B2C70" w:rsidRPr="002A0251">
        <w:fldChar w:fldCharType="end"/>
      </w:r>
      <w:r w:rsidR="00763376" w:rsidRPr="002A0251">
        <w:t xml:space="preserve"> </w:t>
      </w:r>
      <w:r w:rsidR="00E960E6" w:rsidRPr="00E960E6">
        <w:t>To ensure consistency with real-world outbreak response conditions,</w:t>
      </w:r>
      <w:r w:rsidR="00E960E6">
        <w:rPr>
          <w:rFonts w:hint="eastAsia"/>
        </w:rPr>
        <w:t xml:space="preserve"> some outbreaks were excluded. </w:t>
      </w:r>
      <w:r w:rsidR="00E960E6" w:rsidRPr="00E960E6">
        <w:t>We excluded outbreaks reported from administrative units with populations outside the range of historical OCV deployments—specifically, those corresponding to fewer than 16,500 or more than 5 million doses</w:t>
      </w:r>
      <w:r w:rsidR="00E960E6">
        <w:rPr>
          <w:rFonts w:hint="eastAsia"/>
        </w:rPr>
        <w:t>.</w:t>
      </w:r>
      <w:r w:rsidR="003D795F" w:rsidRPr="002A0251">
        <w:fldChar w:fldCharType="begin"/>
      </w:r>
      <w:r w:rsidR="005377FB" w:rsidRPr="002A0251">
        <w:instrText xml:space="preserve"> ADDIN ZOTERO_ITEM CSL_CITATION {"citationID":"z6G6liP1","properties":{"formattedCitation":"\\super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3D795F" w:rsidRPr="002A0251">
        <w:fldChar w:fldCharType="separate"/>
      </w:r>
      <w:r w:rsidR="005377FB" w:rsidRPr="002A0251">
        <w:rPr>
          <w:rFonts w:cs="Times New Roman"/>
          <w:vertAlign w:val="superscript"/>
        </w:rPr>
        <w:t>34</w:t>
      </w:r>
      <w:r w:rsidR="003D795F" w:rsidRPr="002A0251">
        <w:fldChar w:fldCharType="end"/>
      </w:r>
      <w:r w:rsidR="00E960E6">
        <w:rPr>
          <w:rFonts w:hint="eastAsia"/>
        </w:rPr>
        <w:t xml:space="preserve"> </w:t>
      </w:r>
      <w:r w:rsidR="00844022" w:rsidRPr="002A0251">
        <w:rPr>
          <w:rFonts w:hint="eastAsia"/>
        </w:rPr>
        <w:t xml:space="preserve"> </w:t>
      </w:r>
      <w:r w:rsidR="00E501CE">
        <w:rPr>
          <w:rFonts w:hint="eastAsia"/>
        </w:rPr>
        <w:t>Also, w</w:t>
      </w:r>
      <w:r w:rsidR="00E501CE" w:rsidRPr="00E501CE">
        <w:t>hen outbreaks overlapped across multiple administrative levels, smaller nested outbreaks entirely contained within a larger one were excluded. If a smaller administrative unit reported an equal or greater number of cases, the smaller outbreak was retained and the larger one excluded.</w:t>
      </w:r>
      <w:r w:rsidR="00E501CE">
        <w:rPr>
          <w:rFonts w:hint="eastAsia"/>
        </w:rPr>
        <w:t xml:space="preserve"> In addition, o</w:t>
      </w:r>
      <w:r w:rsidR="00E501CE" w:rsidRPr="00E501CE">
        <w:t xml:space="preserve">utbreaks occurring within three years after an OCV campaign were removed to avoid vaccine-influenced </w:t>
      </w:r>
      <w:r w:rsidR="00E501CE" w:rsidRPr="00E501CE">
        <w:rPr>
          <w:highlight w:val="yellow"/>
        </w:rPr>
        <w:t>estimates</w:t>
      </w:r>
      <w:r w:rsidR="00E501CE" w:rsidRPr="00E501CE">
        <w:rPr>
          <w:rFonts w:hint="eastAsia"/>
          <w:highlight w:val="yellow"/>
        </w:rPr>
        <w:t xml:space="preserve">, </w:t>
      </w:r>
      <w:proofErr w:type="gramStart"/>
      <w:r w:rsidR="00E501CE" w:rsidRPr="00E501CE">
        <w:rPr>
          <w:rFonts w:hint="eastAsia"/>
          <w:highlight w:val="yellow"/>
        </w:rPr>
        <w:t>assuming that</w:t>
      </w:r>
      <w:proofErr w:type="gramEnd"/>
      <w:r w:rsidR="00E501CE" w:rsidRPr="00E501CE">
        <w:rPr>
          <w:rFonts w:hint="eastAsia"/>
          <w:highlight w:val="yellow"/>
        </w:rPr>
        <w:t xml:space="preserve"> these outbreaks </w:t>
      </w:r>
      <w:r w:rsidR="00825644" w:rsidRPr="00E501CE">
        <w:rPr>
          <w:highlight w:val="yellow"/>
        </w:rPr>
        <w:t>may have already been influenced by OCVs</w:t>
      </w:r>
      <w:r w:rsidR="00E501CE" w:rsidRPr="00E501CE">
        <w:rPr>
          <w:rFonts w:hint="eastAsia"/>
          <w:highlight w:val="yellow"/>
        </w:rPr>
        <w:t xml:space="preserve"> and therefore do not serve as good controls for counterfactual analyses.</w:t>
      </w:r>
      <w:r w:rsidR="00825644" w:rsidRPr="00E501CE">
        <w:rPr>
          <w:rFonts w:hint="eastAsia"/>
          <w:highlight w:val="yellow"/>
        </w:rPr>
        <w:t xml:space="preserve"> </w:t>
      </w:r>
      <w:r w:rsidR="00AC4336" w:rsidRPr="00E501CE">
        <w:rPr>
          <w:rFonts w:hint="eastAsia"/>
          <w:highlight w:val="yellow"/>
        </w:rPr>
        <w:t>Finally</w:t>
      </w:r>
      <w:r w:rsidR="00AC4336" w:rsidRPr="002A0251">
        <w:rPr>
          <w:rFonts w:hint="eastAsia"/>
        </w:rPr>
        <w:t xml:space="preserve">, </w:t>
      </w:r>
      <w:r w:rsidR="00E501CE">
        <w:rPr>
          <w:rFonts w:hint="eastAsia"/>
        </w:rPr>
        <w:t>o</w:t>
      </w:r>
      <w:r w:rsidR="00E501CE" w:rsidRPr="00E501CE">
        <w:t>utbreaks reported after 1 January 202</w:t>
      </w:r>
      <w:r w:rsidR="00E501CE">
        <w:rPr>
          <w:rFonts w:hint="eastAsia"/>
        </w:rPr>
        <w:t>0</w:t>
      </w:r>
      <w:r w:rsidR="00E501CE" w:rsidRPr="00E501CE">
        <w:t xml:space="preserve"> were excluded due to unavailable OCV campaign data.</w:t>
      </w:r>
      <w:r w:rsidR="00685FA9" w:rsidRPr="002A0251">
        <w:rPr>
          <w:rFonts w:hint="eastAsia"/>
        </w:rPr>
        <w:t xml:space="preserve"> </w:t>
      </w:r>
      <w:r w:rsidR="001946A6" w:rsidRPr="002A0251">
        <w:rPr>
          <w:rFonts w:hint="eastAsia"/>
        </w:rPr>
        <w:t xml:space="preserve">After excluding these </w:t>
      </w:r>
      <w:r w:rsidR="00D95409" w:rsidRPr="002A0251">
        <w:rPr>
          <w:rFonts w:hint="eastAsia"/>
        </w:rPr>
        <w:t>472</w:t>
      </w:r>
      <w:r w:rsidR="001946A6" w:rsidRPr="002A0251">
        <w:rPr>
          <w:rFonts w:hint="eastAsia"/>
        </w:rPr>
        <w:t xml:space="preserve"> outbreaks, </w:t>
      </w:r>
      <w:r w:rsidR="007F20C7" w:rsidRPr="002A0251">
        <w:rPr>
          <w:rFonts w:hint="eastAsia"/>
        </w:rPr>
        <w:t>1,192</w:t>
      </w:r>
      <w:r w:rsidR="00685FA9" w:rsidRPr="002A0251">
        <w:rPr>
          <w:rFonts w:hint="eastAsia"/>
        </w:rPr>
        <w:t xml:space="preserve"> outbreaks</w:t>
      </w:r>
      <w:r w:rsidR="00E501CE">
        <w:rPr>
          <w:rFonts w:hint="eastAsia"/>
        </w:rPr>
        <w:t xml:space="preserve"> were retained for modeling</w:t>
      </w:r>
      <w:r w:rsidR="004B3898" w:rsidRPr="002A0251">
        <w:rPr>
          <w:rFonts w:hint="eastAsia"/>
        </w:rPr>
        <w:t>.</w:t>
      </w:r>
      <w:r w:rsidR="00C941FB" w:rsidRPr="002A0251">
        <w:rPr>
          <w:rFonts w:hint="eastAsia"/>
        </w:rPr>
        <w:t xml:space="preserve"> </w:t>
      </w:r>
      <w:r w:rsidR="00E501CE" w:rsidRPr="002A0251">
        <w:rPr>
          <w:rFonts w:hint="eastAsia"/>
        </w:rPr>
        <w:t>(</w:t>
      </w:r>
      <w:r w:rsidR="00E501CE" w:rsidRPr="002A0251">
        <w:rPr>
          <w:rFonts w:hint="eastAsia"/>
          <w:b/>
          <w:bCs/>
        </w:rPr>
        <w:t>Figure 1A</w:t>
      </w:r>
      <w:r w:rsidR="00E501CE" w:rsidRPr="002A0251">
        <w:rPr>
          <w:rFonts w:hint="eastAsia"/>
        </w:rPr>
        <w:t>)</w:t>
      </w:r>
      <w:r w:rsidR="00E501CE" w:rsidRPr="002A0251">
        <w:t>.</w:t>
      </w:r>
    </w:p>
    <w:p w14:paraId="07A87FB3" w14:textId="77777777" w:rsidR="00E501CE" w:rsidRDefault="00E501CE" w:rsidP="00F57F15"/>
    <w:p w14:paraId="291E45FF" w14:textId="1FB8F2B5" w:rsidR="00B57CC1" w:rsidRPr="002A0251" w:rsidRDefault="004B3898" w:rsidP="00F57F15">
      <w:r w:rsidRPr="00E501CE">
        <w:rPr>
          <w:rFonts w:hint="eastAsia"/>
          <w:highlight w:val="yellow"/>
        </w:rPr>
        <w:t>The outcomes were reported as</w:t>
      </w:r>
      <w:r w:rsidRPr="00E501CE">
        <w:rPr>
          <w:highlight w:val="yellow"/>
        </w:rPr>
        <w:t xml:space="preserve"> cases, deaths, and disability-adjusted life years (DALY</w:t>
      </w:r>
      <w:r w:rsidRPr="00E501CE">
        <w:rPr>
          <w:rFonts w:hint="eastAsia"/>
          <w:highlight w:val="yellow"/>
        </w:rPr>
        <w:t>s</w:t>
      </w:r>
      <w:r w:rsidRPr="00E501CE">
        <w:rPr>
          <w:highlight w:val="yellow"/>
        </w:rPr>
        <w:t>)</w:t>
      </w:r>
      <w:r w:rsidRPr="00E501CE">
        <w:rPr>
          <w:rFonts w:hint="eastAsia"/>
          <w:highlight w:val="yellow"/>
        </w:rPr>
        <w:t xml:space="preserve"> averted, which were</w:t>
      </w:r>
      <w:r w:rsidR="001946A6" w:rsidRPr="00E501CE">
        <w:rPr>
          <w:rFonts w:hint="eastAsia"/>
          <w:highlight w:val="yellow"/>
        </w:rPr>
        <w:t xml:space="preserve"> also</w:t>
      </w:r>
      <w:r w:rsidRPr="00E501CE">
        <w:rPr>
          <w:rFonts w:hint="eastAsia"/>
          <w:highlight w:val="yellow"/>
        </w:rPr>
        <w:t xml:space="preserve"> converted to </w:t>
      </w:r>
      <w:r w:rsidRPr="00E501CE">
        <w:rPr>
          <w:highlight w:val="yellow"/>
        </w:rPr>
        <w:t>vaccination campaign efficiency</w:t>
      </w:r>
      <w:r w:rsidRPr="00E501CE">
        <w:rPr>
          <w:rFonts w:hint="eastAsia"/>
          <w:highlight w:val="yellow"/>
        </w:rPr>
        <w:t xml:space="preserve"> metrics (e.g., cases,</w:t>
      </w:r>
      <w:r w:rsidRPr="00E501CE">
        <w:rPr>
          <w:highlight w:val="yellow"/>
        </w:rPr>
        <w:t xml:space="preserve"> deaths, </w:t>
      </w:r>
      <w:r w:rsidRPr="00E501CE">
        <w:rPr>
          <w:rFonts w:hint="eastAsia"/>
          <w:highlight w:val="yellow"/>
        </w:rPr>
        <w:t>and</w:t>
      </w:r>
      <w:r w:rsidRPr="00E501CE">
        <w:rPr>
          <w:highlight w:val="yellow"/>
        </w:rPr>
        <w:t xml:space="preserve"> DALYs averted per 1,000 OCVs</w:t>
      </w:r>
      <w:r w:rsidRPr="00E501CE">
        <w:rPr>
          <w:rFonts w:hint="eastAsia"/>
          <w:highlight w:val="yellow"/>
        </w:rPr>
        <w:t>)</w:t>
      </w:r>
      <w:r w:rsidRPr="00E501CE">
        <w:rPr>
          <w:highlight w:val="yellow"/>
        </w:rPr>
        <w:t xml:space="preserve"> and cost-effectiveness</w:t>
      </w:r>
      <w:r w:rsidRPr="00E501CE">
        <w:rPr>
          <w:rFonts w:hint="eastAsia"/>
          <w:highlight w:val="yellow"/>
        </w:rPr>
        <w:t xml:space="preserve"> metrics (e.g., </w:t>
      </w:r>
      <w:r w:rsidRPr="00E501CE">
        <w:rPr>
          <w:highlight w:val="yellow"/>
        </w:rPr>
        <w:t>cost per case, death, or DALY averted</w:t>
      </w:r>
      <w:r w:rsidRPr="00E501CE">
        <w:rPr>
          <w:rFonts w:hint="eastAsia"/>
          <w:highlight w:val="yellow"/>
        </w:rPr>
        <w:t>)</w:t>
      </w:r>
      <w:r w:rsidRPr="002A0251">
        <w:rPr>
          <w:rFonts w:hint="eastAsia"/>
        </w:rPr>
        <w:t xml:space="preserve"> </w:t>
      </w:r>
    </w:p>
    <w:p w14:paraId="7C54179F" w14:textId="1156DF7A" w:rsidR="00763376" w:rsidRPr="002A0251" w:rsidRDefault="00D951EA" w:rsidP="00C941FB">
      <w:pPr>
        <w:pStyle w:val="Heading3"/>
      </w:pPr>
      <w:bookmarkStart w:id="16" w:name="_Toc184909201"/>
      <w:r w:rsidRPr="002A0251">
        <w:lastRenderedPageBreak/>
        <w:t xml:space="preserve">Modeling the </w:t>
      </w:r>
      <w:r w:rsidR="00763376" w:rsidRPr="002A0251">
        <w:t xml:space="preserve">vaccine </w:t>
      </w:r>
      <w:r w:rsidRPr="002A0251">
        <w:t>impact</w:t>
      </w:r>
      <w:bookmarkEnd w:id="16"/>
    </w:p>
    <w:p w14:paraId="21E88AB6" w14:textId="5549D173" w:rsidR="00B239A5" w:rsidRPr="002A0251" w:rsidRDefault="00E501CE" w:rsidP="00B239A5">
      <w:r>
        <w:rPr>
          <w:rFonts w:hint="eastAsia"/>
        </w:rPr>
        <w:t>We si</w:t>
      </w:r>
      <w:r w:rsidR="00EB7971" w:rsidRPr="002A0251">
        <w:rPr>
          <w:rFonts w:hint="eastAsia"/>
        </w:rPr>
        <w:t>mulated</w:t>
      </w:r>
      <w:r w:rsidR="00D937AF" w:rsidRPr="002A0251">
        <w:rPr>
          <w:rFonts w:hint="eastAsia"/>
        </w:rPr>
        <w:t xml:space="preserve"> weekly</w:t>
      </w:r>
      <w:r w:rsidR="00EB7971" w:rsidRPr="002A0251">
        <w:rPr>
          <w:rFonts w:hint="eastAsia"/>
        </w:rPr>
        <w:t xml:space="preserve"> c</w:t>
      </w:r>
      <w:r w:rsidR="00EB7971" w:rsidRPr="002A0251">
        <w:t>ase counts under counterfactual vaccination scenarios</w:t>
      </w:r>
      <w:r>
        <w:t>—</w:t>
      </w:r>
      <w:r>
        <w:rPr>
          <w:rFonts w:hint="eastAsia"/>
        </w:rPr>
        <w:t>identical in all respects</w:t>
      </w:r>
      <w:r w:rsidR="00B239A5" w:rsidRPr="002A0251">
        <w:rPr>
          <w:rFonts w:hint="eastAsia"/>
        </w:rPr>
        <w:t xml:space="preserve"> except for the </w:t>
      </w:r>
      <w:r>
        <w:rPr>
          <w:rFonts w:hint="eastAsia"/>
        </w:rPr>
        <w:t>implementation of ORIs.</w:t>
      </w:r>
      <w:r w:rsidR="00B239A5" w:rsidRPr="002A0251">
        <w:rPr>
          <w:rFonts w:hint="eastAsia"/>
        </w:rPr>
        <w:t xml:space="preserve"> The impact of ORIs </w:t>
      </w:r>
      <w:r>
        <w:rPr>
          <w:rFonts w:hint="eastAsia"/>
        </w:rPr>
        <w:t>was</w:t>
      </w:r>
      <w:r w:rsidR="008E4AD4" w:rsidRPr="002A0251">
        <w:rPr>
          <w:rFonts w:hint="eastAsia"/>
        </w:rPr>
        <w:t xml:space="preserve"> based on </w:t>
      </w:r>
      <w:r>
        <w:rPr>
          <w:rFonts w:hint="eastAsia"/>
        </w:rPr>
        <w:t xml:space="preserve">the number of </w:t>
      </w:r>
      <w:r w:rsidR="00B239A5" w:rsidRPr="002A0251">
        <w:t>cases averted</w:t>
      </w:r>
      <w:r w:rsidR="00B239A5" w:rsidRPr="002A0251">
        <w:rPr>
          <w:rFonts w:hint="eastAsia"/>
        </w:rPr>
        <w:t xml:space="preserve"> </w:t>
      </w:r>
      <w:r w:rsidR="00D937AF" w:rsidRPr="002A0251">
        <w:rPr>
          <w:rFonts w:hint="eastAsia"/>
        </w:rPr>
        <w:t xml:space="preserve">through vaccination </w:t>
      </w:r>
      <w:r w:rsidR="00B239A5" w:rsidRPr="002A0251">
        <w:rPr>
          <w:rFonts w:hint="eastAsia"/>
        </w:rPr>
        <w:t>(</w:t>
      </w:r>
      <w:r w:rsidR="00B239A5" w:rsidRPr="002A0251">
        <w:rPr>
          <w:rFonts w:hint="eastAsia"/>
          <w:b/>
          <w:bCs/>
        </w:rPr>
        <w:t>Figure</w:t>
      </w:r>
      <w:r w:rsidR="00B239A5" w:rsidRPr="002A0251">
        <w:rPr>
          <w:rFonts w:hint="eastAsia"/>
        </w:rPr>
        <w:t xml:space="preserve"> </w:t>
      </w:r>
      <w:r w:rsidR="00B239A5" w:rsidRPr="002A0251">
        <w:rPr>
          <w:rFonts w:hint="eastAsia"/>
          <w:b/>
          <w:bCs/>
        </w:rPr>
        <w:t>1B</w:t>
      </w:r>
      <w:r w:rsidRPr="00E501CE">
        <w:rPr>
          <w:rFonts w:hint="eastAsia"/>
        </w:rPr>
        <w:t>, top panel</w:t>
      </w:r>
      <w:r w:rsidR="00B239A5" w:rsidRPr="002A0251">
        <w:rPr>
          <w:rFonts w:hint="eastAsia"/>
        </w:rPr>
        <w:t>)</w:t>
      </w:r>
      <w:r w:rsidR="00B239A5" w:rsidRPr="002A0251">
        <w:t>.</w:t>
      </w:r>
      <w:r w:rsidR="00B239A5" w:rsidRPr="002A0251">
        <w:rPr>
          <w:rFonts w:hint="eastAsia"/>
        </w:rPr>
        <w:t xml:space="preserve"> </w:t>
      </w:r>
      <w:r w:rsidRPr="00E501CE">
        <w:t>Because ORIs can only occur if outbreaks are still ongoing, we assumed no campaign would be initiated if two or more weeks had passed since the outbreak ended, consistent with the outbreak definition</w:t>
      </w:r>
      <w:r w:rsidR="00492FC8" w:rsidRPr="002A0251">
        <w:fldChar w:fldCharType="begin"/>
      </w:r>
      <w:r w:rsidR="00492FC8" w:rsidRPr="002A0251">
        <w:instrText xml:space="preserve"> ADDIN ZOTERO_ITEM CSL_CITATION {"citationID":"l3TCsMVu","properties":{"formattedCitation":"\\super 35\\nosupersub{}","plainCitation":"35","noteIndex":0},"citationItems":[{"id":15756,"uris":["http://zotero.org/users/7663102/items/Q9CPQPJC"],"itemData":{"id":15756,"type":"webpage","title":"Cholera surveillance time series in Africa between 2010 ... | VeriXiv","URL":"https://verixiv.org/articles/2-116","accessed":{"date-parts":[["2025",7,9]]},"citation-key":"zotero-item-15756"}}],"schema":"https://github.com/citation-style-language/schema/raw/master/csl-citation.json"} </w:instrText>
      </w:r>
      <w:r w:rsidR="00492FC8" w:rsidRPr="002A0251">
        <w:fldChar w:fldCharType="separate"/>
      </w:r>
      <w:r w:rsidR="00492FC8" w:rsidRPr="002A0251">
        <w:rPr>
          <w:rFonts w:cs="Times New Roman"/>
          <w:vertAlign w:val="superscript"/>
        </w:rPr>
        <w:t>35</w:t>
      </w:r>
      <w:r w:rsidR="00492FC8" w:rsidRPr="002A0251">
        <w:fldChar w:fldCharType="end"/>
      </w:r>
      <w:r w:rsidR="00043944">
        <w:rPr>
          <w:rFonts w:hint="eastAsia"/>
        </w:rPr>
        <w:t xml:space="preserve"> and </w:t>
      </w:r>
      <w:r w:rsidR="00043944" w:rsidRPr="00E501CE">
        <w:t>validated in sensitivity analyses</w:t>
      </w:r>
      <w:r w:rsidR="00043944">
        <w:rPr>
          <w:rFonts w:hint="eastAsia"/>
        </w:rPr>
        <w:t>. O</w:t>
      </w:r>
      <w:r w:rsidR="00B83072" w:rsidRPr="002A0251">
        <w:rPr>
          <w:rFonts w:hint="eastAsia"/>
        </w:rPr>
        <w:t>RIs</w:t>
      </w:r>
      <w:r w:rsidR="00043944">
        <w:rPr>
          <w:rFonts w:hint="eastAsia"/>
        </w:rPr>
        <w:t xml:space="preserve"> </w:t>
      </w:r>
      <w:r w:rsidR="001234CD" w:rsidRPr="002A0251">
        <w:t>begin</w:t>
      </w:r>
      <w:r w:rsidR="001234CD">
        <w:t>ning</w:t>
      </w:r>
      <w:r w:rsidR="008E4AD4" w:rsidRPr="002A0251">
        <w:rPr>
          <w:rFonts w:hint="eastAsia"/>
        </w:rPr>
        <w:t xml:space="preserve"> before outbreak </w:t>
      </w:r>
      <w:r w:rsidR="001234CD">
        <w:rPr>
          <w:rFonts w:hint="eastAsia"/>
        </w:rPr>
        <w:t xml:space="preserve">resolution may still </w:t>
      </w:r>
      <w:r w:rsidR="003A519B" w:rsidRPr="002A0251">
        <w:rPr>
          <w:rFonts w:hint="eastAsia"/>
        </w:rPr>
        <w:t>produce no</w:t>
      </w:r>
      <w:r w:rsidR="001D33D5" w:rsidRPr="002A0251">
        <w:rPr>
          <w:rFonts w:hint="eastAsia"/>
        </w:rPr>
        <w:t xml:space="preserve"> impact </w:t>
      </w:r>
      <w:r w:rsidR="003A519B" w:rsidRPr="002A0251">
        <w:rPr>
          <w:rFonts w:hint="eastAsia"/>
        </w:rPr>
        <w:t xml:space="preserve">due to the time </w:t>
      </w:r>
      <w:r w:rsidR="003A519B" w:rsidRPr="002A0251">
        <w:t xml:space="preserve">required for implementation and vaccine-derived immunity to </w:t>
      </w:r>
      <w:r w:rsidR="001234CD">
        <w:rPr>
          <w:rFonts w:hint="eastAsia"/>
        </w:rPr>
        <w:t>develop</w:t>
      </w:r>
      <w:r w:rsidR="003A519B" w:rsidRPr="002A0251">
        <w:rPr>
          <w:rFonts w:hint="eastAsia"/>
        </w:rPr>
        <w:t xml:space="preserve"> </w:t>
      </w:r>
      <w:r w:rsidR="008E6CE0" w:rsidRPr="002A0251">
        <w:rPr>
          <w:rFonts w:hint="eastAsia"/>
        </w:rPr>
        <w:t>(</w:t>
      </w:r>
      <w:r w:rsidR="00043944" w:rsidRPr="002A0251">
        <w:rPr>
          <w:rFonts w:hint="eastAsia"/>
          <w:b/>
          <w:bCs/>
        </w:rPr>
        <w:t>Figure</w:t>
      </w:r>
      <w:r w:rsidR="00043944" w:rsidRPr="002A0251">
        <w:rPr>
          <w:rFonts w:hint="eastAsia"/>
        </w:rPr>
        <w:t xml:space="preserve"> </w:t>
      </w:r>
      <w:r w:rsidR="00043944" w:rsidRPr="002A0251">
        <w:rPr>
          <w:rFonts w:hint="eastAsia"/>
          <w:b/>
          <w:bCs/>
        </w:rPr>
        <w:t>1B</w:t>
      </w:r>
      <w:r w:rsidR="00043944">
        <w:rPr>
          <w:rFonts w:hint="eastAsia"/>
        </w:rPr>
        <w:t>, s</w:t>
      </w:r>
      <w:r w:rsidR="008E6CE0" w:rsidRPr="002A0251">
        <w:rPr>
          <w:rFonts w:hint="eastAsia"/>
        </w:rPr>
        <w:t>econd panel)</w:t>
      </w:r>
      <w:r w:rsidR="001D33D5" w:rsidRPr="002A0251">
        <w:rPr>
          <w:rFonts w:hint="eastAsia"/>
        </w:rPr>
        <w:t xml:space="preserve">. </w:t>
      </w:r>
      <w:r w:rsidR="00D95409" w:rsidRPr="002A0251">
        <w:rPr>
          <w:rFonts w:hint="eastAsia"/>
        </w:rPr>
        <w:t>T</w:t>
      </w:r>
      <w:r w:rsidR="00B239A5" w:rsidRPr="002A0251">
        <w:rPr>
          <w:rFonts w:hint="eastAsia"/>
        </w:rPr>
        <w:t>he impact of ORIs tends to be larger for a larger outbreak (</w:t>
      </w:r>
      <w:r w:rsidR="00B239A5" w:rsidRPr="002A0251">
        <w:rPr>
          <w:rFonts w:hint="eastAsia"/>
          <w:b/>
          <w:bCs/>
        </w:rPr>
        <w:t>Figure 1B</w:t>
      </w:r>
      <w:r w:rsidR="000B396B" w:rsidRPr="000B396B">
        <w:rPr>
          <w:rFonts w:hint="eastAsia"/>
        </w:rPr>
        <w:t>, third panel</w:t>
      </w:r>
      <w:r w:rsidR="00D937AF" w:rsidRPr="002A0251">
        <w:rPr>
          <w:rFonts w:hint="eastAsia"/>
          <w:b/>
          <w:bCs/>
        </w:rPr>
        <w:t>)</w:t>
      </w:r>
      <w:r w:rsidR="00D95409" w:rsidRPr="002A0251">
        <w:rPr>
          <w:rFonts w:hint="eastAsia"/>
        </w:rPr>
        <w:t xml:space="preserve"> and th</w:t>
      </w:r>
      <w:r w:rsidR="00B239A5" w:rsidRPr="002A0251">
        <w:rPr>
          <w:rFonts w:hint="eastAsia"/>
        </w:rPr>
        <w:t>e overall impact across multiple heterogeneous outbreaks tends to be larger</w:t>
      </w:r>
      <w:r w:rsidR="00B34B31">
        <w:rPr>
          <w:rFonts w:hint="eastAsia"/>
        </w:rPr>
        <w:t xml:space="preserve"> than the simple average,</w:t>
      </w:r>
      <w:r w:rsidR="00B239A5" w:rsidRPr="002A0251">
        <w:rPr>
          <w:rFonts w:hint="eastAsia"/>
        </w:rPr>
        <w:t xml:space="preserve"> </w:t>
      </w:r>
      <w:r w:rsidR="00B34B31">
        <w:rPr>
          <w:rFonts w:hint="eastAsia"/>
        </w:rPr>
        <w:t xml:space="preserve">as larger outbreaks contribute disproportionately to the overall impact </w:t>
      </w:r>
      <w:r w:rsidR="00B239A5" w:rsidRPr="002A0251">
        <w:rPr>
          <w:rFonts w:hint="eastAsia"/>
        </w:rPr>
        <w:t>(</w:t>
      </w:r>
      <w:r w:rsidR="000B396B" w:rsidRPr="002A0251">
        <w:rPr>
          <w:rFonts w:hint="eastAsia"/>
          <w:b/>
          <w:bCs/>
        </w:rPr>
        <w:t>Figure 1B</w:t>
      </w:r>
      <w:r w:rsidR="000B396B">
        <w:rPr>
          <w:rFonts w:hint="eastAsia"/>
        </w:rPr>
        <w:t xml:space="preserve">, </w:t>
      </w:r>
      <w:r w:rsidR="00D937AF" w:rsidRPr="002A0251">
        <w:rPr>
          <w:rFonts w:hint="eastAsia"/>
        </w:rPr>
        <w:t>fourth panel</w:t>
      </w:r>
      <w:r w:rsidR="00B239A5" w:rsidRPr="002A0251">
        <w:rPr>
          <w:rFonts w:hint="eastAsia"/>
        </w:rPr>
        <w:t>).</w:t>
      </w:r>
    </w:p>
    <w:p w14:paraId="283822D2" w14:textId="77777777" w:rsidR="001D33D5" w:rsidRPr="002A0251" w:rsidRDefault="001D33D5" w:rsidP="001D33D5"/>
    <w:p w14:paraId="3BBE008B" w14:textId="2B7AF184" w:rsidR="00D951EA" w:rsidRPr="002A0251" w:rsidRDefault="001234CD" w:rsidP="00F57F15">
      <w:r>
        <w:rPr>
          <w:rFonts w:hint="eastAsia"/>
        </w:rPr>
        <w:t>The</w:t>
      </w:r>
      <w:r w:rsidR="008E6CE0" w:rsidRPr="002A0251">
        <w:rPr>
          <w:rFonts w:hint="eastAsia"/>
        </w:rPr>
        <w:t xml:space="preserve"> model </w:t>
      </w:r>
      <w:r>
        <w:rPr>
          <w:rFonts w:hint="eastAsia"/>
        </w:rPr>
        <w:t xml:space="preserve">captures both </w:t>
      </w:r>
      <w:r w:rsidR="008E6CE0" w:rsidRPr="002A0251">
        <w:rPr>
          <w:rFonts w:hint="eastAsia"/>
        </w:rPr>
        <w:t>direct and indirect effects of OCV</w:t>
      </w:r>
      <w:r w:rsidR="003A519B" w:rsidRPr="002A0251">
        <w:fldChar w:fldCharType="begin"/>
      </w:r>
      <w:r w:rsidR="00492FC8" w:rsidRPr="002A0251">
        <w:instrText xml:space="preserve"> ADDIN ZOTERO_ITEM CSL_CITATION {"citationID":"aSoaptEv","properties":{"formattedCitation":"\\super 36\\nosupersub{}","plainCitation":"36","noteIndex":0},"citationItems":[{"id":7130,"uris":["http://zotero.org/users/7663102/items/6A9TXNJW"],"itemData":{"id":7130,"type":"article-journal","abstract":"In 1916, Sir Ronald Ross defined \"dependent happenings\" as events where the number affected in a unit of time depends on the number already affected. That is, the incidence depends on the prevalence, a characteristic of many infectious diseases. Because of this dependence, interventions against infectious diseases can have not only direct protective effects for the person receiving an intervention, but also indirect effects resulting from changes in the intensity of transmission in the population. This paper develops the conceptual framework for four types of study designs that differentiate and account for direct and indirect effects of intervention programs in dependent happenings.","container-title":"Epidemiology (Cambridge, Mass.)","DOI":"10.1097/00001648-199109000-00004","ISSN":"1044-3983","issue":"5","journalAbbreviation":"Epidemiology","language":"eng","page":"331-338","source":"PubMed","title":"Study designs for dependent happenings","volume":"2","author":[{"family":"Halloran","given":"M. E."},{"family":"Struchiner","given":"C. J."}],"issued":{"date-parts":[["1991",9]]},"citation-key":"halloranStudyDesignsDependent1991"}}],"schema":"https://github.com/citation-style-language/schema/raw/master/csl-citation.json"} </w:instrText>
      </w:r>
      <w:r w:rsidR="003A519B" w:rsidRPr="002A0251">
        <w:fldChar w:fldCharType="separate"/>
      </w:r>
      <w:r w:rsidR="00492FC8" w:rsidRPr="002A0251">
        <w:rPr>
          <w:rFonts w:cs="Times New Roman"/>
          <w:vertAlign w:val="superscript"/>
        </w:rPr>
        <w:t>36</w:t>
      </w:r>
      <w:r w:rsidR="003A519B" w:rsidRPr="002A0251">
        <w:fldChar w:fldCharType="end"/>
      </w:r>
      <w:r>
        <w:rPr>
          <w:rFonts w:hint="eastAsia"/>
        </w:rPr>
        <w:t xml:space="preserve"> (</w:t>
      </w:r>
      <w:r w:rsidR="008E6CE0" w:rsidRPr="002A0251">
        <w:t xml:space="preserve">Supplementary Information </w:t>
      </w:r>
      <w:r w:rsidR="008E6CE0" w:rsidRPr="002A0251">
        <w:rPr>
          <w:b/>
          <w:bCs/>
        </w:rPr>
        <w:t>S1</w:t>
      </w:r>
      <w:r w:rsidR="008E6CE0" w:rsidRPr="002A0251">
        <w:t>)</w:t>
      </w:r>
      <w:r>
        <w:rPr>
          <w:rFonts w:hint="eastAsia"/>
        </w:rPr>
        <w:t xml:space="preserve"> and incorporates</w:t>
      </w:r>
      <w:r w:rsidR="008E6CE0" w:rsidRPr="002A0251">
        <w:rPr>
          <w:rFonts w:hint="eastAsia"/>
        </w:rPr>
        <w:t xml:space="preserve"> </w:t>
      </w:r>
      <w:r w:rsidR="008E6CE0" w:rsidRPr="002A0251">
        <w:t xml:space="preserve">age-specific vaccine </w:t>
      </w:r>
      <w:r w:rsidR="00D721A0">
        <w:rPr>
          <w:rFonts w:hint="eastAsia"/>
        </w:rPr>
        <w:t>efficacy</w:t>
      </w:r>
      <w:r w:rsidR="008E6CE0" w:rsidRPr="002A0251">
        <w:rPr>
          <w:rFonts w:hint="eastAsia"/>
        </w:rPr>
        <w:t xml:space="preserve"> (&lt; 5 and 5+ yo), delays in</w:t>
      </w:r>
      <w:r w:rsidR="008E6CE0" w:rsidRPr="002A0251">
        <w:t xml:space="preserve"> </w:t>
      </w:r>
      <w:r>
        <w:rPr>
          <w:rFonts w:hint="eastAsia"/>
        </w:rPr>
        <w:t xml:space="preserve">ORI </w:t>
      </w:r>
      <w:r>
        <w:t>implementation</w:t>
      </w:r>
      <w:r>
        <w:rPr>
          <w:rFonts w:hint="eastAsia"/>
        </w:rPr>
        <w:t xml:space="preserve">, </w:t>
      </w:r>
      <w:r w:rsidR="008E6CE0" w:rsidRPr="002A0251">
        <w:rPr>
          <w:rFonts w:hint="eastAsia"/>
        </w:rPr>
        <w:t>and the delays in the vaccine-</w:t>
      </w:r>
      <w:r w:rsidR="00D721A0">
        <w:rPr>
          <w:rFonts w:hint="eastAsia"/>
        </w:rPr>
        <w:t>derived</w:t>
      </w:r>
      <w:r w:rsidR="008E6CE0" w:rsidRPr="002A0251">
        <w:rPr>
          <w:rFonts w:hint="eastAsia"/>
        </w:rPr>
        <w:t xml:space="preserve"> immunity </w:t>
      </w:r>
      <w:r w:rsidR="008E6CE0" w:rsidRPr="002A0251">
        <w:t>(</w:t>
      </w:r>
      <w:r w:rsidR="008E6CE0" w:rsidRPr="002A0251">
        <w:rPr>
          <w:b/>
          <w:bCs/>
        </w:rPr>
        <w:t>Table 1</w:t>
      </w:r>
      <w:r w:rsidR="008E6CE0" w:rsidRPr="002A0251">
        <w:t>).</w:t>
      </w:r>
      <w:r w:rsidR="00523E62" w:rsidRPr="002A0251">
        <w:rPr>
          <w:rFonts w:hint="eastAsia"/>
        </w:rPr>
        <w:t xml:space="preserve"> </w:t>
      </w:r>
      <w:r w:rsidR="008336BE" w:rsidRPr="002A0251">
        <w:rPr>
          <w:rFonts w:hint="eastAsia"/>
        </w:rPr>
        <w:t xml:space="preserve"> </w:t>
      </w:r>
      <w:r w:rsidR="009F0610" w:rsidRPr="002A0251">
        <w:t>The</w:t>
      </w:r>
      <w:r w:rsidR="00DA4F85" w:rsidRPr="002A0251">
        <w:t xml:space="preserve"> </w:t>
      </w:r>
      <w:r w:rsidR="00B112A9" w:rsidRPr="002A0251">
        <w:t xml:space="preserve">proportion of </w:t>
      </w:r>
      <w:r w:rsidR="00DA4F85" w:rsidRPr="002A0251">
        <w:t xml:space="preserve">cases </w:t>
      </w:r>
      <w:r w:rsidR="00763376" w:rsidRPr="002A0251">
        <w:t>averted</w:t>
      </w:r>
      <w:r w:rsidR="00B112A9" w:rsidRPr="002A0251">
        <w:t xml:space="preserve">, </w:t>
      </w:r>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oMath>
      <w:r w:rsidR="00B112A9" w:rsidRPr="002A0251">
        <w:t xml:space="preserve">, </w:t>
      </w:r>
      <w:r w:rsidR="0000324B" w:rsidRPr="002A0251">
        <w:t>at a gi</w:t>
      </w:r>
      <w:r w:rsidR="00B112A9" w:rsidRPr="002A0251">
        <w:t xml:space="preserve">ven vaccine coverage </w:t>
      </w:r>
      <m:oMath>
        <m:r>
          <w:rPr>
            <w:rFonts w:ascii="Cambria Math" w:hAnsi="Cambria Math"/>
          </w:rPr>
          <m:t>π</m:t>
        </m:r>
      </m:oMath>
      <w:r w:rsidR="00B112A9" w:rsidRPr="002A0251">
        <w:t xml:space="preserve"> </w:t>
      </w:r>
      <w:r w:rsidR="002F33F3" w:rsidRPr="002A0251">
        <w:t xml:space="preserve">for </w:t>
      </w:r>
      <w:r w:rsidR="001E271A">
        <w:rPr>
          <w:rFonts w:hint="eastAsia"/>
        </w:rPr>
        <w:t>each</w:t>
      </w:r>
      <w:r w:rsidR="0000324B" w:rsidRPr="002A0251">
        <w:t xml:space="preserve"> age group</w:t>
      </w:r>
      <w:r w:rsidR="0078144B" w:rsidRPr="002A0251">
        <w:t>—</w:t>
      </w:r>
      <w:r w:rsidR="0000324B" w:rsidRPr="002A0251">
        <w:t xml:space="preserve">children under five </w:t>
      </w:r>
      <w:r w:rsidR="002F33F3" w:rsidRPr="002A0251">
        <w:t>(</w:t>
      </w:r>
      <w:bookmarkStart w:id="17" w:name="_Hlk171429659"/>
      <m:oMath>
        <m:r>
          <w:rPr>
            <w:rFonts w:ascii="Cambria Math" w:hAnsi="Cambria Math"/>
          </w:rPr>
          <m:t>i</m:t>
        </m:r>
        <w:bookmarkEnd w:id="17"/>
        <m:r>
          <m:rPr>
            <m:sty m:val="p"/>
          </m:rPr>
          <w:rPr>
            <w:rFonts w:ascii="Cambria Math" w:hAnsi="Cambria Math"/>
          </w:rPr>
          <m:t>=1</m:t>
        </m:r>
      </m:oMath>
      <w:r w:rsidR="002F33F3" w:rsidRPr="002A0251">
        <w:t xml:space="preserve">) </w:t>
      </w:r>
      <w:r w:rsidR="0000324B" w:rsidRPr="002A0251">
        <w:t xml:space="preserve">and </w:t>
      </w:r>
      <w:r w:rsidR="0078144B" w:rsidRPr="002A0251">
        <w:rPr>
          <w:rFonts w:hint="eastAsia"/>
        </w:rPr>
        <w:t xml:space="preserve">individuals </w:t>
      </w:r>
      <w:r w:rsidR="0000324B" w:rsidRPr="002A0251">
        <w:t xml:space="preserve">aged five </w:t>
      </w:r>
      <w:r w:rsidR="001E271A">
        <w:rPr>
          <w:rFonts w:hint="eastAsia"/>
        </w:rPr>
        <w:t>or</w:t>
      </w:r>
      <w:r w:rsidR="0000324B" w:rsidRPr="002A0251">
        <w:t xml:space="preserve"> older</w:t>
      </w:r>
      <w:r w:rsidR="002F33F3" w:rsidRPr="002A0251">
        <w:t xml:space="preserve"> (</w:t>
      </w:r>
      <m:oMath>
        <m:r>
          <w:rPr>
            <w:rFonts w:ascii="Cambria Math" w:hAnsi="Cambria Math"/>
          </w:rPr>
          <m:t>i</m:t>
        </m:r>
        <m:r>
          <m:rPr>
            <m:sty m:val="p"/>
          </m:rPr>
          <w:rPr>
            <w:rFonts w:ascii="Cambria Math" w:hAnsi="Cambria Math"/>
          </w:rPr>
          <m:t>=2</m:t>
        </m:r>
      </m:oMath>
      <w:r w:rsidR="002F33F3" w:rsidRPr="002A0251">
        <w:t>)</w:t>
      </w:r>
      <w:r w:rsidR="0078144B" w:rsidRPr="002A0251">
        <w:t>—</w:t>
      </w:r>
      <w:r w:rsidR="001E271A">
        <w:rPr>
          <w:rFonts w:hint="eastAsia"/>
        </w:rPr>
        <w:t>was computed as</w:t>
      </w:r>
      <w:r w:rsidR="00DA4F85" w:rsidRPr="002A0251">
        <w:t>:</w:t>
      </w:r>
    </w:p>
    <w:p w14:paraId="58C506C0" w14:textId="77777777" w:rsidR="00747E9A" w:rsidRPr="002A0251" w:rsidRDefault="00747E9A" w:rsidP="00F57F15"/>
    <w:bookmarkStart w:id="18" w:name="_Hlk171429672"/>
    <w:bookmarkStart w:id="19" w:name="_Hlk171429827"/>
    <w:p w14:paraId="0327A473" w14:textId="26B80A4F" w:rsidR="00D951EA" w:rsidRPr="002A0251" w:rsidRDefault="00000000" w:rsidP="00F57F15">
      <m:oMathPara>
        <m:oMath>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r>
            <m:rPr>
              <m:sty m:val="p"/>
            </m:rPr>
            <w:rPr>
              <w:rFonts w:ascii="Cambria Math" w:hAnsi="Cambria Math"/>
            </w:rPr>
            <m:t>=1-</m:t>
          </m:r>
          <m:d>
            <m:dPr>
              <m:begChr m:val="["/>
              <m:endChr m:val="]"/>
              <m:ctrlPr>
                <w:rPr>
                  <w:rFonts w:ascii="Cambria Math" w:hAnsi="Cambria Math"/>
                </w:rPr>
              </m:ctrlPr>
            </m:dPr>
            <m:e>
              <m:r>
                <w:rPr>
                  <w:rFonts w:ascii="Cambria Math" w:hAnsi="Cambria Math"/>
                </w:rPr>
                <m:t>π</m:t>
              </m:r>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ψ</m:t>
                      </m:r>
                    </m:e>
                    <m:sub>
                      <m:r>
                        <w:rPr>
                          <w:rFonts w:ascii="Cambria Math" w:hAnsi="Cambria Math"/>
                        </w:rPr>
                        <m:t>i</m:t>
                      </m:r>
                    </m:sub>
                  </m:sSub>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w:rPr>
                      <w:rFonts w:ascii="Cambria Math" w:hAnsi="Cambria Math"/>
                    </w:rPr>
                    <m:t>π</m:t>
                  </m:r>
                </m:e>
              </m:d>
              <m:d>
                <m:dPr>
                  <m:ctrlPr>
                    <w:rPr>
                      <w:rFonts w:ascii="Cambria Math" w:hAnsi="Cambria Math"/>
                    </w:rPr>
                  </m:ctrlPr>
                </m:dPr>
                <m:e>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e>
              </m:d>
            </m:e>
          </m:d>
          <w:bookmarkEnd w:id="18"/>
          <m:r>
            <w:rPr>
              <w:rFonts w:ascii="Cambria Math" w:hAnsi="Cambria Math"/>
            </w:rPr>
            <m:t>,</m:t>
          </m:r>
        </m:oMath>
      </m:oMathPara>
    </w:p>
    <w:bookmarkEnd w:id="19"/>
    <w:p w14:paraId="486C31FE" w14:textId="77777777" w:rsidR="00747E9A" w:rsidRPr="002A0251" w:rsidRDefault="00747E9A" w:rsidP="00F57F15">
      <w:pPr>
        <w:rPr>
          <w:lang w:val="en-US"/>
        </w:rPr>
      </w:pPr>
    </w:p>
    <w:p w14:paraId="7659F427" w14:textId="1C99DCDB" w:rsidR="00922420" w:rsidRPr="002A0251" w:rsidRDefault="0078144B" w:rsidP="00F57F15">
      <w:r w:rsidRPr="002A0251">
        <w:rPr>
          <w:rFonts w:hint="eastAsia"/>
        </w:rPr>
        <w:t>where</w:t>
      </w:r>
      <w:r w:rsidR="00D951EA" w:rsidRPr="002A0251">
        <w:t xml:space="preserve"> </w:t>
      </w:r>
      <m:oMath>
        <m:sSub>
          <m:sSubPr>
            <m:ctrlPr>
              <w:rPr>
                <w:rFonts w:ascii="Cambria Math" w:hAnsi="Cambria Math"/>
              </w:rPr>
            </m:ctrlPr>
          </m:sSubPr>
          <m:e>
            <m:r>
              <w:rPr>
                <w:rFonts w:ascii="Cambria Math" w:hAnsi="Cambria Math"/>
              </w:rPr>
              <m:t>ψ</m:t>
            </m:r>
          </m:e>
          <m:sub>
            <m:r>
              <w:rPr>
                <w:rFonts w:ascii="Cambria Math" w:hAnsi="Cambria Math"/>
              </w:rPr>
              <m:t>i</m:t>
            </m:r>
          </m:sub>
        </m:sSub>
      </m:oMath>
      <w:r w:rsidR="00284399" w:rsidRPr="002A0251">
        <w:t xml:space="preserve"> </w:t>
      </w:r>
      <w:r w:rsidR="0000324B" w:rsidRPr="002A0251">
        <w:t>represents</w:t>
      </w:r>
      <w:r w:rsidR="00284399" w:rsidRPr="002A0251">
        <w:t xml:space="preserve"> </w:t>
      </w:r>
      <w:r w:rsidRPr="002A0251">
        <w:rPr>
          <w:rFonts w:hint="eastAsia"/>
        </w:rPr>
        <w:t xml:space="preserve">direct </w:t>
      </w:r>
      <w:r w:rsidR="001634F3" w:rsidRPr="002A0251">
        <w:t xml:space="preserve">vaccine </w:t>
      </w:r>
      <w:r w:rsidR="00D721A0">
        <w:rPr>
          <w:rFonts w:hint="eastAsia"/>
        </w:rPr>
        <w:t>efficacy</w:t>
      </w:r>
      <w:r w:rsidR="00B9598A" w:rsidRPr="002A0251">
        <w:t xml:space="preserve"> </w:t>
      </w:r>
      <w:r w:rsidR="0000324B" w:rsidRPr="002A0251">
        <w:t>for</w:t>
      </w:r>
      <w:r w:rsidR="00103C17" w:rsidRPr="002A0251">
        <w:t xml:space="preserve"> age group</w:t>
      </w:r>
      <w:r w:rsidR="001634F3" w:rsidRPr="002A0251">
        <w:t xml:space="preserve"> </w:t>
      </w:r>
      <m:oMath>
        <m:r>
          <w:rPr>
            <w:rFonts w:ascii="Cambria Math" w:hAnsi="Cambria Math"/>
          </w:rPr>
          <m:t>i</m:t>
        </m:r>
      </m:oMath>
      <w:r w:rsidR="00D951EA" w:rsidRPr="002A0251">
        <w:t xml:space="preserve">  </w:t>
      </w:r>
      <w:r w:rsidR="00367F77" w:rsidRPr="002A0251">
        <w:t xml:space="preserve">and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284399" w:rsidRPr="002A0251">
        <w:t xml:space="preserve"> </w:t>
      </w:r>
      <w:r w:rsidR="0000324B" w:rsidRPr="002A0251">
        <w:t xml:space="preserve">denotes </w:t>
      </w:r>
      <w:r w:rsidR="00367F77" w:rsidRPr="002A0251">
        <w:t>the</w:t>
      </w:r>
      <w:r w:rsidR="00284399" w:rsidRPr="002A0251">
        <w:t xml:space="preserve"> </w:t>
      </w:r>
      <w:r w:rsidR="00D951EA" w:rsidRPr="002A0251">
        <w:t>indirect</w:t>
      </w:r>
      <w:r w:rsidR="001634F3" w:rsidRPr="002A0251">
        <w:t xml:space="preserve"> vaccine </w:t>
      </w:r>
      <w:r w:rsidR="00D721A0">
        <w:rPr>
          <w:rFonts w:hint="eastAsia"/>
        </w:rPr>
        <w:t>efficacy</w:t>
      </w:r>
      <w:r w:rsidR="00D92215" w:rsidRPr="002A0251">
        <w:t xml:space="preserve"> at </w:t>
      </w:r>
      <w:r w:rsidRPr="002A0251">
        <w:rPr>
          <w:rFonts w:hint="eastAsia"/>
        </w:rPr>
        <w:t xml:space="preserve">coverage </w:t>
      </w:r>
      <m:oMath>
        <m:r>
          <w:rPr>
            <w:rFonts w:ascii="Cambria Math" w:hAnsi="Cambria Math"/>
          </w:rPr>
          <m:t>π</m:t>
        </m:r>
      </m:oMath>
      <w:r w:rsidR="001634F3" w:rsidRPr="002A0251">
        <w:t xml:space="preserve">. </w:t>
      </w:r>
      <w:r w:rsidRPr="002A0251">
        <w:rPr>
          <w:rFonts w:hint="eastAsia"/>
        </w:rPr>
        <w:t xml:space="preserve">Thus, </w:t>
      </w:r>
      <w:r w:rsidR="002363B7" w:rsidRPr="002A0251">
        <w:rPr>
          <w:rFonts w:hint="eastAsia"/>
        </w:rPr>
        <w:t>u</w:t>
      </w:r>
      <w:r w:rsidR="001E5B2B" w:rsidRPr="002A0251">
        <w:t>nvaccinated</w:t>
      </w:r>
      <w:r w:rsidR="001634F3" w:rsidRPr="002A0251">
        <w:t xml:space="preserve"> individuals</w:t>
      </w:r>
      <w:r w:rsidR="000F5F59" w:rsidRPr="002A0251">
        <w:t xml:space="preserve">, </w:t>
      </w:r>
      <w:r w:rsidR="00412CDE" w:rsidRPr="002A0251">
        <w:t xml:space="preserve">comprising   </w:t>
      </w:r>
      <m:oMath>
        <m:r>
          <m:rPr>
            <m:sty m:val="p"/>
          </m:rPr>
          <w:rPr>
            <w:rFonts w:ascii="Cambria Math" w:hAnsi="Cambria Math"/>
          </w:rPr>
          <m:t>1-</m:t>
        </m:r>
        <m:r>
          <w:rPr>
            <w:rFonts w:ascii="Cambria Math" w:hAnsi="Cambria Math"/>
          </w:rPr>
          <m:t>π</m:t>
        </m:r>
      </m:oMath>
      <w:r w:rsidR="00412CDE" w:rsidRPr="002A0251">
        <w:rPr>
          <w:rFonts w:hint="eastAsia"/>
        </w:rPr>
        <w:t xml:space="preserve"> of the population</w:t>
      </w:r>
      <w:r w:rsidR="002363B7" w:rsidRPr="002A0251">
        <w:rPr>
          <w:rFonts w:hint="eastAsia"/>
        </w:rPr>
        <w:t>,</w:t>
      </w:r>
      <w:r w:rsidR="0040123F" w:rsidRPr="002A0251">
        <w:t xml:space="preserve"> </w:t>
      </w:r>
      <w:r w:rsidR="002363B7" w:rsidRPr="002A0251">
        <w:rPr>
          <w:rFonts w:hint="eastAsia"/>
        </w:rPr>
        <w:t>s</w:t>
      </w:r>
      <w:r w:rsidR="000F5F59" w:rsidRPr="002A0251">
        <w:t xml:space="preserve">till benefit from </w:t>
      </w:r>
      <w:r w:rsidR="00D951EA" w:rsidRPr="002A0251">
        <w:t>indirect</w:t>
      </w:r>
      <w:r w:rsidR="000F5F59" w:rsidRPr="002A0251">
        <w:t xml:space="preserve"> </w:t>
      </w:r>
      <w:r w:rsidR="002363B7" w:rsidRPr="002A0251">
        <w:rPr>
          <w:rFonts w:hint="eastAsia"/>
        </w:rPr>
        <w:t xml:space="preserve">protection </w:t>
      </w:r>
      <m:oMath>
        <m:r>
          <m:rPr>
            <m:sty m:val="p"/>
          </m:rPr>
          <w:rPr>
            <w:rFonts w:ascii="Cambria Math" w:hAnsi="Cambria Math"/>
          </w:rPr>
          <m:t>1-</m:t>
        </m:r>
        <m:sSub>
          <m:sSubPr>
            <m:ctrlPr>
              <w:rPr>
                <w:rFonts w:ascii="Cambria Math" w:hAnsi="Cambria Math"/>
              </w:rPr>
            </m:ctrlPr>
          </m:sSubPr>
          <m:e>
            <m:r>
              <w:rPr>
                <w:rFonts w:ascii="Cambria Math" w:hAnsi="Cambria Math"/>
              </w:rPr>
              <m:t>η</m:t>
            </m:r>
          </m:e>
          <m:sub>
            <m:r>
              <w:rPr>
                <w:rFonts w:ascii="Cambria Math" w:hAnsi="Cambria Math"/>
              </w:rPr>
              <m:t>π</m:t>
            </m:r>
          </m:sub>
        </m:sSub>
      </m:oMath>
      <w:r w:rsidR="00F91B5E" w:rsidRPr="002A0251">
        <w:t>.</w:t>
      </w:r>
      <w:r w:rsidR="00D7029B" w:rsidRPr="002A0251">
        <w:t xml:space="preserve"> </w:t>
      </w:r>
      <w:r w:rsidR="002363B7" w:rsidRPr="002A0251">
        <w:rPr>
          <w:rFonts w:hint="eastAsia"/>
        </w:rPr>
        <w:t xml:space="preserve">We estimated </w:t>
      </w:r>
      <m:oMath>
        <m:sSub>
          <m:sSubPr>
            <m:ctrlPr>
              <w:rPr>
                <w:rFonts w:ascii="Cambria Math" w:hAnsi="Cambria Math"/>
              </w:rPr>
            </m:ctrlPr>
          </m:sSubPr>
          <m:e>
            <m:r>
              <w:rPr>
                <w:rFonts w:ascii="Cambria Math" w:hAnsi="Cambria Math"/>
              </w:rPr>
              <m:t>η</m:t>
            </m:r>
          </m:e>
          <m:sub>
            <m:r>
              <w:rPr>
                <w:rFonts w:ascii="Cambria Math" w:hAnsi="Cambria Math"/>
              </w:rPr>
              <m:t>π</m:t>
            </m:r>
          </m:sub>
        </m:sSub>
      </m:oMath>
      <w:r w:rsidR="000F5F59" w:rsidRPr="002A0251">
        <w:t xml:space="preserve"> </w:t>
      </w:r>
      <w:r w:rsidR="00FA02DE" w:rsidRPr="002A0251">
        <w:rPr>
          <w:rFonts w:hint="eastAsia"/>
        </w:rPr>
        <w:t xml:space="preserve">from reduction in </w:t>
      </w:r>
      <w:r w:rsidR="00D80970" w:rsidRPr="002A0251">
        <w:rPr>
          <w:rFonts w:hint="eastAsia"/>
        </w:rPr>
        <w:t>incide</w:t>
      </w:r>
      <w:r w:rsidR="006E435E" w:rsidRPr="002A0251">
        <w:t xml:space="preserve">nce rates among unvaccinated individuals </w:t>
      </w:r>
      <w:r w:rsidR="00FA02DE" w:rsidRPr="002A0251">
        <w:rPr>
          <w:rFonts w:hint="eastAsia"/>
        </w:rPr>
        <w:t xml:space="preserve">observed </w:t>
      </w:r>
      <w:r w:rsidR="00986407" w:rsidRPr="002A0251">
        <w:t>in a</w:t>
      </w:r>
      <w:r w:rsidR="006E435E" w:rsidRPr="002A0251">
        <w:t xml:space="preserve"> randomized trial</w:t>
      </w:r>
      <w:r w:rsidR="00FA02DE" w:rsidRPr="002A0251">
        <w:rPr>
          <w:rFonts w:hint="eastAsia"/>
        </w:rPr>
        <w:t xml:space="preserve"> </w:t>
      </w:r>
      <w:r w:rsidR="006E435E" w:rsidRPr="002A0251">
        <w:t>conducted in Matlab, Bangladesh</w:t>
      </w:r>
      <w:r w:rsidR="00FA02DE" w:rsidRPr="002A0251">
        <w:rPr>
          <w:rFonts w:hint="eastAsia"/>
        </w:rPr>
        <w:t xml:space="preserve"> using </w:t>
      </w:r>
      <w:r w:rsidR="00FA02DE" w:rsidRPr="002A0251">
        <w:t>Bayesian beta regression</w:t>
      </w:r>
      <w:r w:rsidR="00FA02DE" w:rsidRPr="002A0251">
        <w:rPr>
          <w:rFonts w:hint="eastAsia"/>
        </w:rPr>
        <w:t>.</w:t>
      </w:r>
      <w:r w:rsidR="006E435E" w:rsidRPr="002A0251">
        <w:fldChar w:fldCharType="begin"/>
      </w:r>
      <w:r w:rsidR="00492FC8" w:rsidRPr="002A0251">
        <w:instrText xml:space="preserve"> ADDIN ZOTERO_ITEM CSL_CITATION {"citationID":"4VFwGMEW","properties":{"formattedCitation":"\\super 11,37\\nosupersub{}","plainCitation":"11,37","noteIndex":0},"citationItems":[{"id":"ybNQHeeS/tc6RtEm3","uris":["http://zotero.org/users/local/xDVOxgbN/items/37LE7P3K"],"itemData":{"id":"PKsbrXh4/qtt9F9M4","type":"article-journal","container-title":"PLoS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Seidlein","given":"Lorenz"}],"issued":{"date-parts":[["2007",11,27]]}}},{"id":"ybNQHeeS/SB1Ps0E2","uris":["http://zotero.org/users/local/xDVOxgbN/items/3QIMSM7G"],"itemData":{"id":"PKsbrXh4/0QHTqP8j","type":"article-journal","container-title":"The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006E435E" w:rsidRPr="002A0251">
        <w:fldChar w:fldCharType="separate"/>
      </w:r>
      <w:r w:rsidR="00492FC8" w:rsidRPr="002A0251">
        <w:rPr>
          <w:rFonts w:cs="Times New Roman"/>
          <w:vertAlign w:val="superscript"/>
        </w:rPr>
        <w:t>11,37</w:t>
      </w:r>
      <w:r w:rsidR="006E435E" w:rsidRPr="002A0251">
        <w:fldChar w:fldCharType="end"/>
      </w:r>
      <w:r w:rsidR="000F5F59" w:rsidRPr="002A0251">
        <w:t xml:space="preserve"> (</w:t>
      </w:r>
      <w:r w:rsidR="0007624C" w:rsidRPr="002A0251">
        <w:t xml:space="preserve">Supplementary Information </w:t>
      </w:r>
      <w:r w:rsidR="00F91B5E" w:rsidRPr="002A0251">
        <w:rPr>
          <w:b/>
          <w:bCs/>
        </w:rPr>
        <w:t xml:space="preserve">S2 </w:t>
      </w:r>
      <w:r w:rsidR="00F91B5E" w:rsidRPr="002A0251">
        <w:t>and</w:t>
      </w:r>
      <w:r w:rsidR="00F91B5E" w:rsidRPr="002A0251">
        <w:rPr>
          <w:b/>
          <w:bCs/>
        </w:rPr>
        <w:t xml:space="preserve"> </w:t>
      </w:r>
      <w:r w:rsidR="00FE65CE" w:rsidRPr="002A0251">
        <w:rPr>
          <w:b/>
          <w:bCs/>
        </w:rPr>
        <w:t>Figure</w:t>
      </w:r>
      <w:r w:rsidR="000F5F59" w:rsidRPr="002A0251">
        <w:rPr>
          <w:b/>
          <w:bCs/>
        </w:rPr>
        <w:t xml:space="preserve"> S</w:t>
      </w:r>
      <w:r w:rsidR="001571FC" w:rsidRPr="002A0251">
        <w:rPr>
          <w:b/>
          <w:bCs/>
        </w:rPr>
        <w:t>1</w:t>
      </w:r>
      <w:r w:rsidR="000F5F59" w:rsidRPr="002A0251">
        <w:t>)</w:t>
      </w:r>
      <w:r w:rsidR="00FA02DE" w:rsidRPr="002A0251">
        <w:rPr>
          <w:rFonts w:hint="eastAsia"/>
        </w:rPr>
        <w:t>.</w:t>
      </w:r>
      <w:r w:rsidR="00BF0842" w:rsidRPr="002A0251">
        <w:rPr>
          <w:rFonts w:hint="eastAsia"/>
        </w:rPr>
        <w:t xml:space="preserve"> </w:t>
      </w:r>
      <w:r w:rsidR="00747E9A" w:rsidRPr="002A0251">
        <w:t xml:space="preserve">The </w:t>
      </w:r>
      <w:r w:rsidR="00FC3D58" w:rsidRPr="002A0251">
        <w:t xml:space="preserve">cumulative </w:t>
      </w:r>
      <w:r w:rsidR="00747E9A" w:rsidRPr="002A0251">
        <w:t>number of cases</w:t>
      </w:r>
      <w:r w:rsidR="009F0610" w:rsidRPr="002A0251">
        <w:t xml:space="preserve">, </w:t>
      </w:r>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oMath>
      <w:r w:rsidR="009F0610" w:rsidRPr="002A0251">
        <w:t xml:space="preserve">, </w:t>
      </w:r>
      <w:r w:rsidR="0000324B" w:rsidRPr="002A0251">
        <w:t xml:space="preserve">for age group </w:t>
      </w:r>
      <m:oMath>
        <m:r>
          <w:rPr>
            <w:rFonts w:ascii="Cambria Math" w:hAnsi="Cambria Math"/>
          </w:rPr>
          <m:t>i</m:t>
        </m:r>
      </m:oMath>
      <w:r w:rsidR="00A22AAC" w:rsidRPr="002A0251">
        <w:rPr>
          <w:rFonts w:hint="eastAsia"/>
        </w:rPr>
        <w:t>,</w:t>
      </w:r>
      <w:r w:rsidR="0000324B" w:rsidRPr="002A0251">
        <w:t xml:space="preserve"> </w:t>
      </w:r>
      <w:r w:rsidR="00437C4D">
        <w:rPr>
          <w:rFonts w:hint="eastAsia"/>
        </w:rPr>
        <w:t>for</w:t>
      </w:r>
      <w:r w:rsidR="00747E9A" w:rsidRPr="002A0251">
        <w:t xml:space="preserve"> </w:t>
      </w:r>
      <w:r w:rsidR="009F0610" w:rsidRPr="002A0251">
        <w:t>a</w:t>
      </w:r>
      <w:r w:rsidR="00747E9A" w:rsidRPr="002A0251">
        <w:t xml:space="preserve"> vaccination campaign</w:t>
      </w:r>
      <w:r w:rsidR="0000324B" w:rsidRPr="002A0251">
        <w:t xml:space="preserve"> initiated at time </w:t>
      </w:r>
      <m:oMath>
        <m:r>
          <w:rPr>
            <w:rFonts w:ascii="Cambria Math" w:hAnsi="Cambria Math"/>
          </w:rPr>
          <m:t>τ</m:t>
        </m:r>
      </m:oMath>
      <w:r w:rsidR="00747E9A" w:rsidRPr="002A0251">
        <w:t xml:space="preserve"> with coverage </w:t>
      </w:r>
      <m:oMath>
        <m:r>
          <w:rPr>
            <w:rFonts w:ascii="Cambria Math" w:hAnsi="Cambria Math"/>
          </w:rPr>
          <m:t>π</m:t>
        </m:r>
      </m:oMath>
      <w:r w:rsidR="00A22AAC" w:rsidRPr="002A0251">
        <w:rPr>
          <w:rFonts w:hint="eastAsia"/>
        </w:rPr>
        <w:t xml:space="preserve"> </w:t>
      </w:r>
      <w:r w:rsidR="00461F83" w:rsidRPr="002A0251">
        <w:rPr>
          <w:rFonts w:hint="eastAsia"/>
        </w:rPr>
        <w:t>was c</w:t>
      </w:r>
      <w:r w:rsidR="00856B6B" w:rsidRPr="002A0251">
        <w:rPr>
          <w:rFonts w:hint="eastAsia"/>
        </w:rPr>
        <w:t xml:space="preserve">alculated </w:t>
      </w:r>
      <w:r w:rsidR="00747E9A" w:rsidRPr="002A0251">
        <w:t>as</w:t>
      </w:r>
      <w:r w:rsidR="000F5F59" w:rsidRPr="002A0251">
        <w:t>:</w:t>
      </w:r>
    </w:p>
    <w:p w14:paraId="627A9D1A" w14:textId="77777777" w:rsidR="0000324B" w:rsidRPr="002A0251" w:rsidRDefault="0000324B" w:rsidP="00F57F15"/>
    <w:p w14:paraId="4C0ABF4C" w14:textId="07A910A9" w:rsidR="00922420" w:rsidRPr="002A0251" w:rsidRDefault="00000000" w:rsidP="00F57F15">
      <m:oMathPara>
        <m:oMath>
          <m:sSub>
            <m:sSubPr>
              <m:ctrlPr>
                <w:rPr>
                  <w:rFonts w:ascii="Cambria Math" w:hAnsi="Cambria Math"/>
                </w:rPr>
              </m:ctrlPr>
            </m:sSubPr>
            <m:e>
              <m:r>
                <w:rPr>
                  <w:rFonts w:ascii="Cambria Math" w:hAnsi="Cambria Math"/>
                </w:rPr>
                <m:t>C</m:t>
              </m:r>
            </m:e>
            <m:sub>
              <m:r>
                <w:rPr>
                  <w:rFonts w:ascii="Cambria Math" w:hAnsi="Cambria Math"/>
                </w:rPr>
                <m:t>i</m:t>
              </m:r>
              <m:r>
                <m:rPr>
                  <m:sty m:val="p"/>
                </m:rPr>
                <w:rPr>
                  <w:rFonts w:ascii="Cambria Math" w:hAnsi="Cambria Math"/>
                </w:rPr>
                <m:t>,</m:t>
              </m:r>
              <m:r>
                <w:rPr>
                  <w:rFonts w:ascii="Cambria Math" w:hAnsi="Cambria Math"/>
                </w:rPr>
                <m:t>π</m:t>
              </m:r>
              <m:r>
                <m:rPr>
                  <m:sty m:val="p"/>
                </m:rPr>
                <w:rPr>
                  <w:rFonts w:ascii="Cambria Math" w:hAnsi="Cambria Math"/>
                </w:rPr>
                <m:t>,</m:t>
              </m:r>
              <m:r>
                <w:rPr>
                  <w:rFonts w:ascii="Cambria Math" w:hAnsi="Cambria Math"/>
                </w:rPr>
                <m:t>τ</m:t>
              </m:r>
            </m:sub>
          </m:sSub>
          <m:r>
            <m:rPr>
              <m:sty m:val="p"/>
            </m:rPr>
            <w:rPr>
              <w:rFonts w:ascii="Cambria Math" w:hAnsi="Cambria Math"/>
            </w:rPr>
            <m:t>=</m:t>
          </m:r>
          <m:nary>
            <m:naryPr>
              <m:chr m:val="∑"/>
              <m:limLoc m:val="subSup"/>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sub>
              </m:sSub>
              <m:d>
                <m:dPr>
                  <m:begChr m:val="["/>
                  <m:endChr m:val="]"/>
                  <m:ctrlPr>
                    <w:rPr>
                      <w:rFonts w:ascii="Cambria Math" w:hAnsi="Cambria Math"/>
                      <w:i/>
                    </w:rPr>
                  </m:ctrlPr>
                </m:dPr>
                <m:e>
                  <m:r>
                    <m:rPr>
                      <m:sty m:val="p"/>
                    </m:rPr>
                    <w:rPr>
                      <w:rFonts w:ascii="Cambria Math" w:hAnsi="Cambria Math"/>
                    </w:rPr>
                    <m:t>1-</m:t>
                  </m:r>
                  <m:r>
                    <m:rPr>
                      <m:sty m:val="b"/>
                    </m:rPr>
                    <w:rPr>
                      <w:rFonts w:ascii="Cambria Math" w:hAnsi="Cambria Math"/>
                    </w:rPr>
                    <m:t>1</m:t>
                  </m:r>
                  <m:d>
                    <m:dPr>
                      <m:ctrlPr>
                        <w:rPr>
                          <w:rFonts w:ascii="Cambria Math" w:hAnsi="Cambria Math"/>
                          <w:b/>
                          <w:bCs/>
                        </w:rPr>
                      </m:ctrlPr>
                    </m:dPr>
                    <m:e>
                      <m:r>
                        <w:rPr>
                          <w:rFonts w:ascii="Cambria Math" w:hAnsi="Cambria Math"/>
                        </w:rPr>
                        <m:t>t</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δ</m:t>
                      </m:r>
                    </m:e>
                  </m:d>
                  <m:sSub>
                    <m:sSubPr>
                      <m:ctrlPr>
                        <w:rPr>
                          <w:rFonts w:ascii="Cambria Math" w:hAnsi="Cambria Math"/>
                        </w:rPr>
                      </m:ctrlPr>
                    </m:sSubPr>
                    <m:e>
                      <m:r>
                        <w:rPr>
                          <w:rFonts w:ascii="Cambria Math" w:hAnsi="Cambria Math"/>
                        </w:rPr>
                        <m:t>P</m:t>
                      </m:r>
                    </m:e>
                    <m:sub>
                      <m:r>
                        <w:rPr>
                          <w:rFonts w:ascii="Cambria Math" w:hAnsi="Cambria Math"/>
                        </w:rPr>
                        <m:t>i</m:t>
                      </m:r>
                      <m:r>
                        <m:rPr>
                          <m:sty m:val="p"/>
                        </m:rPr>
                        <w:rPr>
                          <w:rFonts w:ascii="Cambria Math" w:hAnsi="Cambria Math"/>
                        </w:rPr>
                        <m:t xml:space="preserve">, </m:t>
                      </m:r>
                      <m:r>
                        <w:rPr>
                          <w:rFonts w:ascii="Cambria Math" w:hAnsi="Cambria Math"/>
                        </w:rPr>
                        <m:t>π</m:t>
                      </m:r>
                    </m:sub>
                  </m:sSub>
                </m:e>
              </m:d>
            </m:e>
          </m:nary>
          <m:r>
            <w:rPr>
              <w:rFonts w:ascii="Cambria Math" w:hAnsi="Cambria Math"/>
            </w:rPr>
            <m:t>,</m:t>
          </m:r>
        </m:oMath>
      </m:oMathPara>
    </w:p>
    <w:p w14:paraId="505DEA06" w14:textId="77777777" w:rsidR="00FC3D58" w:rsidRPr="002A0251" w:rsidRDefault="00FC3D58" w:rsidP="00F57F15"/>
    <w:p w14:paraId="1C038619" w14:textId="18995F41" w:rsidR="00BF0842" w:rsidRPr="002A0251" w:rsidRDefault="008F0DD3" w:rsidP="007B6AC6">
      <w:pPr>
        <w:rPr>
          <w:lang w:val="en-US"/>
        </w:rPr>
      </w:pPr>
      <w:r w:rsidRPr="002A0251">
        <w:rPr>
          <w:rFonts w:hint="eastAsia"/>
        </w:rPr>
        <w:t>where</w:t>
      </w:r>
      <w:r w:rsidR="000F5F59" w:rsidRPr="002A0251">
        <w:t xml:space="preserve"> </w:t>
      </w:r>
      <m:oMath>
        <m:sSub>
          <m:sSubPr>
            <m:ctrlPr>
              <w:rPr>
                <w:rFonts w:ascii="Cambria Math" w:hAnsi="Cambria Math"/>
              </w:rPr>
            </m:ctrlPr>
          </m:sSubPr>
          <m:e>
            <m:r>
              <w:rPr>
                <w:rFonts w:ascii="Cambria Math" w:hAnsi="Cambria Math"/>
              </w:rPr>
              <m:t>I</m:t>
            </m:r>
          </m:e>
          <m:sub>
            <m:r>
              <w:rPr>
                <w:rFonts w:ascii="Cambria Math" w:hAnsi="Cambria Math"/>
              </w:rPr>
              <m:t>t</m:t>
            </m:r>
            <m:r>
              <m:rPr>
                <m:sty m:val="p"/>
              </m:rPr>
              <w:rPr>
                <w:rFonts w:ascii="Cambria Math" w:hAnsi="Cambria Math"/>
              </w:rPr>
              <m:t>,</m:t>
            </m:r>
            <m:r>
              <w:rPr>
                <w:rFonts w:ascii="Cambria Math" w:hAnsi="Cambria Math"/>
              </w:rPr>
              <m:t>i</m:t>
            </m:r>
            <m:r>
              <m:rPr>
                <m:sty m:val="p"/>
              </m:rPr>
              <w:rPr>
                <w:rFonts w:ascii="Cambria Math" w:hAnsi="Cambria Math"/>
              </w:rPr>
              <m:t>,</m:t>
            </m:r>
          </m:sub>
        </m:sSub>
      </m:oMath>
      <w:r w:rsidR="00763376" w:rsidRPr="002A0251">
        <w:t xml:space="preserve"> </w:t>
      </w:r>
      <w:r w:rsidRPr="002A0251">
        <w:rPr>
          <w:rFonts w:hint="eastAsia"/>
        </w:rPr>
        <w:t xml:space="preserve">is the </w:t>
      </w:r>
      <w:r w:rsidR="00747E9A" w:rsidRPr="002A0251">
        <w:t xml:space="preserve">incidence at time </w:t>
      </w:r>
      <m:oMath>
        <m:r>
          <w:rPr>
            <w:rFonts w:ascii="Cambria Math" w:hAnsi="Cambria Math"/>
          </w:rPr>
          <m:t>t</m:t>
        </m:r>
      </m:oMath>
      <w:r w:rsidR="00FC3D58" w:rsidRPr="002A0251">
        <w:t xml:space="preserve"> for age group </w:t>
      </w:r>
      <m:oMath>
        <m:r>
          <w:rPr>
            <w:rFonts w:ascii="Cambria Math" w:hAnsi="Cambria Math"/>
          </w:rPr>
          <m:t>i</m:t>
        </m:r>
      </m:oMath>
      <w:r w:rsidR="00FC3D58" w:rsidRPr="002A0251">
        <w:t xml:space="preserve"> and</w:t>
      </w:r>
      <w:r w:rsidR="009F0610" w:rsidRPr="002A0251">
        <w:t xml:space="preserve"> </w:t>
      </w:r>
      <m:oMath>
        <m:r>
          <m:rPr>
            <m:sty m:val="b"/>
          </m:rPr>
          <w:rPr>
            <w:rFonts w:ascii="Cambria Math" w:hAnsi="Cambria Math"/>
          </w:rPr>
          <m:t>1</m:t>
        </m:r>
        <m:d>
          <m:dPr>
            <m:ctrlPr>
              <w:rPr>
                <w:rFonts w:ascii="Cambria Math" w:hAnsi="Cambria Math"/>
                <w:b/>
                <w:bCs/>
              </w:rPr>
            </m:ctrlPr>
          </m:dPr>
          <m:e>
            <m:r>
              <w:rPr>
                <w:rFonts w:ascii="Cambria Math" w:hAnsi="Cambria Math"/>
              </w:rPr>
              <m:t>x</m:t>
            </m:r>
          </m:e>
        </m:d>
      </m:oMath>
      <w:r w:rsidRPr="002A0251">
        <w:rPr>
          <w:rFonts w:hint="eastAsia"/>
          <w:b/>
          <w:bCs/>
        </w:rPr>
        <w:t xml:space="preserve"> </w:t>
      </w:r>
      <w:r w:rsidRPr="002A0251">
        <w:rPr>
          <w:rFonts w:hint="eastAsia"/>
        </w:rPr>
        <w:t>is an i</w:t>
      </w:r>
      <w:r w:rsidR="00FC3D58" w:rsidRPr="002A0251">
        <w:t xml:space="preserve">ndicator function </w:t>
      </w:r>
      <w:r w:rsidR="00D833DF" w:rsidRPr="00D833DF">
        <w:t>(1 if x is true, 0 otherwise</w:t>
      </w:r>
      <w:r w:rsidR="00D833DF">
        <w:rPr>
          <w:rFonts w:hint="eastAsia"/>
        </w:rPr>
        <w:t xml:space="preserve">), </w:t>
      </w:r>
      <m:oMath>
        <m:r>
          <w:rPr>
            <w:rFonts w:ascii="Cambria Math" w:hAnsi="Cambria Math"/>
          </w:rPr>
          <m:t>δ</m:t>
        </m:r>
      </m:oMath>
      <w:r w:rsidR="000F5F59" w:rsidRPr="002A0251">
        <w:t xml:space="preserve"> </w:t>
      </w:r>
      <w:r w:rsidRPr="002A0251">
        <w:rPr>
          <w:rFonts w:hint="eastAsia"/>
        </w:rPr>
        <w:t xml:space="preserve">captures </w:t>
      </w:r>
      <w:r w:rsidR="000F5F59" w:rsidRPr="002A0251">
        <w:t>delay</w:t>
      </w:r>
      <w:r w:rsidR="00B44701" w:rsidRPr="002A0251">
        <w:t>s</w:t>
      </w:r>
      <w:r w:rsidRPr="002A0251">
        <w:rPr>
          <w:rFonts w:hint="eastAsia"/>
        </w:rPr>
        <w:t xml:space="preserve"> for </w:t>
      </w:r>
      <w:r w:rsidR="00D833DF">
        <w:rPr>
          <w:rFonts w:hint="eastAsia"/>
        </w:rPr>
        <w:t>ORI</w:t>
      </w:r>
      <w:r w:rsidRPr="002A0251">
        <w:rPr>
          <w:rFonts w:hint="eastAsia"/>
        </w:rPr>
        <w:t xml:space="preserve"> implementation and the vaccine-derived immunity, and </w:t>
      </w:r>
      <m:oMath>
        <m:r>
          <w:rPr>
            <w:rFonts w:ascii="Cambria Math" w:hAnsi="Cambria Math"/>
          </w:rPr>
          <m:t>T</m:t>
        </m:r>
      </m:oMath>
      <w:r w:rsidR="000F5F59" w:rsidRPr="002A0251">
        <w:t xml:space="preserve"> </w:t>
      </w:r>
      <w:r w:rsidR="00D833DF">
        <w:rPr>
          <w:rFonts w:hint="eastAsia"/>
        </w:rPr>
        <w:t>marks</w:t>
      </w:r>
      <w:r w:rsidR="000F5F59" w:rsidRPr="002A0251">
        <w:t xml:space="preserve"> the </w:t>
      </w:r>
      <w:r w:rsidR="00D833DF">
        <w:rPr>
          <w:rFonts w:hint="eastAsia"/>
        </w:rPr>
        <w:t xml:space="preserve">end of the </w:t>
      </w:r>
      <w:r w:rsidR="000F5F59" w:rsidRPr="002A0251">
        <w:t xml:space="preserve">outbreak. </w:t>
      </w:r>
      <w:r w:rsidR="009F0610" w:rsidRPr="002A0251">
        <w:rPr>
          <w:lang w:val="en-US"/>
        </w:rPr>
        <w:t xml:space="preserve">Overall, </w:t>
      </w:r>
      <w:r w:rsidRPr="002A0251">
        <w:rPr>
          <w:rFonts w:hint="eastAsia"/>
          <w:lang w:val="en-US"/>
        </w:rPr>
        <w:t>we</w:t>
      </w:r>
      <w:r w:rsidR="009F0610" w:rsidRPr="002A0251">
        <w:rPr>
          <w:lang w:val="en-US"/>
        </w:rPr>
        <w:t xml:space="preserve"> simulated</w:t>
      </w:r>
      <w:r w:rsidR="00CB3517" w:rsidRPr="002A0251">
        <w:rPr>
          <w:lang w:val="en-US"/>
        </w:rPr>
        <w:t xml:space="preserve"> </w:t>
      </w:r>
      <w:r w:rsidR="00461F83" w:rsidRPr="002A0251">
        <w:rPr>
          <w:rFonts w:hint="eastAsia"/>
          <w:lang w:val="en-US"/>
        </w:rPr>
        <w:t>ORIs</w:t>
      </w:r>
      <w:r w:rsidR="00CB3517" w:rsidRPr="002A0251">
        <w:rPr>
          <w:lang w:val="en-US"/>
        </w:rPr>
        <w:t xml:space="preserve"> in</w:t>
      </w:r>
      <w:r w:rsidR="009F0610" w:rsidRPr="002A0251">
        <w:rPr>
          <w:lang w:val="en-US"/>
        </w:rPr>
        <w:t xml:space="preserve"> each of </w:t>
      </w:r>
      <w:r w:rsidR="00CB3517" w:rsidRPr="002A0251">
        <w:rPr>
          <w:lang w:val="en-US"/>
        </w:rPr>
        <w:t xml:space="preserve">the </w:t>
      </w:r>
      <w:r w:rsidR="009F0610" w:rsidRPr="002A0251">
        <w:rPr>
          <w:lang w:val="en-US"/>
        </w:rPr>
        <w:t>1,</w:t>
      </w:r>
      <w:r w:rsidR="00C56397" w:rsidRPr="002A0251">
        <w:rPr>
          <w:rFonts w:hint="eastAsia"/>
          <w:lang w:val="en-US"/>
        </w:rPr>
        <w:t xml:space="preserve">192 </w:t>
      </w:r>
      <w:r w:rsidR="009F0610" w:rsidRPr="002A0251">
        <w:rPr>
          <w:lang w:val="en-US"/>
        </w:rPr>
        <w:t>outbreaks</w:t>
      </w:r>
      <w:r w:rsidR="00D833DF">
        <w:rPr>
          <w:rFonts w:hint="eastAsia"/>
          <w:lang w:val="en-US"/>
        </w:rPr>
        <w:t xml:space="preserve"> under combinations of </w:t>
      </w:r>
      <w:r w:rsidR="009F0610" w:rsidRPr="002A0251">
        <w:rPr>
          <w:lang w:val="en-US"/>
        </w:rPr>
        <w:t>vaccination coverage</w:t>
      </w:r>
      <w:r w:rsidR="00CB3517" w:rsidRPr="002A0251">
        <w:rPr>
          <w:lang w:val="en-US"/>
        </w:rPr>
        <w:t xml:space="preserve">, </w:t>
      </w:r>
      <w:r w:rsidR="009F0610" w:rsidRPr="002A0251">
        <w:rPr>
          <w:lang w:val="en-US"/>
        </w:rPr>
        <w:t xml:space="preserve">campaign timing, </w:t>
      </w:r>
      <w:r w:rsidR="00CB3517" w:rsidRPr="002A0251">
        <w:rPr>
          <w:lang w:val="en-US"/>
        </w:rPr>
        <w:t xml:space="preserve">and </w:t>
      </w:r>
      <w:r w:rsidRPr="002A0251">
        <w:rPr>
          <w:rFonts w:hint="eastAsia"/>
          <w:lang w:val="en-US"/>
        </w:rPr>
        <w:t>tr</w:t>
      </w:r>
      <w:r w:rsidR="00CB3517" w:rsidRPr="002A0251">
        <w:rPr>
          <w:lang w:val="en-US"/>
        </w:rPr>
        <w:t>igger</w:t>
      </w:r>
      <w:r w:rsidR="00D721A0">
        <w:rPr>
          <w:rFonts w:hint="eastAsia"/>
          <w:lang w:val="en-US"/>
        </w:rPr>
        <w:t xml:space="preserve"> criteria</w:t>
      </w:r>
      <w:r w:rsidR="00CB3517" w:rsidRPr="002A0251">
        <w:rPr>
          <w:lang w:val="en-US"/>
        </w:rPr>
        <w:t xml:space="preserve"> (</w:t>
      </w:r>
      <w:r w:rsidR="00CE75ED" w:rsidRPr="002A0251">
        <w:rPr>
          <w:lang w:val="en-US"/>
        </w:rPr>
        <w:t>outbreak onset-triggered</w:t>
      </w:r>
      <w:r w:rsidR="009F0610" w:rsidRPr="002A0251">
        <w:rPr>
          <w:lang w:val="en-US"/>
        </w:rPr>
        <w:t xml:space="preserve"> or case-triggered</w:t>
      </w:r>
      <w:r w:rsidR="00CB3517" w:rsidRPr="002A0251">
        <w:rPr>
          <w:lang w:val="en-US"/>
        </w:rPr>
        <w:t>)</w:t>
      </w:r>
      <w:r w:rsidR="00523E62" w:rsidRPr="002A0251">
        <w:t xml:space="preserve"> (</w:t>
      </w:r>
      <w:r w:rsidR="00523E62" w:rsidRPr="002A0251">
        <w:rPr>
          <w:b/>
          <w:bCs/>
        </w:rPr>
        <w:t xml:space="preserve">Table </w:t>
      </w:r>
      <w:r w:rsidR="00523E62" w:rsidRPr="002A0251">
        <w:rPr>
          <w:rFonts w:hint="eastAsia"/>
          <w:b/>
          <w:bCs/>
        </w:rPr>
        <w:t>2</w:t>
      </w:r>
      <w:r w:rsidR="00523E62" w:rsidRPr="002A0251">
        <w:t>)</w:t>
      </w:r>
      <w:r w:rsidRPr="002A0251">
        <w:rPr>
          <w:rFonts w:hint="eastAsia"/>
          <w:lang w:val="en-US"/>
        </w:rPr>
        <w:t>.</w:t>
      </w:r>
      <w:r w:rsidR="00721DD7">
        <w:rPr>
          <w:rFonts w:hint="eastAsia"/>
          <w:lang w:val="en-US"/>
        </w:rPr>
        <w:t xml:space="preserve"> Two hundred </w:t>
      </w:r>
      <w:r w:rsidR="009F0610" w:rsidRPr="002A0251">
        <w:rPr>
          <w:lang w:val="en-US"/>
        </w:rPr>
        <w:t xml:space="preserve">parameter sets </w:t>
      </w:r>
      <w:r w:rsidR="00721DD7">
        <w:rPr>
          <w:rFonts w:hint="eastAsia"/>
          <w:lang w:val="en-US"/>
        </w:rPr>
        <w:t>were drawn using</w:t>
      </w:r>
      <w:r w:rsidRPr="002A0251">
        <w:rPr>
          <w:rFonts w:hint="eastAsia"/>
          <w:lang w:val="en-US"/>
        </w:rPr>
        <w:t xml:space="preserve"> a</w:t>
      </w:r>
      <w:r w:rsidR="009F0610" w:rsidRPr="002A0251">
        <w:rPr>
          <w:lang w:val="en-US"/>
        </w:rPr>
        <w:t xml:space="preserve"> Sobol low-discrepancy sequence</w:t>
      </w:r>
      <w:r w:rsidR="00CB3517" w:rsidRPr="002A0251">
        <w:rPr>
          <w:lang w:val="en-US"/>
        </w:rPr>
        <w:t xml:space="preserve"> (</w:t>
      </w:r>
      <w:r w:rsidR="00CB3517" w:rsidRPr="002A0251">
        <w:rPr>
          <w:b/>
          <w:bCs/>
          <w:lang w:val="en-US"/>
        </w:rPr>
        <w:t xml:space="preserve">Table </w:t>
      </w:r>
      <w:r w:rsidR="00523E62" w:rsidRPr="002A0251">
        <w:rPr>
          <w:rFonts w:hint="eastAsia"/>
          <w:b/>
          <w:bCs/>
          <w:lang w:val="en-US"/>
        </w:rPr>
        <w:t>3</w:t>
      </w:r>
      <w:r w:rsidR="00D80970" w:rsidRPr="002A0251">
        <w:rPr>
          <w:rFonts w:hint="eastAsia"/>
          <w:lang w:val="en-US"/>
        </w:rPr>
        <w:t xml:space="preserve"> and </w:t>
      </w:r>
      <w:r w:rsidR="0007624C" w:rsidRPr="002A0251">
        <w:rPr>
          <w:lang w:val="en-US"/>
        </w:rPr>
        <w:t xml:space="preserve">Supplementary Information </w:t>
      </w:r>
      <w:r w:rsidR="00F95618" w:rsidRPr="002A0251">
        <w:rPr>
          <w:b/>
          <w:bCs/>
          <w:lang w:val="en-US"/>
        </w:rPr>
        <w:t>S3</w:t>
      </w:r>
      <w:r w:rsidR="00CB3517" w:rsidRPr="002A0251">
        <w:rPr>
          <w:lang w:val="en-US"/>
        </w:rPr>
        <w:t>)</w:t>
      </w:r>
      <w:r w:rsidR="00CD3EAC">
        <w:rPr>
          <w:rFonts w:hint="eastAsia"/>
          <w:lang w:val="en-US"/>
        </w:rPr>
        <w:t xml:space="preserve"> and re</w:t>
      </w:r>
      <w:r w:rsidR="005107E2" w:rsidRPr="002A0251">
        <w:rPr>
          <w:lang w:val="en-US"/>
        </w:rPr>
        <w:t>sults</w:t>
      </w:r>
      <w:r w:rsidRPr="002A0251">
        <w:rPr>
          <w:rFonts w:hint="eastAsia"/>
          <w:lang w:val="en-US"/>
        </w:rPr>
        <w:t xml:space="preserve"> ar</w:t>
      </w:r>
      <w:r w:rsidR="00A44904" w:rsidRPr="002A0251">
        <w:rPr>
          <w:lang w:val="en-US"/>
        </w:rPr>
        <w:t xml:space="preserve">e </w:t>
      </w:r>
      <w:r w:rsidR="00CD3EAC">
        <w:rPr>
          <w:rFonts w:hint="eastAsia"/>
          <w:lang w:val="en-US"/>
        </w:rPr>
        <w:t xml:space="preserve">summarized </w:t>
      </w:r>
      <w:r w:rsidR="00427DD4" w:rsidRPr="002A0251">
        <w:rPr>
          <w:lang w:val="en-US"/>
        </w:rPr>
        <w:t xml:space="preserve">as </w:t>
      </w:r>
      <w:r w:rsidR="00FB487E" w:rsidRPr="002A0251">
        <w:rPr>
          <w:lang w:val="en-US"/>
        </w:rPr>
        <w:t>median</w:t>
      </w:r>
      <w:r w:rsidR="00427DD4" w:rsidRPr="002A0251">
        <w:rPr>
          <w:lang w:val="en-US"/>
        </w:rPr>
        <w:t>s</w:t>
      </w:r>
      <w:r w:rsidR="00FB487E" w:rsidRPr="002A0251">
        <w:rPr>
          <w:lang w:val="en-US"/>
        </w:rPr>
        <w:t xml:space="preserve"> with </w:t>
      </w:r>
      <w:r w:rsidR="009130AF" w:rsidRPr="002A0251">
        <w:rPr>
          <w:rFonts w:hint="eastAsia"/>
          <w:lang w:val="en-US"/>
        </w:rPr>
        <w:t>interquartile range</w:t>
      </w:r>
      <w:r w:rsidR="00CD3EAC">
        <w:rPr>
          <w:rFonts w:hint="eastAsia"/>
          <w:lang w:val="en-US"/>
        </w:rPr>
        <w:t>s</w:t>
      </w:r>
      <w:r w:rsidR="009130AF" w:rsidRPr="002A0251">
        <w:rPr>
          <w:rFonts w:hint="eastAsia"/>
          <w:lang w:val="en-US"/>
        </w:rPr>
        <w:t xml:space="preserve"> (IQR</w:t>
      </w:r>
      <w:r w:rsidR="00CD3EAC">
        <w:rPr>
          <w:rFonts w:hint="eastAsia"/>
          <w:lang w:val="en-US"/>
        </w:rPr>
        <w:t>s</w:t>
      </w:r>
      <w:r w:rsidR="009130AF" w:rsidRPr="002A0251">
        <w:rPr>
          <w:rFonts w:hint="eastAsia"/>
          <w:lang w:val="en-US"/>
        </w:rPr>
        <w:t>)</w:t>
      </w:r>
      <w:r w:rsidR="00FB487E" w:rsidRPr="002A0251">
        <w:rPr>
          <w:lang w:val="en-US"/>
        </w:rPr>
        <w:t>.</w:t>
      </w:r>
    </w:p>
    <w:p w14:paraId="7B3E9384" w14:textId="77777777" w:rsidR="008F5A35" w:rsidRPr="00CD3EAC" w:rsidRDefault="008F5A35" w:rsidP="007B6AC6">
      <w:pPr>
        <w:rPr>
          <w:lang w:val="en-US"/>
        </w:rPr>
      </w:pPr>
    </w:p>
    <w:p w14:paraId="49C2742B" w14:textId="4B13AC54" w:rsidR="00CD3EAC" w:rsidRPr="000B396B" w:rsidRDefault="00CD3EAC" w:rsidP="00CD3EAC">
      <w:r w:rsidRPr="00CD3EAC">
        <w:t xml:space="preserve">To estimate the global impact of reactive vaccination, we aggregated results across outbreaks assuming a constrained OCV supply of </w:t>
      </w:r>
      <w:r w:rsidRPr="000B396B">
        <w:t xml:space="preserve">approximately 100,000 to 200 million doses, </w:t>
      </w:r>
      <w:r w:rsidRPr="000B396B">
        <w:rPr>
          <w:rFonts w:hint="eastAsia"/>
        </w:rPr>
        <w:t xml:space="preserve">roughly </w:t>
      </w:r>
      <w:r w:rsidRPr="000B396B">
        <w:t>reflecting the scale of global stockpile deployments</w:t>
      </w:r>
      <w:r w:rsidR="007B6AC6" w:rsidRPr="000B396B">
        <w:rPr>
          <w:rFonts w:hint="eastAsia"/>
        </w:rPr>
        <w:t>.</w:t>
      </w:r>
      <w:r w:rsidR="007B6AC6" w:rsidRPr="000B396B">
        <w:fldChar w:fldCharType="begin"/>
      </w:r>
      <w:r w:rsidR="007B6AC6" w:rsidRPr="000B396B">
        <w:instrText xml:space="preserve"> ADDIN ZOTERO_ITEM CSL_CITATION {"citationID":"sRbe03pR","properties":{"formattedCitation":"\\super 34\\nosupersub{}","plainCitation":"34","noteIndex":0},"citationItems":[{"id":15101,"uris":["http://zotero.org/users/7663102/items/TX7JU4AF"],"itemData":{"id":15101,"type":"webpage","title":"GTFCC OCV Dashboard","URL":"https://apps.epicentre-msf.org/public/app/gtfcc","accessed":{"date-parts":[["2024",11,7]]},"citation-key":"GTFCCOCVDashboard"}}],"schema":"https://github.com/citation-style-language/schema/raw/master/csl-citation.json"} </w:instrText>
      </w:r>
      <w:r w:rsidR="007B6AC6" w:rsidRPr="000B396B">
        <w:fldChar w:fldCharType="separate"/>
      </w:r>
      <w:r w:rsidR="007B6AC6" w:rsidRPr="000B396B">
        <w:rPr>
          <w:rFonts w:cs="Times New Roman"/>
          <w:vertAlign w:val="superscript"/>
        </w:rPr>
        <w:t>34</w:t>
      </w:r>
      <w:r w:rsidR="007B6AC6" w:rsidRPr="000B396B">
        <w:fldChar w:fldCharType="end"/>
      </w:r>
      <w:r w:rsidRPr="000B396B">
        <w:t xml:space="preserve"> Because this supply was insufficient to vaccinate all outbreak populations, we modeled allocation strategies across all or selected outbreaks prioritized by characteristics such as attack rate, duration, size, or case-fatality ratio. Outbreaks were sampled without replacement and assigned enough vaccine to reach their target coverage. Sampling continued until the cumulative number of doses matched the supply.</w:t>
      </w:r>
      <w:r w:rsidRPr="000B396B">
        <w:rPr>
          <w:rFonts w:hint="eastAsia"/>
        </w:rPr>
        <w:t xml:space="preserve"> </w:t>
      </w:r>
      <w:r w:rsidRPr="000B396B">
        <w:t>This allocation was repeated 200 iterations, and results were aggregated to estimate</w:t>
      </w:r>
      <w:r w:rsidRPr="000B396B">
        <w:rPr>
          <w:rFonts w:hint="eastAsia"/>
        </w:rPr>
        <w:t xml:space="preserve"> the impact (</w:t>
      </w:r>
      <w:r w:rsidRPr="000B396B">
        <w:t>total cases, deaths, and DALYs averted</w:t>
      </w:r>
      <w:r w:rsidRPr="000B396B">
        <w:rPr>
          <w:rFonts w:hint="eastAsia"/>
        </w:rPr>
        <w:t>)</w:t>
      </w:r>
      <w:r w:rsidRPr="000B396B">
        <w:t xml:space="preserve"> as well as efficiency (impact per 1,000 doses) and cost-effectiveness (cost per </w:t>
      </w:r>
      <w:r w:rsidRPr="000B396B">
        <w:rPr>
          <w:rFonts w:hint="eastAsia"/>
        </w:rPr>
        <w:t>unit of impact</w:t>
      </w:r>
      <w:r w:rsidRPr="000B396B">
        <w:t>).</w:t>
      </w:r>
    </w:p>
    <w:p w14:paraId="51B988E1" w14:textId="77777777" w:rsidR="00CD3EAC" w:rsidRPr="000B396B" w:rsidRDefault="00CD3EAC" w:rsidP="007B6AC6"/>
    <w:p w14:paraId="006E19E4" w14:textId="7EFA457F" w:rsidR="008B57DF" w:rsidRDefault="00CD3EAC" w:rsidP="00CD3EAC">
      <w:r w:rsidRPr="000B396B">
        <w:rPr>
          <w:rFonts w:hint="eastAsia"/>
        </w:rPr>
        <w:t xml:space="preserve">The model </w:t>
      </w:r>
      <w:r w:rsidRPr="000B396B">
        <w:rPr>
          <w:rFonts w:hint="eastAsia"/>
          <w:lang w:val="en-US"/>
        </w:rPr>
        <w:t xml:space="preserve">captures </w:t>
      </w:r>
      <w:r w:rsidR="001F327A" w:rsidRPr="000B396B">
        <w:rPr>
          <w:rFonts w:hint="eastAsia"/>
        </w:rPr>
        <w:t xml:space="preserve">on the </w:t>
      </w:r>
      <w:r w:rsidR="000B396B" w:rsidRPr="000B396B">
        <w:t>immediate,</w:t>
      </w:r>
      <w:r w:rsidRPr="000B396B">
        <w:rPr>
          <w:rFonts w:hint="eastAsia"/>
        </w:rPr>
        <w:t xml:space="preserve"> within-outbreak </w:t>
      </w:r>
      <w:r w:rsidR="001F327A" w:rsidRPr="000B396B">
        <w:rPr>
          <w:rFonts w:hint="eastAsia"/>
        </w:rPr>
        <w:t xml:space="preserve">impact of </w:t>
      </w:r>
      <w:r w:rsidR="00683CD6" w:rsidRPr="000B396B">
        <w:t>ORI</w:t>
      </w:r>
      <w:r w:rsidR="001F327A" w:rsidRPr="000B396B">
        <w:rPr>
          <w:rFonts w:hint="eastAsia"/>
        </w:rPr>
        <w:t xml:space="preserve"> and </w:t>
      </w:r>
      <w:r w:rsidR="008F5A35" w:rsidRPr="000B396B">
        <w:rPr>
          <w:rFonts w:hint="eastAsia"/>
        </w:rPr>
        <w:t xml:space="preserve">does not account for </w:t>
      </w:r>
      <w:r w:rsidR="00683CD6" w:rsidRPr="000B396B">
        <w:rPr>
          <w:rFonts w:hint="eastAsia"/>
        </w:rPr>
        <w:t xml:space="preserve">potential </w:t>
      </w:r>
      <w:r w:rsidRPr="000B396B">
        <w:rPr>
          <w:rFonts w:hint="eastAsia"/>
        </w:rPr>
        <w:t xml:space="preserve">long-term </w:t>
      </w:r>
      <w:r w:rsidR="00683CD6" w:rsidRPr="000B396B">
        <w:rPr>
          <w:rFonts w:hint="eastAsia"/>
        </w:rPr>
        <w:t>benefits</w:t>
      </w:r>
      <w:r w:rsidR="004A1600" w:rsidRPr="000B396B">
        <w:rPr>
          <w:rFonts w:hint="eastAsia"/>
        </w:rPr>
        <w:t>,</w:t>
      </w:r>
      <w:r w:rsidR="004A1600" w:rsidRPr="000B396B">
        <w:t xml:space="preserve"> </w:t>
      </w:r>
      <w:r w:rsidR="007D7E07" w:rsidRPr="000B396B">
        <w:t>such as preventing or mitigating future outbreaks</w:t>
      </w:r>
      <w:r w:rsidRPr="000B396B">
        <w:rPr>
          <w:rFonts w:hint="eastAsia"/>
        </w:rPr>
        <w:t>.</w:t>
      </w:r>
      <w:r w:rsidR="004A1600" w:rsidRPr="000B396B">
        <w:t xml:space="preserve"> </w:t>
      </w:r>
      <w:r w:rsidR="001F327A" w:rsidRPr="000B396B">
        <w:rPr>
          <w:rFonts w:hint="eastAsia"/>
        </w:rPr>
        <w:t>This</w:t>
      </w:r>
      <w:r w:rsidR="001F327A" w:rsidRPr="002A0251">
        <w:rPr>
          <w:rFonts w:hint="eastAsia"/>
        </w:rPr>
        <w:t xml:space="preserve"> assumption reflects the </w:t>
      </w:r>
      <w:r>
        <w:rPr>
          <w:rFonts w:hint="eastAsia"/>
        </w:rPr>
        <w:t>temporary</w:t>
      </w:r>
      <w:r w:rsidR="004A1600" w:rsidRPr="002A0251">
        <w:t xml:space="preserve"> population-level protection expected from single-dose campaigns</w:t>
      </w:r>
      <w:r w:rsidR="004A1600" w:rsidRPr="002A0251">
        <w:rPr>
          <w:rFonts w:hint="eastAsia"/>
        </w:rPr>
        <w:t xml:space="preserve">, </w:t>
      </w:r>
      <w:r w:rsidR="001F327A" w:rsidRPr="002A0251">
        <w:rPr>
          <w:rFonts w:hint="eastAsia"/>
        </w:rPr>
        <w:t>given waning immunity</w:t>
      </w:r>
      <w:r w:rsidR="004A1600" w:rsidRPr="002A0251">
        <w:rPr>
          <w:rFonts w:hint="eastAsia"/>
        </w:rPr>
        <w:t xml:space="preserve"> and</w:t>
      </w:r>
      <w:r w:rsidR="001F327A" w:rsidRPr="002A0251">
        <w:rPr>
          <w:rFonts w:hint="eastAsia"/>
        </w:rPr>
        <w:t xml:space="preserve"> population mobility</w:t>
      </w:r>
      <w:r w:rsidR="00345AF1" w:rsidRPr="002A0251">
        <w:rPr>
          <w:rFonts w:hint="eastAsia"/>
        </w:rPr>
        <w:t>.</w:t>
      </w:r>
      <w:r w:rsidR="00345AF1" w:rsidRPr="002A0251">
        <w:fldChar w:fldCharType="begin"/>
      </w:r>
      <w:r w:rsidR="00492FC8" w:rsidRPr="002A0251">
        <w:instrText xml:space="preserve"> ADDIN ZOTERO_ITEM CSL_CITATION {"citationID":"zg76TUrS","properties":{"formattedCitation":"\\super 38\\nosupersub{}","plainCitation":"38","noteIndex":0},"citationItems":[{"id":9927,"uris":["http://zotero.org/users/7663102/items/VME6ZAW8"],"itemData":{"id":9927,"type":"article-journal","abstract":"Background Oral cholera vaccination is an approach to preventing outbreaks in at-risk settings and controlling cholera in endemic settings. However, vaccine-derived herd immunity may be short-lived due to interactions between human mobility and imperfect or waning vaccine efficacy. As the supply and utilization of oral cholera vaccines grows, critical questions related to herd immunity are emerging, including: who should be targeted; when should revaccination be performed; and why have cholera outbreaks occurred in recently vaccinated populations? Methods and findings We use mathematical models to simulate routine and mass oral cholera vaccination in populations with varying degrees of migration, transmission intensity, and vaccine coverage. We show that migration and waning vaccine efficacy strongly influence the duration of herd immunity while birth and death rates have relatively minimal impacts. As compared to either periodic mass vaccination or routine vaccination alone, a community could be protected longer by a blended “Mass and Maintain” strategy. We show that vaccination may be best targeted at populations with intermediate degrees of mobility as compared to communities with very high or very low population turnover. Using a case study of an internally displaced person camp in South Sudan which underwent high-coverage mass vaccination in 2014 and 2015, we show that waning vaccine direct effects and high population turnover rendered the camp over 80% susceptible at the time of the cholera outbreak beginning in October 2016. Conclusions Oral cholera vaccines can be powerful tools for quickly protecting a population for a period of time that depends critically on vaccine coverage, vaccine efficacy over time, and the rate of population turnover through human mobility. Due to waning herd immunity, epidemics in vaccinated communities are possible but become less likely through complementary interventions or data-driven revaccination strategies.","container-title":"PLOS Neglected Tropical Diseases","DOI":"10.1371/journal.pntd.0006257","ISSN":"1935-2735","issue":"2","journalAbbreviation":"PLOS Neglected Tropical Diseases","language":"en","note":"publisher: Public Library of Science","page":"e0006257","source":"PLoS Journals","title":"Prolonging herd immunity to cholera via vaccination: Accounting for human mobility and waning vaccine effects","title-short":"Prolonging herd immunity to cholera via vaccination","volume":"12","author":[{"family":"Peak","given":"Corey M."},{"family":"Reilly","given":"Amanda L."},{"family":"Azman","given":"Andrew S."},{"family":"Buckee","given":"Caroline O."}],"issued":{"date-parts":[["2018",2,28]]},"citation-key":"peakProlongingHerdImmunity2018a"}}],"schema":"https://github.com/citation-style-language/schema/raw/master/csl-citation.json"} </w:instrText>
      </w:r>
      <w:r w:rsidR="00345AF1" w:rsidRPr="002A0251">
        <w:fldChar w:fldCharType="separate"/>
      </w:r>
      <w:r w:rsidR="00492FC8" w:rsidRPr="002A0251">
        <w:rPr>
          <w:rFonts w:cs="Times New Roman"/>
          <w:vertAlign w:val="superscript"/>
        </w:rPr>
        <w:t>38</w:t>
      </w:r>
      <w:r w:rsidR="00345AF1" w:rsidRPr="002A0251">
        <w:fldChar w:fldCharType="end"/>
      </w:r>
      <w:r w:rsidR="00573D44" w:rsidRPr="002A0251">
        <w:rPr>
          <w:rFonts w:hint="eastAsia"/>
          <w:lang w:val="en-US"/>
        </w:rPr>
        <w:t xml:space="preserve"> </w:t>
      </w:r>
      <w:r w:rsidR="004A1600" w:rsidRPr="002A0251">
        <w:rPr>
          <w:rFonts w:hint="eastAsia"/>
          <w:lang w:val="en-US"/>
        </w:rPr>
        <w:t>Moreover,</w:t>
      </w:r>
      <w:r w:rsidR="008F5A35" w:rsidRPr="002A0251">
        <w:rPr>
          <w:rFonts w:hint="eastAsia"/>
          <w:lang w:val="en-US"/>
        </w:rPr>
        <w:t xml:space="preserve"> </w:t>
      </w:r>
      <w:r w:rsidR="004A1600" w:rsidRPr="002A0251">
        <w:rPr>
          <w:rFonts w:hint="eastAsia"/>
          <w:lang w:val="en-US"/>
        </w:rPr>
        <w:t>we modeled</w:t>
      </w:r>
      <w:r w:rsidR="008F5A35" w:rsidRPr="002A0251">
        <w:rPr>
          <w:rFonts w:hint="eastAsia"/>
        </w:rPr>
        <w:t xml:space="preserve"> each population independently</w:t>
      </w:r>
      <w:r w:rsidR="004A1600" w:rsidRPr="002A0251">
        <w:rPr>
          <w:rFonts w:hint="eastAsia"/>
        </w:rPr>
        <w:t xml:space="preserve">, without </w:t>
      </w:r>
      <w:r w:rsidR="008F5A35" w:rsidRPr="002A0251">
        <w:rPr>
          <w:rFonts w:hint="eastAsia"/>
        </w:rPr>
        <w:t xml:space="preserve"> cross-population </w:t>
      </w:r>
      <w:r>
        <w:rPr>
          <w:rFonts w:hint="eastAsia"/>
        </w:rPr>
        <w:t>transmission or vaccination spillover</w:t>
      </w:r>
      <w:r w:rsidR="008F5A35" w:rsidRPr="002A0251">
        <w:rPr>
          <w:rFonts w:hint="eastAsia"/>
        </w:rPr>
        <w:t xml:space="preserve">. </w:t>
      </w:r>
    </w:p>
    <w:p w14:paraId="343C3D0E" w14:textId="77777777" w:rsidR="008B57DF" w:rsidRDefault="008B57DF" w:rsidP="00CD3EAC"/>
    <w:p w14:paraId="650C961B" w14:textId="274C8C71" w:rsidR="00573D44" w:rsidRPr="002A0251" w:rsidRDefault="004A1600" w:rsidP="00CD3EAC">
      <w:pPr>
        <w:rPr>
          <w:lang w:val="en-US"/>
        </w:rPr>
      </w:pPr>
      <w:r w:rsidRPr="002A0251">
        <w:t xml:space="preserve">All code and </w:t>
      </w:r>
      <w:r w:rsidR="008B57DF">
        <w:rPr>
          <w:rFonts w:hint="eastAsia"/>
        </w:rPr>
        <w:t xml:space="preserve">processed </w:t>
      </w:r>
      <w:r w:rsidRPr="002A0251">
        <w:t xml:space="preserve">datasets </w:t>
      </w:r>
      <w:r w:rsidRPr="002A0251">
        <w:rPr>
          <w:rFonts w:hint="eastAsia"/>
          <w:lang w:val="en-US"/>
        </w:rPr>
        <w:t xml:space="preserve">are publicly available </w:t>
      </w:r>
      <w:r w:rsidR="003D2B3E" w:rsidRPr="002A0251">
        <w:rPr>
          <w:lang w:val="en-US"/>
        </w:rPr>
        <w:t xml:space="preserve">in a </w:t>
      </w:r>
      <w:r w:rsidR="00573D44" w:rsidRPr="002A0251">
        <w:rPr>
          <w:lang w:val="en-US"/>
        </w:rPr>
        <w:t>GitHub repository.</w:t>
      </w:r>
      <w:r w:rsidR="00573D44" w:rsidRPr="002A0251">
        <w:rPr>
          <w:lang w:val="en-US"/>
        </w:rPr>
        <w:fldChar w:fldCharType="begin"/>
      </w:r>
      <w:r w:rsidR="00492FC8" w:rsidRPr="002A0251">
        <w:rPr>
          <w:lang w:val="en-US"/>
        </w:rPr>
        <w:instrText xml:space="preserve"> ADDIN ZOTERO_ITEM CSL_CITATION {"citationID":"oEswjDVR","properties":{"formattedCitation":"\\super 39\\nosupersub{}","plainCitation":"39","noteIndex":0},"citationItems":[{"id":15236,"uris":["http://zotero.org/users/7663102/items/45PHHFTZ"],"itemData":{"id":15236,"type":"software","title":"cholera-outbreak-vaccine-impact-modeling","URL":"https://github.com/kimfinale/cholera-outbreak-vaccine-impact-modeling","author":[{"family":"Kim","given":"Jong-Hoon"}],"issued":{"date-parts":[["2024"]]},"citation-key":"kimCholeraoutbreakvaccineimpactmodeling2024"}}],"schema":"https://github.com/citation-style-language/schema/raw/master/csl-citation.json"} </w:instrText>
      </w:r>
      <w:r w:rsidR="00573D44" w:rsidRPr="002A0251">
        <w:rPr>
          <w:lang w:val="en-US"/>
        </w:rPr>
        <w:fldChar w:fldCharType="separate"/>
      </w:r>
      <w:r w:rsidR="00492FC8" w:rsidRPr="002A0251">
        <w:rPr>
          <w:rFonts w:cs="Times New Roman"/>
          <w:vertAlign w:val="superscript"/>
        </w:rPr>
        <w:t>39</w:t>
      </w:r>
      <w:r w:rsidR="00573D44" w:rsidRPr="002A0251">
        <w:rPr>
          <w:lang w:val="en-US"/>
        </w:rPr>
        <w:fldChar w:fldCharType="end"/>
      </w:r>
    </w:p>
    <w:bookmarkEnd w:id="13"/>
    <w:p w14:paraId="028E450E" w14:textId="77777777" w:rsidR="00A137EB" w:rsidRPr="002A0251" w:rsidRDefault="00A137EB" w:rsidP="00F57F15">
      <w:pPr>
        <w:rPr>
          <w:lang w:val="en-US"/>
        </w:rPr>
      </w:pPr>
    </w:p>
    <w:p w14:paraId="2708E5A8" w14:textId="31DF5630" w:rsidR="002A5036" w:rsidRPr="002A0251" w:rsidRDefault="002A5036" w:rsidP="00F57F15">
      <w:r w:rsidRPr="002A0251">
        <w:rPr>
          <w:b/>
        </w:rPr>
        <w:lastRenderedPageBreak/>
        <w:t>Table 1</w:t>
      </w:r>
      <w:r w:rsidRPr="002A0251">
        <w:t>. Model parameters.</w:t>
      </w:r>
    </w:p>
    <w:tbl>
      <w:tblPr>
        <w:tblW w:w="955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70"/>
        <w:gridCol w:w="3780"/>
        <w:gridCol w:w="1105"/>
      </w:tblGrid>
      <w:tr w:rsidR="00156EEE" w:rsidRPr="002A0251" w14:paraId="75729607" w14:textId="77777777" w:rsidTr="00F31227">
        <w:trPr>
          <w:trHeight w:val="14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CE7D185" w14:textId="61C324BE" w:rsidR="00156EEE" w:rsidRPr="002A0251" w:rsidRDefault="00156EEE" w:rsidP="002914FA">
            <w:pPr>
              <w:spacing w:line="240" w:lineRule="auto"/>
            </w:pPr>
            <w:r w:rsidRPr="002A0251">
              <w:t>Description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45D97DD" w14:textId="77777777" w:rsidR="00156EEE" w:rsidRPr="002A0251" w:rsidRDefault="00156EEE" w:rsidP="002914FA">
            <w:pPr>
              <w:spacing w:line="240" w:lineRule="auto"/>
            </w:pPr>
            <w:r w:rsidRPr="002A0251">
              <w:t>Values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7A3C6" w14:textId="77777777" w:rsidR="00156EEE" w:rsidRPr="002A0251" w:rsidRDefault="00156EEE" w:rsidP="002914FA">
            <w:pPr>
              <w:spacing w:line="240" w:lineRule="auto"/>
            </w:pPr>
            <w:r w:rsidRPr="002A0251">
              <w:t>Source</w:t>
            </w:r>
          </w:p>
        </w:tc>
      </w:tr>
      <w:tr w:rsidR="002A5036" w:rsidRPr="002A0251" w14:paraId="3E0F5B27" w14:textId="77777777" w:rsidTr="00156EEE">
        <w:trPr>
          <w:trHeight w:val="231"/>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7F28619" w14:textId="5519F8A3" w:rsidR="002A5036" w:rsidRPr="002A0251" w:rsidRDefault="009E0F60" w:rsidP="002914FA">
            <w:pPr>
              <w:spacing w:line="240" w:lineRule="auto"/>
              <w:rPr>
                <w:rFonts w:eastAsia="Aptos"/>
                <w:i/>
                <w:iCs/>
              </w:rPr>
            </w:pPr>
            <w:r w:rsidRPr="002A0251">
              <w:rPr>
                <w:i/>
                <w:iCs/>
              </w:rPr>
              <w:t>Parameter</w:t>
            </w:r>
            <w:r w:rsidR="004870F7" w:rsidRPr="002A0251">
              <w:rPr>
                <w:i/>
                <w:iCs/>
              </w:rPr>
              <w:t>s</w:t>
            </w:r>
            <w:r w:rsidRPr="002A0251">
              <w:rPr>
                <w:i/>
                <w:iCs/>
              </w:rPr>
              <w:t xml:space="preserve"> varied</w:t>
            </w:r>
          </w:p>
        </w:tc>
      </w:tr>
      <w:tr w:rsidR="000218B3" w:rsidRPr="002A0251" w14:paraId="741EE81E" w14:textId="77777777" w:rsidTr="00F31227">
        <w:trPr>
          <w:trHeight w:val="735"/>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B8726A7" w14:textId="05A0AE94" w:rsidR="000218B3" w:rsidRPr="002A0251" w:rsidRDefault="000218B3" w:rsidP="002914FA">
            <w:pPr>
              <w:spacing w:line="240" w:lineRule="auto"/>
            </w:pPr>
            <w:r w:rsidRPr="002A0251">
              <w:t>Direct v</w:t>
            </w:r>
            <w:r w:rsidRPr="002A0251">
              <w:rPr>
                <w:rFonts w:eastAsia="Aptos"/>
              </w:rPr>
              <w:t xml:space="preserve">accine </w:t>
            </w:r>
            <w:r w:rsidR="005623EE">
              <w:rPr>
                <w:rFonts w:hint="eastAsia"/>
              </w:rPr>
              <w:t>efficacy</w:t>
            </w:r>
            <w:r w:rsidRPr="002A0251">
              <w:t xml:space="preserve"> by one dose of OCV for the &lt; 5 yo and 5+ yo,</w:t>
            </w:r>
            <w:r w:rsidR="00D71B88" w:rsidRPr="002A0251">
              <w:rPr>
                <w:rFonts w:hint="eastAsia"/>
              </w:rPr>
              <w:t xml:space="preserve"> </w:t>
            </w:r>
            <w:r w:rsidRPr="002A0251">
              <w:t>respectively.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AE29507" w14:textId="6C8E02A5" w:rsidR="000218B3" w:rsidRPr="002A0251" w:rsidRDefault="000218B3" w:rsidP="002914FA">
            <w:pPr>
              <w:spacing w:line="240" w:lineRule="auto"/>
              <w:rPr>
                <w:lang w:val="it-CH"/>
              </w:rPr>
            </w:pPr>
            <w:r w:rsidRPr="002A0251">
              <w:rPr>
                <w:lang w:val="it-CH"/>
              </w:rPr>
              <w:t xml:space="preserve">30% </w:t>
            </w:r>
            <w:r w:rsidR="009E0F60" w:rsidRPr="002A0251">
              <w:rPr>
                <w:lang w:val="it-CH"/>
              </w:rPr>
              <w:t xml:space="preserve">[95% CI: 15%, 42%] </w:t>
            </w:r>
            <w:r w:rsidRPr="002A0251">
              <w:rPr>
                <w:lang w:val="it-CH"/>
              </w:rPr>
              <w:t xml:space="preserve">(&lt; 5 yo) and 64% </w:t>
            </w:r>
            <w:r w:rsidR="009E0F60" w:rsidRPr="002A0251">
              <w:rPr>
                <w:lang w:val="it-CH"/>
              </w:rPr>
              <w:t xml:space="preserve">[95% CI: 58%, 70%] </w:t>
            </w:r>
            <w:r w:rsidRPr="002A0251">
              <w:rPr>
                <w:lang w:val="it-CH"/>
              </w:rPr>
              <w:t>(5+ yo)</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17C2EDE" w14:textId="207F6D93" w:rsidR="000218B3" w:rsidRPr="002A0251" w:rsidRDefault="00095C04" w:rsidP="002914FA">
            <w:pPr>
              <w:spacing w:line="240" w:lineRule="auto"/>
              <w:rPr>
                <w:rFonts w:eastAsia="Aptos"/>
              </w:rPr>
            </w:pPr>
            <w:r w:rsidRPr="002A0251">
              <w:fldChar w:fldCharType="begin"/>
            </w:r>
            <w:r w:rsidR="000B5A14" w:rsidRPr="002A0251">
              <w:instrText xml:space="preserve"> ADDIN ZOTERO_ITEM CSL_CITATION {"citationID":"MfwbXI3Q","properties":{"formattedCitation":"\\super 28\\nosupersub{}","plainCitation":"28","noteIndex":0},"citationItems":[{"id":9742,"uris":["http://zotero.org/users/7663102/items/DFCIX2GR"],"itemData":{"id":9742,"type":"article-journal","container-title":"The Lancet Infectious Diseases","DOI":"10.1016/S1473-3099(17)30359-6","ISSN":"1473-3099, 1474-4457","issue":"10","journalAbbreviation":"Lancet Inf Dis","language":"English","note":"publisher: Elsevier\nPMID: 28729167","page":"1080-1088","source":"www.thelancet.com","title":"Protection against cholera from killed whole-cell oral cholera vaccines: a systematic review and meta-analysis","title-short":"Protection against cholera from killed whole-cell oral cholera vaccines","volume":"17","author":[{"family":"Bi","given":"Qifang"},{"family":"Ferreras","given":"Eva"},{"family":"Pezzoli","given":"Lorenzo"},{"family":"Legros","given":"Dominique"},{"family":"Ivers","given":"Louise C."},{"family":"Date","given":"Kashmira"},{"family":"Qadri","given":"Firdausi"},{"family":"Digilio","given":"Laura"},{"family":"Sack","given":"David A."},{"family":"Ali","given":"Mohammad"},{"family":"Lessler","given":"Justin"},{"family":"Luquero","given":"Francisco J."},{"family":"Azman","given":"Andrew S."},{"family":"Cavailler","given":"Philippe"},{"family":"Date","given":"Kashmira"},{"family":"Sreenivasan","given":"Nandini"},{"family":"Matzger","given":"Helen"},{"family":"Luquero","given":"Francisco"},{"family":"Grais","given":"Rebecca"},{"family":"Wiesner","given":"Lale"},{"family":"Ko","given":"Melissa"},{"family":"Rouzier","given":"Vanessa"},{"family":"Peak","given":"Corey"},{"family":"Qadri","given":"Firdausi"},{"family":"Landegger","given":"Justine"},{"family":"Lynch","given":"Julia"},{"family":"Azman","given":"Andrew"},{"family":"Sack","given":"David"},{"family":"Henkens","given":"Myriam"},{"family":"Ciglenecki","given":"Iza"},{"family":"Ivers","given":"Louise"},{"family":"Diggle","given":"Emma"},{"family":"Weiss","given":"Mitchell"},{"family":"Hinman","given":"Alan"},{"family":"Maina","given":"Kahindo"},{"family":"Mirza","given":"Imran"},{"family":"Gimeno","given":"Guillermo"},{"family":"Levine","given":"Myron"}],"issued":{"date-parts":[["2017",10,1]]},"citation-key":"biProtectionCholeraKilled2017"}}],"schema":"https://github.com/citation-style-language/schema/raw/master/csl-citation.json"} </w:instrText>
            </w:r>
            <w:r w:rsidRPr="002A0251">
              <w:fldChar w:fldCharType="separate"/>
            </w:r>
            <w:r w:rsidR="0016770F" w:rsidRPr="002A0251">
              <w:rPr>
                <w:rFonts w:cs="Times New Roman"/>
                <w:vertAlign w:val="superscript"/>
              </w:rPr>
              <w:t>28</w:t>
            </w:r>
            <w:r w:rsidRPr="002A0251">
              <w:fldChar w:fldCharType="end"/>
            </w:r>
          </w:p>
        </w:tc>
      </w:tr>
      <w:tr w:rsidR="009E0F60" w:rsidRPr="002A0251" w14:paraId="727DBC2A" w14:textId="77777777" w:rsidTr="00F3122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7783895" w14:textId="3BC05A62" w:rsidR="009E0F60" w:rsidRPr="002A0251" w:rsidRDefault="009E0F60" w:rsidP="002914FA">
            <w:pPr>
              <w:spacing w:line="240" w:lineRule="auto"/>
            </w:pPr>
            <w:r w:rsidRPr="002A0251">
              <w:t>Campaign duration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A1F8226" w14:textId="4D8BFD02" w:rsidR="009E0F60" w:rsidRPr="002A0251" w:rsidRDefault="009E0F60" w:rsidP="002914FA">
            <w:pPr>
              <w:spacing w:line="240" w:lineRule="auto"/>
            </w:pPr>
            <w:r w:rsidRPr="002A0251">
              <w:t>5 [range: 3-14] 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45D0B35C" w14:textId="7B65B830" w:rsidR="009E0F60" w:rsidRPr="002A0251" w:rsidRDefault="009E0F60" w:rsidP="002914FA">
            <w:pPr>
              <w:spacing w:line="240" w:lineRule="auto"/>
            </w:pPr>
            <w:r w:rsidRPr="002A0251">
              <w:fldChar w:fldCharType="begin"/>
            </w:r>
            <w:r w:rsidR="00492FC8" w:rsidRPr="002A0251">
              <w:instrText xml:space="preserve"> ADDIN ZOTERO_ITEM CSL_CITATION {"citationID":"8Wjg9rtk","properties":{"formattedCitation":"\\super 31\\nosupersub{}","plainCitation":"31","noteIndex":0},"citationItems":[{"id":"ybNQHeeS/JC1Ar5Vn","uris":["http://zotero.org/users/local/xDVOxgbN/items/5UAYTNFT"],"itemData":{"id":132,"type":"article-journal","abstract":"Vaccination is a key intervention to prevent and control cholera in conjunction with water, sanitation and hygiene activities. An oral cholera vaccine (OCV) stockpile was established by the World Health Organization (WHO) in 2013. We reviewed its use from July 2013 to all of 2018 in order to assess its role in cholera control. We computed information related to OCV deployments and campaigns conducted including setting, target population, timelines, delivery strategy, reported adverse events, coverage achieved, and costs. In 2013-2018, a total of 83,509,941 OCV doses have been requested by 24 countries, of which 55,409,160 were approved and 36,066,010 eventually shipped in 83 deployments, resulting in 104 vaccination campaigns in 22 countries. OCVs had in general high uptake (mean administrative coverage 1st dose campaign at 90.3%; 2nd dose campaign at 88.2%; mean survey-estimated two-dose coverage at 69.9%, at least one dose at 84.6%) No serious adverse events were reported. Campaigns were organized quickly (five days median duration). In emergency settings, the longest delay was from the occurrence of the emergency to requesting OCV (median: 26</w:instrText>
            </w:r>
            <w:r w:rsidR="00492FC8" w:rsidRPr="002A0251">
              <w:rPr>
                <w:rFonts w:ascii="Arial" w:hAnsi="Arial"/>
              </w:rPr>
              <w:instrText> </w:instrText>
            </w:r>
            <w:r w:rsidR="00492FC8" w:rsidRPr="002A0251">
              <w:instrText xml:space="preserve">days). The mean cost of administering one dose of vaccine was 2.98 USD. The OCV stockpile is an important public health resource. OCVs were generally well accepted by the population and their use demonstrated to be safe and feasible in all settings. OCV was an inexpensive intervention, although timing was a limiting factor for emergency use. The dynamic created by the establishment of the OCV stockpile has played a role in the increased use of the vaccine by setting in motion a virtuous cycle by which better monitoring and evaluation leads to better campaign organization, better cholera control, and more requests being generated. Further work is needed to improve timeliness of response and contextualize strategies for OCV delivery in the various settings.","container-title":"Vaccine","DOI":"10.1016/j.vaccine.2019.08.086","ISSN":"1873-2518","issue":"Suppl 1","journalAbbreviation":"Vaccine","language":"eng","note":"PMID: 31519444\nPMCID: PMC10967685","page":"A132-A140","source":"PubMed","title":"Global oral cholera vaccine use, 2013-2018","volume":"38 Suppl 1","author":[{"family":"Pezzoli","given":"Lorenzo"},{"literal":"Oral Cholera Vaccine Working Group of the Global Task Force on Cholera Control"}],"issued":{"date-parts":[["2020",2,29]]}}}],"schema":"https://github.com/citation-style-language/schema/raw/master/csl-citation.json"} </w:instrText>
            </w:r>
            <w:r w:rsidRPr="002A0251">
              <w:fldChar w:fldCharType="separate"/>
            </w:r>
            <w:r w:rsidR="00900C32" w:rsidRPr="002A0251">
              <w:rPr>
                <w:rFonts w:cs="Times New Roman"/>
                <w:vertAlign w:val="superscript"/>
              </w:rPr>
              <w:t>31</w:t>
            </w:r>
            <w:r w:rsidRPr="002A0251">
              <w:fldChar w:fldCharType="end"/>
            </w:r>
          </w:p>
        </w:tc>
      </w:tr>
      <w:tr w:rsidR="009E0F60" w:rsidRPr="002A0251" w14:paraId="4490F237" w14:textId="77777777" w:rsidTr="00F31227">
        <w:trPr>
          <w:trHeight w:val="70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B3D0B60" w14:textId="27E14D93" w:rsidR="009E0F60" w:rsidRPr="002A0251" w:rsidRDefault="009E0F60" w:rsidP="002914FA">
            <w:pPr>
              <w:snapToGrid w:val="0"/>
              <w:spacing w:line="240" w:lineRule="auto"/>
            </w:pPr>
            <w:r w:rsidRPr="002A0251">
              <w:t xml:space="preserve">Indirect vaccine </w:t>
            </w:r>
            <w:r w:rsidR="005623EE">
              <w:rPr>
                <w:rFonts w:hint="eastAsia"/>
              </w:rPr>
              <w:t>efficacy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EA1F2B" w14:textId="74ED0BE3" w:rsidR="009E0F60" w:rsidRPr="002A0251" w:rsidRDefault="009E0F60" w:rsidP="002914FA">
            <w:pPr>
              <w:snapToGrid w:val="0"/>
              <w:spacing w:line="240" w:lineRule="auto"/>
            </w:pPr>
            <w:r w:rsidRPr="002A0251">
              <w:t>7</w:t>
            </w:r>
            <w:r w:rsidR="00DC360A" w:rsidRPr="002A0251">
              <w:rPr>
                <w:rFonts w:hint="eastAsia"/>
              </w:rPr>
              <w:t>7.</w:t>
            </w:r>
            <w:r w:rsidRPr="002A0251">
              <w:t>9% [</w:t>
            </w:r>
            <w:r w:rsidR="00124F65" w:rsidRPr="002A0251">
              <w:rPr>
                <w:rFonts w:hint="eastAsia"/>
              </w:rPr>
              <w:t>95% CrI:</w:t>
            </w:r>
            <w:r w:rsidR="00DC360A" w:rsidRPr="002A0251">
              <w:rPr>
                <w:rFonts w:hint="eastAsia"/>
              </w:rPr>
              <w:t xml:space="preserve"> 54.5</w:t>
            </w:r>
            <w:r w:rsidRPr="002A0251">
              <w:t xml:space="preserve"> – 9</w:t>
            </w:r>
            <w:r w:rsidR="00DC360A" w:rsidRPr="002A0251">
              <w:rPr>
                <w:rFonts w:hint="eastAsia"/>
              </w:rPr>
              <w:t>1</w:t>
            </w:r>
            <w:r w:rsidRPr="002A0251">
              <w:t>] and 9</w:t>
            </w:r>
            <w:r w:rsidR="00DC360A" w:rsidRPr="002A0251">
              <w:rPr>
                <w:rFonts w:hint="eastAsia"/>
              </w:rPr>
              <w:t>5</w:t>
            </w:r>
            <w:r w:rsidRPr="002A0251">
              <w:t>% [</w:t>
            </w:r>
            <w:r w:rsidR="00124F65" w:rsidRPr="002A0251">
              <w:rPr>
                <w:rFonts w:hint="eastAsia"/>
              </w:rPr>
              <w:t xml:space="preserve">95% CrI: </w:t>
            </w:r>
            <w:r w:rsidR="00DC360A" w:rsidRPr="002A0251">
              <w:rPr>
                <w:rFonts w:hint="eastAsia"/>
              </w:rPr>
              <w:t xml:space="preserve">58.4 </w:t>
            </w:r>
            <w:r w:rsidR="00DC360A" w:rsidRPr="002A0251">
              <w:t>–</w:t>
            </w:r>
            <w:r w:rsidR="00DC360A" w:rsidRPr="002A0251">
              <w:rPr>
                <w:rFonts w:hint="eastAsia"/>
              </w:rPr>
              <w:t xml:space="preserve"> 99.6</w:t>
            </w:r>
            <w:r w:rsidRPr="002A0251">
              <w:t>] at 60% and 90% vaccine coverage</w:t>
            </w:r>
            <w:r w:rsidR="00274651" w:rsidRPr="002A0251">
              <w:t>s</w:t>
            </w:r>
            <w:r w:rsidRPr="002A0251">
              <w:t xml:space="preserve">, respectively. (Supplementary Information </w:t>
            </w:r>
            <w:r w:rsidRPr="002A0251">
              <w:rPr>
                <w:b/>
                <w:bCs/>
              </w:rPr>
              <w:t>S</w:t>
            </w:r>
            <w:r w:rsidR="00F57AD3" w:rsidRPr="002A0251">
              <w:rPr>
                <w:b/>
                <w:bCs/>
              </w:rPr>
              <w:t>3</w:t>
            </w:r>
            <w:r w:rsidR="00A80FF7" w:rsidRPr="002A0251">
              <w:rPr>
                <w:rFonts w:hint="eastAsia"/>
              </w:rPr>
              <w:t xml:space="preserve"> and </w:t>
            </w:r>
            <w:r w:rsidR="00A80FF7" w:rsidRPr="002A0251">
              <w:rPr>
                <w:rFonts w:hint="eastAsia"/>
                <w:b/>
                <w:bCs/>
              </w:rPr>
              <w:t>Figure S1</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3BA7E6D" w14:textId="77777777" w:rsidR="009E0F60" w:rsidRPr="002A0251" w:rsidRDefault="009E0F60" w:rsidP="002914FA">
            <w:pPr>
              <w:snapToGrid w:val="0"/>
              <w:spacing w:line="240" w:lineRule="auto"/>
            </w:pPr>
          </w:p>
        </w:tc>
      </w:tr>
      <w:tr w:rsidR="009E0F60" w:rsidRPr="002A0251" w14:paraId="677A7BAA" w14:textId="77777777" w:rsidTr="00F31227">
        <w:trPr>
          <w:trHeight w:val="474"/>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8ABD2A9" w14:textId="66DF67FC" w:rsidR="009E0F60" w:rsidRPr="002A0251" w:rsidRDefault="009E0F60" w:rsidP="002914FA">
            <w:pPr>
              <w:spacing w:line="240" w:lineRule="auto"/>
            </w:pPr>
            <w:r w:rsidRPr="002A0251">
              <w:t xml:space="preserve">Delay in vaccine-derived </w:t>
            </w:r>
            <w:r w:rsidR="005623EE">
              <w:rPr>
                <w:rFonts w:hint="eastAsia"/>
              </w:rPr>
              <w:t>immunity</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A6152B" w14:textId="77777777" w:rsidR="009E0F60" w:rsidRPr="002A0251" w:rsidRDefault="009E0F60" w:rsidP="002914FA">
            <w:pPr>
              <w:spacing w:line="240" w:lineRule="auto"/>
            </w:pPr>
            <w:r w:rsidRPr="002A0251">
              <w:t>10.5 [range: 3, 21] days</w:t>
            </w:r>
          </w:p>
          <w:p w14:paraId="62BD6E8A" w14:textId="27C4F7D3" w:rsidR="00095C04" w:rsidRPr="002A0251" w:rsidRDefault="00095C04" w:rsidP="002914FA">
            <w:pPr>
              <w:spacing w:line="240" w:lineRule="auto"/>
            </w:pPr>
            <w:r w:rsidRPr="002A0251">
              <w:t xml:space="preserve">(Supplementary </w:t>
            </w:r>
            <w:r w:rsidR="003632A2" w:rsidRPr="002A0251">
              <w:t>Information</w:t>
            </w:r>
            <w:r w:rsidRPr="002A0251">
              <w:t xml:space="preserve"> </w:t>
            </w:r>
            <w:r w:rsidRPr="002A0251">
              <w:rPr>
                <w:b/>
                <w:bCs/>
              </w:rPr>
              <w:t>S</w:t>
            </w:r>
            <w:r w:rsidR="00D00F48" w:rsidRPr="002A0251">
              <w:rPr>
                <w:rFonts w:hint="eastAsia"/>
                <w:b/>
                <w:bCs/>
              </w:rPr>
              <w:t>4</w:t>
            </w:r>
            <w:r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8469979" w14:textId="0A76014F" w:rsidR="009E0F60" w:rsidRPr="002A0251" w:rsidRDefault="00095C04" w:rsidP="002914FA">
            <w:pPr>
              <w:spacing w:line="240" w:lineRule="auto"/>
            </w:pPr>
            <w:r w:rsidRPr="002A0251">
              <w:fldChar w:fldCharType="begin"/>
            </w:r>
            <w:r w:rsidR="00492FC8" w:rsidRPr="002A0251">
              <w:instrText xml:space="preserve"> ADDIN ZOTERO_ITEM CSL_CITATION {"citationID":"LdGf3KKL","properties":{"formattedCitation":"\\super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rPr>
              <w:instrText>≥</w:instrText>
            </w:r>
            <w:r w:rsidR="00492FC8" w:rsidRPr="002A0251">
              <w:rPr>
                <w:rFonts w:hint="eastAsia"/>
              </w:rPr>
              <w:instrText>80) for both Inaba (p = 0.02) and Ogawa (p</w:instrText>
            </w:r>
            <w:r w:rsidR="00492FC8" w:rsidRPr="002A0251">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rPr>
              <w:instrText>une responses after administration of Shanchol, in 25 adults, 51 older children (6-17 years), and 47 younger children (1-5 years) in Haiti, where cholera was introduced in 2010. A</w:instrText>
            </w:r>
            <w:r w:rsidR="00492FC8" w:rsidRPr="002A0251">
              <w:rPr>
                <w:rFonts w:hint="eastAsia"/>
              </w:rPr>
              <w:instrText>≥</w:instrText>
            </w:r>
            <w:r w:rsidR="00492FC8" w:rsidRPr="002A0251">
              <w:rPr>
                <w:rFonts w:hint="eastAsia"/>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rPr>
              <w:instrText>≥</w:instrText>
            </w:r>
            <w:r w:rsidR="00492FC8" w:rsidRPr="002A0251">
              <w:rPr>
                <w:rFonts w:hint="eastAsia"/>
              </w:rPr>
              <w:instrText>2-fold increase in serum O-antigen specific polysaccharide IgA antibody levels aga</w:instrText>
            </w:r>
            <w:r w:rsidR="00492FC8" w:rsidRPr="002A0251">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rPr>
              <w:instrText>≥</w:instrText>
            </w:r>
            <w:r w:rsidR="00492FC8" w:rsidRPr="002A0251">
              <w:rPr>
                <w:rFonts w:hint="eastAsia"/>
              </w:rPr>
              <w:instrText xml:space="preserve">18 years old). Two doses of vaccine were given at </w:instrText>
            </w:r>
            <w:r w:rsidR="00492FC8" w:rsidRPr="002A0251">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Pr="002A0251">
              <w:fldChar w:fldCharType="separate"/>
            </w:r>
            <w:r w:rsidR="00492FC8" w:rsidRPr="002A0251">
              <w:rPr>
                <w:rFonts w:cs="Times New Roman"/>
                <w:vertAlign w:val="superscript"/>
              </w:rPr>
              <w:t>40–48</w:t>
            </w:r>
            <w:r w:rsidRPr="002A0251">
              <w:fldChar w:fldCharType="end"/>
            </w:r>
          </w:p>
        </w:tc>
      </w:tr>
      <w:tr w:rsidR="009E0F60" w:rsidRPr="002A0251" w14:paraId="05A8F725" w14:textId="77777777" w:rsidTr="00492617">
        <w:trPr>
          <w:trHeight w:val="258"/>
        </w:trPr>
        <w:tc>
          <w:tcPr>
            <w:tcW w:w="9555" w:type="dxa"/>
            <w:gridSpan w:val="3"/>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FF218A9" w14:textId="27C11A5A" w:rsidR="009E0F60" w:rsidRPr="002A0251" w:rsidRDefault="009E0F60" w:rsidP="002914FA">
            <w:pPr>
              <w:spacing w:line="240" w:lineRule="auto"/>
              <w:rPr>
                <w:i/>
                <w:iCs/>
              </w:rPr>
            </w:pPr>
            <w:r w:rsidRPr="002A0251">
              <w:rPr>
                <w:i/>
                <w:iCs/>
              </w:rPr>
              <w:t>Parameters fixed</w:t>
            </w:r>
          </w:p>
        </w:tc>
      </w:tr>
      <w:tr w:rsidR="009E0F60" w:rsidRPr="002A0251" w14:paraId="64C31095" w14:textId="77777777" w:rsidTr="00F31227">
        <w:trPr>
          <w:trHeight w:val="27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9952882" w14:textId="05CDA222" w:rsidR="009E0F60" w:rsidRPr="002A0251" w:rsidRDefault="009E0F60" w:rsidP="002914FA">
            <w:pPr>
              <w:spacing w:line="240" w:lineRule="auto"/>
              <w:rPr>
                <w:rFonts w:eastAsia="Aptos"/>
              </w:rPr>
            </w:pPr>
            <w:r w:rsidRPr="002A0251">
              <w:t>Vaccine coverage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A400E11" w14:textId="384B0C93" w:rsidR="009E0F60" w:rsidRPr="002A0251" w:rsidRDefault="009E0F60" w:rsidP="002914FA">
            <w:pPr>
              <w:spacing w:line="240" w:lineRule="auto"/>
              <w:rPr>
                <w:rFonts w:eastAsia="Aptos"/>
              </w:rPr>
            </w:pPr>
            <w:r w:rsidRPr="002A0251">
              <w:t>60%</w:t>
            </w:r>
            <w:r w:rsidR="005935D8" w:rsidRPr="002A0251">
              <w:rPr>
                <w:rFonts w:hint="eastAsia"/>
              </w:rPr>
              <w:t>, 75</w:t>
            </w:r>
            <w:r w:rsidR="005935D8" w:rsidRPr="002A0251">
              <w:t>%</w:t>
            </w:r>
            <w:r w:rsidR="005935D8" w:rsidRPr="002A0251">
              <w:rPr>
                <w:rFonts w:hint="eastAsia"/>
              </w:rPr>
              <w:t xml:space="preserve">, and </w:t>
            </w:r>
            <w:r w:rsidRPr="002A0251">
              <w:t>90%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36689258" w14:textId="77777777" w:rsidR="009E0F60" w:rsidRPr="002A0251" w:rsidRDefault="009E0F60" w:rsidP="002914FA">
            <w:pPr>
              <w:spacing w:line="240" w:lineRule="auto"/>
            </w:pPr>
          </w:p>
        </w:tc>
      </w:tr>
      <w:tr w:rsidR="009E0F60" w:rsidRPr="002A0251" w14:paraId="450612AA" w14:textId="77777777" w:rsidTr="00492617">
        <w:trPr>
          <w:trHeight w:val="303"/>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53C241A" w14:textId="4FD2E02F" w:rsidR="009E0F60" w:rsidRPr="002A0251" w:rsidRDefault="009E0F60" w:rsidP="002914FA">
            <w:pPr>
              <w:spacing w:line="240" w:lineRule="auto"/>
            </w:pPr>
            <w:r w:rsidRPr="002A0251">
              <w:t xml:space="preserve">Proportion of moderate and severe </w:t>
            </w:r>
            <w:r w:rsidR="003D5658" w:rsidRPr="002A0251">
              <w:rPr>
                <w:rFonts w:hint="eastAsia"/>
              </w:rPr>
              <w:t>cholera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41DDED" w14:textId="593DA37C" w:rsidR="00005E29" w:rsidRPr="002A0251" w:rsidRDefault="009E0F60" w:rsidP="002914FA">
            <w:pPr>
              <w:spacing w:line="240" w:lineRule="auto"/>
            </w:pPr>
            <w:r w:rsidRPr="002A0251">
              <w:t>0.</w:t>
            </w:r>
            <w:r w:rsidR="003D5658" w:rsidRPr="002A0251">
              <w:rPr>
                <w:rFonts w:hint="eastAsia"/>
              </w:rPr>
              <w:t>7</w:t>
            </w:r>
            <w:r w:rsidR="00005E29" w:rsidRPr="002A0251">
              <w:rPr>
                <w:rFonts w:hint="eastAsia"/>
              </w:rPr>
              <w:t>8</w:t>
            </w:r>
            <w:r w:rsidR="003D5658" w:rsidRPr="002A0251">
              <w:rPr>
                <w:rFonts w:hint="eastAsia"/>
              </w:rPr>
              <w:t>,</w:t>
            </w:r>
            <w:r w:rsidRPr="002A0251">
              <w:t xml:space="preserve"> 0.</w:t>
            </w:r>
            <w:r w:rsidR="003D5658" w:rsidRPr="002A0251">
              <w:rPr>
                <w:rFonts w:hint="eastAsia"/>
              </w:rPr>
              <w:t>22</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CEB96D5" w14:textId="7DBAAC07" w:rsidR="009E0F60" w:rsidRPr="002A0251" w:rsidRDefault="00A137EB" w:rsidP="002914FA">
            <w:pPr>
              <w:spacing w:line="240" w:lineRule="auto"/>
            </w:pPr>
            <w:r w:rsidRPr="002A0251">
              <w:fldChar w:fldCharType="begin"/>
            </w:r>
            <w:r w:rsidR="00492FC8" w:rsidRPr="002A0251">
              <w:instrText xml:space="preserve"> ADDIN ZOTERO_ITEM CSL_CITATION {"citationID":"d7alqCh4","properties":{"formattedCitation":"\\super 49\\nosupersub{}","plainCitation":"49","noteIndex":0},"citationItems":[{"id":"ybNQHeeS/7d4Kf67s","uris":["http://zotero.org/users/7663102/items/YRSLQCQL"],"itemData":{"id":15779,"type":"article-journal","abstract":"Zambia experienced the largest cholera outbreak in the country history in 2023–2024 in the capital, Lusaka. This study aimed to identify the clinical characteristics of the adult patients hospitalized at the community and referral cholera treatment centers (CTCs) to determine factors associated with their severe clinical outcomes during the outbreak.Clinical information on the adult patients with cholera in the community and referral CTCs was retrospectively analyzed. Clinical factors associated with the fatal outcome were explored by multivariate analysis, using Firth's penalized logistic regression.A total of 6578 adult cases were identified. The overall case fatality rate was 1.0% (51 of 5020), and it was highest in a referral CTC specializing in patients with underlying conditions (4.1% [32 of 772]). In the multivariate analysis, age (odds ratio, 1.05 [95% confidence interval, 1.02–1.09]), human immunodeficiency virus infections (5.68 [2.12–15.30]), diabetes mellitus (8.21 [1.38–34.00]), and severe dehydration at admission (5.97 [1.29–56.94]) were independently correlated with fatal outcomes.Clinical factors, including age, underlying conditions, and disease severity at admission, were shown to be associated with severe clinical outcomes in adult patients with cholera. Enhanced case management strategies targeted for such high-risk groups might be beneficial in reducing the case fatality rate during cholera outbreaks.","container-title":"Open Forum Infectious Diseases","DOI":"10.1093/ofid/ofaf277","ISSN":"2328-8957","issue":"6","journalAbbreviation":"Open Forum Infectious Diseases","page":"ofaf277","source":"Silverchair","title":"Clinical Characteristics of 6578 Adult Patients With Cholera Admitted to Community and Referral Cholera Treatment Centers in Lusaka, Zambia, October 2023 to April 2024","volume":"12","author":[{"family":"Mbewe","given":"Nyuma"},{"family":"Imamura","given":"Tadatsugu"},{"family":"Sivile","given":"Suilanji"},{"family":"Sinkala","given":"Annel"},{"family":"Zulu","given":"Paul"},{"family":"Chanda","given":"Chitalu"},{"family":"Naik","given":"Neil"},{"family":"Kalima","given":"Nawa"},{"family":"Tepa","given":"Roy"},{"family":"Mwewa","given":"Kabaso"},{"family":"Kapololwe","given":"Kenneth"},{"family":"Mugala","given":"Anchindika"},{"family":"Mweemba","given":"Aggrey"},{"family":"Simwaba","given":"Davie"},{"family":"Kapina","given":"Muzala"},{"family":"Mwangilwa","given":"Kelvin"},{"family":"Nambeya","given":"Lalisa"},{"family":"Msiska","given":"Sophia"},{"family":"Choonga","given":"Aspha"},{"family":"Chirwa","given":"Bob"},{"family":"Mitsushima","given":"Shingo"},{"family":"Tsuchihashi","given":"Yuuki"},{"family":"Kapata","given":"Nathan"},{"family":"Kamigaki","given":"Taro"},{"family":"Mulenga","given":"Lloyd"},{"family":"Chilengi","given":"Roma"}],"issued":{"date-parts":[["2025",6,1]]},"citation-key":"mbewe2025a"}}],"schema":"https://github.com/citation-style-language/schema/raw/master/csl-citation.json"} </w:instrText>
            </w:r>
            <w:r w:rsidRPr="002A0251">
              <w:fldChar w:fldCharType="separate"/>
            </w:r>
            <w:r w:rsidR="00492FC8" w:rsidRPr="002A0251">
              <w:rPr>
                <w:rFonts w:cs="Times New Roman"/>
                <w:vertAlign w:val="superscript"/>
              </w:rPr>
              <w:t>49</w:t>
            </w:r>
            <w:r w:rsidRPr="002A0251">
              <w:fldChar w:fldCharType="end"/>
            </w:r>
          </w:p>
        </w:tc>
      </w:tr>
      <w:tr w:rsidR="009E0F60" w:rsidRPr="002A0251" w14:paraId="7F9EB49F" w14:textId="77777777" w:rsidTr="00492617">
        <w:trPr>
          <w:trHeight w:val="33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3EBA2B1" w14:textId="0E7E57B9" w:rsidR="009E0F60" w:rsidRPr="002A0251" w:rsidRDefault="009E0F60" w:rsidP="002914FA">
            <w:pPr>
              <w:spacing w:line="240" w:lineRule="auto"/>
            </w:pPr>
            <w:r w:rsidRPr="002A0251">
              <w:t>Disability weight for moderate and severe</w:t>
            </w:r>
            <w:r w:rsidR="003D5658" w:rsidRPr="002A0251">
              <w:rPr>
                <w:rFonts w:hint="eastAsia"/>
              </w:rPr>
              <w:t xml:space="preserve"> diarrhea</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B5B904E" w14:textId="5E075BCC" w:rsidR="002C1FE4" w:rsidRPr="002A0251" w:rsidRDefault="009E0F60" w:rsidP="002C1FE4">
            <w:pPr>
              <w:spacing w:line="240" w:lineRule="auto"/>
            </w:pPr>
            <w:r w:rsidRPr="002A0251">
              <w:t>0.188</w:t>
            </w:r>
            <w:r w:rsidR="003D5658" w:rsidRPr="002A0251">
              <w:rPr>
                <w:rFonts w:hint="eastAsia"/>
              </w:rPr>
              <w:t>,</w:t>
            </w:r>
            <w:r w:rsidRPr="002A0251">
              <w:t xml:space="preserve"> 0.247</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2BBF47B" w14:textId="0846C3EE" w:rsidR="009E0F60" w:rsidRPr="002A0251" w:rsidRDefault="009E0F60" w:rsidP="002914FA">
            <w:pPr>
              <w:spacing w:line="240" w:lineRule="auto"/>
              <w:rPr>
                <w:b/>
              </w:rPr>
            </w:pPr>
            <w:r w:rsidRPr="002A0251">
              <w:fldChar w:fldCharType="begin"/>
            </w:r>
            <w:r w:rsidR="00492FC8" w:rsidRPr="002A0251">
              <w:instrText xml:space="preserve"> ADDIN ZOTERO_ITEM CSL_CITATION {"citationID":"0eguGnVv","properties":{"formattedCitation":"\\super 50\\nosupersub{}","plainCitation":"50","noteIndex":0},"citationItems":[{"id":"ybNQHeeS/bZfObdhQ","uris":["http://zotero.org/users/local/xDVOxgbN/items/R6VATLF7"],"itemData":{"id":60,"type":"article-journal","abstract":"BACKGROUND: The Global Burden of Diseases, Injuries, and Risk Factors Study 2017 (GBD 2017) includes a comprehensive assessment of incidence, prevalence, and years lived with disability (YLDs) for 354 causes in 195 countries and territories from 1990 to 2017. Previous GBD studies have shown how the decline of mortality rates from 1990 to 2016 has led to an increase in life expectancy, an ageing global population, and an expansion of the non-fatal burden of disease and injury. These studies have also shown how a substantial portion of the world's population experiences non-fatal health loss with considerable heterogeneity among different causes, locations, ages, and sexes. Ongoing objectives of the GBD study include increasing the level of estimation detail, improving analytical strategies, and increasing the amount of high-quality data.\nMETHODS: We estimated incidence and prevalence for 354 diseases and injuries and 3484 sequelae. We used an updated and extensive body of literature studies, survey data, surveillance data, inpatient admission records, outpatient visit records, and health insurance claims, and additionally used results from cause of death models to inform estimates using a total of 68</w:instrText>
            </w:r>
            <w:r w:rsidR="00492FC8" w:rsidRPr="002A0251">
              <w:rPr>
                <w:rFonts w:ascii="Arial" w:hAnsi="Arial"/>
              </w:rPr>
              <w:instrText> </w:instrText>
            </w:r>
            <w:r w:rsidR="00492FC8" w:rsidRPr="002A0251">
              <w:instrText>781 data sources. Newly available clinical data from India, Iran, Japan, Jordan, Nepal, China, Brazil, Norway, and Italy were incorporated, as well as updated claims data from the USA and new claims data from Taiwan (province of China) and Singapore. We used DisMod-MR 2.1, a Bayesian meta-regression tool, as the main method of estimation, ensuring consistency between rates of incidence, prevalence, remission, and cause of death for each condition. YLDs were estimated as the product of a prevalence estimate and a disability weight for health states of each mutually exclusive sequela, adjusted for comorbidity. We updated the Socio-demographic Index (SDI), a summary development indicator of income per capita, years of schooling, and total fertility rate. Additionally, we calculated differences between male and female YLDs to identify divergent trends across sexes. GBD 2017 complies with the Guidelines for Accurate and Transparent Health Estimates Reporting.\nFINDINGS: Globally, for females, the causes with the greatest age-standardised prevalence were oral disorders, headache disorders, and haemoglobinopathies and haemolytic anaemias in both 1990 and 2017. For males, the causes with the greatest age-standardised prevalence were oral disorders, headache disorders, and tuberculosis including latent tuberculosis infection in both 1990 and 2017. In terms of YLDs, low back pain, headache disorders, and dietary iron deficiency were the leading Level 3 causes of YLD counts in 1990, whereas low back pain, headache disorders, and depressive disorders were the leading causes in 2017 for both sexes combined. All-cause age-standardised YLD rates decreased by 3·9% (95% uncertainty interval [UI] 3·1-4·6) from 1990 to 2017; however, the all-age YLD rate increased by 7·2% (6·0-8·4) while the total sum of global YLDs increased from 562 million (421-723) to 853 million (642-1100). The increases for males and females were similar, with increases in all-age YLD rates of 7·9% (6·6-9·2) for males and 6·5% (5·4-7·7) for females. We found significant differences between males and females in terms of age-standardised prevalence estimates for multiple causes. The causes with the greatest relative differences between sexes in 2017 included substance use disorders (3018 cases [95% UI 2782-3252] per 100</w:instrText>
            </w:r>
            <w:r w:rsidR="00492FC8" w:rsidRPr="002A0251">
              <w:rPr>
                <w:rFonts w:ascii="Arial" w:hAnsi="Arial"/>
              </w:rPr>
              <w:instrText> </w:instrText>
            </w:r>
            <w:r w:rsidR="00492FC8" w:rsidRPr="002A0251">
              <w:instrText>000 in males vs s1400 [1279-1524] per 100</w:instrText>
            </w:r>
            <w:r w:rsidR="00492FC8" w:rsidRPr="002A0251">
              <w:rPr>
                <w:rFonts w:ascii="Arial" w:hAnsi="Arial"/>
              </w:rPr>
              <w:instrText> </w:instrText>
            </w:r>
            <w:r w:rsidR="00492FC8" w:rsidRPr="002A0251">
              <w:instrText xml:space="preserve">000 in females), transport injuries (3322 [3082-3583] vs 2336 [2154-2535]), and self-harm and interpersonal violence (3265 [2943-3630] vs 5643 [5057-6302]).\nINTERPRETATION: Global all-cause age-standardised YLD rates have improved only slightly over a period spanning nearly three decades. However, the magnitude of the non-fatal disease burden has expanded globally, with increasing numbers of people who have a wide spectrum of conditions. A subset of conditions has remained globally pervasive since 1990, whereas other conditions have displayed more dynamic trends, with different ages, sexes, and geographies across the globe experiencing varying burdens and trends of health loss. This study emphasises how global improvements in premature mortality for select conditions have led to older populations with complex and potentially expensive diseases, yet also highlights global achievements in certain domains of disease and injury.\nFUNDING: Bill &amp; Melinda Gates Foundation.","container-title":"Lancet (London, England)","DOI":"10.1016/S0140-6736(18)32279-7","ISSN":"1474-547X","issue":"10159","journalAbbreviation":"Lancet","language":"eng","note":"PMID: 30496104\nPMCID: PMC6227754","page":"1789-1858","source":"PubMed","title":"Global, regional, and national incidence, prevalence, and years lived with disability for 354 diseases and injuries for 195 countries and territories, 1990-2017: a systematic analysis for the Global Burden of Disease Study 2017","title-short":"Global, regional, and national incidence, prevalence, and years lived with disability for 354 diseases and injuries for 195 countries and territories, 1990-2017","volume":"392","author":[{"literal":"GBD 2017 Disease and Injury Incidence and Prevalence Collaborators"}],"issued":{"date-parts":[["2018",11,10]]}}}],"schema":"https://github.com/citation-style-language/schema/raw/master/csl-citation.json"} </w:instrText>
            </w:r>
            <w:r w:rsidRPr="002A0251">
              <w:fldChar w:fldCharType="separate"/>
            </w:r>
            <w:r w:rsidR="00492FC8" w:rsidRPr="002A0251">
              <w:rPr>
                <w:rFonts w:cs="Times New Roman"/>
                <w:vertAlign w:val="superscript"/>
              </w:rPr>
              <w:t>50</w:t>
            </w:r>
            <w:r w:rsidRPr="002A0251">
              <w:fldChar w:fldCharType="end"/>
            </w:r>
          </w:p>
        </w:tc>
      </w:tr>
      <w:tr w:rsidR="009E0F60" w:rsidRPr="002A0251" w14:paraId="1C92917E" w14:textId="77777777" w:rsidTr="00F31227">
        <w:trPr>
          <w:trHeight w:val="6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1082DE83" w14:textId="77777777" w:rsidR="009E0F60" w:rsidRPr="002A0251" w:rsidRDefault="009E0F60" w:rsidP="002914FA">
            <w:pPr>
              <w:spacing w:line="240" w:lineRule="auto"/>
            </w:pPr>
            <w:r w:rsidRPr="002A0251">
              <w:t>Vaccine cost of procurement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79EFCF1" w14:textId="19890AFC" w:rsidR="009E0F60" w:rsidRPr="002A0251" w:rsidRDefault="00124F65" w:rsidP="002914FA">
            <w:pPr>
              <w:spacing w:line="240" w:lineRule="auto"/>
            </w:pPr>
            <w:r w:rsidRPr="002A0251">
              <w:t>US</w:t>
            </w:r>
            <w:r w:rsidRPr="002A0251">
              <w:rPr>
                <w:rFonts w:hint="eastAsia"/>
              </w:rPr>
              <w:t xml:space="preserve">$ </w:t>
            </w:r>
            <w:r w:rsidR="009E0F60" w:rsidRPr="002A0251">
              <w:t>1.65</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5A699C" w14:textId="75088B38" w:rsidR="009E0F60" w:rsidRPr="002A0251" w:rsidRDefault="009E0F60" w:rsidP="002914FA">
            <w:pPr>
              <w:spacing w:line="240" w:lineRule="auto"/>
            </w:pPr>
            <w:r w:rsidRPr="002A0251">
              <w:fldChar w:fldCharType="begin"/>
            </w:r>
            <w:r w:rsidR="00492FC8" w:rsidRPr="002A0251">
              <w:instrText xml:space="preserve"> ADDIN ZOTERO_ITEM CSL_CITATION {"citationID":"VWBpK4rj","properties":{"formattedCitation":"\\super 51\\nosupersub{}","plainCitation":"51","noteIndex":0},"citationItems":[{"id":"ybNQHeeS/lVw4J88H","uris":["http://zotero.org/users/local/xDVOxgbN/items/PLH872SC"],"itemData":{"id":177,"type":"report","title":"Oral cholera vaccine (OCV) price data","URL":"https://www.unicef.org/supply/media/22781/file/OCV-vaccines-prices-29102024.pdf","author":[{"literal":"UNICEF"}],"issued":{"date-parts":[["2024",10,24]]}}}],"schema":"https://github.com/citation-style-language/schema/raw/master/csl-citation.json"} </w:instrText>
            </w:r>
            <w:r w:rsidRPr="002A0251">
              <w:fldChar w:fldCharType="separate"/>
            </w:r>
            <w:r w:rsidR="00492FC8" w:rsidRPr="002A0251">
              <w:rPr>
                <w:rFonts w:cs="Times New Roman"/>
                <w:vertAlign w:val="superscript"/>
              </w:rPr>
              <w:t>51</w:t>
            </w:r>
            <w:r w:rsidRPr="002A0251">
              <w:fldChar w:fldCharType="end"/>
            </w:r>
          </w:p>
        </w:tc>
      </w:tr>
      <w:tr w:rsidR="009E0F60" w:rsidRPr="002A0251" w14:paraId="1F7FC7C0" w14:textId="77777777" w:rsidTr="00F31227">
        <w:trPr>
          <w:trHeight w:val="159"/>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7826CC" w14:textId="77777777" w:rsidR="009E0F60" w:rsidRPr="002A0251" w:rsidRDefault="009E0F60" w:rsidP="002914FA">
            <w:pPr>
              <w:spacing w:line="240" w:lineRule="auto"/>
            </w:pPr>
            <w:r w:rsidRPr="002A0251">
              <w:t>Vaccine delivery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4756868" w14:textId="39772C81" w:rsidR="009E0F60" w:rsidRPr="002A0251" w:rsidRDefault="00124F65" w:rsidP="002914FA">
            <w:pPr>
              <w:spacing w:line="240" w:lineRule="auto"/>
            </w:pPr>
            <w:r w:rsidRPr="002A0251">
              <w:t>US</w:t>
            </w:r>
            <w:r w:rsidRPr="002A0251">
              <w:rPr>
                <w:rFonts w:hint="eastAsia"/>
              </w:rPr>
              <w:t xml:space="preserve">$ </w:t>
            </w:r>
            <w:r w:rsidR="009E0F60" w:rsidRPr="002A0251">
              <w:t>2.32</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73320D8" w14:textId="1E2C3940" w:rsidR="009E0F60" w:rsidRPr="002A0251" w:rsidRDefault="009E0F60" w:rsidP="002914FA">
            <w:pPr>
              <w:spacing w:line="240" w:lineRule="auto"/>
            </w:pPr>
            <w:r w:rsidRPr="002A0251">
              <w:fldChar w:fldCharType="begin"/>
            </w:r>
            <w:r w:rsidR="00492FC8" w:rsidRPr="002A0251">
              <w:instrText xml:space="preserve"> ADDIN ZOTERO_ITEM CSL_CITATION {"citationID":"kpdM5hoz","properties":{"formattedCitation":"\\super 52\\nosupersub{}","plainCitation":"52","noteIndex":0},"citationItems":[{"id":"ybNQHeeS/bRXtrvgF","uris":["http://zotero.org/users/local/xDVOxgbN/items/DTMJLIS6"],"itemData":{"id":48,"type":"article-journal","abstract":"Cholera poses a substantial health burden in the developing world due to both epidemic and endemic diseases. The World Health Organization recommends oral cholera vaccines for mass vaccination campaigns in addition to traditional prevention practices and treatments in resource-poor settings. In many developing countries like Bangladesh, the major challenge behind implementing mass vaccination campaigns concerns the affordability of the oral cholera vaccine (OCV). Vaccination of children with OCV is not only an impactful approach for controlling cholera at the population level and reducing childhood morbidity but is also considered more cost-effective than vaccinating all ages. The aim of the study was to estimate the cost of an OCV campaign for children from a societal perspective using empirical study. A total of 66,311 children aged 1 to 14 years old were fully vaccinated with two doses of the OCV Shanchol while 9,035 individuals received one dose of this vaccine. The estimated societal cost per individual for full vaccination was US$ 6.11, which includes the cost of vaccine delivery estimated at US$ 1.95. The cost per single dose was estimated at US$ 2.86. The total provider cost for full vaccination was estimated at US$ 6.01 and the recipient cost at US$ 0.10. Our estimation of OCV delivery costs for children was relatively higher than what was found in a similar mass OCV campaign for all age groups, indicating that there may be additional cost factors to consider in targeted vaccine campaigns. This analysis provides useful benchmarks for the possible costs related to delivery of OCV to children and future OCV cost-effectiveness models should factor in these possible cost disparities. Attempts to reduce the cost per dose are likely to have a greater impact on the cost of similar vaccination campaigns in many resource-poor settings.","container-title":"Vaccine: X","DOI":"10.1016/j.jvacx.2022.100247","ISSN":"2590-1362","journalAbbreviation":"Vaccine X","language":"eng","note":"PMID: 36545347\nPMCID: PMC9761845","page":"100247","source":"PubMed","title":"Cost of oral cholera vaccine delivery in a mass immunization program for children in urban Bangladesh","volume":"12","author":[{"family":"Sarker","given":"Abdur Razzaque"},{"family":"Khan","given":"Ashraful Islam"},{"family":"Islam","given":"Md Taufiqul"},{"family":"Chowdhury","given":"Fahima"},{"family":"Khanam","given":"Farhana"},{"family":"Kang","given":"Sophie"},{"family":"Ahmmed","given":"Faisal"},{"family":"Im","given":"Justin"},{"family":"Kim","given":"Deok Ryun"},{"family":"Tadesse","given":"Birkneh Tilahun"},{"family":"Ahmed","given":"Tasnuva"},{"family":"Aziz","given":"Asma Binte"},{"family":"Hoque","given":"Masuma"},{"family":"Park","given":"Juyeon"},{"family":"Liu","given":"Xinxue"},{"family":"Pak","given":"Gideok"},{"family":"Zaman","given":"Khalequ"},{"family":"Marks","given":"Florian"},{"family":"Kim","given":"Jerome H."},{"family":"Clemens","given":"John D."},{"family":"Qadri","given":"Firdausi"}],"issued":{"date-parts":[["2022",12]]}}}],"schema":"https://github.com/citation-style-language/schema/raw/master/csl-citation.json"} </w:instrText>
            </w:r>
            <w:r w:rsidRPr="002A0251">
              <w:fldChar w:fldCharType="separate"/>
            </w:r>
            <w:r w:rsidR="00492FC8" w:rsidRPr="002A0251">
              <w:rPr>
                <w:rFonts w:cs="Times New Roman"/>
                <w:vertAlign w:val="superscript"/>
              </w:rPr>
              <w:t>52</w:t>
            </w:r>
            <w:r w:rsidRPr="002A0251">
              <w:fldChar w:fldCharType="end"/>
            </w:r>
          </w:p>
        </w:tc>
      </w:tr>
      <w:tr w:rsidR="009E0F60" w:rsidRPr="002A0251" w14:paraId="7DFB77D1" w14:textId="77777777" w:rsidTr="00F31227">
        <w:trPr>
          <w:trHeight w:val="267"/>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F0F4C11" w14:textId="77777777" w:rsidR="009E0F60" w:rsidRPr="002A0251" w:rsidRDefault="009E0F60" w:rsidP="002914FA">
            <w:pPr>
              <w:spacing w:line="240" w:lineRule="auto"/>
            </w:pPr>
            <w:r w:rsidRPr="002A0251">
              <w:t>Vaccine shipping cost</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8E5F054" w14:textId="2BF32B3A" w:rsidR="009E0F60" w:rsidRPr="002A0251" w:rsidRDefault="00124F65" w:rsidP="002914FA">
            <w:pPr>
              <w:spacing w:line="240" w:lineRule="auto"/>
            </w:pPr>
            <w:r w:rsidRPr="002A0251">
              <w:t>US</w:t>
            </w:r>
            <w:r w:rsidRPr="002A0251">
              <w:rPr>
                <w:rFonts w:hint="eastAsia"/>
              </w:rPr>
              <w:t xml:space="preserve">$ </w:t>
            </w:r>
            <w:r w:rsidR="009E0F60" w:rsidRPr="002A0251">
              <w:t>0.06</w:t>
            </w:r>
            <w:r w:rsidRPr="002A0251">
              <w:rPr>
                <w:rFonts w:hint="eastAsia"/>
              </w:rPr>
              <w:t xml:space="preserve"> per dose</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841C3A6" w14:textId="4526F588" w:rsidR="009E0F60" w:rsidRPr="002A0251" w:rsidRDefault="009E0F60" w:rsidP="002914FA">
            <w:pPr>
              <w:spacing w:line="240" w:lineRule="auto"/>
            </w:pPr>
            <w:r w:rsidRPr="002A0251">
              <w:fldChar w:fldCharType="begin"/>
            </w:r>
            <w:r w:rsidR="00492FC8" w:rsidRPr="002A0251">
              <w:instrText xml:space="preserve"> ADDIN ZOTERO_ITEM CSL_CITATION {"citationID":"1GcOTK6s","properties":{"formattedCitation":"\\super 53\\nosupersub{}","plainCitation":"53","noteIndex":0},"citationItems":[{"id":"ybNQHeeS/H6S3jocu","uris":["http://zotero.org/users/local/xDVOxgbN/items/97GK8G7I"],"itemData":{"id":180,"type":"report","title":"Emergency stockpile availability - oral cholera vaccine","URL":"https://www.unicef.org/supply/media/22091/file/EmergencyStockpileAvailabilityReportOCV11112024.pdf","author":[{"literal":"UNICEF"}],"issued":{"date-parts":[["2024",11,11]]}}}],"schema":"https://github.com/citation-style-language/schema/raw/master/csl-citation.json"} </w:instrText>
            </w:r>
            <w:r w:rsidRPr="002A0251">
              <w:fldChar w:fldCharType="separate"/>
            </w:r>
            <w:r w:rsidR="00492FC8" w:rsidRPr="002A0251">
              <w:rPr>
                <w:rFonts w:cs="Times New Roman"/>
                <w:vertAlign w:val="superscript"/>
              </w:rPr>
              <w:t>53</w:t>
            </w:r>
            <w:r w:rsidRPr="002A0251">
              <w:fldChar w:fldCharType="end"/>
            </w:r>
          </w:p>
        </w:tc>
      </w:tr>
      <w:tr w:rsidR="009E0F60" w:rsidRPr="002A0251" w14:paraId="32FA29E2" w14:textId="77777777" w:rsidTr="00F31227">
        <w:trPr>
          <w:trHeight w:val="23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52504E1" w14:textId="77777777" w:rsidR="009E0F60" w:rsidRPr="002A0251" w:rsidRDefault="009E0F60" w:rsidP="002914FA">
            <w:pPr>
              <w:spacing w:line="240" w:lineRule="auto"/>
            </w:pPr>
            <w:r w:rsidRPr="002A0251">
              <w:t>Cost to patient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83914C9" w14:textId="1FF805E3" w:rsidR="009E0F60" w:rsidRPr="002A0251" w:rsidRDefault="009E0F60" w:rsidP="002914FA">
            <w:pPr>
              <w:spacing w:line="240" w:lineRule="auto"/>
            </w:pPr>
            <w:r w:rsidRPr="002A0251">
              <w:t>US</w:t>
            </w:r>
            <w:r w:rsidR="00B42B4E" w:rsidRPr="002A0251">
              <w:rPr>
                <w:rFonts w:hint="eastAsia"/>
              </w:rPr>
              <w:t>$</w:t>
            </w:r>
            <w:r w:rsidR="00A75DA3" w:rsidRPr="002A0251">
              <w:t xml:space="preserve"> </w:t>
            </w:r>
            <w:r w:rsidRPr="002A0251">
              <w:t>109.32 and US</w:t>
            </w:r>
            <w:r w:rsidR="00B42B4E" w:rsidRPr="002A0251">
              <w:rPr>
                <w:rFonts w:hint="eastAsia"/>
              </w:rPr>
              <w:t>$</w:t>
            </w:r>
            <w:r w:rsidR="00A75DA3" w:rsidRPr="002A0251">
              <w:t xml:space="preserve"> </w:t>
            </w:r>
            <w:r w:rsidRPr="002A0251">
              <w:t>16.06</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DF5630" w14:textId="179A1C8A" w:rsidR="009E0F60" w:rsidRPr="002A0251" w:rsidRDefault="009E0F60" w:rsidP="002914FA">
            <w:pPr>
              <w:spacing w:line="240" w:lineRule="auto"/>
            </w:pPr>
            <w:r w:rsidRPr="002A0251">
              <w:fldChar w:fldCharType="begin"/>
            </w:r>
            <w:r w:rsidR="00492FC8" w:rsidRPr="002A0251">
              <w:instrText xml:space="preserve"> ADDIN ZOTERO_ITEM CSL_CITATION {"citationID":"kRquHjg2","properties":{"formattedCitation":"\\super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32C46DF0" w14:textId="77777777" w:rsidTr="00F31227">
        <w:trPr>
          <w:trHeight w:val="60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62B306F" w14:textId="77777777" w:rsidR="009E0F60" w:rsidRPr="002A0251" w:rsidRDefault="009E0F60" w:rsidP="002914FA">
            <w:pPr>
              <w:spacing w:line="240" w:lineRule="auto"/>
            </w:pPr>
            <w:r w:rsidRPr="002A0251">
              <w:t>Cost to public system for cholera hospitalization and outpatient services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31EDDD07" w14:textId="7CB56EDF" w:rsidR="009E0F60" w:rsidRPr="002A0251" w:rsidRDefault="009E0F60" w:rsidP="002914FA">
            <w:pPr>
              <w:spacing w:line="240" w:lineRule="auto"/>
            </w:pPr>
            <w:r w:rsidRPr="002A0251">
              <w:t>US</w:t>
            </w:r>
            <w:r w:rsidR="00B42B4E" w:rsidRPr="002A0251">
              <w:rPr>
                <w:rFonts w:hint="eastAsia"/>
              </w:rPr>
              <w:t>$</w:t>
            </w:r>
            <w:r w:rsidR="002419C3" w:rsidRPr="002A0251">
              <w:rPr>
                <w:rFonts w:hint="eastAsia"/>
              </w:rPr>
              <w:t xml:space="preserve"> </w:t>
            </w:r>
            <w:r w:rsidRPr="002A0251">
              <w:t>184.97 and US</w:t>
            </w:r>
            <w:r w:rsidR="00B42B4E" w:rsidRPr="002A0251">
              <w:rPr>
                <w:rFonts w:hint="eastAsia"/>
              </w:rPr>
              <w:t>$</w:t>
            </w:r>
            <w:r w:rsidR="002419C3" w:rsidRPr="002A0251">
              <w:rPr>
                <w:rFonts w:hint="eastAsia"/>
              </w:rPr>
              <w:t xml:space="preserve"> </w:t>
            </w:r>
            <w:r w:rsidRPr="002A0251">
              <w:t>7.99</w:t>
            </w:r>
            <w:r w:rsidR="00124F65" w:rsidRPr="002A0251">
              <w:rPr>
                <w:rFonts w:hint="eastAsia"/>
              </w:rPr>
              <w:t xml:space="preserve"> per patient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0D45330F" w14:textId="54738629" w:rsidR="009E0F60" w:rsidRPr="002A0251" w:rsidRDefault="009E0F60" w:rsidP="002914FA">
            <w:pPr>
              <w:spacing w:line="240" w:lineRule="auto"/>
            </w:pPr>
            <w:r w:rsidRPr="002A0251">
              <w:fldChar w:fldCharType="begin"/>
            </w:r>
            <w:r w:rsidR="00492FC8" w:rsidRPr="002A0251">
              <w:instrText xml:space="preserve"> ADDIN ZOTERO_ITEM CSL_CITATION {"citationID":"zXdOPTGH","properties":{"formattedCitation":"\\super 54\\nosupersub{}","plainCitation":"54","noteIndex":0},"citationItems":[{"id":"ybNQHeeS/mTu5e55x","uris":["http://zotero.org/users/local/xDVOxgbN/items/QF5FTZ85"],"itemData":{"id":51,"type":"article-journal","abstract":"Objectives\n              To estimate the economic burden of cholera in Africa.\n            \n            \n              Settings\n              Cholera affected 44 countries in Africa.\n            \n            \n              Participants\n              The analysis used data from public sources in Africa published until September 2019.\n            \n            \n              Methods\n              Based on existing data from field-based cost-of-illness studies, estimated cholera incidence rates, and reported cholera cases to WHO, this research estimates the economic burden of cholera in Africa from a societal perspective with 2015 as the base year. The estimate included out-of-pocket costs, public health system costs, productivity loss related to illness and an optional productivity loss related to premature deaths valued by the human capital approach. As various input data such as cholera incidence, hospitalisation rates and the number of workdays lost were not well defined, a series of scenario analyses and uncertainty analyses, accounting for unknowns and data variability, was conducted. Similarly, the value of time lost due to illness and deaths using the human capital approach was explored through scenario analyses.\n            \n            \n              Results\n              In 2015, an estimated 1</w:instrText>
            </w:r>
            <w:r w:rsidR="00492FC8" w:rsidRPr="002A0251">
              <w:rPr>
                <w:rFonts w:ascii="Arial" w:hAnsi="Arial"/>
              </w:rPr>
              <w:instrText> </w:instrText>
            </w:r>
            <w:r w:rsidR="00492FC8" w:rsidRPr="002A0251">
              <w:instrText>008</w:instrText>
            </w:r>
            <w:r w:rsidR="00492FC8" w:rsidRPr="002A0251">
              <w:rPr>
                <w:rFonts w:ascii="Arial" w:hAnsi="Arial"/>
              </w:rPr>
              <w:instrText> </w:instrText>
            </w:r>
            <w:r w:rsidR="00492FC8" w:rsidRPr="002A0251">
              <w:instrText>642 cases in 44 African countries resulted in an economic burden of US$130</w:instrText>
            </w:r>
            <w:r w:rsidR="00492FC8" w:rsidRPr="002A0251">
              <w:rPr>
                <w:rFonts w:ascii="Arial" w:hAnsi="Arial"/>
              </w:rPr>
              <w:instrText> </w:instrText>
            </w:r>
            <w:r w:rsidR="00492FC8" w:rsidRPr="002A0251">
              <w:instrText>million from cholera-related illness and its treatment. When the estimated 38</w:instrText>
            </w:r>
            <w:r w:rsidR="00492FC8" w:rsidRPr="002A0251">
              <w:rPr>
                <w:rFonts w:ascii="Arial" w:hAnsi="Arial"/>
              </w:rPr>
              <w:instrText> </w:instrText>
            </w:r>
            <w:r w:rsidR="00492FC8" w:rsidRPr="002A0251">
              <w:instrText>104 cholera deaths were included in the analysis, the economic burden increased to US$1</w:instrText>
            </w:r>
            <w:r w:rsidR="00492FC8" w:rsidRPr="002A0251">
              <w:rPr>
                <w:rFonts w:ascii="Arial" w:hAnsi="Arial"/>
              </w:rPr>
              <w:instrText> </w:instrText>
            </w:r>
            <w:r w:rsidR="00492FC8" w:rsidRPr="002A0251">
              <w:instrText>billion or international $2.4</w:instrText>
            </w:r>
            <w:r w:rsidR="00492FC8" w:rsidRPr="002A0251">
              <w:rPr>
                <w:rFonts w:ascii="Arial" w:hAnsi="Arial"/>
              </w:rPr>
              <w:instrText> </w:instrText>
            </w:r>
            <w:r w:rsidR="00492FC8" w:rsidRPr="002A0251">
              <w:instrText>billion for the same year. At the same time, when only the 71</w:instrText>
            </w:r>
            <w:r w:rsidR="00492FC8" w:rsidRPr="002A0251">
              <w:rPr>
                <w:rFonts w:ascii="Arial" w:hAnsi="Arial"/>
              </w:rPr>
              <w:instrText> </w:instrText>
            </w:r>
            <w:r w:rsidR="00492FC8" w:rsidRPr="002A0251">
              <w:instrText>126 cases and 937 deaths reported to the WHO are considered, the economic burden was only US$68</w:instrText>
            </w:r>
            <w:r w:rsidR="00492FC8" w:rsidRPr="002A0251">
              <w:rPr>
                <w:rFonts w:ascii="Arial" w:hAnsi="Arial"/>
              </w:rPr>
              <w:instrText> </w:instrText>
            </w:r>
            <w:r w:rsidR="00492FC8" w:rsidRPr="002A0251">
              <w:instrText>million for the year 2015. The estimates of economic burden are thus heavily dependent on the cholera incidence rate, how time lost due to illness and deaths are calculated, hospitalisation rates and hospitalisation costs.\n            \n            \n              Conclusion\n              The findings can be used as an economic justification for cholera control in Africa and for generating value-for-money evidence to underpin Ending Cholera</w:instrText>
            </w:r>
            <w:r w:rsidR="00492FC8" w:rsidRPr="002A0251">
              <w:rPr>
                <w:rFonts w:cs="Aptos"/>
              </w:rPr>
              <w:instrText>—</w:instrText>
            </w:r>
            <w:r w:rsidR="00492FC8" w:rsidRPr="002A0251">
              <w:instrText xml:space="preserve">A Global Roadmap to 2030 with considerations to study limitations.","container-title":"BMJ Open","DOI":"10.1136/bmjopen-2020-044615","ISSN":"2044-6055, 2044-6055","issue":"3","journalAbbreviation":"BMJ Open","language":"en","page":"e044615","source":"DOI.org (Crossref)","title":"Model-based estimation of the economic burden of cholera in Africa","volume":"11","author":[{"family":"Mogasale","given":"Vittal"},{"family":"Ngogoyo","given":"Samuel Mwaura"},{"family":"Mogasale","given":"Vijayalaxmi V"}],"issued":{"date-parts":[["2021",3]]}}}],"schema":"https://github.com/citation-style-language/schema/raw/master/csl-citation.json"} </w:instrText>
            </w:r>
            <w:r w:rsidRPr="002A0251">
              <w:fldChar w:fldCharType="separate"/>
            </w:r>
            <w:r w:rsidR="00492FC8" w:rsidRPr="002A0251">
              <w:rPr>
                <w:rFonts w:cs="Times New Roman"/>
                <w:vertAlign w:val="superscript"/>
              </w:rPr>
              <w:t>54</w:t>
            </w:r>
            <w:r w:rsidRPr="002A0251">
              <w:fldChar w:fldCharType="end"/>
            </w:r>
          </w:p>
        </w:tc>
      </w:tr>
      <w:tr w:rsidR="009E0F60" w:rsidRPr="002A0251" w14:paraId="72F71062" w14:textId="77777777" w:rsidTr="00F31227">
        <w:trPr>
          <w:trHeight w:val="32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ED1273" w14:textId="77777777" w:rsidR="009E0F60" w:rsidRPr="002A0251" w:rsidRDefault="009E0F60" w:rsidP="002914FA">
            <w:pPr>
              <w:spacing w:line="240" w:lineRule="auto"/>
            </w:pPr>
            <w:bookmarkStart w:id="20" w:name="_Hlk203504036"/>
            <w:r w:rsidRPr="002A0251">
              <w:t>Number of workdays lost to patients and caregivers</w:t>
            </w:r>
            <w:bookmarkEnd w:id="20"/>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DE9A4C9" w14:textId="450016F1" w:rsidR="009E0F60" w:rsidRPr="002A0251" w:rsidRDefault="00046B2E" w:rsidP="002914FA">
            <w:pPr>
              <w:spacing w:line="240" w:lineRule="auto"/>
            </w:pPr>
            <w:r w:rsidRPr="002A0251">
              <w:rPr>
                <w:rFonts w:hint="eastAsia"/>
              </w:rPr>
              <w:t>6</w:t>
            </w:r>
            <w:r w:rsidR="009E0F60" w:rsidRPr="002A0251">
              <w:t>.</w:t>
            </w:r>
            <w:r w:rsidRPr="002A0251">
              <w:rPr>
                <w:rFonts w:hint="eastAsia"/>
              </w:rPr>
              <w:t>5</w:t>
            </w:r>
            <w:r w:rsidR="009E0F60" w:rsidRPr="002A0251">
              <w:t xml:space="preserve"> and 3.</w:t>
            </w:r>
            <w:r w:rsidR="00426D3F" w:rsidRPr="002A0251">
              <w:rPr>
                <w:rFonts w:hint="eastAsia"/>
              </w:rPr>
              <w:t>3</w:t>
            </w:r>
            <w:r w:rsidR="009E0F60" w:rsidRPr="002A0251">
              <w:t xml:space="preserve"> days</w:t>
            </w:r>
            <w:r w:rsidR="00426D3F" w:rsidRPr="002A0251">
              <w:rPr>
                <w:rFonts w:hint="eastAsia"/>
              </w:rPr>
              <w:t xml:space="preserve"> </w:t>
            </w:r>
            <w:r w:rsidR="00426D3F" w:rsidRPr="002A0251">
              <w:t xml:space="preserve">(Supplementary Information </w:t>
            </w:r>
            <w:r w:rsidR="00426D3F" w:rsidRPr="002A0251">
              <w:rPr>
                <w:b/>
                <w:bCs/>
              </w:rPr>
              <w:t>S</w:t>
            </w:r>
            <w:r w:rsidR="009206B5" w:rsidRPr="002A0251">
              <w:rPr>
                <w:rFonts w:hint="eastAsia"/>
                <w:b/>
                <w:bCs/>
              </w:rPr>
              <w:t>5</w:t>
            </w:r>
            <w:r w:rsidR="00426D3F" w:rsidRPr="002A0251">
              <w:t>)</w:t>
            </w:r>
            <w:r w:rsidR="00426D3F" w:rsidRPr="002A0251">
              <w:rPr>
                <w:rFonts w:hint="eastAsia"/>
              </w:rPr>
              <w:t xml:space="preserve"> </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67639925" w14:textId="68488390" w:rsidR="009E0F60" w:rsidRPr="002A0251" w:rsidRDefault="00426D3F" w:rsidP="002914FA">
            <w:pPr>
              <w:spacing w:line="240" w:lineRule="auto"/>
            </w:pPr>
            <w:r w:rsidRPr="002A0251">
              <w:fldChar w:fldCharType="begin"/>
            </w:r>
            <w:r w:rsidR="00492FC8" w:rsidRPr="002A0251">
              <w:instrText xml:space="preserve"> ADDIN ZOTERO_ITEM CSL_CITATION {"citationID":"3r7x5XVj","properties":{"formattedCitation":"\\super 55\\uc0\\u8211{}58\\nosupersub{}","plainCitation":"55–58","noteIndex":0},"citationItems":[{"id":11233,"uris":["http://zotero.org/users/7663102/items/V9W3WPPZ"],"itemData":{"id":11233,"type":"article-journal","abstract":"Cholera remains an important public health problem in many low- and middle-income countries. Vaccination has been recommended as a possible intervention for the prevention and control of cholera. Evidence, especially data on disease burden, cost-of-illness, delivery costs and cost-effectiveness to support a wider use of vaccine is still weak. This study aims at estimating the cost-of-illness of cholera to households and health facilities in Machinga and Zomba Districts, Malawi. A cross-sectional study using retrospectively collected cost data was undertaken in this investigation. One hundred patients were purposefully selected for the assessment of the household cost-of-illness and four cholera treatment centres and one health facility were selected for the assessment conducted in health facilities. Data collected for the assessment in households included direct and indirect costs borne by cholera patients and their families while only direct costs were considered for the assessment conducted in health facilities. Whenever possible, descriptive and regression analysis were used to assess difference in mean costs between groups of patients. The average costs to patients' households and health facilities for treating an episode of cholera amounted to US$65.6 and US$59.7 in 2016 for households and health facilities, respectively equivalent to international dollars (I$) 249.9 and 227.5 the same year. Costs incurred in treating a cholera episode were proportional to duration of hospital stay. Moreover, 52% of households used coping strategies to compensate for direct and indirect costs imposed by the disease. Both households and health facilities could avert significant treatment expenditures through a broader use of pre-emptive cholera vaccination. These findings have direct policy implications regarding priority investments for the prevention and control of cholera.","container-title":"PloS One","DOI":"10.1371/journal.pone.0185041","ISSN":"1932-6203","issue":"9","journalAbbreviation":"PLoS One","language":"eng","note":"PMID: 28934285\nPMCID: PMC5608291","page":"e0185041","source":"PubMed","title":"Cost-of-illness of cholera to households and health facilities in rural Malawi","volume":"12","author":[{"family":"Ilboudo","given":"Patrick G."},{"family":"Huang","given":"Xiao Xian"},{"family":"Ngwira","given":"Bagrey"},{"family":"Mwanyungwe","given":"Abel"},{"family":"Mogasale","given":"Vittal"},{"family":"Mengel","given":"Martin A."},{"family":"Cavailler","given":"Philippe"},{"family":"Gessner","given":"Bradford D."},{"family":"Le Gargasson","given":"Jean-Bernard"}],"issued":{"date-parts":[["2017"]]},"citation-key":"ilboudoCostofillnessCholeraHouseholds2017"}},{"id":15771,"uris":["http://zotero.org/users/7663102/items/ACGR2WNR"],"itemData":{"id":15771,"type":"article-journal","abstract":"INTRODUCTION: Ghana experienced its worst cholera outbreak in three decades in 2014. Evidence of cholera economic costs on affected households has been limited. This study aimed at determining economic costs on households affected by the  cholera outbreak in a Coastal Region of Ghana.\nMETHODS: Two districts; High and Low Incidence Areas (HIA and LIA) were selected in comparative cost analysis and disease impact on affected households assessed based on scientifically documented economic indicators. A total of 418 (282 HIA and 136 LIA) households that experienced at least one case of cholera infection were interviewed. Direct and indirect costs were estimated. Correlates of household's cholera infection were estimated using Tobit Regression model in STATA 13.\nRESULTS: Average direct cost to households in HIA amounted to USD 106.88, almost 2 folds higher than LIA (USD 62.02). Potential cost saving of an episode of cholera is USD 99,201.28 in LIA and raises almost 8 folds in HIA (USD 782,611.60). Households in lowest income category had the highest incidence of cholera (0.073) compared to other categories plus other factors were significant in explaining cholera incidence.\nCONCLUSIONS: The study showed considerable differences in HIA and LIA costs with higher household economic impact of cholera on the lowest income category. Results underscore the need for pragmatic policy interventions  to avert recurrent outbreaks and emphasis huge potential  cost saving with reducing  cholera cases.","container-title":"Health Economics Review","DOI":"10.1186/s13561-017-0182-2","ISSN":"2191-1991","issue":"1","journalAbbreviation":"Health Econ Rev","language":"eng","note":"PMID: 29204727\nPMCID: PMC5714944","page":"45","source":"PubMed","title":"Economic evaluation of 2014 cholera outbreak in Ghana: a household cost analysis","title-short":"Economic evaluation of 2014 cholera outbreak in Ghana","volume":"7","author":[{"family":"Awalime","given":"Dziedzom Kwesi"},{"family":"Davies-Teye","given":"Bernard Bright K."},{"family":"Vanotoo","given":"Linda A."},{"family":"Owoo","given":"Nkechi S."},{"family":"Nketiah-Amponsah","given":"Edward"}],"issued":{"date-parts":[["2017",12,4]]},"citation-key":"awalime2017"}},{"id":15762,"uris":["http://zotero.org/users/7663102/items/YQELS69B"],"itemData":{"id":15762,"type":"article-journal","abstract":"Economic analyses of cholera immunization programmes require estimates of the costs of cholera. The Diseases of the Most Impoverished programme measured the public, provider, and patient costs of culture-confirmed cholera in four study sites with endemic cholera using a combination of hospital- and community-based studies. Families with culture-proven cases were surveyed at home 7 and 14 days after confirmation of illness. Public costs were measured at local health facilities using a micro-costing methodology. Hospital-based studies found that the costs of severe cholera were USD 32 and 47 in Matlab and Beira. Community-based studies in North Jakarta and Kolkata found that cholera cases cost between USD 28 and USD 206, depending on hospitalization. Patient costs of illness as a percentage of average monthly income were 21% and 65% for hospitalized cases in Kolkata and North Jakarta, respectively. This burden on families is not captured by studies that adopt a provider perspective.","container-title":"Epidemiology and infection","DOI":"10.1017/S0950268811000513","ISSN":"0950-2688","issue":"3","journalAbbreviation":"Epidemiol Infect","note":"PMID: 21554781\nPMCID: PMC3824392","page":"10.1017/S0950268811000513","source":"PubMed Central","title":"Costs of Illness Due to Endemic Cholera","volume":"140","author":[{"family":"Poulos","given":"C."},{"family":"Riewpaiboon","given":"A."},{"family":"Stewart","given":"J.F."},{"family":"Clemens","given":"J."},{"family":"Guh","given":"S."},{"family":"Agtini","given":"M."},{"family":"Sur","given":"D."},{"family":"Islam","given":"Z."},{"family":"Lucas","given":"M."},{"family":"Whittington","given":"D."}],"issued":{"date-parts":[["2012",3]]},"citation-key":"poulos2012"}},{"id":11077,"uris":["http://zotero.org/users/7663102/items/RSS9DN2G"],"itemData":{"id":11077,"type":"article-journal","abstract":"BACKGROUND: The World Health Organization (WHO) recommends oral cholera vaccines (OCVs) as a supplementary tool to conventional prevention of cholera. Dukoral, a killed whole-cell two-dose OCV, was used in a mass vaccination campaign in 2009 in Zanzibar. Public and private costs of illness (COI) due to endemic cholera and costs of the mass vaccination campaign were estimated to assess the cost-effectiveness of OCV for this particular campaign from both the health care provider and the societal perspective.\nMETHODOLOGY/PRINCIPAL FINDINGS: Public and private COI were obtained from interviews with local experts, with patients from three outbreaks and from reports and record review. Cost data for the vaccination campaign were collected based on actual expenditure and planned budget data. A static cohort of 50,000 individuals was examined, including herd protection. Primary outcome measures were incremental cost-effectiveness ratios (ICER) per death, per case and per disability-adjusted life-year (DALY) averted. One-way sensitivity and threshold analyses were conducted. The ICER was evaluated with regard to WHO criteria for cost-effectiveness. Base-case ICERs were USD 750,000 per death averted, USD 6,000 per case averted and USD 30,000 per DALY averted, without differences between the health care provider and the societal perspective. Threshold analyses using Shanchol and assuming high incidence and case-fatality rate indicated that the purchase price per course would have to be as low as USD 1.2 to render the mass vaccination campaign cost-effective from a health care provider perspective (societal perspective: USD 1.3).\nCONCLUSIONS/SIGNIFICANCE: Based on empirical and site-specific cost and effectiveness data from Zanzibar, the 2009 mass vaccination campaign was cost-ineffective mainly due to the relatively high OCV purchase price and a relatively low incidence. However, mass vaccination campaigns in Zanzibar to control endemic cholera may meet criteria for cost-effectiveness under certain circumstances, especially in high-incidence areas and at OCV prices below USD 1.3.","container-title":"PLoS neglected tropical diseases","DOI":"10.1371/journal.pntd.0001844","ISSN":"1935-2735","issue":"10","journalAbbreviation":"PLoS Negl Trop Dis","language":"eng","note":"PMID: 23056660\nPMCID: PMC3464297","page":"e1844","source":"PubMed","title":"Costs of illness due to cholera, costs of immunization and cost-effectiveness of an oral cholera mass vaccination campaign in Zanzibar","volume":"6","author":[{"family":"Schaetti","given":"Christian"},{"family":"Weiss","given":"Mitchell G."},{"family":"Ali","given":"Said M."},{"family":"Chaignat","given":"Claire-Lise"},{"family":"Khatib","given":"Ahmed M."},{"family":"Reyburn","given":"Rita"},{"family":"Duintjer Tebbens","given":"Radboud J."},{"family":"Hutubessy","given":"Raymond"}],"issued":{"date-parts":[["2012"]]},"citation-key":"schaettiCostsIllnessDue2012"}}],"schema":"https://github.com/citation-style-language/schema/raw/master/csl-citation.json"} </w:instrText>
            </w:r>
            <w:r w:rsidRPr="002A0251">
              <w:fldChar w:fldCharType="separate"/>
            </w:r>
            <w:r w:rsidR="00492FC8" w:rsidRPr="002A0251">
              <w:rPr>
                <w:rFonts w:cs="Times New Roman"/>
                <w:vertAlign w:val="superscript"/>
              </w:rPr>
              <w:t>55–58</w:t>
            </w:r>
            <w:r w:rsidRPr="002A0251">
              <w:fldChar w:fldCharType="end"/>
            </w:r>
          </w:p>
        </w:tc>
      </w:tr>
      <w:tr w:rsidR="009E0F60" w:rsidRPr="002A0251" w14:paraId="01E1F358" w14:textId="77777777" w:rsidTr="000A3B2F">
        <w:trPr>
          <w:trHeight w:val="411"/>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27623D3A" w14:textId="77777777" w:rsidR="009E0F60" w:rsidRPr="002A0251" w:rsidRDefault="009E0F60" w:rsidP="002914FA">
            <w:pPr>
              <w:spacing w:line="240" w:lineRule="auto"/>
            </w:pPr>
            <w:r w:rsidRPr="002A0251">
              <w:t>Mean age of infection</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ED3AAB1" w14:textId="0BFD05C6" w:rsidR="009E0F60" w:rsidRPr="002A0251" w:rsidRDefault="00840303" w:rsidP="002914FA">
            <w:pPr>
              <w:spacing w:line="240" w:lineRule="auto"/>
            </w:pPr>
            <w:r w:rsidRPr="002A0251">
              <w:rPr>
                <w:rFonts w:hint="eastAsia"/>
              </w:rPr>
              <w:t>25</w:t>
            </w:r>
            <w:r w:rsidR="009E0F60" w:rsidRPr="002A0251">
              <w:t xml:space="preserve"> years</w:t>
            </w:r>
            <w:r w:rsidR="00F31227" w:rsidRPr="002A0251">
              <w:t xml:space="preserve"> (Supplementary Information </w:t>
            </w:r>
            <w:r w:rsidR="00F31227" w:rsidRPr="002A0251">
              <w:rPr>
                <w:b/>
                <w:bCs/>
              </w:rPr>
              <w:t>S</w:t>
            </w:r>
            <w:r w:rsidR="009206B5" w:rsidRPr="002A0251">
              <w:rPr>
                <w:rFonts w:hint="eastAsia"/>
                <w:b/>
                <w:bCs/>
              </w:rPr>
              <w:t>6</w:t>
            </w:r>
            <w:r w:rsidR="00F31227" w:rsidRPr="002A0251">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948333A" w14:textId="5747921A" w:rsidR="009E0F60" w:rsidRPr="002A0251" w:rsidRDefault="00435373" w:rsidP="002914FA">
            <w:pPr>
              <w:spacing w:line="240" w:lineRule="auto"/>
            </w:pPr>
            <w:r w:rsidRPr="002A0251">
              <w:fldChar w:fldCharType="begin"/>
            </w:r>
            <w:r w:rsidR="00492FC8" w:rsidRPr="002A0251">
              <w:instrText xml:space="preserve"> ADDIN ZOTERO_ITEM CSL_CITATION {"citationID":"H9OFUo3x","properties":{"formattedCitation":"\\super 59\\uc0\\u8211{}61\\nosupersub{}","plainCitation":"59–61","noteIndex":0},"citationItems":[{"id":15219,"uris":["http://zotero.org/users/7663102/items/QL96HDTE"],"itemData":{"id":15219,"type":"article-journal","abstract":"Cholera remains an important public health challenge globally. Several pandemics have occurred in different parts of the world and have been epidemiologically linked by different researchers to illustrate how the cases were spread and how they were related to index cases. Even though the risk factors associated with the 2014 cholera outbreak were investigated extensively, the link between index cases and the source of infection was not investigated to help break the transmission process. This study sought to show how the index cases from various districts of the Greater Accra Region may have been linked.","container-title":"BMC Public Health","DOI":"10.1186/s12889-017-4803-9","ISSN":"1471-2458","issue":"1","journalAbbreviation":"BMC Public Health","page":"801","source":"BioMed Central","title":"Epidemiological link of a major cholera outbreak in Greater Accra region of Ghana, 2014","volume":"17","author":[{"family":"Ohene-Adjei","given":"Kennedy"},{"family":"Kenu","given":"Ernest"},{"family":"Bandoh","given":"Delia Akosua"},{"family":"Addo","given":"Prince Nii Ossah"},{"family":"Noora","given":"Charles Lwanga"},{"family":"Nortey","given":"Priscillia"},{"family":"Afari","given":"Edwin Andrew"}],"issued":{"date-parts":[["2017",10,11]]},"citation-key":"ohene-adjeiEpidemiologicalLinkMajor2017"}},{"id":15227,"uris":["http://zotero.org/users/7663102/items/RC3T956G"],"itemData":{"id":15227,"type":"article-journal","abstract":"Background\nOral cholera vaccines represent a new effective tool to fight cholera and are licensed as two-dose regimens with 2–4 weeks between doses. Evidence from previous studies suggests that a single dose of oral cholera vaccine might provide substantial direct protection against cholera. During a cholera outbreak in May, 2015, in Juba, South Sudan, the Ministry of Health, Médecins Sans Frontières, and partners engaged in the first field deployment of a single dose of oral cholera vaccine to enhance the outbreak response. We did a vaccine effectiveness study in conjunction with this large public health intervention.\nMethods\nWe did a case-cohort study, combining information on the vaccination status and disease outcomes from a random cohort recruited from throughout the city of Juba with that from all the cases detected. Eligible cases were those aged 1 year or older on the first day of the vaccination campaign who sought care for diarrhoea at all three cholera treatment centres and seven rehydration posts throughout Juba. Confirmed cases were suspected cases who tested positive to PCR for Vibrio cholerae O1. We estimated the short-term protection (direct and indirect) conferred by one dose of cholera vaccine (Shanchol, Shantha Biotechnics, Hyderabad, India).\nFindings\nBetween Aug 9, 2015, and Sept 29, 2015, we enrolled 87 individuals with suspected cholera, and an 898-person cohort from throughout Juba. Of the 87 individuals with suspected cholera, 34 were classified as cholera positive, 52 as cholera negative, and one had indeterminate results. Of the 858 cohort members who completed a follow-up visit, none developed clinical cholera during follow-up. The unadjusted single-dose vaccine effectiveness was 80·2% (95% CI 61·5–100·0) and after adjusting for potential confounders was 87·3% (70·2–100·0).\nInterpretation\nOne dose of Shanchol was effective in preventing medically attended cholera in this study. These results support the use of a single-dose strategy in outbreaks in similar epidemiological settings.\nFunding\nMédecins Sans Frontières.","container-title":"The Lancet Global Health","DOI":"10.1016/S2214-109X(16)30211-X","ISSN":"2214-109X","issue":"11","journalAbbreviation":"The Lancet Global Health","page":"e856-e863","source":"ScienceDirect","title":"Effectiveness of one dose of oral cholera vaccine in response to an outbreak: a case-cohort study","title-short":"Effectiveness of one dose of oral cholera vaccine in response to an outbreak","volume":"4","author":[{"family":"Azman","given":"Andrew S"},{"family":"Parker","given":"Lucy A"},{"family":"Rumunu","given":"John"},{"family":"Tadesse","given":"Fisseha"},{"family":"Grandesso","given":"Francesco"},{"family":"Deng","given":"Lul L"},{"family":"Lino","given":"Richard Laku"},{"family":"Bior","given":"Bior K"},{"family":"Lasuba","given":"Michael"},{"family":"Page","given":"Anne-Laure"},{"family":"Ontweka","given":"Lameck"},{"family":"Llosa","given":"Augusto E"},{"family":"Cohuet","given":"Sandra"},{"family":"Pezzoli","given":"Lorenzo"},{"family":"Sodjinou","given":"Dossou Vincent"},{"family":"Abubakar","given":"Abdinasir"},{"family":"Debes","given":"Amanda K"},{"family":"Mpairwe","given":"Allan M"},{"family":"Wamala","given":"Joseph F"},{"family":"Jamet","given":"Christine"},{"family":"Lessler","given":"Justin"},{"family":"Sack","given":"David A"},{"family":"Quilici","given":"Marie-Laure"},{"family":"Ciglenecki","given":"Iza"},{"family":"Luquero","given":"Francisco J"}],"issued":{"date-parts":[["2016",11,1]]},"citation-key":"azmanEffectivenessOneDose2016"}},{"id":9687,"uris":["http://zotero.org/users/7663102/items/G3RTRMXR"],"itemData":{"id":9687,"type":"article-journal","abstract":"Large-scale cholera outbreaks have shown the limits of traditional response strategies.1 The devastating consequences of cholera epidemics in vulnerable populations have opened a debate about ways to improve preparedness and response plans. Two documents, issued by the World Health Organization (WHO) in 2010 and 2011, have also stimulated debate: a revised position paper regarding oral cholera vaccines2 and the prequalification of the cholera vaccine Shanchol (Shantha Biotech).3 The two oral cholera vaccines currently prequalified by the WHO are killed whole-cell Vibrio cholerae serogroup O1 vaccines: Shanchol also contains V. cholerae serogroup O139, and Dukoral (Crucell) contains a recombinant cholera toxin . . .","container-title":"New England Journal of Medicine","DOI":"10.1056/NEJMoa1312680","ISSN":"0028-4793","issue":"22","note":"publisher: Massachusetts Medical Society\n_eprint: https://doi.org/10.1056/NEJMoa1312680\nPMID: 24869721","page":"2111-2120","source":"Taylor and Francis+NEJM","title":"Use of Vibrio cholerae Vaccine in an Outbreak in Guinea","volume":"370","author":[{"family":"Luquero","given":"Francisco J."},{"family":"Grout","given":"Lise"},{"family":"Ciglenecki","given":"Iza"},{"family":"Sakoba","given":"Keita"},{"family":"Traore","given":"Bala"},{"family":"Heile","given":"Melat"},{"family":"Diallo","given":"Alpha Amadou"},{"family":"Itama","given":"Christian"},{"family":"Page","given":"Anne-Laure"},{"family":"Quilici","given":"Marie-Laure"},{"family":"Mengel","given":"Martin A."},{"family":"Eiros","given":"Jose Maria"},{"family":"Serafini","given":"Micaela"},{"family":"Legros","given":"Dominique"},{"family":"Grais","given":"Rebecca F."}],"issued":{"date-parts":[["2014",5,29]]},"citation-key":"luqueroUseVibrioCholerae2014"}}],"schema":"https://github.com/citation-style-language/schema/raw/master/csl-citation.json"} </w:instrText>
            </w:r>
            <w:r w:rsidRPr="002A0251">
              <w:fldChar w:fldCharType="separate"/>
            </w:r>
            <w:r w:rsidR="00492FC8" w:rsidRPr="002A0251">
              <w:rPr>
                <w:rFonts w:cs="Times New Roman"/>
                <w:vertAlign w:val="superscript"/>
              </w:rPr>
              <w:t>59–61</w:t>
            </w:r>
            <w:r w:rsidRPr="002A0251">
              <w:fldChar w:fldCharType="end"/>
            </w:r>
          </w:p>
        </w:tc>
      </w:tr>
      <w:tr w:rsidR="009E0F60" w:rsidRPr="002A0251" w14:paraId="51A20051"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12BDE6D" w14:textId="77777777" w:rsidR="009E0F60" w:rsidRPr="002A0251" w:rsidRDefault="009E0F60" w:rsidP="002914FA">
            <w:pPr>
              <w:spacing w:line="240" w:lineRule="auto"/>
            </w:pPr>
            <w:r w:rsidRPr="002A0251">
              <w:lastRenderedPageBreak/>
              <w:t>Duration of illness</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B00E16C" w14:textId="18FC6262" w:rsidR="009E0F60" w:rsidRPr="002A0251" w:rsidRDefault="006B138A" w:rsidP="002914FA">
            <w:pPr>
              <w:spacing w:line="240" w:lineRule="auto"/>
            </w:pPr>
            <w:r w:rsidRPr="002A0251">
              <w:t xml:space="preserve">2 </w:t>
            </w:r>
            <w:r w:rsidR="009E0F60" w:rsidRPr="002A0251">
              <w:t>days</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BD4E6AB" w14:textId="6ECB9CC4" w:rsidR="009E0F60" w:rsidRPr="002A0251" w:rsidRDefault="006B138A" w:rsidP="002914FA">
            <w:pPr>
              <w:spacing w:line="240" w:lineRule="auto"/>
              <w:rPr>
                <w:lang w:val="en-US"/>
              </w:rPr>
            </w:pPr>
            <w:r w:rsidRPr="002A0251">
              <w:rPr>
                <w:lang w:val="en-US"/>
              </w:rPr>
              <w:fldChar w:fldCharType="begin"/>
            </w:r>
            <w:r w:rsidR="00492FC8" w:rsidRPr="002A0251">
              <w:rPr>
                <w:lang w:val="en-US"/>
              </w:rPr>
              <w:instrText xml:space="preserve"> ADDIN ZOTERO_ITEM CSL_CITATION {"citationID":"RWE0UhUX","properties":{"formattedCitation":"\\super 62\\nosupersub{}","plainCitation":"62","noteIndex":0},"citationItems":[{"id":8579,"uris":["http://zotero.org/users/7663102/items/7L4JD8RL"],"itemData":{"id":8579,"type":"article-journal","abstract":"BACKGROUND: Multiple Vibrio cholerae infections in the same household are common. The objective of this study was to examine the incidence of V. cholerae infection and associated clinical symptoms in household contacts of patients with cholera and to identify risk factors for development of severe dehydration in this cohort.\nMETHODS: Household contacts of hospitalized patients with cholera were observed with frequent clinical assessments and collection of serum and rectal swab samples for culture for a period of 21 days after presentation of the index case.\nRESULTS: One-half (460 of 944) of all contacts reported diarrhea during the study period, and symptoms most frequently began 2 days after presentation of the index case. Antibiotics were used by 199 (43%) of 460 contacts with diarrhea. Results of rectal swab cultures for V. cholerae were positive for 202 (21%) of 944 contacts, and 148 (73%) infected contacts experienced diarrhea. Significant dehydration developed in 26 contacts; predictors of dehydration included vomiting, each additional day of diarrhea, and blood group O status.\nCONCLUSIONS: In urban Bangladesh, the burden of diarrheal illness among household contacts of patients with cholera is higher than was previously estimated, and prophylactic intervention is feasible, because the majority of symptomatic cases of V. cholerae infection in contacts begin soon after presentation of the index case. Re-evaluation of targeted chemoprophylaxis for household contacts of patients with cholera may be warranted.","container-title":"Clinical Infectious Diseases: An Official Publication of the Infectious Diseases Society of America","DOI":"10.1086/644779","ISSN":"1537-6591","issue":"10","journalAbbreviation":"Clin Infect Dis","language":"eng","note":"PMID: 19842974\nPMCID: PMC2783773","page":"1473-1479","source":"PubMed","title":"Clinical outcomes in household contacts of patients with cholera in Bangladesh","volume":"49","author":[{"family":"Weil","given":"Ana A."},{"family":"Khan","given":"Ashraful I."},{"family":"Chowdhury","given":"Fahima"},{"family":"Larocque","given":"Regina C."},{"family":"Faruque","given":"A. S. G."},{"family":"Ryan","given":"Edward T."},{"family":"Calderwood","given":"Stephen B."},{"family":"Qadri","given":"Firdausi"},{"family":"Harris","given":"Jason B."}],"issued":{"date-parts":[["2009",11,15]]},"citation-key":"weilClinicalOutcomesHousehold2009"}}],"schema":"https://github.com/citation-style-language/schema/raw/master/csl-citation.json"} </w:instrText>
            </w:r>
            <w:r w:rsidRPr="002A0251">
              <w:rPr>
                <w:lang w:val="en-US"/>
              </w:rPr>
              <w:fldChar w:fldCharType="separate"/>
            </w:r>
            <w:r w:rsidR="00492FC8" w:rsidRPr="002A0251">
              <w:rPr>
                <w:rFonts w:cs="Times New Roman"/>
                <w:vertAlign w:val="superscript"/>
              </w:rPr>
              <w:t>62</w:t>
            </w:r>
            <w:r w:rsidRPr="002A0251">
              <w:rPr>
                <w:lang w:val="en-US"/>
              </w:rPr>
              <w:fldChar w:fldCharType="end"/>
            </w:r>
          </w:p>
        </w:tc>
      </w:tr>
      <w:tr w:rsidR="009E0F60" w:rsidRPr="002A0251" w14:paraId="0CD45435"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570D882" w14:textId="72FC834B" w:rsidR="009E0F60" w:rsidRPr="002A0251" w:rsidRDefault="009E0F60" w:rsidP="002914FA">
            <w:pPr>
              <w:spacing w:line="240" w:lineRule="auto"/>
            </w:pPr>
            <w:r w:rsidRPr="002A0251">
              <w:t xml:space="preserve">Life expectancy at </w:t>
            </w:r>
            <w:r w:rsidR="00704994" w:rsidRPr="002A0251">
              <w:rPr>
                <w:rFonts w:hint="eastAsia"/>
              </w:rPr>
              <w:t>a given age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2EA6B4" w14:textId="21609C73" w:rsidR="009E0F60" w:rsidRPr="002A0251" w:rsidRDefault="009E0F60" w:rsidP="002914FA">
            <w:pPr>
              <w:spacing w:line="240" w:lineRule="auto"/>
            </w:pPr>
            <w:r w:rsidRPr="002A0251">
              <w:t>Varies by year and country</w:t>
            </w:r>
            <w:r w:rsidR="00C064B8" w:rsidRPr="002A0251">
              <w:rPr>
                <w:rFonts w:hint="eastAsia"/>
              </w:rPr>
              <w:t>; 4</w:t>
            </w:r>
            <w:r w:rsidR="000A3B2F" w:rsidRPr="002A0251">
              <w:rPr>
                <w:rFonts w:hint="eastAsia"/>
              </w:rPr>
              <w:t xml:space="preserve">2.7 [IQR: </w:t>
            </w:r>
            <w:r w:rsidR="000B5A14" w:rsidRPr="002A0251">
              <w:rPr>
                <w:rFonts w:hint="eastAsia"/>
              </w:rPr>
              <w:t>42.2</w:t>
            </w:r>
            <w:r w:rsidR="005623EE">
              <w:rPr>
                <w:rFonts w:hint="eastAsia"/>
              </w:rPr>
              <w:t xml:space="preserve"> </w:t>
            </w:r>
            <w:r w:rsidR="005623EE">
              <w:t>–</w:t>
            </w:r>
            <w:r w:rsidR="000B5A14" w:rsidRPr="002A0251">
              <w:rPr>
                <w:rFonts w:hint="eastAsia"/>
              </w:rPr>
              <w:t xml:space="preserve"> 4</w:t>
            </w:r>
            <w:r w:rsidR="005623EE">
              <w:rPr>
                <w:rFonts w:hint="eastAsia"/>
              </w:rPr>
              <w:t>3</w:t>
            </w:r>
            <w:r w:rsidR="000B5A14" w:rsidRPr="002A0251">
              <w:rPr>
                <w:rFonts w:hint="eastAsia"/>
              </w:rPr>
              <w:t>.2</w:t>
            </w:r>
            <w:r w:rsidR="000A3B2F" w:rsidRPr="002A0251">
              <w:rPr>
                <w:rFonts w:hint="eastAsia"/>
              </w:rPr>
              <w:t>]</w:t>
            </w:r>
            <w:r w:rsidR="00C064B8" w:rsidRPr="002A0251">
              <w:rPr>
                <w:rFonts w:hint="eastAsia"/>
              </w:rPr>
              <w:t xml:space="preserve"> year of life expectancy for </w:t>
            </w:r>
            <w:r w:rsidR="00FD2750" w:rsidRPr="002A0251">
              <w:t>25-year-olds</w:t>
            </w:r>
            <w:r w:rsidR="000B5A14" w:rsidRPr="002A0251">
              <w:rPr>
                <w:rFonts w:hint="eastAsia"/>
              </w:rPr>
              <w:t xml:space="preserve"> during </w:t>
            </w:r>
            <w:r w:rsidR="00C064B8" w:rsidRPr="002A0251">
              <w:rPr>
                <w:rFonts w:hint="eastAsia"/>
              </w:rPr>
              <w:t>2010</w:t>
            </w:r>
            <w:r w:rsidR="000B5A14" w:rsidRPr="002A0251">
              <w:rPr>
                <w:rFonts w:hint="eastAsia"/>
              </w:rPr>
              <w:t>-2020</w:t>
            </w:r>
            <w:r w:rsidR="00C064B8"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9BE190F" w14:textId="7ED9E568" w:rsidR="009E0F60" w:rsidRPr="002A0251" w:rsidRDefault="009E0F60" w:rsidP="002914FA">
            <w:pPr>
              <w:spacing w:line="240" w:lineRule="auto"/>
            </w:pPr>
            <w:r w:rsidRPr="002A0251">
              <w:fldChar w:fldCharType="begin"/>
            </w:r>
            <w:r w:rsidR="00492FC8" w:rsidRPr="002A0251">
              <w:instrText xml:space="preserve"> ADDIN ZOTERO_ITEM CSL_CITATION {"citationID":"4nYdmZTD","properties":{"formattedCitation":"\\super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70D64914" w14:textId="77777777" w:rsidTr="00F31227">
        <w:trPr>
          <w:trHeight w:val="20"/>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0FFB387" w14:textId="5B7B26A5" w:rsidR="009E0F60" w:rsidRPr="002A0251" w:rsidRDefault="009E0F60" w:rsidP="002914FA">
            <w:pPr>
              <w:spacing w:line="240" w:lineRule="auto"/>
            </w:pPr>
            <w:r w:rsidRPr="002A0251">
              <w:t xml:space="preserve">Age distribution </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6C96E389" w14:textId="0E3FB1AD" w:rsidR="009E0F60" w:rsidRPr="002A0251" w:rsidRDefault="009E0F60" w:rsidP="002914FA">
            <w:pPr>
              <w:spacing w:line="240" w:lineRule="auto"/>
            </w:pPr>
            <w:r w:rsidRPr="002A0251">
              <w:t>Varies by year and country</w:t>
            </w:r>
            <w:r w:rsidR="00B752FA" w:rsidRPr="002A0251">
              <w:rPr>
                <w:rFonts w:hint="eastAsia"/>
              </w:rPr>
              <w:t>; 1</w:t>
            </w:r>
            <w:r w:rsidR="00E85B7A" w:rsidRPr="002A0251">
              <w:rPr>
                <w:rFonts w:hint="eastAsia"/>
              </w:rPr>
              <w:t>6.4</w:t>
            </w:r>
            <w:r w:rsidR="00B752FA" w:rsidRPr="002A0251">
              <w:rPr>
                <w:rFonts w:hint="eastAsia"/>
              </w:rPr>
              <w:t>%</w:t>
            </w:r>
            <w:r w:rsidR="002612A7" w:rsidRPr="002A0251">
              <w:rPr>
                <w:rFonts w:hint="eastAsia"/>
              </w:rPr>
              <w:t xml:space="preserve"> [IQR: </w:t>
            </w:r>
            <w:r w:rsidR="00E85B7A" w:rsidRPr="002A0251">
              <w:rPr>
                <w:rFonts w:hint="eastAsia"/>
              </w:rPr>
              <w:t>16.0, 16.9</w:t>
            </w:r>
            <w:r w:rsidR="002612A7" w:rsidRPr="002A0251">
              <w:rPr>
                <w:rFonts w:hint="eastAsia"/>
              </w:rPr>
              <w:t>]</w:t>
            </w:r>
            <w:r w:rsidR="00B752FA" w:rsidRPr="002A0251">
              <w:rPr>
                <w:rFonts w:hint="eastAsia"/>
              </w:rPr>
              <w:t xml:space="preserve"> of the population is under five </w:t>
            </w:r>
            <w:r w:rsidR="000A3B2F" w:rsidRPr="002A0251">
              <w:rPr>
                <w:rFonts w:hint="eastAsia"/>
              </w:rPr>
              <w:t>during</w:t>
            </w:r>
            <w:r w:rsidR="00B752FA" w:rsidRPr="002A0251">
              <w:rPr>
                <w:rFonts w:hint="eastAsia"/>
              </w:rPr>
              <w:t xml:space="preserve"> 2010</w:t>
            </w:r>
            <w:r w:rsidR="000A3B2F" w:rsidRPr="002A0251">
              <w:rPr>
                <w:rFonts w:hint="eastAsia"/>
              </w:rPr>
              <w:t xml:space="preserve"> - 2020</w:t>
            </w:r>
            <w:r w:rsidR="00B752FA" w:rsidRPr="002A0251">
              <w:rPr>
                <w:rFonts w:hint="eastAsia"/>
              </w:rPr>
              <w:t>.</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73A3E006" w14:textId="379CB0E2" w:rsidR="009E0F60" w:rsidRPr="002A0251" w:rsidRDefault="009E0F60" w:rsidP="002914FA">
            <w:pPr>
              <w:spacing w:line="240" w:lineRule="auto"/>
            </w:pPr>
            <w:r w:rsidRPr="002A0251">
              <w:fldChar w:fldCharType="begin"/>
            </w:r>
            <w:r w:rsidR="00492FC8" w:rsidRPr="002A0251">
              <w:instrText xml:space="preserve"> ADDIN ZOTERO_ITEM CSL_CITATION {"citationID":"iv5Ferq7","properties":{"formattedCitation":"\\super 63\\nosupersub{}","plainCitation":"63","noteIndex":0},"citationItems":[{"id":"ybNQHeeS/w9eZi4Zz","uris":["http://zotero.org/users/local/xDVOxgbN/items/3FE5DRB2"],"itemData":{"id":182,"type":"dataset","title":"World Population Prospects 2024, Online Edition","URL":"https://population.un.org/wpp/Download/Standard/Mortality/","author":[{"literal":"United Nations, Department of Economic and Social Affairs, Population Division"}],"issued":{"date-parts":[["2024"]]}}}],"schema":"https://github.com/citation-style-language/schema/raw/master/csl-citation.json"} </w:instrText>
            </w:r>
            <w:r w:rsidRPr="002A0251">
              <w:fldChar w:fldCharType="separate"/>
            </w:r>
            <w:r w:rsidR="00492FC8" w:rsidRPr="002A0251">
              <w:rPr>
                <w:rFonts w:cs="Times New Roman"/>
                <w:vertAlign w:val="superscript"/>
              </w:rPr>
              <w:t>63</w:t>
            </w:r>
            <w:r w:rsidRPr="002A0251">
              <w:fldChar w:fldCharType="end"/>
            </w:r>
          </w:p>
        </w:tc>
      </w:tr>
      <w:tr w:rsidR="009E0F60" w:rsidRPr="002A0251" w14:paraId="10CE8787" w14:textId="77777777" w:rsidTr="00F31227">
        <w:trPr>
          <w:trHeight w:val="258"/>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0F0FEDD5" w14:textId="77777777" w:rsidR="009E0F60" w:rsidRPr="002A0251" w:rsidRDefault="009E0F60" w:rsidP="002914FA">
            <w:pPr>
              <w:spacing w:line="240" w:lineRule="auto"/>
            </w:pPr>
            <w:r w:rsidRPr="002A0251">
              <w:t>Gross Domestic Product (GDP)</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7123BC93" w14:textId="345DBEA5" w:rsidR="009E0F60" w:rsidRPr="002A0251" w:rsidRDefault="009E0F60" w:rsidP="000A3B2F">
            <w:pPr>
              <w:spacing w:line="240" w:lineRule="auto"/>
            </w:pPr>
            <w:r w:rsidRPr="002A0251">
              <w:t>Varies by year and country</w:t>
            </w:r>
            <w:r w:rsidR="00B752FA" w:rsidRPr="002A0251">
              <w:rPr>
                <w:rFonts w:hint="eastAsia"/>
              </w:rPr>
              <w:t>; 1</w:t>
            </w:r>
            <w:r w:rsidR="000A3B2F" w:rsidRPr="002A0251">
              <w:rPr>
                <w:rFonts w:hint="eastAsia"/>
              </w:rPr>
              <w:t xml:space="preserve"> </w:t>
            </w:r>
            <w:r w:rsidR="00B752FA" w:rsidRPr="002A0251">
              <w:rPr>
                <w:rFonts w:hint="eastAsia"/>
              </w:rPr>
              <w:t xml:space="preserve">665 </w:t>
            </w:r>
            <w:r w:rsidR="002612A7" w:rsidRPr="002A0251">
              <w:rPr>
                <w:rFonts w:hint="eastAsia"/>
              </w:rPr>
              <w:t>[</w:t>
            </w:r>
            <w:r w:rsidR="000A3B2F" w:rsidRPr="002A0251">
              <w:rPr>
                <w:rFonts w:hint="eastAsia"/>
              </w:rPr>
              <w:t xml:space="preserve">IQR: </w:t>
            </w:r>
            <w:r w:rsidR="000A3B2F" w:rsidRPr="002A0251">
              <w:rPr>
                <w:lang w:val="en-US"/>
              </w:rPr>
              <w:t>1</w:t>
            </w:r>
            <w:r w:rsidR="000A3B2F" w:rsidRPr="002A0251">
              <w:rPr>
                <w:rFonts w:hint="eastAsia"/>
                <w:lang w:val="en-US"/>
              </w:rPr>
              <w:t xml:space="preserve"> </w:t>
            </w:r>
            <w:r w:rsidR="000A3B2F" w:rsidRPr="002A0251">
              <w:rPr>
                <w:lang w:val="en-US"/>
              </w:rPr>
              <w:t>621</w:t>
            </w:r>
            <w:r w:rsidR="005623EE">
              <w:rPr>
                <w:rFonts w:hint="eastAsia"/>
                <w:lang w:val="en-US"/>
              </w:rPr>
              <w:t xml:space="preserve"> </w:t>
            </w:r>
            <w:r w:rsidR="005623EE">
              <w:rPr>
                <w:lang w:val="en-US"/>
              </w:rPr>
              <w:t>–</w:t>
            </w:r>
            <w:r w:rsidR="005623EE">
              <w:rPr>
                <w:rFonts w:hint="eastAsia"/>
                <w:lang w:val="en-US"/>
              </w:rPr>
              <w:t xml:space="preserve"> </w:t>
            </w:r>
            <w:r w:rsidR="000A3B2F" w:rsidRPr="002A0251">
              <w:rPr>
                <w:lang w:val="en-US"/>
              </w:rPr>
              <w:t>1</w:t>
            </w:r>
            <w:r w:rsidR="005623EE">
              <w:rPr>
                <w:rFonts w:hint="eastAsia"/>
                <w:lang w:val="en-US"/>
              </w:rPr>
              <w:t xml:space="preserve"> </w:t>
            </w:r>
            <w:r w:rsidR="000A3B2F" w:rsidRPr="002A0251">
              <w:rPr>
                <w:lang w:val="en-US"/>
              </w:rPr>
              <w:t>706</w:t>
            </w:r>
            <w:r w:rsidR="002612A7" w:rsidRPr="002A0251">
              <w:rPr>
                <w:rFonts w:hint="eastAsia"/>
              </w:rPr>
              <w:t>]</w:t>
            </w:r>
            <w:r w:rsidR="000A3B2F" w:rsidRPr="002A0251">
              <w:rPr>
                <w:rFonts w:hint="eastAsia"/>
              </w:rPr>
              <w:t xml:space="preserve"> </w:t>
            </w:r>
            <w:r w:rsidR="00B752FA" w:rsidRPr="002A0251">
              <w:rPr>
                <w:rFonts w:hint="eastAsia"/>
              </w:rPr>
              <w:t xml:space="preserve">US$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2055A603" w14:textId="38ADF557" w:rsidR="009E0F60" w:rsidRPr="002A0251" w:rsidRDefault="009E0F60" w:rsidP="002914FA">
            <w:pPr>
              <w:spacing w:line="240" w:lineRule="auto"/>
            </w:pPr>
            <w:r w:rsidRPr="002A0251">
              <w:fldChar w:fldCharType="begin"/>
            </w:r>
            <w:r w:rsidR="00492FC8" w:rsidRPr="002A0251">
              <w:instrText xml:space="preserve"> ADDIN ZOTERO_ITEM CSL_CITATION {"citationID":"Jra589pD","properties":{"formattedCitation":"\\super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Pr="002A0251">
              <w:fldChar w:fldCharType="separate"/>
            </w:r>
            <w:r w:rsidR="00492FC8" w:rsidRPr="002A0251">
              <w:rPr>
                <w:rFonts w:cs="Times New Roman"/>
                <w:vertAlign w:val="superscript"/>
              </w:rPr>
              <w:t>64</w:t>
            </w:r>
            <w:r w:rsidRPr="002A0251">
              <w:fldChar w:fldCharType="end"/>
            </w:r>
          </w:p>
        </w:tc>
      </w:tr>
      <w:tr w:rsidR="009E0F60" w:rsidRPr="002A0251" w14:paraId="202B5DC3" w14:textId="77777777" w:rsidTr="000B5A14">
        <w:trPr>
          <w:trHeight w:val="636"/>
        </w:trPr>
        <w:tc>
          <w:tcPr>
            <w:tcW w:w="467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40353E5B" w14:textId="1AB0FF86" w:rsidR="009E0F60" w:rsidRPr="002A0251" w:rsidRDefault="005627AF" w:rsidP="002914FA">
            <w:pPr>
              <w:spacing w:line="240" w:lineRule="auto"/>
            </w:pPr>
            <w:r w:rsidRPr="002A0251">
              <w:rPr>
                <w:rFonts w:hint="eastAsia"/>
              </w:rPr>
              <w:t>P</w:t>
            </w:r>
            <w:r w:rsidR="009E0F60" w:rsidRPr="002A0251">
              <w:t>opulation in workforce</w:t>
            </w:r>
          </w:p>
        </w:tc>
        <w:tc>
          <w:tcPr>
            <w:tcW w:w="3780"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vAlign w:val="center"/>
          </w:tcPr>
          <w:p w14:paraId="55A60A2A" w14:textId="183476BD" w:rsidR="009E0F60" w:rsidRPr="002A0251" w:rsidRDefault="009E0F60" w:rsidP="002914FA">
            <w:pPr>
              <w:spacing w:line="240" w:lineRule="auto"/>
            </w:pPr>
            <w:r w:rsidRPr="002A0251">
              <w:t>Varies by year and country</w:t>
            </w:r>
            <w:r w:rsidR="00300523" w:rsidRPr="002A0251">
              <w:rPr>
                <w:rFonts w:hint="eastAsia"/>
              </w:rPr>
              <w:t>; around 6</w:t>
            </w:r>
            <w:r w:rsidR="000A3B2F" w:rsidRPr="002A0251">
              <w:rPr>
                <w:rFonts w:hint="eastAsia"/>
              </w:rPr>
              <w:t>8.1</w:t>
            </w:r>
            <w:r w:rsidR="00300523" w:rsidRPr="002A0251">
              <w:rPr>
                <w:rFonts w:hint="eastAsia"/>
              </w:rPr>
              <w:t xml:space="preserve">% </w:t>
            </w:r>
            <w:r w:rsidR="002612A7" w:rsidRPr="002A0251">
              <w:rPr>
                <w:rFonts w:hint="eastAsia"/>
              </w:rPr>
              <w:t>[</w:t>
            </w:r>
            <w:r w:rsidR="000A3B2F" w:rsidRPr="002A0251">
              <w:rPr>
                <w:rFonts w:hint="eastAsia"/>
              </w:rPr>
              <w:t>IQR: 67.9</w:t>
            </w:r>
            <w:r w:rsidR="005623EE">
              <w:rPr>
                <w:rFonts w:hint="eastAsia"/>
              </w:rPr>
              <w:t xml:space="preserve"> - </w:t>
            </w:r>
            <w:r w:rsidR="000A3B2F" w:rsidRPr="002A0251">
              <w:rPr>
                <w:rFonts w:hint="eastAsia"/>
              </w:rPr>
              <w:t>68.4</w:t>
            </w:r>
            <w:r w:rsidR="002612A7" w:rsidRPr="002A0251">
              <w:rPr>
                <w:rFonts w:hint="eastAsia"/>
              </w:rPr>
              <w:t xml:space="preserve">] </w:t>
            </w:r>
            <w:r w:rsidR="00300523" w:rsidRPr="002A0251">
              <w:rPr>
                <w:rFonts w:hint="eastAsia"/>
              </w:rPr>
              <w:t xml:space="preserve">in </w:t>
            </w:r>
            <w:r w:rsidR="000A3B2F" w:rsidRPr="002A0251">
              <w:rPr>
                <w:rFonts w:hint="eastAsia"/>
              </w:rPr>
              <w:t>during 2010-2020</w:t>
            </w:r>
          </w:p>
        </w:tc>
        <w:tc>
          <w:tcPr>
            <w:tcW w:w="1105" w:type="dxa"/>
            <w:tcBorders>
              <w:top w:val="single" w:sz="8" w:space="0" w:color="auto"/>
              <w:left w:val="single" w:sz="8" w:space="0" w:color="auto"/>
              <w:bottom w:val="single" w:sz="8" w:space="0" w:color="auto"/>
              <w:right w:val="single" w:sz="8" w:space="0" w:color="auto"/>
            </w:tcBorders>
            <w:tcMar>
              <w:top w:w="100" w:type="dxa"/>
              <w:left w:w="100" w:type="dxa"/>
              <w:bottom w:w="100" w:type="dxa"/>
              <w:right w:w="100" w:type="dxa"/>
            </w:tcMar>
          </w:tcPr>
          <w:p w14:paraId="1598C0DB" w14:textId="7CD7E652" w:rsidR="009E0F60" w:rsidRPr="002A0251" w:rsidRDefault="009E0F60" w:rsidP="002914FA">
            <w:pPr>
              <w:spacing w:line="240" w:lineRule="auto"/>
            </w:pPr>
            <w:r w:rsidRPr="002A0251">
              <w:fldChar w:fldCharType="begin"/>
            </w:r>
            <w:r w:rsidR="00492FC8" w:rsidRPr="002A0251">
              <w:instrText xml:space="preserve"> ADDIN ZOTERO_ITEM CSL_CITATION {"citationID":"yTDeW786","properties":{"formattedCitation":"\\super 65\\nosupersub{}","plainCitation":"65","noteIndex":0},"citationItems":[{"id":"ybNQHeeS/NPTT8lIV","uris":["http://zotero.org/users/local/xDVOxgbN/items/KHDLL3B7"],"itemData":{"id":184,"type":"dataset","title":"Labor force participation rate, total (% of total population ages 15-64) (modeled ILO estimate)","URL":"https://data.worldbank.org/indicator/SL.TLF.ACTI.ZS?end=2023&amp;start=1960","author":[{"literal":"World Bank Group"}]}}],"schema":"https://github.com/citation-style-language/schema/raw/master/csl-citation.json"} </w:instrText>
            </w:r>
            <w:r w:rsidRPr="002A0251">
              <w:fldChar w:fldCharType="separate"/>
            </w:r>
            <w:r w:rsidR="00492FC8" w:rsidRPr="002A0251">
              <w:rPr>
                <w:rFonts w:cs="Times New Roman"/>
                <w:vertAlign w:val="superscript"/>
              </w:rPr>
              <w:t>65</w:t>
            </w:r>
            <w:r w:rsidRPr="002A0251">
              <w:fldChar w:fldCharType="end"/>
            </w:r>
          </w:p>
        </w:tc>
      </w:tr>
    </w:tbl>
    <w:p w14:paraId="5CA0217C" w14:textId="77777777" w:rsidR="00C83BF5" w:rsidRPr="002A0251" w:rsidRDefault="00C83BF5" w:rsidP="00F57F15"/>
    <w:p w14:paraId="6ED97674" w14:textId="41453ABF" w:rsidR="000D35EF" w:rsidRPr="002A0251" w:rsidRDefault="007D27C4" w:rsidP="00F57F15">
      <w:pPr>
        <w:pStyle w:val="Heading3"/>
      </w:pPr>
      <w:bookmarkStart w:id="21" w:name="_Toc184909202"/>
      <w:r w:rsidRPr="002A0251">
        <w:t>Campaign triggers and assumptions</w:t>
      </w:r>
      <w:bookmarkEnd w:id="21"/>
    </w:p>
    <w:p w14:paraId="1F6F0435" w14:textId="2B7E2641" w:rsidR="00835FBC" w:rsidRPr="002A0251" w:rsidRDefault="00863A7D" w:rsidP="00F57F15">
      <w:r w:rsidRPr="002A0251">
        <w:rPr>
          <w:rFonts w:hint="eastAsia"/>
        </w:rPr>
        <w:t>ORIs were triggered</w:t>
      </w:r>
      <w:r w:rsidR="00DC7502" w:rsidRPr="002A0251">
        <w:rPr>
          <w:rFonts w:hint="eastAsia"/>
        </w:rPr>
        <w:t xml:space="preserve"> at</w:t>
      </w:r>
      <w:r w:rsidR="0088440C" w:rsidRPr="002A0251">
        <w:rPr>
          <w:rFonts w:hint="eastAsia"/>
        </w:rPr>
        <w:t xml:space="preserve"> </w:t>
      </w:r>
      <w:r w:rsidR="007D27C4" w:rsidRPr="002A0251">
        <w:t>the outbreak</w:t>
      </w:r>
      <w:r w:rsidR="0088440C" w:rsidRPr="002A0251">
        <w:rPr>
          <w:rFonts w:hint="eastAsia"/>
        </w:rPr>
        <w:t xml:space="preserve"> onset </w:t>
      </w:r>
      <w:r w:rsidR="00B72D9A" w:rsidRPr="002A0251">
        <w:t>(</w:t>
      </w:r>
      <w:r w:rsidR="00CE75ED" w:rsidRPr="002A0251">
        <w:t>outbreak onset-triggered</w:t>
      </w:r>
      <w:r w:rsidR="00B72D9A" w:rsidRPr="002A0251">
        <w:t xml:space="preserve">) </w:t>
      </w:r>
      <w:r w:rsidR="00DC7502" w:rsidRPr="002A0251">
        <w:rPr>
          <w:rFonts w:hint="eastAsia"/>
        </w:rPr>
        <w:t>or when</w:t>
      </w:r>
      <w:r w:rsidR="007D27C4" w:rsidRPr="002A0251">
        <w:t xml:space="preserve"> the cumulative number of reported cases</w:t>
      </w:r>
      <w:r w:rsidR="006C3069" w:rsidRPr="002A0251">
        <w:rPr>
          <w:rFonts w:hint="eastAsia"/>
        </w:rPr>
        <w:t xml:space="preserve"> </w:t>
      </w:r>
      <w:r w:rsidR="000C5C49" w:rsidRPr="000C5C49">
        <w:t xml:space="preserve">exceeded a predefined threshold </w:t>
      </w:r>
      <w:r w:rsidR="00B72D9A" w:rsidRPr="002A0251">
        <w:t>(case-triggered)</w:t>
      </w:r>
      <w:r w:rsidR="00793D57" w:rsidRPr="002A0251">
        <w:t xml:space="preserve"> (</w:t>
      </w:r>
      <w:r w:rsidR="00793D57" w:rsidRPr="002A0251">
        <w:rPr>
          <w:b/>
          <w:bCs/>
        </w:rPr>
        <w:t>Table 2</w:t>
      </w:r>
      <w:r w:rsidR="00793D57" w:rsidRPr="002A0251">
        <w:t>)</w:t>
      </w:r>
      <w:r w:rsidR="004F1918" w:rsidRPr="002A0251">
        <w:t xml:space="preserve">. </w:t>
      </w:r>
      <w:r w:rsidR="0088440C" w:rsidRPr="002A0251">
        <w:rPr>
          <w:rFonts w:hint="eastAsia"/>
        </w:rPr>
        <w:t xml:space="preserve">The </w:t>
      </w:r>
      <w:r w:rsidR="00CE75ED" w:rsidRPr="002A0251">
        <w:rPr>
          <w:rFonts w:hint="eastAsia"/>
        </w:rPr>
        <w:t>outbreak onset-triggered</w:t>
      </w:r>
      <w:r w:rsidR="00BA5EA7" w:rsidRPr="002A0251">
        <w:t xml:space="preserve"> </w:t>
      </w:r>
      <w:r w:rsidR="0088440C" w:rsidRPr="002A0251">
        <w:rPr>
          <w:rFonts w:hint="eastAsia"/>
        </w:rPr>
        <w:t xml:space="preserve">approach </w:t>
      </w:r>
      <w:r w:rsidR="000C5C49" w:rsidRPr="000C5C49">
        <w:t>isolates the effect of response delay, clarifying how timing influences ORI impact.</w:t>
      </w:r>
      <w:r w:rsidR="00BA5EA7" w:rsidRPr="002A0251">
        <w:t xml:space="preserve"> </w:t>
      </w:r>
      <w:r w:rsidR="00DC7502" w:rsidRPr="002A0251">
        <w:rPr>
          <w:rFonts w:hint="eastAsia"/>
        </w:rPr>
        <w:t>T</w:t>
      </w:r>
      <w:r w:rsidR="00EB360C" w:rsidRPr="002A0251">
        <w:rPr>
          <w:rFonts w:hint="eastAsia"/>
        </w:rPr>
        <w:t xml:space="preserve">he </w:t>
      </w:r>
      <w:r w:rsidR="00156EEE" w:rsidRPr="002A0251">
        <w:rPr>
          <w:rFonts w:hint="eastAsia"/>
        </w:rPr>
        <w:t>c</w:t>
      </w:r>
      <w:r w:rsidR="00BA5EA7" w:rsidRPr="002A0251">
        <w:t>ase-</w:t>
      </w:r>
      <w:r w:rsidR="007E7344" w:rsidRPr="002A0251">
        <w:t>t</w:t>
      </w:r>
      <w:r w:rsidR="00BA5EA7" w:rsidRPr="002A0251">
        <w:t xml:space="preserve">riggered </w:t>
      </w:r>
      <w:r w:rsidR="00EB360C" w:rsidRPr="002A0251">
        <w:rPr>
          <w:rFonts w:hint="eastAsia"/>
        </w:rPr>
        <w:t>approach</w:t>
      </w:r>
      <w:r w:rsidR="00BA5EA7" w:rsidRPr="002A0251">
        <w:t xml:space="preserve"> </w:t>
      </w:r>
      <w:r w:rsidR="000C5C49">
        <w:rPr>
          <w:rFonts w:hint="eastAsia"/>
        </w:rPr>
        <w:t>reflects</w:t>
      </w:r>
      <w:r w:rsidRPr="002A0251">
        <w:rPr>
          <w:rFonts w:hint="eastAsia"/>
        </w:rPr>
        <w:t xml:space="preserve"> </w:t>
      </w:r>
      <w:r w:rsidR="005623EE" w:rsidRPr="007D7E07">
        <w:rPr>
          <w:rFonts w:hint="eastAsia"/>
        </w:rPr>
        <w:t>potentially</w:t>
      </w:r>
      <w:r w:rsidR="000C5C49" w:rsidRPr="007D7E07">
        <w:rPr>
          <w:rFonts w:hint="eastAsia"/>
        </w:rPr>
        <w:t xml:space="preserve"> more</w:t>
      </w:r>
      <w:r w:rsidR="005623EE" w:rsidRPr="007D7E07">
        <w:rPr>
          <w:rFonts w:hint="eastAsia"/>
        </w:rPr>
        <w:t xml:space="preserve"> realistic</w:t>
      </w:r>
      <w:r w:rsidR="000C5C49" w:rsidRPr="000C5C49">
        <w:t xml:space="preserve"> conditions in which uncertainty in surveillance or confirmation delays may postpone the start of campaigns</w:t>
      </w:r>
      <w:r w:rsidRPr="002A0251">
        <w:rPr>
          <w:rFonts w:hint="eastAsia"/>
        </w:rPr>
        <w:t xml:space="preserve">. </w:t>
      </w:r>
      <w:r w:rsidR="000C5C49" w:rsidRPr="000C5C49">
        <w:t>Under this scenario, identical case thresholds may trigger earlier responses in rapidly growing outbreaks and later responses in slower ones.</w:t>
      </w:r>
      <w:r w:rsidR="00AD127C" w:rsidRPr="002A0251">
        <w:t xml:space="preserve"> </w:t>
      </w:r>
    </w:p>
    <w:p w14:paraId="2232AEB4" w14:textId="77777777" w:rsidR="00835FBC" w:rsidRPr="002A0251" w:rsidRDefault="00835FBC" w:rsidP="00F57F15"/>
    <w:p w14:paraId="33D67D64" w14:textId="5B04F2C0" w:rsidR="00BA5EA7" w:rsidRPr="002A0251" w:rsidRDefault="00AD127C" w:rsidP="00F57F15">
      <w:r w:rsidRPr="002A0251">
        <w:t>Vaccine coverage</w:t>
      </w:r>
      <w:r w:rsidR="00835FBC" w:rsidRPr="002A0251">
        <w:rPr>
          <w:rFonts w:hint="eastAsia"/>
        </w:rPr>
        <w:t xml:space="preserve"> </w:t>
      </w:r>
      <w:r w:rsidR="00A42D57">
        <w:rPr>
          <w:rFonts w:hint="eastAsia"/>
        </w:rPr>
        <w:t>was</w:t>
      </w:r>
      <w:r w:rsidR="008F78FF" w:rsidRPr="002A0251">
        <w:rPr>
          <w:rFonts w:hint="eastAsia"/>
        </w:rPr>
        <w:t xml:space="preserve"> varied </w:t>
      </w:r>
      <w:r w:rsidR="00A42D57">
        <w:rPr>
          <w:rFonts w:hint="eastAsia"/>
        </w:rPr>
        <w:t>a</w:t>
      </w:r>
      <w:r w:rsidR="00A42D57" w:rsidRPr="00A42D57">
        <w:t>cross 60 %, 75 %, and 90 % of the affected administrative unit’s population</w:t>
      </w:r>
      <w:r w:rsidR="00A42D57">
        <w:rPr>
          <w:rFonts w:hint="eastAsia"/>
        </w:rPr>
        <w:t xml:space="preserve">, consistent with ranges observed </w:t>
      </w:r>
      <w:r w:rsidR="007C3BBC" w:rsidRPr="002A0251">
        <w:rPr>
          <w:rFonts w:hint="eastAsia"/>
        </w:rPr>
        <w:t>in</w:t>
      </w:r>
      <w:r w:rsidRPr="002A0251">
        <w:t xml:space="preserve"> global OCV campaigns </w:t>
      </w:r>
      <w:r w:rsidR="007C3BBC" w:rsidRPr="002A0251">
        <w:rPr>
          <w:rFonts w:hint="eastAsia"/>
        </w:rPr>
        <w:t>(</w:t>
      </w:r>
      <w:r w:rsidRPr="002A0251">
        <w:t>2013-2018</w:t>
      </w:r>
      <w:r w:rsidR="007C3BBC" w:rsidRPr="002A0251">
        <w:rPr>
          <w:rFonts w:hint="eastAsia"/>
        </w:rPr>
        <w:t>)</w:t>
      </w:r>
      <w:r w:rsidRPr="002A0251">
        <w:rPr>
          <w:vertAlign w:val="superscript"/>
        </w:rPr>
        <w:fldChar w:fldCharType="begin"/>
      </w:r>
      <w:r w:rsidR="00492FC8" w:rsidRPr="002A0251">
        <w:rPr>
          <w:vertAlign w:val="superscript"/>
        </w:rPr>
        <w:instrText xml:space="preserve"> ADDIN ZOTERO_ITEM CSL_CITATION {"citationID":"z3pjC9qr","properties":{"formattedCitation":"\\super 66\\nosupersub{}","plainCitation":"66","noteIndex":0},"citationItems":[{"id":"ybNQHeeS/svmkntEM","uris":["http://zotero.org/users/local/xDVOxgbN/items/5PWNK5TK"],"itemData":{"id":"GW3NO5R3/ZlSFqfwP","type":"article-journal","container-title":"Vaccine","DOI":"10.1016/j.vaccine.2019.08.086","ISSN":"0264410X","journalAbbreviation":"Vaccine","language":"en","page":"A132-A140","source":"DOI.org (Crossref)","title":"Global oral cholera vaccine use, 2013–2018","volume":"38","author":[{"family":"Pezzoli","given":"Lorenzo"}],"issued":{"date-parts":[["2020",2]]}}}],"schema":"https://github.com/citation-style-language/schema/raw/master/csl-citation.json"} </w:instrText>
      </w:r>
      <w:r w:rsidRPr="002A0251">
        <w:rPr>
          <w:vertAlign w:val="superscript"/>
        </w:rPr>
        <w:fldChar w:fldCharType="separate"/>
      </w:r>
      <w:r w:rsidR="00492FC8" w:rsidRPr="002A0251">
        <w:rPr>
          <w:rFonts w:cs="Times New Roman"/>
          <w:vertAlign w:val="superscript"/>
        </w:rPr>
        <w:t>66</w:t>
      </w:r>
      <w:r w:rsidRPr="002A0251">
        <w:rPr>
          <w:vertAlign w:val="superscript"/>
        </w:rPr>
        <w:fldChar w:fldCharType="end"/>
      </w:r>
      <w:r w:rsidRPr="002A0251">
        <w:t xml:space="preserve"> and a recent campaign</w:t>
      </w:r>
      <w:r w:rsidR="0099516B" w:rsidRPr="002A0251">
        <w:t xml:space="preserve"> </w:t>
      </w:r>
      <w:r w:rsidRPr="002A0251">
        <w:t>in Ethiopia.</w:t>
      </w:r>
      <w:r w:rsidRPr="002A0251">
        <w:rPr>
          <w:vertAlign w:val="superscript"/>
        </w:rPr>
        <w:fldChar w:fldCharType="begin"/>
      </w:r>
      <w:r w:rsidR="00492FC8" w:rsidRPr="002A0251">
        <w:rPr>
          <w:vertAlign w:val="superscript"/>
        </w:rPr>
        <w:instrText xml:space="preserve"> ADDIN ZOTERO_ITEM CSL_CITATION {"citationID":"BwRgO3HF","properties":{"formattedCitation":"\\super 67\\nosupersub{}","plainCitation":"67","noteIndex":0},"citationItems":[{"id":14931,"uris":["http://zotero.org/users/7663102/items/W7FJQA5W"],"itemData":{"id":14931,"type":"article-journal","abstract":"Background\nCholera outbreaks in Ethiopia necessitate frequent mass oral cholera vaccine (OCV) campaigns. Despite this, there is a notable absence of a comprehensive summary of these campaigns. Understanding national OCV vaccination history is essential to design appropriate and effective cholera control strategies. Here, we aimed to retrospectively review all OCV vaccination campaigns conducted across Ethiopia between 2019 and 2023.\n\nMethods\nThe OCV request records from 2019 to October 2023 and vaccination campaign reports for the period from 2019 to December 2023 were retrospectively accessed from the Ethiopia Public Health Institute (EPHI) database. Descriptive analysis was conducted using the retrospective data collected.\n\nResults\nFrom 2019 to October 2023, Ethiopian government requested 32 044 576 OCV doses (31 899 576 doses to global stockpile; 145 000 doses to outside of stockpile). Around 66.3% of requested doses were approved; of which 90.4% were received. Fifteen OCV campaigns (12 reactive and 3 pre-emptive) were conducted, including five two-dose campaigns with varying dose intervals and single-dose campaigns partially in 2019 and entirely in 2021, 2022 and 2023. Overall vaccine administrative coverage was high; except for Tigray region (41.8% in the 1st round; 2nd round didn't occur). The vaccine administrative coverage records were documented, but no OCV coverage survey data was available.\n\nConclusions\nThis study represents the first comprehensive review of OCV campaigns in Ethiopia spanning the last five years. Its findings offer valuable insights into informing future cholera control strategies, underscoring the importance of monitoring and evaluation despite resource constraints. Addressing the limitations in coverage survey data availability is crucial for enhancing the efficacy of future campaigns.","container-title":"Clinical Infectious Diseases: An Official Publication of the Infectious Diseases Society of America","DOI":"10.1093/cid/ciae194","ISSN":"1058-4838","issue":"Suppl 1","journalAbbreviation":"Clin Infect Dis","note":"PMID: 38996040\nPMCID: PMC11244176","page":"S20-S32","source":"PubMed Central","title":"Comprehensive Review on the Use of Oral Cholera Vaccine (OCV) in Ethiopia: 2019 to 2023","title-short":"Comprehensive Review on the Use of Oral Cholera Vaccine (OCV) in Ethiopia","volume":"79","author":[{"family":"Edosa","given":"Moti"},{"family":"Jeon","given":"Yeonji"},{"family":"Gedefaw","given":"Abel"},{"family":"Hailu","given":"Dejene"},{"family":"Mesfin Getachew","given":"Edlawit"},{"family":"Mogeni","given":"Ondari D"},{"family":"Jang","given":"Geun Hyeog"},{"family":"Mukasa","given":"David"},{"family":"Yeshitela","given":"Biruk"},{"family":"Getahun","given":"Tomas"},{"family":"Lynch","given":"Julia"},{"family":"Bouhenia","given":"Malika"},{"family":"Worku Demlie","given":"Yeshambel"},{"family":"Hussen","given":"Mukemil"},{"family":"Wossen","given":"Mesfin"},{"family":"Teferi","given":"Mekonnen"},{"family":"Park","given":"Se Eun"}],"issued":{"date-parts":[["2024",7,12]]},"citation-key":"edosaComprehensiveReviewUse2024"}}],"schema":"https://github.com/citation-style-language/schema/raw/master/csl-citation.json"} </w:instrText>
      </w:r>
      <w:r w:rsidRPr="002A0251">
        <w:rPr>
          <w:vertAlign w:val="superscript"/>
        </w:rPr>
        <w:fldChar w:fldCharType="separate"/>
      </w:r>
      <w:r w:rsidR="00492FC8" w:rsidRPr="002A0251">
        <w:rPr>
          <w:rFonts w:cs="Times New Roman"/>
          <w:vertAlign w:val="superscript"/>
        </w:rPr>
        <w:t>67</w:t>
      </w:r>
      <w:r w:rsidRPr="002A0251">
        <w:rPr>
          <w:vertAlign w:val="superscript"/>
        </w:rPr>
        <w:fldChar w:fldCharType="end"/>
      </w:r>
      <w:r w:rsidRPr="002A0251">
        <w:t xml:space="preserve"> </w:t>
      </w:r>
      <w:bookmarkStart w:id="22" w:name="_Hlk183345059"/>
      <w:r w:rsidR="007C3BBC" w:rsidRPr="002A0251">
        <w:rPr>
          <w:rFonts w:hint="eastAsia"/>
        </w:rPr>
        <w:t>We</w:t>
      </w:r>
      <w:r w:rsidRPr="002A0251">
        <w:t xml:space="preserve"> </w:t>
      </w:r>
      <w:r w:rsidR="007C3BBC" w:rsidRPr="002A0251">
        <w:rPr>
          <w:rFonts w:hint="eastAsia"/>
        </w:rPr>
        <w:t>selected</w:t>
      </w:r>
      <w:r w:rsidRPr="002A0251">
        <w:t xml:space="preserve"> 75% </w:t>
      </w:r>
      <w:r w:rsidR="007C3BBC" w:rsidRPr="002A0251">
        <w:rPr>
          <w:rFonts w:hint="eastAsia"/>
        </w:rPr>
        <w:t xml:space="preserve">as </w:t>
      </w:r>
      <w:r w:rsidR="00A42D57">
        <w:rPr>
          <w:rFonts w:hint="eastAsia"/>
        </w:rPr>
        <w:t xml:space="preserve">the </w:t>
      </w:r>
      <w:r w:rsidRPr="002A0251">
        <w:t xml:space="preserve">representative single-dose </w:t>
      </w:r>
      <w:r w:rsidR="00A42D57">
        <w:rPr>
          <w:rFonts w:hint="eastAsia"/>
        </w:rPr>
        <w:t>coverage,</w:t>
      </w:r>
      <w:r w:rsidR="007C3BBC" w:rsidRPr="002A0251">
        <w:rPr>
          <w:rFonts w:hint="eastAsia"/>
        </w:rPr>
        <w:t xml:space="preserve"> </w:t>
      </w:r>
      <w:r w:rsidR="00A42D57" w:rsidRPr="00A42D57">
        <w:t>reflecting levels typically achieved in</w:t>
      </w:r>
      <w:r w:rsidR="00A42D57">
        <w:rPr>
          <w:rFonts w:hint="eastAsia"/>
        </w:rPr>
        <w:t xml:space="preserve"> </w:t>
      </w:r>
      <w:r w:rsidRPr="002A0251">
        <w:t>humanitarian crises or outbreaks (</w:t>
      </w:r>
      <w:r w:rsidR="00363CA5" w:rsidRPr="002A0251">
        <w:t xml:space="preserve">Supplementary Information </w:t>
      </w:r>
      <w:r w:rsidR="000F1A86" w:rsidRPr="002A0251">
        <w:rPr>
          <w:b/>
          <w:bCs/>
        </w:rPr>
        <w:t>S</w:t>
      </w:r>
      <w:r w:rsidR="009206B5" w:rsidRPr="002A0251">
        <w:rPr>
          <w:rFonts w:hint="eastAsia"/>
          <w:b/>
          <w:bCs/>
        </w:rPr>
        <w:t>7</w:t>
      </w:r>
      <w:r w:rsidRPr="002A0251">
        <w:t>).</w:t>
      </w:r>
      <w:bookmarkEnd w:id="22"/>
      <w:r w:rsidR="003763C0" w:rsidRPr="002A0251">
        <w:rPr>
          <w:rFonts w:hint="eastAsia"/>
        </w:rPr>
        <w:t xml:space="preserve"> T</w:t>
      </w:r>
      <w:r w:rsidR="007D27C4" w:rsidRPr="002A0251">
        <w:t xml:space="preserve">he delay </w:t>
      </w:r>
      <w:r w:rsidR="00A42D57">
        <w:rPr>
          <w:rFonts w:hint="eastAsia"/>
        </w:rPr>
        <w:t xml:space="preserve">between vaccination and the onset of </w:t>
      </w:r>
      <w:r w:rsidR="007D27C4" w:rsidRPr="002A0251">
        <w:t>protecti</w:t>
      </w:r>
      <w:r w:rsidR="00A42D57">
        <w:rPr>
          <w:rFonts w:hint="eastAsia"/>
        </w:rPr>
        <w:t>on</w:t>
      </w:r>
      <w:r w:rsidR="007D27C4" w:rsidRPr="002A0251">
        <w:t xml:space="preserve"> </w:t>
      </w:r>
      <w:r w:rsidR="003763C0" w:rsidRPr="002A0251">
        <w:rPr>
          <w:rFonts w:hint="eastAsia"/>
        </w:rPr>
        <w:lastRenderedPageBreak/>
        <w:t xml:space="preserve">was </w:t>
      </w:r>
      <w:r w:rsidR="00A42D57">
        <w:rPr>
          <w:rFonts w:hint="eastAsia"/>
        </w:rPr>
        <w:t>based on observed</w:t>
      </w:r>
      <w:r w:rsidR="007D27C4" w:rsidRPr="002A0251">
        <w:t xml:space="preserve"> seroconversion</w:t>
      </w:r>
      <w:r w:rsidR="00722F43" w:rsidRPr="002A0251">
        <w:rPr>
          <w:rFonts w:hint="eastAsia"/>
        </w:rPr>
        <w:t xml:space="preserve"> </w:t>
      </w:r>
      <w:r w:rsidR="00A42D57">
        <w:rPr>
          <w:rFonts w:hint="eastAsia"/>
        </w:rPr>
        <w:t>times (</w:t>
      </w:r>
      <w:r w:rsidR="00722F43" w:rsidRPr="002A0251">
        <w:rPr>
          <w:rFonts w:hint="eastAsia"/>
        </w:rPr>
        <w:t>proxy</w:t>
      </w:r>
      <w:r w:rsidR="00A42D57">
        <w:rPr>
          <w:rFonts w:hint="eastAsia"/>
        </w:rPr>
        <w:t xml:space="preserve"> for immune response),</w:t>
      </w:r>
      <w:r w:rsidR="00E1583D" w:rsidRPr="002A0251">
        <w:rPr>
          <w:vertAlign w:val="superscript"/>
        </w:rPr>
        <w:fldChar w:fldCharType="begin"/>
      </w:r>
      <w:r w:rsidR="00492FC8" w:rsidRPr="002A0251">
        <w:rPr>
          <w:vertAlign w:val="superscript"/>
        </w:rPr>
        <w:instrText xml:space="preserve"> ADDIN ZOTERO_ITEM CSL_CITATION {"citationID":"nvNCU5Za","properties":{"formattedCitation":"\\super 40\\uc0\\u8211{}48\\nosupersub{}","plainCitation":"40–48","noteIndex":0},"citationItems":[{"id":"ybNQHeeS/muUeC1E8","uris":["http://zotero.org/users/local/xDVOxgbN/items/VMBJ3ILL"],"itemData":{"id":4,"type":"article-journal","abstract":"INTRODUCTION: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w:instrText>
      </w:r>
      <w:r w:rsidR="00492FC8" w:rsidRPr="002A0251">
        <w:rPr>
          <w:rFonts w:hint="eastAsia"/>
          <w:vertAlign w:val="superscript"/>
        </w:rPr>
        <w:instrText xml:space="preserve">st V. cholerae Inaba and Ogawa after 1st dose was 35/134 (26%) and 34/134 (25%)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w:instrText>
      </w:r>
      <w:r w:rsidR="00492FC8" w:rsidRPr="002A0251">
        <w:rPr>
          <w:vertAlign w:val="superscript"/>
        </w:rPr>
        <w:instrText>&lt;0.0001). From a baseline of 13.58, anti-Ogawa GMT increased to 21.95 after the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Cleopatra"}],"issued":{"date-parts":[["2022"]]}}},{"id":"ybNQHeeS/27D61Ydt","uris":["http://zotero.org/users/local/xDVOxgbN/items/3XUCD5LV"],"itemData":{"id":7,"type":"article-journal","abstract":"Immune responses after one and two doses of the reformulated killed oral cholera vaccine were measured in a double-blind, randomized, placebo-controlled trial of 77 adults aged 18-40 years and 77 children aged 1-17 years residing in Kolkata, India. 65% of adults and 87% of children and 46% of adults and 82% of children exhibited a &gt; or =4-fold rise in serum Vibrio cholerae O1 vibriocidal antibody titers from baseline following dose 1 and 2, respectively. Responses to V. cholerae O139 were less pronounced but followed a similar pattern. We demonstrate that in a cholera-endemic area, the vaccine elicited vibriocidal responses after a single-dose of the vaccine.","container-title":"Vaccine","DOI":"10.1016/j.vaccine.2009.09.008","ISSN":"1873-2518","issue":"49","journalAbbreviation":"Vaccine","language":"eng","note":"PMID: 19761838","page":"6887-6893","source":"PubMed","title":"Immune responses following one and two doses of the reformulated, bivalent, killed, whole-cell, oral cholera vaccine among adults and children in Kolkata, India: a randomized, placebo-controlled trial","title-short":"Immune responses following one and two doses of the reformulated, bivalent, killed, whole-cell, oral cholera vaccine among adults and children in Kolkata, India","volume":"27","author":[{"family":"Kanungo","given":"Suman"},{"family":"Paisley","given":"Allison"},{"family":"Lopez","given":"Anna Lena"},{"family":"Bhattacharya","given":"Mihir"},{"family":"Manna","given":"Byomkesh"},{"family":"Kim","given":"Deok Ryun"},{"family":"Han","given":"Seung Hyun"},{"family":"Attridge","given":"Stephen"},{"family":"Carbis","given":"Rodney"},{"family":"Rao","given":"Raman"},{"family":"Holmgren","given":"Jan"},{"family":"Clemens","given":"John D."},{"family":"Sur","given":"Dipika"}],"issued":{"date-parts":[["2009",11,16]]}}},{"id":"ybNQHeeS/UcUaIMVb","uris":["http://zotero.org/users/local/xDVOxgbN/items/PQEELNWL"],"itemData":{"id":17,"type":"article-journal","abstract":"After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w:instrText>
      </w:r>
      <w:r w:rsidR="00492FC8" w:rsidRPr="002A0251">
        <w:rPr>
          <w:rFonts w:hint="eastAsia"/>
          <w:vertAlign w:val="superscript"/>
        </w:rPr>
        <w:instrText>une responses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w:instrText>
      </w:r>
      <w:r w:rsidR="00492FC8" w:rsidRPr="002A0251">
        <w:rPr>
          <w:vertAlign w:val="superscript"/>
        </w:rPr>
        <w:instrText>inst V.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A."}],"issued":{"date-parts":[["2021",8,16]]}}},{"id":"ybNQHeeS/UdfLAv2Z","uris":["http://zotero.org/users/local/xDVOxgbN/items/MD4Y8M2Z"],"itemData":{"id":30,"type":"article-journal","abstract":"As part of a phase 4, randomized, double-blind, placebo-controlled trial to assess the immunogenicity and safety of PXVX0200 in children and adolescents aged 2-17 years, a subset of 73 adolescent subjects aged 12-17 years was followed for 2 years after vaccination and had blood collected for antibody assays on days 1, 11, 29, 91, 181, 365, 547, and 730. Endpoints included serum vibriocidal antibody (SVA) seroconversion, defined as a 4-fold or greater rise in antibody titer over baseline; geometric mean titers (GMTs); and geometric mean fold increase (GMFI) over baseline. Serum vibriocidal antibody seroconversion persisted in most subjects, with a rate of 64.5% noted at day 730. Geometric mean titers and GMFI both peaked at day 11 and remained greater than baseline at all time points, including day 730. Vaccination with PXVX0200 produces an immune response which persists for at least 2 years in adolescents aged 12-17 years.","container-title":"The American Journal of Tropical Medicine and Hygiene","DOI":"10.4269/ajtmh.20-1576","ISSN":"1476-1645","issue":"5","journalAbbreviation":"Am J Trop Med Hyg","language":"eng","note":"PMID: 33819178\nPMCID: PMC8103473","page":"1758-1760","source":"PubMed","title":"Long-Term Immunogenicity of Live Oral Cholera Vaccine CVD 103-HgR in Adolescents Aged 12-17 Years in the United States","volume":"104","author":[{"family":"McCarty","given":"James M."},{"family":"Cassie","given":"David"},{"family":"Bedell","given":"Lisa"},{"family":"Lock","given":"Michael D."},{"family":"Bennett","given":"Sean"}],"issued":{"date-parts":[["2021",4,5]]}}},{"id":"ybNQHeeS/jmcZXcSU","uris":["http://zotero.org/users/local/xDVOxgbN/items/3GSEZ5VI"],"itemData":{"id":33,"type":"article-journal","container-title":"Vaccine","DOI":"10.1016/j.vaccine.2017.12.062","ISSN":"0264410X","issue":"6","journalAbbreviation":"Vaccine","language":"en","page":"833-840","source":"DOI.org (Crossref)","title":"Safety and immunogenicity of single-dose live oral cholera vaccine strain CVD 103-HgR in healthy adults age 18–45","volume":"36","author":[{"family":"McCarty","given":"James M."},{"family":"Lock","given":"Michael D."},{"family":"Hunt","given":"Kristin M."},{"family":"Simon","given":"Jakub K."},{"family":"Gurwith","given":"Marc"}],"issued":{"date-parts":[["2018",2]]}}},{"id":"ybNQHeeS/wotbLffg","uris":["http://zotero.org/users/local/xDVOxgbN/items/88EEN4QJ"],"itemData":{"id":25,"type":"article-journal","abstract":"BACKGROUND: The World Health Organization (WHO) recommends the use of oral cholera vaccines (OCVs) as part of an integrated control program, both in highly endemic settings and during cholera epidemics. The available and internationally recommended WHO-prequalified OCVs (Dukoral, Shanchol, Euvichol) contain multiple heat and formalin-killed V. cholerae strains of Inaba and Ogawa serotypes. MSD Wellcome Trust Hilleman Laboratories Pvt. Ltd. in technical collaboration with University of Gothenburg, Sweden has developed a new single strain OCV, Hillchol. This vaccine consists of formaldehyde-inactivated whole cell El Tor V. cholerae O1 bacteria engineered into the Hikojima serotype for stable expression of both the Ogawa (AB) and Inaba (AC) LPS antigens on the bacterial surface. We evaluated the safety and immunogenicity of this novel and potentially much less expensive OCV in comparison with Shanchol.\nMETHODS: We conducted a randomized, non-infer</w:instrText>
      </w:r>
      <w:r w:rsidR="00492FC8" w:rsidRPr="002A0251">
        <w:rPr>
          <w:rFonts w:hint="eastAsia"/>
          <w:vertAlign w:val="superscript"/>
        </w:rPr>
        <w:instrText>iority, age-descending clinical trial of OCV (Hillchol vs. Shanchol) in the Mirpur area of Dhaka city from July 2016 to May 2017. This study was carried out in three different age cohorts (1-&lt;5, 5-17 and </w:instrText>
      </w:r>
      <w:r w:rsidR="00492FC8" w:rsidRPr="002A0251">
        <w:rPr>
          <w:rFonts w:hint="eastAsia"/>
          <w:vertAlign w:val="superscript"/>
        </w:rPr>
        <w:instrText>≥</w:instrText>
      </w:r>
      <w:r w:rsidR="00492FC8" w:rsidRPr="002A0251">
        <w:rPr>
          <w:rFonts w:hint="eastAsia"/>
          <w:vertAlign w:val="superscript"/>
        </w:rPr>
        <w:instrText xml:space="preserve">18 years old). Two doses of vaccine were given at </w:instrText>
      </w:r>
      <w:r w:rsidR="00492FC8" w:rsidRPr="002A0251">
        <w:rPr>
          <w:vertAlign w:val="superscript"/>
        </w:rPr>
        <w:instrText xml:space="preserve">14 days intervals to 560 healthy participants.\nFINDINGS: No serious adverse events were reported. There were no significant differences in the rates of adverse events between the test vaccine (Hillchol) and the comparator (Shanchol) group. Serum vibriocidal antibody responses in all age groups combined were comparable for all the O1 Ogawa (59% vs. 67%; 90% CI of difference: -14.55, -0.84) and Inaba (70% vs. 71%; 90% CI of difference: -7.24, 5.77) serotypes, showing that the Hillchol vaccine was non-inferior to Shanchol. This new vaccine was also non-inferior to Shanchol in the different age strata.\nCONCLUSION: The safety and immunogenicity profile of the new OCV Hillchol is comparable to Shanchol in persons residing in a cholera-endemic setting. ClinicalTrials.gov number: NCT02823899.","container-title":"Vaccine","DOI":"10.1016/j.vaccine.2021.06.069","ISSN":"1873-2518","issue":"32","journalAbbreviation":"Vaccine","language":"eng","note":"PMID: 34218960","page":"4450-4457","source":"PubMed","title":"A phase I/II study to evaluate safety, tolerability and immunogenicity of Hillchol®, an inactivated single Hikojima strain based oral cholera vaccine, in a sequentially age descending population in Bangladesh","volume":"39","author":[{"family":"Chowdhury","given":"Fahima"},{"family":"Ali Syed","given":"Khalid"},{"family":"Akter","given":"Afroza"},{"family":"Rahman Bhuiyan","given":"Taufiqur"},{"family":"Tauheed","given":"Imam"},{"family":"Khaton","given":"Fatema"},{"family":"Biswas","given":"Rajib"},{"family":"Ferdous","given":"Jannatul"},{"family":"Al Banna","given":"Hasan"},{"family":"Ross","given":"Allen G."},{"family":"Mc Millan","given":"Nigel"},{"family":"Sharma","given":"Tarun"},{"family":"Kanchan","given":"Vibhu"},{"family":"Pal Singh","given":"Ajit"},{"family":"Gill","given":"Davinder"},{"family":"Lebens","given":"Michael"},{"family":"Nordqvist","given":"Stefan"},{"family":"Holmgren","given":"Jan"},{"family":"Clemens","given":"John D."},{"family":"Qadri","given":"Firdausi"}],"issued":{"date-parts":[["2021",7,22]]}}}],"schema":"https://github.com/citation-style-language/schema/raw/master/csl-citation.json"}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40–48</w:t>
      </w:r>
      <w:r w:rsidR="00E1583D" w:rsidRPr="002A0251">
        <w:rPr>
          <w:vertAlign w:val="superscript"/>
        </w:rPr>
        <w:fldChar w:fldCharType="end"/>
      </w:r>
      <w:r w:rsidR="00722F43" w:rsidRPr="002A0251">
        <w:rPr>
          <w:rFonts w:hint="eastAsia"/>
        </w:rPr>
        <w:t xml:space="preserve"> </w:t>
      </w:r>
      <w:r w:rsidR="00A42D57">
        <w:rPr>
          <w:rFonts w:hint="eastAsia"/>
        </w:rPr>
        <w:t xml:space="preserve">ranging from </w:t>
      </w:r>
      <w:r w:rsidR="00E1583D" w:rsidRPr="002A0251">
        <w:t>3 to 28 days</w:t>
      </w:r>
      <w:r w:rsidR="00000724" w:rsidRPr="002A0251">
        <w:rPr>
          <w:rFonts w:hint="eastAsia"/>
        </w:rPr>
        <w:t xml:space="preserve"> (most often </w:t>
      </w:r>
      <w:r w:rsidR="00221068" w:rsidRPr="002A0251">
        <w:t>7 to 14 days</w:t>
      </w:r>
      <w:r w:rsidR="00000724" w:rsidRPr="002A0251">
        <w:rPr>
          <w:rFonts w:hint="eastAsia"/>
        </w:rPr>
        <w:t xml:space="preserve">) </w:t>
      </w:r>
      <w:r w:rsidR="00A42D57">
        <w:rPr>
          <w:rFonts w:hint="eastAsia"/>
        </w:rPr>
        <w:t xml:space="preserve">after </w:t>
      </w:r>
      <w:r w:rsidR="00000724" w:rsidRPr="002A0251">
        <w:rPr>
          <w:rFonts w:hint="eastAsia"/>
        </w:rPr>
        <w:t xml:space="preserve">the first </w:t>
      </w:r>
      <w:r w:rsidR="00E1583D" w:rsidRPr="002A0251">
        <w:t xml:space="preserve">dose </w:t>
      </w:r>
      <w:r w:rsidR="00A42D57">
        <w:rPr>
          <w:rFonts w:hint="eastAsia"/>
        </w:rPr>
        <w:t>of</w:t>
      </w:r>
      <w:r w:rsidR="00E1583D" w:rsidRPr="002A0251">
        <w:t xml:space="preserve"> a two-dose </w:t>
      </w:r>
      <w:r w:rsidR="00EA7B2D" w:rsidRPr="002A0251">
        <w:t>regimen</w:t>
      </w:r>
      <w:r w:rsidR="00E1583D" w:rsidRPr="002A0251">
        <w:rPr>
          <w:vertAlign w:val="superscript"/>
        </w:rPr>
        <w:fldChar w:fldCharType="begin"/>
      </w:r>
      <w:r w:rsidR="00492FC8" w:rsidRPr="002A0251">
        <w:rPr>
          <w:vertAlign w:val="superscript"/>
        </w:rPr>
        <w:instrText xml:space="preserve"> ADDIN ZOTERO_ITEM CSL_CITATION {"citationID":"jjgfrtW4","properties":{"formattedCitation":"\\super 40,42\\uc0\\u8211{}45\\nosupersub{}","plainCitation":"40,42–45","noteIndex":0},"citationItems":[{"id":"ybNQHeeS/QPCERrT2","uris":["http://zotero.org/users/local/xDVOxgbN/items/885T83T7"],"itemData":{"id":28,"type":"article-journal","abstract":"Cholera is a diarrheal disease caused by Vibrio cholerae that continues to be a major public health concern in populations without access to safe water. IgG- and IgA-secreting memory B cells (MBC) targeting the V. cholerae O-specific polysaccharide (OSP) correlate with protection from infection in persons exposed to V. cholerae and may be a major determinant of long-term protection against cholera. Shanchol, a widely used oral cholera vaccine (OCV), stimulates OSP MBC responses in only some people after vaccination, and the gut microbiota is a possible determinant of variable immune responses observed after OCV. Using 16S rRNA sequencing of feces from the time of vaccination, we compared the gut microbiota among adults with and without MBC responses to OCV. Gut microbial diversity measures were not associated with MBC isotype or OSP-specific responses, but individuals with a higher abundance of Clostridiales and lower abundance of Enterobacterales were more likely to develop an MBC response. We applied protein-normalized fecal supernatants of high and low MBC responders to THP-1-derived human macrophages to investigate the effect of microbial factors at the time of vaccination. Feces from individuals with higher MBC responses induced significantly different IL-1β and IL-6 levels than individuals with lower responses, indicating that the gut microbiota at the time of vaccination may \"prime\" the mucosal immune response to vaccine antigens. Our results suggest the gut microbiota could impact immune responses to OCVs, and further study of microbial metabolites as potential vaccine adjuvants is warranted.","container-title":"Infection and Immunity","DOI":"10.1128/IAI.00217-21","ISSN":"1098-5522","issue":"9","journalAbbreviation":"Infect Immun","language":"eng","note":"PMID: 34228490\nPMCID: PMC8370679","page":"e0021721","source":"PubMed","title":"Gut Microbiota and Development of Vibrio cholerae-Specific Long-Term Memory B Cells in Adults after Whole-Cell Killed Oral Cholera Vaccine","volume":"89","author":[{"family":"Chac","given":"Denise"},{"family":"Bhuiyan","given":"Taufiqur R."},{"family":"Saha","given":"Amit"},{"family":"Alam","given":"Mohammad M."},{"family":"Salma","given":"Umme"},{"family":"Jahan","given":"Nusrat"},{"family":"Chowdhury","given":"Fahima"},{"family":"Khan","given":"Ashraful I."},{"family":"Ryan","given":"Edward T."},{"family":"LaRocque","given":"Regina"},{"family":"Harris","given":"Jason B."},{"family":"Qadri","given":"Firdausi"},{"family":"Weil","given":"Ana A."}],"issued":{"date-parts":[["2021",8,16]]}}},{"id":"ybNQHeeS/muUeC1E8","uris":["http://zotero.org/users/local/xDVOxgbN/items/VMBJ3ILL"],"itemData":{"id":4,"type":"article-journal","abstract":"INTRODUCTION: In cholera endemic areas, the periodicity of cholera outbreaks remains unpredictable, making it difficult to organize preventive efforts. Lack of data on duration of protection conferred by oral cholera vaccines further makes it difficult to determine when to deploy preemptive vaccination. We report on the immunogenicity and waning of immunity to Shanchol™ in Lukanga Swamps.\nMETHODS: We enrolled a cohort of 223 participants aged between 18 and 65 years old from whom serum samples were collected at baseline, day 28 before administration of the second dose, and consecutively at 6, 12, 24, 30, 36, and 48 months. Vibriocidal antibody titres were measured and expressed as geometric mean titres. Box plots and 95% CI were computed at each visit for both Inaba and Ogawa. Seroconversion was defined as a four fold or greater increase in antibody titres compared to baseline titres.\nRESULTS: Overall, seroconversion against V. cholerae Inaba and Ogawa after 1st dose was 35/134 (26%) and 34/134 (25%</w:instrText>
      </w:r>
      <w:r w:rsidR="00492FC8" w:rsidRPr="002A0251">
        <w:rPr>
          <w:rFonts w:hint="eastAsia"/>
          <w:vertAlign w:val="superscript"/>
        </w:rPr>
        <w:instrText xml:space="preserve">) respectively. We observed a statistical difference in seroconversion between the two subgroups of baseline titres (low &lt;80 and high </w:instrText>
      </w:r>
      <w:r w:rsidR="00492FC8" w:rsidRPr="002A0251">
        <w:rPr>
          <w:rFonts w:hint="eastAsia"/>
          <w:vertAlign w:val="superscript"/>
        </w:rPr>
        <w:instrText>≥</w:instrText>
      </w:r>
      <w:r w:rsidR="00492FC8" w:rsidRPr="002A0251">
        <w:rPr>
          <w:rFonts w:hint="eastAsia"/>
          <w:vertAlign w:val="superscript"/>
        </w:rPr>
        <w:instrText>80) for both Inaba (p = 0.02) and Ogawa (p&lt;0.0001). From a baseline of 13.58, anti-Ogawa GMT increased to 21.95 after th</w:instrText>
      </w:r>
      <w:r w:rsidR="00492FC8" w:rsidRPr="002A0251">
        <w:rPr>
          <w:vertAlign w:val="superscript"/>
        </w:rPr>
        <w:instrText>e first dose, but rapidly waned to 14.52, 13.13, and 12.78 at months 6, 12 and 24 respectively, and then increased to 13.21, 18.67 and 23.65 at months 30, 36 and 48 respectively. A similar trend was observed for anti-Inaba GMT across the same time points.\nCONCLUSION: We found that Shanchol™ was immunogenic in our study population and that vibriocidal antibodies may not be a good marker for long-term immunity. The observed rise in titres after 36 months suggests natural exposure, and this may be a critical time window opening for natural transmission in an endemic areas. We recommend re-vaccination at this time point in high risk areas.","container-title":"PloS One","DOI":"10.1371/journal.pone.0262239","ISSN":"1932-6203","issue":"1","journalAbbreviation":"PLoS One","language":"eng","note":"PMID: 34986195\nPMCID: PMC8730422","page":"e0262239","source":"PubMed","title":"Immunogenicity and waning immunity from the oral cholera vaccine (Shanchol™) in adults residing in Lukanga Swamps of Zambia","volume":"17","author":[{"family":"Ng Ombe","given":"Harriet"},{"family":"Simuyandi","given":"Michelo"},{"family":"Mwaba","given":"John"},{"family":"Luchen","given":"Charlie Chaluma"},{"family":"Alabi","given":"Peter"},{"family":"Chilyabanyama","given":"Obvious Nchimunya"},{"family":"Mubanga","given":"Cynthia"},{"family":"Hatyoka","given":"Luiza Miyanda"},{"family":"Muchimba","given":"Mutinta"},{"family":"Bosomprah","given":"Samuel"},{"family":"Chilengi","given":"Roma"},{"family":"Kwenda","given":"Geoffrey"},{"family":"Chisenga","given":"Caroline Cleopatra"}],"issued":{"date-parts":[["2022"]]}}},{"id":"ybNQHeeS/UcUaIMVb","uris":["http://zotero.org/users/local/xDVOxgbN/items/PQEELNWL"],"itemData":{"id":17,"type":"article-journal","abstract":"After the large influx of Rohingya nationals (termed Forcibly Displaced Myanmar National; FDMN) from Rakhine State of Myanmar to Cox's Bazar in Bangladesh, it was apparent that outbreaks of cholera was very likely in this setting where people were living under adverse water and sanitation conditions. Large campaigns of oral cholera vaccine (OCV) were carried out as a preemptive measure to control cholera epidemics. The aim of the study was to evaluate the immune responses of healthy adults and children after administration of two doses of OCV at 14 days interval in FDMN population and compare with the response observed in Bangladeshi's vaccinated earlier. A cross-sectional immunogenicity study was conducted among FDMNs of three age cohort; in adults (18+years; n = 83), in older children (6-17 years; n = 63) and in younger children (1-5 years; n = 80). Capillary blood was collected at three time points to measure vibriocidal antibodies using either plasma or dried blood spot (DBS) specimens. There was a significant increase of responder frequency of vibriocidal antibody titer at day 14 in all groups for Vibrio cholerae O1 (Ogawa/Inaba: adults-64%/64%, older children-70%/89% and younger children-51%/75%). There was no overall difference of vibriocidal antibody titer between FDMN and Bangladeshi population at baseline (p = 0.07-0.08) and at day 14, day 28 in all age groups for both serotypes. The seroconversion rate and geometric mean titer (GMT) of either serotype were comparable using both plasma and DBS specimens. These results showed that OCV is capable of inducing robust immune responses in adults and children among the FDMN population which is comparable to that seen in Bangladeshi participants in different age groups or that reported from other cholera endemic countries. Our results also suggest that the displaced population were exposed to V. cholerae prior to seeking shelter in Bangladesh.","container-title":"PLoS neglected tropical diseases","DOI":"10.1371/journal.pntd.0007989","ISSN":"1935-2735","issue":"3","journalAbbreviation":"PLoS Negl Trop Dis","language":"eng","note":"PMID: 32176695\nPMCID: PMC7075546","page":"e0007989","source":"PubMed","title":"Immunogenicity of a killed bivalent whole cell oral cholera vaccine in forcibly displaced Myanmar nationals in Cox's Bazar, Bangladesh","volume":"14","author":[{"family":"Chowdhury","given":"Fahima"},{"family":"Bhuiyan","given":"Taufiqur Rahman"},{"family":"Akter","given":"Afroza"},{"family":"Bhuiyan","given":"Md Saruar"},{"family":"Khan","given":"Ashraful Islam"},{"family":"Hossain","given":"Motaher"},{"family":"Tauheed","given":"Imam"},{"family":"Ahmed","given":"Tasnuva"},{"family":"Islam","given":"Shaumik"},{"family":"Rafique","given":"Tanzeem Ahmed"},{"family":"Siddique","given":"Shah Alam"},{"family":"Harun","given":"Nabila Binta"},{"family":"Islam","given":"Khaleda"},{"family":"Clemens","given":"John D."},{"family":"Qadri","given":"Firdausi"}],"issued":{"date-parts":[["2020",3]]}}},{"id":"ybNQHeeS/PXjaUVxy","uris":["http://zotero.org/users/local/xDVOxgbN/items/ZG8J3XZ6"],"itemData":{"id":20,"type":"article-journal","container-title":"PLOS ONE","DOI":"10.1371/journal.pone.0218033","ISSN":"1932-6203","issue":"6","journalAbbreviation":"PLoS ONE","language":"en","page":"e0218033","source":"DOI.org (Crossref)","title":"Safety and immunogenicity of a killed bivalent (O1 and O139) whole-cell oral cholera vaccine in adults and children in Vellore, South India","volume":"14","author":[{"family":"Raghava Mohan","given":"Venkata"},{"family":"Raj","given":"Santosh"},{"family":"Dhingra","given":"Mandeep Singh"},{"family":"Aloysia D’Cor","given":"Naveena"},{"family":"Singh","given":"Ajit Pal"},{"family":"Saluja","given":"Tarun"},{"family":"Kim","given":"Deok Ryun"},{"family":"Midde","given":"Venkat Jayanth"},{"family":"Kim","given":"Yanghee"},{"family":"Vemula","given":"Sridhar"},{"family":"Narla","given":"Santhosh Kumar"},{"family":"Sah","given":"Binod"},{"family":"Ali","given":"Mohammad"}],"editor":[{"family":"Borrow","given":"Ray"}],"issued":{"date-parts":[["2019",6,18]]}}},{"id":"ybNQHeeS/VVxZNUpf","uris":["http://zotero.org/users/local/xDVOxgbN/items/TP75RAGU"],"itemData":{"id":22,"type":"article-journal","abstract":"BACKGROUND: Studies of the immunogenicity of the killed bivalent whole cell oral cholera vaccine, Shanchol, have been performed in historically cholera-endemic areas of Asia. There is a need to assess the immunogenicity of the vaccine in Haiti and other populations without historical exposure to Vibrio cholerae.\nMETHODOLOGY/PRINCIPAL FINDINGS: We measured immune res</w:instrText>
      </w:r>
      <w:r w:rsidR="00492FC8" w:rsidRPr="002A0251">
        <w:rPr>
          <w:rFonts w:hint="eastAsia"/>
          <w:vertAlign w:val="superscript"/>
        </w:rPr>
        <w:instrText>ponses after administration of Shanchol, in 25 adults, 51 older children (6-17 years), and 47 younger children (1-5 years) in Haiti, where cholera was introduced in 2010. A</w:instrText>
      </w:r>
      <w:r w:rsidR="00492FC8" w:rsidRPr="002A0251">
        <w:rPr>
          <w:rFonts w:hint="eastAsia"/>
          <w:vertAlign w:val="superscript"/>
        </w:rPr>
        <w:instrText>≥</w:instrText>
      </w:r>
      <w:r w:rsidR="00492FC8" w:rsidRPr="002A0251">
        <w:rPr>
          <w:rFonts w:hint="eastAsia"/>
          <w:vertAlign w:val="superscript"/>
        </w:rPr>
        <w:instrText>4-fold increase in vibriocidal antibody titer against V. cholerae O1 Ogawa was observed in 91% of adults, 74% of older children, and 73% of younger children after two doses of Shanchol; similar responses were observed against the Inaba serotype. A</w:instrText>
      </w:r>
      <w:r w:rsidR="00492FC8" w:rsidRPr="002A0251">
        <w:rPr>
          <w:rFonts w:hint="eastAsia"/>
          <w:vertAlign w:val="superscript"/>
        </w:rPr>
        <w:instrText>≥</w:instrText>
      </w:r>
      <w:r w:rsidR="00492FC8" w:rsidRPr="002A0251">
        <w:rPr>
          <w:rFonts w:hint="eastAsia"/>
          <w:vertAlign w:val="superscript"/>
        </w:rPr>
        <w:instrText>2-fold increase in serum O-antigen specific polysaccharide IgA antibody levels against V.</w:instrText>
      </w:r>
      <w:r w:rsidR="00492FC8" w:rsidRPr="002A0251">
        <w:rPr>
          <w:vertAlign w:val="superscript"/>
        </w:rPr>
        <w:instrText xml:space="preserve"> cholerae O1 Ogawa was observed in 59% of adults, 45% of older children, and 61% of younger children; similar responses were observed against the Inaba serotype. We compared immune responses in Haitian individuals with age- and blood group-matched individuals from Bangladesh, a historically cholera-endemic area. The geometric mean vibriocidal titers after the first dose of vaccine were lower in Haitian than in Bangladeshi vaccinees. However, the mean vibriocidal titers did not differ between the two groups after the second dose of the vaccine.\nCONCLUSIONS/SIGNIFICANCE: A killed bivalent whole cell oral cholera vaccine, Shanchol, is highly immunogenic in Haitian adults and children. A two-dose regimen may be important in Haiti, and other populations lacking previous repeated exposures to V. cholerae.","container-title":"PLoS neglected tropical diseases","DOI":"10.1371/journal.pntd.0002828","ISSN":"1935-2735","issue":"5","journalAbbreviation":"PLoS Negl Trop Dis","language":"eng","note":"PMID: 24786645\nPMCID: PMC4006712","page":"e2828","source":"PubMed","title":"Immunogenicity of a killed bivalent (O1 and O139) whole cell oral cholera vaccine, Shanchol, in Haiti","volume":"8","author":[{"family":"Charles","given":"Richelle C."},{"family":"Hilaire","given":"Isabelle J."},{"family":"Mayo-Smith","given":"Leslie M."},{"family":"Teng","given":"Jessica E."},{"family":"Jerome","given":"J. Gregory"},{"family":"Franke","given":"Molly F."},{"family":"Saha","given":"Amit"},{"family":"Yu","given":"Yanan"},{"family":"Kováč","given":"Paul"},{"family":"Calderwood","given":"Stephen B."},{"family":"Ryan","given":"Edward T."},{"family":"LaRocque","given":"Regina C."},{"family":"Almazor","given":"Charles P."},{"family":"Qadri","given":"Firdausi"},{"family":"Ivers","given":"Louise C."},{"family":"Harris","given":"Jason B."}],"issued":{"date-parts":[["2014",5]]}}}],"schema":"https://github.com/citation-style-language/schema/raw/master/csl-citation.json"} </w:instrText>
      </w:r>
      <w:r w:rsidR="00E1583D" w:rsidRPr="002A0251">
        <w:rPr>
          <w:vertAlign w:val="superscript"/>
        </w:rPr>
        <w:fldChar w:fldCharType="separate"/>
      </w:r>
      <w:r w:rsidR="00492FC8" w:rsidRPr="002A0251">
        <w:rPr>
          <w:rFonts w:cs="Times New Roman"/>
          <w:vertAlign w:val="superscript"/>
        </w:rPr>
        <w:t>40,42–45</w:t>
      </w:r>
      <w:r w:rsidR="00E1583D" w:rsidRPr="002A0251">
        <w:rPr>
          <w:vertAlign w:val="superscript"/>
        </w:rPr>
        <w:fldChar w:fldCharType="end"/>
      </w:r>
      <w:r w:rsidR="00BA5EA7" w:rsidRPr="002A0251">
        <w:t xml:space="preserve"> (</w:t>
      </w:r>
      <w:r w:rsidR="00363CA5" w:rsidRPr="002A0251">
        <w:t xml:space="preserve">Supplementary Information </w:t>
      </w:r>
      <w:r w:rsidR="00C3213E" w:rsidRPr="002A0251">
        <w:rPr>
          <w:b/>
          <w:bCs/>
        </w:rPr>
        <w:t>S</w:t>
      </w:r>
      <w:r w:rsidR="005623EE">
        <w:rPr>
          <w:rFonts w:hint="eastAsia"/>
          <w:b/>
          <w:bCs/>
        </w:rPr>
        <w:t>4</w:t>
      </w:r>
      <w:r w:rsidR="00BA5EA7" w:rsidRPr="002A0251">
        <w:t>)</w:t>
      </w:r>
      <w:r w:rsidR="00EA7B2D" w:rsidRPr="002A0251">
        <w:t xml:space="preserve">. </w:t>
      </w:r>
    </w:p>
    <w:p w14:paraId="26D6E135" w14:textId="77777777" w:rsidR="00CC549A" w:rsidRPr="002A0251" w:rsidRDefault="00CC549A" w:rsidP="00F57F15"/>
    <w:p w14:paraId="6A131D4B" w14:textId="0B0A50B6" w:rsidR="00984293" w:rsidRPr="002A0251" w:rsidRDefault="00984293" w:rsidP="00F57F15">
      <w:r w:rsidRPr="002A0251">
        <w:rPr>
          <w:b/>
        </w:rPr>
        <w:t>Table 2</w:t>
      </w:r>
      <w:r w:rsidRPr="002A0251">
        <w:t xml:space="preserve">. </w:t>
      </w:r>
      <w:r w:rsidR="00576A40" w:rsidRPr="002A0251">
        <w:rPr>
          <w:rFonts w:hint="eastAsia"/>
        </w:rPr>
        <w:t xml:space="preserve">Model settings for ORI (single-dose </w:t>
      </w:r>
      <w:r w:rsidRPr="002A0251">
        <w:t>OCV campaign</w:t>
      </w:r>
      <w:r w:rsidR="00576A40" w:rsidRPr="002A0251">
        <w:rPr>
          <w:rFonts w:hint="eastAsia"/>
        </w:rPr>
        <w:t>)</w:t>
      </w:r>
      <w:r w:rsidRPr="002A0251">
        <w:t xml:space="preserve"> settings</w:t>
      </w:r>
    </w:p>
    <w:tbl>
      <w:tblPr>
        <w:tblW w:w="944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80"/>
        <w:gridCol w:w="7560"/>
      </w:tblGrid>
      <w:tr w:rsidR="0091006A" w:rsidRPr="002A0251" w14:paraId="171316E9" w14:textId="77777777" w:rsidTr="00E01854">
        <w:tc>
          <w:tcPr>
            <w:tcW w:w="1880" w:type="dxa"/>
            <w:tcMar>
              <w:top w:w="100" w:type="dxa"/>
              <w:left w:w="100" w:type="dxa"/>
              <w:bottom w:w="100" w:type="dxa"/>
              <w:right w:w="100" w:type="dxa"/>
            </w:tcMar>
          </w:tcPr>
          <w:p w14:paraId="7A57B849" w14:textId="77777777" w:rsidR="00984293" w:rsidRPr="002A0251" w:rsidRDefault="00984293" w:rsidP="00C34272">
            <w:pPr>
              <w:spacing w:line="240" w:lineRule="auto"/>
            </w:pPr>
            <w:r w:rsidRPr="002A0251">
              <w:t>OCV campaign feature</w:t>
            </w:r>
          </w:p>
        </w:tc>
        <w:tc>
          <w:tcPr>
            <w:tcW w:w="7560" w:type="dxa"/>
            <w:tcMar>
              <w:top w:w="100" w:type="dxa"/>
              <w:left w:w="100" w:type="dxa"/>
              <w:bottom w:w="100" w:type="dxa"/>
              <w:right w:w="100" w:type="dxa"/>
            </w:tcMar>
            <w:vAlign w:val="center"/>
          </w:tcPr>
          <w:p w14:paraId="1245B3E5" w14:textId="1A0B7137" w:rsidR="00984293" w:rsidRPr="002A0251" w:rsidRDefault="00984293" w:rsidP="00C34272">
            <w:pPr>
              <w:spacing w:line="240" w:lineRule="auto"/>
            </w:pPr>
            <w:r w:rsidRPr="002A0251">
              <w:t xml:space="preserve">Model settings that </w:t>
            </w:r>
            <w:r w:rsidR="007658FC" w:rsidRPr="002A0251">
              <w:t>wer</w:t>
            </w:r>
            <w:r w:rsidRPr="002A0251">
              <w:t>e tested</w:t>
            </w:r>
          </w:p>
        </w:tc>
      </w:tr>
      <w:tr w:rsidR="004669B4" w:rsidRPr="002A0251" w14:paraId="4A13A8D9" w14:textId="77777777" w:rsidTr="00C34272">
        <w:trPr>
          <w:trHeight w:val="546"/>
        </w:trPr>
        <w:tc>
          <w:tcPr>
            <w:tcW w:w="1880" w:type="dxa"/>
            <w:tcMar>
              <w:top w:w="100" w:type="dxa"/>
              <w:left w:w="100" w:type="dxa"/>
              <w:bottom w:w="100" w:type="dxa"/>
              <w:right w:w="100" w:type="dxa"/>
            </w:tcMar>
          </w:tcPr>
          <w:p w14:paraId="1FA027BF" w14:textId="09911AB7" w:rsidR="004669B4" w:rsidRPr="002A0251" w:rsidRDefault="004669B4" w:rsidP="00C34272">
            <w:pPr>
              <w:spacing w:line="240" w:lineRule="auto"/>
            </w:pPr>
            <w:r w:rsidRPr="002A0251">
              <w:t>Campaign coverage</w:t>
            </w:r>
          </w:p>
        </w:tc>
        <w:tc>
          <w:tcPr>
            <w:tcW w:w="7560" w:type="dxa"/>
            <w:tcMar>
              <w:top w:w="100" w:type="dxa"/>
              <w:left w:w="100" w:type="dxa"/>
              <w:bottom w:w="100" w:type="dxa"/>
              <w:right w:w="100" w:type="dxa"/>
            </w:tcMar>
          </w:tcPr>
          <w:p w14:paraId="5E2199BC" w14:textId="75EF8121" w:rsidR="004669B4" w:rsidRPr="002A0251" w:rsidRDefault="00195CA7" w:rsidP="00C34272">
            <w:pPr>
              <w:spacing w:line="240" w:lineRule="auto"/>
            </w:pPr>
            <w:r w:rsidRPr="002A0251">
              <w:t>Target</w:t>
            </w:r>
            <w:r w:rsidR="00381B46">
              <w:rPr>
                <w:rFonts w:hint="eastAsia"/>
              </w:rPr>
              <w:t xml:space="preserve"> population included the entire</w:t>
            </w:r>
            <w:r w:rsidRPr="002A0251">
              <w:t xml:space="preserve"> population of the affected administrative </w:t>
            </w:r>
            <w:r w:rsidR="00381B46">
              <w:rPr>
                <w:rFonts w:hint="eastAsia"/>
              </w:rPr>
              <w:t>unit</w:t>
            </w:r>
            <w:r w:rsidRPr="002A0251">
              <w:t xml:space="preserve">. </w:t>
            </w:r>
            <w:r w:rsidR="00381B46">
              <w:rPr>
                <w:rFonts w:hint="eastAsia"/>
              </w:rPr>
              <w:t>Three c</w:t>
            </w:r>
            <w:r w:rsidRPr="002A0251">
              <w:t xml:space="preserve">overage </w:t>
            </w:r>
            <w:r w:rsidR="00381B46">
              <w:rPr>
                <w:rFonts w:hint="eastAsia"/>
              </w:rPr>
              <w:t xml:space="preserve">levels were modeled: </w:t>
            </w:r>
            <w:r w:rsidRPr="002A0251">
              <w:t xml:space="preserve">60%, 75%, </w:t>
            </w:r>
            <w:r w:rsidR="00381B46">
              <w:rPr>
                <w:rFonts w:hint="eastAsia"/>
              </w:rPr>
              <w:t>and</w:t>
            </w:r>
            <w:r w:rsidRPr="002A0251">
              <w:t xml:space="preserve"> 90%.</w:t>
            </w:r>
          </w:p>
        </w:tc>
      </w:tr>
      <w:tr w:rsidR="004669B4" w:rsidRPr="00381B46" w14:paraId="55B0D3A7" w14:textId="77777777" w:rsidTr="00A020EF">
        <w:trPr>
          <w:trHeight w:val="1446"/>
        </w:trPr>
        <w:tc>
          <w:tcPr>
            <w:tcW w:w="1880" w:type="dxa"/>
            <w:tcMar>
              <w:top w:w="100" w:type="dxa"/>
              <w:left w:w="100" w:type="dxa"/>
              <w:bottom w:w="100" w:type="dxa"/>
              <w:right w:w="100" w:type="dxa"/>
            </w:tcMar>
          </w:tcPr>
          <w:p w14:paraId="52629D65" w14:textId="3DDC7D09" w:rsidR="004669B4" w:rsidRPr="002A0251" w:rsidRDefault="004669B4" w:rsidP="00C34272">
            <w:pPr>
              <w:spacing w:line="240" w:lineRule="auto"/>
              <w:rPr>
                <w:rFonts w:eastAsia="Aptos"/>
              </w:rPr>
            </w:pPr>
            <w:r w:rsidRPr="002A0251">
              <w:t>Campaign triggers</w:t>
            </w:r>
          </w:p>
        </w:tc>
        <w:tc>
          <w:tcPr>
            <w:tcW w:w="7560" w:type="dxa"/>
            <w:tcMar>
              <w:top w:w="100" w:type="dxa"/>
              <w:left w:w="100" w:type="dxa"/>
              <w:bottom w:w="100" w:type="dxa"/>
              <w:right w:w="100" w:type="dxa"/>
            </w:tcMar>
          </w:tcPr>
          <w:p w14:paraId="44715545" w14:textId="12611064" w:rsidR="00195CA7" w:rsidRPr="002A0251" w:rsidRDefault="00195CA7" w:rsidP="00195CA7">
            <w:pPr>
              <w:spacing w:line="240" w:lineRule="auto"/>
            </w:pPr>
            <w:r w:rsidRPr="002A0251">
              <w:rPr>
                <w:rFonts w:hint="eastAsia"/>
              </w:rPr>
              <w:t>(</w:t>
            </w:r>
            <w:proofErr w:type="spellStart"/>
            <w:r w:rsidRPr="002A0251">
              <w:rPr>
                <w:rFonts w:hint="eastAsia"/>
              </w:rPr>
              <w:t>i</w:t>
            </w:r>
            <w:proofErr w:type="spellEnd"/>
            <w:r w:rsidRPr="002A0251">
              <w:rPr>
                <w:rFonts w:hint="eastAsia"/>
              </w:rPr>
              <w:t xml:space="preserve">) </w:t>
            </w:r>
            <w:r w:rsidRPr="002A0251">
              <w:t xml:space="preserve">Outbreak onset–triggered: </w:t>
            </w:r>
            <w:r w:rsidR="00381B46">
              <w:rPr>
                <w:rFonts w:hint="eastAsia"/>
              </w:rPr>
              <w:t>ORI i</w:t>
            </w:r>
            <w:r w:rsidRPr="002A0251">
              <w:t xml:space="preserve">nitiated </w:t>
            </w:r>
            <w:r w:rsidR="005623EE">
              <w:rPr>
                <w:rFonts w:hint="eastAsia"/>
              </w:rPr>
              <w:t xml:space="preserve">in </w:t>
            </w:r>
            <w:r w:rsidRPr="002A0251">
              <w:t>1</w:t>
            </w:r>
            <w:r w:rsidR="005623EE">
              <w:rPr>
                <w:rFonts w:hint="eastAsia"/>
              </w:rPr>
              <w:t>-15</w:t>
            </w:r>
            <w:r w:rsidRPr="002A0251">
              <w:t xml:space="preserve"> weeks </w:t>
            </w:r>
            <w:r w:rsidR="00381B46">
              <w:rPr>
                <w:rFonts w:hint="eastAsia"/>
              </w:rPr>
              <w:t>after outbreak onset</w:t>
            </w:r>
            <w:r w:rsidRPr="002A0251">
              <w:t>, in 1-week increments; implementation set at the midpoint of the specified week.</w:t>
            </w:r>
          </w:p>
          <w:p w14:paraId="3B520C5B" w14:textId="5D1A2AB2" w:rsidR="004669B4" w:rsidRPr="002A0251" w:rsidRDefault="00195CA7" w:rsidP="00195CA7">
            <w:pPr>
              <w:spacing w:line="240" w:lineRule="auto"/>
              <w:rPr>
                <w:lang w:val="en-US"/>
              </w:rPr>
            </w:pPr>
            <w:r w:rsidRPr="002A0251">
              <w:rPr>
                <w:rFonts w:hint="eastAsia"/>
              </w:rPr>
              <w:t xml:space="preserve">(ii) </w:t>
            </w:r>
            <w:r w:rsidRPr="002A0251">
              <w:t xml:space="preserve">Case-triggered: </w:t>
            </w:r>
            <w:r w:rsidR="00381B46">
              <w:rPr>
                <w:rFonts w:hint="eastAsia"/>
              </w:rPr>
              <w:t>ORI i</w:t>
            </w:r>
            <w:r w:rsidRPr="002A0251">
              <w:t xml:space="preserve">nitiated once cumulative cases reached a predefined threshold (1, </w:t>
            </w:r>
            <w:r w:rsidR="000A52C9">
              <w:rPr>
                <w:rFonts w:hint="eastAsia"/>
              </w:rPr>
              <w:t xml:space="preserve">5, </w:t>
            </w:r>
            <w:r w:rsidRPr="002A0251">
              <w:t xml:space="preserve">10, </w:t>
            </w:r>
            <w:r w:rsidR="000A52C9">
              <w:rPr>
                <w:rFonts w:hint="eastAsia"/>
              </w:rPr>
              <w:t>30</w:t>
            </w:r>
            <w:r w:rsidRPr="002A0251">
              <w:t xml:space="preserve">, </w:t>
            </w:r>
            <w:r w:rsidR="000A52C9">
              <w:rPr>
                <w:rFonts w:hint="eastAsia"/>
              </w:rPr>
              <w:t>50, 70</w:t>
            </w:r>
            <w:r w:rsidRPr="002A0251">
              <w:t>,</w:t>
            </w:r>
            <w:r w:rsidR="000A52C9">
              <w:rPr>
                <w:rFonts w:hint="eastAsia"/>
              </w:rPr>
              <w:t xml:space="preserve"> 90</w:t>
            </w:r>
            <w:r w:rsidRPr="002A0251">
              <w:t xml:space="preserve">, </w:t>
            </w:r>
            <w:r w:rsidR="000A52C9">
              <w:rPr>
                <w:rFonts w:hint="eastAsia"/>
              </w:rPr>
              <w:t xml:space="preserve">140, 190, 240, </w:t>
            </w:r>
            <w:r w:rsidRPr="002A0251">
              <w:t>2</w:t>
            </w:r>
            <w:r w:rsidR="000A52C9">
              <w:rPr>
                <w:rFonts w:hint="eastAsia"/>
              </w:rPr>
              <w:t>9</w:t>
            </w:r>
            <w:r w:rsidRPr="002A0251">
              <w:t>0</w:t>
            </w:r>
            <w:r w:rsidR="00381B46">
              <w:rPr>
                <w:rFonts w:hint="eastAsia"/>
              </w:rPr>
              <w:t xml:space="preserve"> cases</w:t>
            </w:r>
            <w:r w:rsidRPr="002A0251">
              <w:t>), followed by an additional 1–</w:t>
            </w:r>
            <w:proofErr w:type="gramStart"/>
            <w:r w:rsidR="000A52C9">
              <w:rPr>
                <w:rFonts w:hint="eastAsia"/>
              </w:rPr>
              <w:t>15</w:t>
            </w:r>
            <w:r w:rsidRPr="002A0251">
              <w:t xml:space="preserve"> week</w:t>
            </w:r>
            <w:proofErr w:type="gramEnd"/>
            <w:r w:rsidRPr="002A0251">
              <w:t xml:space="preserve"> implementation delay.</w:t>
            </w:r>
          </w:p>
        </w:tc>
      </w:tr>
      <w:tr w:rsidR="004669B4" w:rsidRPr="002A0251" w14:paraId="3DB88106" w14:textId="77777777" w:rsidTr="00C34272">
        <w:trPr>
          <w:trHeight w:val="393"/>
        </w:trPr>
        <w:tc>
          <w:tcPr>
            <w:tcW w:w="1880" w:type="dxa"/>
            <w:tcMar>
              <w:top w:w="100" w:type="dxa"/>
              <w:left w:w="100" w:type="dxa"/>
              <w:bottom w:w="100" w:type="dxa"/>
              <w:right w:w="100" w:type="dxa"/>
            </w:tcMar>
          </w:tcPr>
          <w:p w14:paraId="0601C861" w14:textId="35579AC2" w:rsidR="004669B4" w:rsidRPr="002A0251" w:rsidRDefault="004669B4" w:rsidP="00C34272">
            <w:pPr>
              <w:spacing w:line="240" w:lineRule="auto"/>
            </w:pPr>
            <w:r w:rsidRPr="002A0251">
              <w:t>Vaccination round</w:t>
            </w:r>
            <w:r w:rsidR="00195CA7" w:rsidRPr="002A0251">
              <w:rPr>
                <w:rFonts w:hint="eastAsia"/>
              </w:rPr>
              <w:t>s</w:t>
            </w:r>
          </w:p>
        </w:tc>
        <w:tc>
          <w:tcPr>
            <w:tcW w:w="7560" w:type="dxa"/>
            <w:tcMar>
              <w:top w:w="100" w:type="dxa"/>
              <w:left w:w="100" w:type="dxa"/>
              <w:bottom w:w="100" w:type="dxa"/>
              <w:right w:w="100" w:type="dxa"/>
            </w:tcMar>
          </w:tcPr>
          <w:p w14:paraId="0D70DC1A" w14:textId="6642209E" w:rsidR="004669B4" w:rsidRPr="002A0251" w:rsidRDefault="00381B46" w:rsidP="00C34272">
            <w:pPr>
              <w:spacing w:line="240" w:lineRule="auto"/>
            </w:pPr>
            <w:r>
              <w:rPr>
                <w:rFonts w:hint="eastAsia"/>
              </w:rPr>
              <w:t>Single-roun</w:t>
            </w:r>
            <w:r w:rsidR="00195CA7" w:rsidRPr="002A0251">
              <w:rPr>
                <w:rFonts w:hint="eastAsia"/>
              </w:rPr>
              <w:t>d vaccination</w:t>
            </w:r>
            <w:r>
              <w:rPr>
                <w:rFonts w:hint="eastAsia"/>
              </w:rPr>
              <w:t xml:space="preserve"> </w:t>
            </w:r>
            <w:r w:rsidR="00195CA7" w:rsidRPr="002A0251">
              <w:rPr>
                <w:rFonts w:hint="eastAsia"/>
              </w:rPr>
              <w:t>campa</w:t>
            </w:r>
            <w:r w:rsidR="004F7FEF" w:rsidRPr="002A0251">
              <w:rPr>
                <w:rFonts w:hint="eastAsia"/>
              </w:rPr>
              <w:t>ig</w:t>
            </w:r>
            <w:r w:rsidR="00195CA7" w:rsidRPr="002A0251">
              <w:rPr>
                <w:rFonts w:hint="eastAsia"/>
              </w:rPr>
              <w:t>n</w:t>
            </w:r>
            <w:r>
              <w:rPr>
                <w:rFonts w:hint="eastAsia"/>
              </w:rPr>
              <w:t xml:space="preserve"> per outbreak</w:t>
            </w:r>
          </w:p>
        </w:tc>
      </w:tr>
      <w:tr w:rsidR="00195CA7" w:rsidRPr="002A0251" w14:paraId="73E2D6B6" w14:textId="77777777" w:rsidTr="00C34272">
        <w:trPr>
          <w:trHeight w:val="393"/>
        </w:trPr>
        <w:tc>
          <w:tcPr>
            <w:tcW w:w="1880" w:type="dxa"/>
            <w:tcMar>
              <w:top w:w="100" w:type="dxa"/>
              <w:left w:w="100" w:type="dxa"/>
              <w:bottom w:w="100" w:type="dxa"/>
              <w:right w:w="100" w:type="dxa"/>
            </w:tcMar>
          </w:tcPr>
          <w:p w14:paraId="4C7DCDFF" w14:textId="03A33618" w:rsidR="00195CA7" w:rsidRPr="002A0251" w:rsidRDefault="00195CA7" w:rsidP="00C34272">
            <w:pPr>
              <w:spacing w:line="240" w:lineRule="auto"/>
            </w:pPr>
            <w:r w:rsidRPr="002A0251">
              <w:rPr>
                <w:rFonts w:hint="eastAsia"/>
              </w:rPr>
              <w:t>Outbreak data</w:t>
            </w:r>
          </w:p>
        </w:tc>
        <w:tc>
          <w:tcPr>
            <w:tcW w:w="7560" w:type="dxa"/>
            <w:tcMar>
              <w:top w:w="100" w:type="dxa"/>
              <w:left w:w="100" w:type="dxa"/>
              <w:bottom w:w="100" w:type="dxa"/>
              <w:right w:w="100" w:type="dxa"/>
            </w:tcMar>
          </w:tcPr>
          <w:p w14:paraId="11548E46" w14:textId="137FCF85" w:rsidR="00195CA7" w:rsidRPr="002A0251" w:rsidRDefault="00381B46" w:rsidP="00C34272">
            <w:pPr>
              <w:spacing w:line="240" w:lineRule="auto"/>
            </w:pPr>
            <w:r w:rsidRPr="00381B46">
              <w:t>Analyses performed at both the individual-outbreak level and in aggregated subsets selected by outbreak characteristics, including attack rate, duration, size, and case-fatality ratio.</w:t>
            </w:r>
          </w:p>
        </w:tc>
      </w:tr>
    </w:tbl>
    <w:p w14:paraId="29AB9BF4" w14:textId="7E2AA71E" w:rsidR="00C75641" w:rsidRPr="002A0251" w:rsidRDefault="00AB0EE1" w:rsidP="00F57F15">
      <w:pPr>
        <w:pStyle w:val="Heading3"/>
      </w:pPr>
      <w:bookmarkStart w:id="23" w:name="_Toc184909203"/>
      <w:r w:rsidRPr="002A0251">
        <w:t>Cost-effectiveness analysis</w:t>
      </w:r>
      <w:bookmarkStart w:id="24" w:name="_heading=h.2jxsxqh" w:colFirst="0" w:colLast="0"/>
      <w:bookmarkEnd w:id="23"/>
      <w:bookmarkEnd w:id="24"/>
    </w:p>
    <w:p w14:paraId="0ACC3EC3" w14:textId="03C319C8" w:rsidR="005601C2" w:rsidRPr="002A0251" w:rsidRDefault="00A42D57" w:rsidP="00F57F15">
      <w:r>
        <w:rPr>
          <w:rFonts w:hint="eastAsia"/>
        </w:rPr>
        <w:t>C</w:t>
      </w:r>
      <w:r w:rsidR="00F903D5" w:rsidRPr="002A0251">
        <w:t xml:space="preserve">ost-effectiveness </w:t>
      </w:r>
      <w:r>
        <w:rPr>
          <w:rFonts w:hint="eastAsia"/>
        </w:rPr>
        <w:t xml:space="preserve">was assessed </w:t>
      </w:r>
      <w:r w:rsidR="00C11B09">
        <w:rPr>
          <w:rFonts w:hint="eastAsia"/>
        </w:rPr>
        <w:t xml:space="preserve">as </w:t>
      </w:r>
      <w:r w:rsidR="00F903D5" w:rsidRPr="002A0251">
        <w:t xml:space="preserve">the cost per case, death, and DALY averted. </w:t>
      </w:r>
      <w:r w:rsidR="00AD04D5" w:rsidRPr="007D7E07">
        <w:rPr>
          <w:rFonts w:hint="eastAsia"/>
          <w:highlight w:val="yellow"/>
        </w:rPr>
        <w:t xml:space="preserve">Cost estimates were based on a </w:t>
      </w:r>
      <w:r w:rsidR="00422D17" w:rsidRPr="007D7E07">
        <w:rPr>
          <w:highlight w:val="yellow"/>
        </w:rPr>
        <w:t>literature review</w:t>
      </w:r>
      <w:r w:rsidR="007C178B" w:rsidRPr="007D7E07">
        <w:rPr>
          <w:rFonts w:hint="eastAsia"/>
          <w:highlight w:val="yellow"/>
        </w:rPr>
        <w:t xml:space="preserve"> </w:t>
      </w:r>
      <w:r w:rsidR="00422D17" w:rsidRPr="007D7E07">
        <w:rPr>
          <w:highlight w:val="yellow"/>
        </w:rPr>
        <w:t>(</w:t>
      </w:r>
      <w:r w:rsidR="007C178B" w:rsidRPr="007D7E07">
        <w:rPr>
          <w:rFonts w:hint="eastAsia"/>
          <w:b/>
          <w:bCs/>
          <w:highlight w:val="yellow"/>
        </w:rPr>
        <w:t>Table 1</w:t>
      </w:r>
      <w:r w:rsidR="007C178B" w:rsidRPr="007D7E07">
        <w:rPr>
          <w:rFonts w:hint="eastAsia"/>
          <w:highlight w:val="yellow"/>
        </w:rPr>
        <w:t xml:space="preserve"> and</w:t>
      </w:r>
      <w:r w:rsidR="00422D17" w:rsidRPr="007D7E07">
        <w:rPr>
          <w:highlight w:val="yellow"/>
        </w:rPr>
        <w:t xml:space="preserve"> Supplementary Material </w:t>
      </w:r>
      <w:r w:rsidR="00422D17" w:rsidRPr="007D7E07">
        <w:rPr>
          <w:b/>
          <w:bCs/>
          <w:highlight w:val="yellow"/>
        </w:rPr>
        <w:t>S</w:t>
      </w:r>
      <w:r w:rsidR="009206B5" w:rsidRPr="007D7E07">
        <w:rPr>
          <w:rFonts w:hint="eastAsia"/>
          <w:b/>
          <w:bCs/>
          <w:highlight w:val="yellow"/>
        </w:rPr>
        <w:t>8</w:t>
      </w:r>
      <w:r w:rsidR="00422D17" w:rsidRPr="007D7E07">
        <w:rPr>
          <w:highlight w:val="yellow"/>
        </w:rPr>
        <w:t>).</w:t>
      </w:r>
      <w:r w:rsidR="00F903D5" w:rsidRPr="002A0251">
        <w:t xml:space="preserve"> </w:t>
      </w:r>
      <w:r w:rsidR="00C11B09">
        <w:rPr>
          <w:rFonts w:hint="eastAsia"/>
        </w:rPr>
        <w:t>W</w:t>
      </w:r>
      <w:r w:rsidR="00F903D5" w:rsidRPr="002A0251">
        <w:t>e adopted a societal perspective</w:t>
      </w:r>
      <w:r w:rsidR="00C11B09">
        <w:rPr>
          <w:rFonts w:hint="eastAsia"/>
        </w:rPr>
        <w:t xml:space="preserve">, including both </w:t>
      </w:r>
      <w:r w:rsidR="00F903D5" w:rsidRPr="002A0251">
        <w:t>direct costs</w:t>
      </w:r>
      <w:r w:rsidR="00422D17" w:rsidRPr="002A0251">
        <w:rPr>
          <w:rFonts w:hint="eastAsia"/>
        </w:rPr>
        <w:t xml:space="preserve"> (e.g., </w:t>
      </w:r>
      <w:r w:rsidR="00F903D5" w:rsidRPr="002A0251">
        <w:t>vaccine procurement and healthcare utilization</w:t>
      </w:r>
      <w:r w:rsidR="00422D17" w:rsidRPr="002A0251">
        <w:rPr>
          <w:rFonts w:hint="eastAsia"/>
        </w:rPr>
        <w:t>)</w:t>
      </w:r>
      <w:r w:rsidR="00F903D5" w:rsidRPr="002A0251">
        <w:t xml:space="preserve"> and indirect costs</w:t>
      </w:r>
      <w:r w:rsidR="00422D17" w:rsidRPr="002A0251">
        <w:rPr>
          <w:rFonts w:hint="eastAsia"/>
        </w:rPr>
        <w:t xml:space="preserve"> (e.g., </w:t>
      </w:r>
      <w:r w:rsidR="00F903D5" w:rsidRPr="002A0251">
        <w:t>productivity losses</w:t>
      </w:r>
      <w:r w:rsidR="00422D17" w:rsidRPr="002A0251">
        <w:rPr>
          <w:rFonts w:hint="eastAsia"/>
        </w:rPr>
        <w:t>)</w:t>
      </w:r>
      <w:r w:rsidR="00F903D5" w:rsidRPr="002A0251">
        <w:t>.</w:t>
      </w:r>
      <w:r w:rsidR="00F903D5" w:rsidRPr="002A0251" w:rsidDel="00A60B50">
        <w:t xml:space="preserve"> </w:t>
      </w:r>
      <w:r w:rsidR="00422D17" w:rsidRPr="002A0251">
        <w:rPr>
          <w:rFonts w:hint="eastAsia"/>
        </w:rPr>
        <w:t>All costs were</w:t>
      </w:r>
      <w:r w:rsidR="005601C2" w:rsidRPr="002A0251">
        <w:t xml:space="preserve"> adjusted to 2023 US</w:t>
      </w:r>
      <w:r w:rsidR="00C11B09">
        <w:rPr>
          <w:rFonts w:hint="eastAsia"/>
        </w:rPr>
        <w:t xml:space="preserve"> dollars, adjusting for inflation using </w:t>
      </w:r>
      <w:r w:rsidR="005601C2" w:rsidRPr="002A0251">
        <w:t>annual consumer price index change</w:t>
      </w:r>
      <w:r w:rsidR="007D5760" w:rsidRPr="002A0251">
        <w:rPr>
          <w:rFonts w:hint="eastAsia"/>
        </w:rPr>
        <w:t xml:space="preserve">s for </w:t>
      </w:r>
      <w:r w:rsidR="00422D17" w:rsidRPr="002A0251">
        <w:t xml:space="preserve">sub-Saharan Africa </w:t>
      </w:r>
      <w:r w:rsidR="00422D17" w:rsidRPr="002A0251">
        <w:rPr>
          <w:rFonts w:hint="eastAsia"/>
        </w:rPr>
        <w:t xml:space="preserve">through </w:t>
      </w:r>
      <w:r w:rsidR="005601C2" w:rsidRPr="002A0251">
        <w:t>2023</w:t>
      </w:r>
      <w:r w:rsidR="009E1BFE" w:rsidRPr="002A0251">
        <w:t>.</w:t>
      </w:r>
      <w:r w:rsidR="005601C2" w:rsidRPr="002A0251">
        <w:fldChar w:fldCharType="begin"/>
      </w:r>
      <w:r w:rsidR="00492FC8" w:rsidRPr="002A0251">
        <w:instrText xml:space="preserve"> ADDIN ZOTERO_ITEM CSL_CITATION {"citationID":"MJcbYW5h","properties":{"formattedCitation":"\\super 68\\uc0\\u8211{}70\\nosupersub{}","plainCitation":"68–70","noteIndex":0},"citationItems":[{"id":"ybNQHeeS/qJeBl77L","uris":["http://zotero.org/users/local/xDVOxgbN/items/YGY5ASJX"],"itemData":{"id":186,"type":"article-journal","container-title":"PLOS Neglected Tropical Diseases","DOI":"10.1371/journal.pntd.0005124","ISSN":"1935-2735","issue":"12","journalAbbreviation":"PLoS Negl Trop Dis","language":"en","page":"e0005124","source":"DOI.org (Crossref)","title":"Oral Cholera Vaccination Delivery Cost in Low- and Middle-Income Countries: An Analysis Based on Systematic Review","title-short":"Oral Cholera Vaccination Delivery Cost in Low- and Middle-Income Countries","volume":"10","author":[{"family":"Mogasale","given":"Vittal"},{"family":"Ramani","given":"Enusa"},{"family":"Wee","given":"Hyeseung"},{"family":"Kim","given":"Jerome H."}],"editor":[{"family":"Ryan","given":"Edward T."}],"issued":{"date-parts":[["2016",12,8]]}}},{"id":"ybNQHeeS/s7Zhg2pz","uris":["http://zotero.org/users/local/xDVOxgbN/items/NR3RX8QH"],"itemData":{"id":188,"type":"article-journal","container-title":"Value in Health","DOI":"10.1016/j.jval.2019.03.021","ISSN":"10983015","issue":"9","journalAbbreviation":"Value in Health","language":"en","page":"1026-1032","source":"DOI.org (Crossref)","title":"Adjusting for Inflation and Currency Changes Within Health Economic Studies","volume":"22","author":[{"family":"Turner","given":"Hugo C."},{"family":"Lauer","given":"Jeremy A."},{"family":"Tran","given":"Bach Xuan"},{"family":"Teerawattananon","given":"Yot"},{"family":"Jit","given":"Mark"}],"issued":{"date-parts":[["2019",9]]}}},{"id":"ybNQHeeS/gJZ2r7vB","uris":["http://zotero.org/users/local/xDVOxgbN/items/VRNK5YWM"],"itemData":{"id":185,"type":"report","publisher":"Bureau of Labor Statistics","title":"Math calculations to better utilize CPI data","URL":"https://www.bls.gov/cpi/factsheets/cpi-math-calculations.pdf","author":[{"literal":"Bureau of Labor Statistics"}]}}],"schema":"https://github.com/citation-style-language/schema/raw/master/csl-citation.json"} </w:instrText>
      </w:r>
      <w:r w:rsidR="005601C2" w:rsidRPr="002A0251">
        <w:fldChar w:fldCharType="separate"/>
      </w:r>
      <w:r w:rsidR="00492FC8" w:rsidRPr="002A0251">
        <w:rPr>
          <w:rFonts w:cs="Times New Roman"/>
          <w:vertAlign w:val="superscript"/>
        </w:rPr>
        <w:t>68–70</w:t>
      </w:r>
      <w:r w:rsidR="005601C2" w:rsidRPr="002A0251">
        <w:fldChar w:fldCharType="end"/>
      </w:r>
    </w:p>
    <w:p w14:paraId="00000180" w14:textId="636AEB63" w:rsidR="00E7552A" w:rsidRPr="002A0251" w:rsidRDefault="0091383D" w:rsidP="00F57F15">
      <w:pPr>
        <w:pStyle w:val="Heading2"/>
      </w:pPr>
      <w:bookmarkStart w:id="25" w:name="_heading=h.3j2qqm3" w:colFirst="0" w:colLast="0"/>
      <w:bookmarkStart w:id="26" w:name="_Toc184909204"/>
      <w:bookmarkEnd w:id="25"/>
      <w:r w:rsidRPr="002A0251">
        <w:lastRenderedPageBreak/>
        <w:t>Result</w:t>
      </w:r>
      <w:r w:rsidR="00161527" w:rsidRPr="002A0251">
        <w:t>s</w:t>
      </w:r>
      <w:bookmarkEnd w:id="26"/>
    </w:p>
    <w:p w14:paraId="1A57C6BF" w14:textId="00304B68" w:rsidR="009505A3" w:rsidRPr="002A0251" w:rsidRDefault="004A0798" w:rsidP="00AE499B">
      <w:pPr>
        <w:pStyle w:val="Heading3"/>
      </w:pPr>
      <w:bookmarkStart w:id="27" w:name="_Toc184909205"/>
      <w:r w:rsidRPr="002A0251">
        <w:rPr>
          <w:rFonts w:hint="eastAsia"/>
        </w:rPr>
        <w:t>O</w:t>
      </w:r>
      <w:r w:rsidR="000C4FE2" w:rsidRPr="002A0251">
        <w:t>utbreak</w:t>
      </w:r>
      <w:r w:rsidRPr="002A0251">
        <w:rPr>
          <w:rFonts w:hint="eastAsia"/>
        </w:rPr>
        <w:t xml:space="preserve"> data</w:t>
      </w:r>
      <w:bookmarkEnd w:id="27"/>
    </w:p>
    <w:p w14:paraId="1D0BC1FA" w14:textId="4AD7211F" w:rsidR="00C94D30" w:rsidRPr="002A0251" w:rsidRDefault="005A7B66" w:rsidP="003938CB">
      <w:r w:rsidRPr="002A0251">
        <w:t xml:space="preserve">We </w:t>
      </w:r>
      <w:r w:rsidR="00BF23EA" w:rsidRPr="002A0251">
        <w:rPr>
          <w:rFonts w:hint="eastAsia"/>
        </w:rPr>
        <w:t>identified</w:t>
      </w:r>
      <w:r w:rsidR="00BA543A" w:rsidRPr="002A0251">
        <w:t xml:space="preserve"> 1,</w:t>
      </w:r>
      <w:r w:rsidR="00280018" w:rsidRPr="002A0251">
        <w:rPr>
          <w:rFonts w:hint="eastAsia"/>
        </w:rPr>
        <w:t>192</w:t>
      </w:r>
      <w:r w:rsidR="00BA543A" w:rsidRPr="002A0251">
        <w:t xml:space="preserve"> cholera </w:t>
      </w:r>
      <w:r w:rsidR="00722B3A" w:rsidRPr="002A0251">
        <w:t>outbreaks</w:t>
      </w:r>
      <w:r w:rsidR="00A46621" w:rsidRPr="002A0251">
        <w:t xml:space="preserve"> </w:t>
      </w:r>
      <w:r w:rsidRPr="002A0251">
        <w:t>across sub-Saharan Africa</w:t>
      </w:r>
      <w:r w:rsidR="00A46621" w:rsidRPr="002A0251">
        <w:t xml:space="preserve"> </w:t>
      </w:r>
      <w:r w:rsidR="001E21A7" w:rsidRPr="002A0251">
        <w:rPr>
          <w:rFonts w:hint="eastAsia"/>
        </w:rPr>
        <w:t>between</w:t>
      </w:r>
      <w:r w:rsidR="00A46621" w:rsidRPr="002A0251">
        <w:t xml:space="preserve"> 2010 </w:t>
      </w:r>
      <w:r w:rsidR="001E21A7" w:rsidRPr="002A0251">
        <w:rPr>
          <w:rFonts w:hint="eastAsia"/>
        </w:rPr>
        <w:t>and</w:t>
      </w:r>
      <w:r w:rsidR="00A46621" w:rsidRPr="002A0251">
        <w:t xml:space="preserve"> 202</w:t>
      </w:r>
      <w:r w:rsidR="00280018" w:rsidRPr="002A0251">
        <w:rPr>
          <w:rFonts w:hint="eastAsia"/>
        </w:rPr>
        <w:t>0</w:t>
      </w:r>
      <w:r w:rsidR="00C94D30" w:rsidRPr="002A0251">
        <w:t>.</w:t>
      </w:r>
      <w:r w:rsidR="00BA543A" w:rsidRPr="002A0251">
        <w:t xml:space="preserve"> </w:t>
      </w:r>
      <w:r w:rsidR="003B7F8C">
        <w:rPr>
          <w:rFonts w:hint="eastAsia"/>
        </w:rPr>
        <w:t>C</w:t>
      </w:r>
      <w:r w:rsidR="00D55E1D" w:rsidRPr="002A0251">
        <w:rPr>
          <w:rFonts w:hint="eastAsia"/>
        </w:rPr>
        <w:t xml:space="preserve">holera </w:t>
      </w:r>
      <w:r w:rsidR="003938CB" w:rsidRPr="002A0251">
        <w:rPr>
          <w:rFonts w:hint="eastAsia"/>
        </w:rPr>
        <w:t>incidence</w:t>
      </w:r>
      <w:r w:rsidR="00D55E1D" w:rsidRPr="002A0251">
        <w:rPr>
          <w:rFonts w:hint="eastAsia"/>
        </w:rPr>
        <w:t xml:space="preserve"> displayed marked </w:t>
      </w:r>
      <w:r w:rsidR="003938CB" w:rsidRPr="002A0251">
        <w:rPr>
          <w:rFonts w:hint="eastAsia"/>
        </w:rPr>
        <w:t>temporal</w:t>
      </w:r>
      <w:r w:rsidR="00CF2402" w:rsidRPr="002A0251">
        <w:rPr>
          <w:rFonts w:hint="eastAsia"/>
        </w:rPr>
        <w:t xml:space="preserve"> and </w:t>
      </w:r>
      <w:r w:rsidR="007268BF" w:rsidRPr="002A0251">
        <w:rPr>
          <w:rFonts w:hint="eastAsia"/>
        </w:rPr>
        <w:t>spatial</w:t>
      </w:r>
      <w:r w:rsidR="003938CB" w:rsidRPr="002A0251">
        <w:rPr>
          <w:rFonts w:hint="eastAsia"/>
        </w:rPr>
        <w:t xml:space="preserve"> heterogeneity</w:t>
      </w:r>
      <w:r w:rsidR="003B7F8C" w:rsidRPr="003B7F8C">
        <w:t xml:space="preserve"> at both regional and country levels</w:t>
      </w:r>
      <w:r w:rsidR="007268BF" w:rsidRPr="002A0251">
        <w:rPr>
          <w:rFonts w:hint="eastAsia"/>
        </w:rPr>
        <w:t xml:space="preserve">. Monthly time series </w:t>
      </w:r>
      <w:r w:rsidR="00D55E1D" w:rsidRPr="002A0251">
        <w:rPr>
          <w:rFonts w:hint="eastAsia"/>
        </w:rPr>
        <w:t>(</w:t>
      </w:r>
      <w:r w:rsidR="00D55E1D" w:rsidRPr="002A0251">
        <w:rPr>
          <w:rFonts w:hint="eastAsia"/>
          <w:b/>
          <w:bCs/>
        </w:rPr>
        <w:t>Figure 2A</w:t>
      </w:r>
      <w:r w:rsidR="00D55E1D" w:rsidRPr="002A0251">
        <w:rPr>
          <w:rFonts w:hint="eastAsia"/>
        </w:rPr>
        <w:t xml:space="preserve">) </w:t>
      </w:r>
      <w:r w:rsidR="003B7F8C">
        <w:rPr>
          <w:rFonts w:hint="eastAsia"/>
        </w:rPr>
        <w:t>indicated</w:t>
      </w:r>
      <w:r w:rsidR="007268BF" w:rsidRPr="002A0251">
        <w:rPr>
          <w:rFonts w:hint="eastAsia"/>
        </w:rPr>
        <w:t xml:space="preserve"> that most outbreaks </w:t>
      </w:r>
      <w:r w:rsidR="00D55E1D" w:rsidRPr="002A0251">
        <w:rPr>
          <w:rFonts w:hint="eastAsia"/>
        </w:rPr>
        <w:t xml:space="preserve">occurred in </w:t>
      </w:r>
      <w:r w:rsidR="007268BF" w:rsidRPr="002A0251">
        <w:rPr>
          <w:rFonts w:hint="eastAsia"/>
        </w:rPr>
        <w:t xml:space="preserve">Eastern, Western, and </w:t>
      </w:r>
      <w:r w:rsidR="00D4284E" w:rsidRPr="002A0251">
        <w:rPr>
          <w:rFonts w:hint="eastAsia"/>
        </w:rPr>
        <w:t xml:space="preserve">Central </w:t>
      </w:r>
      <w:r w:rsidR="007268BF" w:rsidRPr="002A0251">
        <w:rPr>
          <w:rFonts w:hint="eastAsia"/>
        </w:rPr>
        <w:t xml:space="preserve">Africa. </w:t>
      </w:r>
      <w:r w:rsidR="00D55E1D" w:rsidRPr="002A0251">
        <w:t>Outbreaks during 2010–2015 were concentrated in Western Africa, wh</w:t>
      </w:r>
      <w:r w:rsidR="003B7F8C">
        <w:rPr>
          <w:rFonts w:hint="eastAsia"/>
        </w:rPr>
        <w:t>ereas</w:t>
      </w:r>
      <w:r w:rsidR="00D55E1D" w:rsidRPr="002A0251">
        <w:t xml:space="preserve"> those</w:t>
      </w:r>
      <w:r w:rsidR="003B7F8C">
        <w:rPr>
          <w:rFonts w:hint="eastAsia"/>
        </w:rPr>
        <w:t xml:space="preserve"> during </w:t>
      </w:r>
      <w:r w:rsidR="00D55E1D" w:rsidRPr="002A0251">
        <w:t xml:space="preserve">2016–2021 were more </w:t>
      </w:r>
      <w:r w:rsidR="003B7F8C">
        <w:rPr>
          <w:rFonts w:hint="eastAsia"/>
        </w:rPr>
        <w:t>frequent</w:t>
      </w:r>
      <w:r w:rsidR="00D55E1D" w:rsidRPr="002A0251">
        <w:t xml:space="preserve"> in Eastern Africa. </w:t>
      </w:r>
      <w:r w:rsidR="008D2EC7" w:rsidRPr="002A0251">
        <w:rPr>
          <w:rFonts w:hint="eastAsia"/>
        </w:rPr>
        <w:t>Central</w:t>
      </w:r>
      <w:r w:rsidR="00D55E1D" w:rsidRPr="002A0251">
        <w:t xml:space="preserve"> Africa experienced outbreaks </w:t>
      </w:r>
      <w:r w:rsidR="004E5C8A" w:rsidRPr="002A0251">
        <w:rPr>
          <w:rFonts w:hint="eastAsia"/>
        </w:rPr>
        <w:t xml:space="preserve">more consistently </w:t>
      </w:r>
      <w:r w:rsidR="003B7F8C">
        <w:rPr>
          <w:rFonts w:hint="eastAsia"/>
        </w:rPr>
        <w:t>throughout</w:t>
      </w:r>
      <w:r w:rsidR="00D55E1D" w:rsidRPr="002A0251">
        <w:t xml:space="preserve"> the period.</w:t>
      </w:r>
      <w:r w:rsidR="0036255C" w:rsidRPr="002A0251">
        <w:rPr>
          <w:rFonts w:hint="eastAsia"/>
        </w:rPr>
        <w:t xml:space="preserve"> </w:t>
      </w:r>
      <w:r w:rsidR="00D55E1D" w:rsidRPr="002A0251">
        <w:rPr>
          <w:rFonts w:hint="eastAsia"/>
        </w:rPr>
        <w:t xml:space="preserve">Spatial heterogeneity was also </w:t>
      </w:r>
      <w:r w:rsidR="0036255C" w:rsidRPr="002A0251">
        <w:rPr>
          <w:rFonts w:hint="eastAsia"/>
        </w:rPr>
        <w:t xml:space="preserve">evident </w:t>
      </w:r>
      <w:r w:rsidR="00D55E1D" w:rsidRPr="002A0251">
        <w:rPr>
          <w:rFonts w:hint="eastAsia"/>
        </w:rPr>
        <w:t xml:space="preserve">at finer </w:t>
      </w:r>
      <w:r w:rsidR="003770F2" w:rsidRPr="002A0251">
        <w:rPr>
          <w:rFonts w:hint="eastAsia"/>
        </w:rPr>
        <w:t>geographic scales</w:t>
      </w:r>
      <w:r w:rsidR="0036255C" w:rsidRPr="002A0251">
        <w:rPr>
          <w:rFonts w:hint="eastAsia"/>
        </w:rPr>
        <w:t xml:space="preserve"> (</w:t>
      </w:r>
      <w:r w:rsidR="0036255C" w:rsidRPr="002A0251">
        <w:rPr>
          <w:rFonts w:hint="eastAsia"/>
          <w:b/>
          <w:bCs/>
        </w:rPr>
        <w:t>Figure 2B</w:t>
      </w:r>
      <w:r w:rsidR="0036255C" w:rsidRPr="002A0251">
        <w:rPr>
          <w:rFonts w:hint="eastAsia"/>
        </w:rPr>
        <w:t xml:space="preserve">). Outbreaks </w:t>
      </w:r>
      <w:r w:rsidR="003770F2" w:rsidRPr="002A0251">
        <w:rPr>
          <w:rFonts w:hint="eastAsia"/>
        </w:rPr>
        <w:t xml:space="preserve">typically </w:t>
      </w:r>
      <w:r w:rsidR="0036255C" w:rsidRPr="002A0251">
        <w:rPr>
          <w:rFonts w:hint="eastAsia"/>
        </w:rPr>
        <w:t>peak</w:t>
      </w:r>
      <w:r w:rsidR="003770F2" w:rsidRPr="002A0251">
        <w:rPr>
          <w:rFonts w:hint="eastAsia"/>
        </w:rPr>
        <w:t>ed</w:t>
      </w:r>
      <w:r w:rsidR="0036255C" w:rsidRPr="002A0251">
        <w:rPr>
          <w:rFonts w:hint="eastAsia"/>
        </w:rPr>
        <w:t xml:space="preserve"> around week 5 (mean = </w:t>
      </w:r>
      <w:r w:rsidR="000B396B">
        <w:rPr>
          <w:rFonts w:hint="eastAsia"/>
        </w:rPr>
        <w:t xml:space="preserve">week </w:t>
      </w:r>
      <w:r w:rsidR="0036255C" w:rsidRPr="002A0251">
        <w:rPr>
          <w:rFonts w:hint="eastAsia"/>
        </w:rPr>
        <w:t>6</w:t>
      </w:r>
      <w:r w:rsidR="003B7F8C">
        <w:rPr>
          <w:rFonts w:hint="eastAsia"/>
        </w:rPr>
        <w:t>;</w:t>
      </w:r>
      <w:r w:rsidR="0036255C" w:rsidRPr="002A0251">
        <w:rPr>
          <w:rFonts w:hint="eastAsia"/>
        </w:rPr>
        <w:t xml:space="preserve"> median =</w:t>
      </w:r>
      <w:r w:rsidR="003770F2" w:rsidRPr="002A0251">
        <w:rPr>
          <w:rFonts w:hint="eastAsia"/>
        </w:rPr>
        <w:t xml:space="preserve"> week</w:t>
      </w:r>
      <w:r w:rsidR="000B396B">
        <w:rPr>
          <w:rFonts w:hint="eastAsia"/>
        </w:rPr>
        <w:t xml:space="preserve"> 4</w:t>
      </w:r>
      <w:r w:rsidR="0036255C" w:rsidRPr="002A0251">
        <w:rPr>
          <w:rFonts w:hint="eastAsia"/>
        </w:rPr>
        <w:t>)</w:t>
      </w:r>
      <w:r w:rsidR="003770F2" w:rsidRPr="002A0251">
        <w:rPr>
          <w:rFonts w:hint="eastAsia"/>
        </w:rPr>
        <w:t>,</w:t>
      </w:r>
      <w:r w:rsidR="0036255C" w:rsidRPr="002A0251">
        <w:rPr>
          <w:rFonts w:hint="eastAsia"/>
        </w:rPr>
        <w:t xml:space="preserve"> </w:t>
      </w:r>
      <w:r w:rsidR="003B7F8C">
        <w:rPr>
          <w:rFonts w:hint="eastAsia"/>
        </w:rPr>
        <w:t xml:space="preserve">and </w:t>
      </w:r>
      <w:r w:rsidR="003770F2" w:rsidRPr="002A0251">
        <w:rPr>
          <w:rFonts w:hint="eastAsia"/>
        </w:rPr>
        <w:t xml:space="preserve">approximately </w:t>
      </w:r>
      <w:r w:rsidR="0036255C" w:rsidRPr="002A0251">
        <w:rPr>
          <w:rFonts w:hint="eastAsia"/>
        </w:rPr>
        <w:t>88% peak</w:t>
      </w:r>
      <w:r w:rsidR="003B7F8C">
        <w:rPr>
          <w:rFonts w:hint="eastAsia"/>
        </w:rPr>
        <w:t>ed</w:t>
      </w:r>
      <w:r w:rsidR="0036255C" w:rsidRPr="002A0251">
        <w:rPr>
          <w:rFonts w:hint="eastAsia"/>
        </w:rPr>
        <w:t xml:space="preserve"> before week 10 (</w:t>
      </w:r>
      <w:r w:rsidR="0036255C" w:rsidRPr="002A0251">
        <w:rPr>
          <w:rFonts w:hint="eastAsia"/>
          <w:b/>
          <w:bCs/>
        </w:rPr>
        <w:t>Figure 2C</w:t>
      </w:r>
      <w:r w:rsidR="0036255C" w:rsidRPr="002A0251">
        <w:rPr>
          <w:rFonts w:hint="eastAsia"/>
        </w:rPr>
        <w:t xml:space="preserve">). </w:t>
      </w:r>
      <w:r w:rsidR="006C3069" w:rsidRPr="002A0251">
        <w:rPr>
          <w:rFonts w:hint="eastAsia"/>
        </w:rPr>
        <w:t>Outbreak d</w:t>
      </w:r>
      <w:r w:rsidR="003938CB" w:rsidRPr="002A0251">
        <w:rPr>
          <w:rFonts w:hint="eastAsia"/>
        </w:rPr>
        <w:t>uration</w:t>
      </w:r>
      <w:r w:rsidR="006C3069" w:rsidRPr="002A0251">
        <w:rPr>
          <w:rFonts w:hint="eastAsia"/>
        </w:rPr>
        <w:t>s</w:t>
      </w:r>
      <w:r w:rsidR="003938CB" w:rsidRPr="002A0251">
        <w:rPr>
          <w:rFonts w:hint="eastAsia"/>
        </w:rPr>
        <w:t xml:space="preserve"> </w:t>
      </w:r>
      <w:r w:rsidR="00BA543A" w:rsidRPr="002A0251">
        <w:t>rang</w:t>
      </w:r>
      <w:r w:rsidR="006C3069" w:rsidRPr="002A0251">
        <w:rPr>
          <w:rFonts w:hint="eastAsia"/>
        </w:rPr>
        <w:t>ed</w:t>
      </w:r>
      <w:r w:rsidR="00BA543A" w:rsidRPr="002A0251">
        <w:t xml:space="preserve"> from 5 to </w:t>
      </w:r>
      <w:r w:rsidR="009B4EE0" w:rsidRPr="002A0251">
        <w:rPr>
          <w:rFonts w:hint="eastAsia"/>
        </w:rPr>
        <w:t>93</w:t>
      </w:r>
      <w:r w:rsidR="00BA543A" w:rsidRPr="002A0251">
        <w:t xml:space="preserve"> weeks</w:t>
      </w:r>
      <w:r w:rsidR="006C3069" w:rsidRPr="002A0251">
        <w:rPr>
          <w:rFonts w:hint="eastAsia"/>
        </w:rPr>
        <w:t xml:space="preserve">, </w:t>
      </w:r>
      <w:r w:rsidR="003B7F8C">
        <w:rPr>
          <w:rFonts w:hint="eastAsia"/>
        </w:rPr>
        <w:t xml:space="preserve">with </w:t>
      </w:r>
      <w:r w:rsidR="003938CB" w:rsidRPr="002A0251">
        <w:t xml:space="preserve">sizes </w:t>
      </w:r>
      <w:r w:rsidR="006C3069" w:rsidRPr="002A0251">
        <w:rPr>
          <w:rFonts w:hint="eastAsia"/>
        </w:rPr>
        <w:t>f</w:t>
      </w:r>
      <w:r w:rsidR="003938CB" w:rsidRPr="002A0251">
        <w:t>rom 3 to 1</w:t>
      </w:r>
      <w:r w:rsidR="009B4EE0" w:rsidRPr="002A0251">
        <w:rPr>
          <w:rFonts w:hint="eastAsia"/>
        </w:rPr>
        <w:t>4</w:t>
      </w:r>
      <w:r w:rsidR="003938CB" w:rsidRPr="002A0251">
        <w:t>,</w:t>
      </w:r>
      <w:r w:rsidR="009B4EE0" w:rsidRPr="002A0251">
        <w:rPr>
          <w:rFonts w:hint="eastAsia"/>
        </w:rPr>
        <w:t>522</w:t>
      </w:r>
      <w:r w:rsidR="003938CB" w:rsidRPr="002A0251">
        <w:t xml:space="preserve"> suspected cases</w:t>
      </w:r>
      <w:r w:rsidR="006C3069" w:rsidRPr="002A0251">
        <w:rPr>
          <w:rFonts w:hint="eastAsia"/>
        </w:rPr>
        <w:t xml:space="preserve"> and t</w:t>
      </w:r>
      <w:r w:rsidR="006C3069" w:rsidRPr="002A0251">
        <w:t>he attack rate</w:t>
      </w:r>
      <w:r w:rsidR="003770F2" w:rsidRPr="002A0251">
        <w:rPr>
          <w:rFonts w:hint="eastAsia"/>
        </w:rPr>
        <w:t>s</w:t>
      </w:r>
      <w:r w:rsidR="006C3069" w:rsidRPr="002A0251">
        <w:t xml:space="preserve"> from 0.00</w:t>
      </w:r>
      <w:r w:rsidR="009B4EE0" w:rsidRPr="002A0251">
        <w:rPr>
          <w:rFonts w:hint="eastAsia"/>
        </w:rPr>
        <w:t>5</w:t>
      </w:r>
      <w:r w:rsidR="006C3069" w:rsidRPr="002A0251">
        <w:t xml:space="preserve"> to </w:t>
      </w:r>
      <w:r w:rsidR="009B4EE0" w:rsidRPr="002A0251">
        <w:rPr>
          <w:rFonts w:hint="eastAsia"/>
        </w:rPr>
        <w:t>112</w:t>
      </w:r>
      <w:r w:rsidR="006C3069" w:rsidRPr="002A0251">
        <w:t xml:space="preserve"> rates per 10,000 p</w:t>
      </w:r>
      <w:r w:rsidR="003770F2" w:rsidRPr="002A0251">
        <w:rPr>
          <w:rFonts w:hint="eastAsia"/>
        </w:rPr>
        <w:t>opulations</w:t>
      </w:r>
      <w:r w:rsidR="00722B3A" w:rsidRPr="002A0251">
        <w:t xml:space="preserve"> </w:t>
      </w:r>
      <w:r w:rsidR="003B7F8C" w:rsidRPr="002A0251">
        <w:rPr>
          <w:rFonts w:hint="eastAsia"/>
        </w:rPr>
        <w:t>(</w:t>
      </w:r>
      <w:r w:rsidR="003B7F8C" w:rsidRPr="002A0251">
        <w:rPr>
          <w:rFonts w:hint="eastAsia"/>
          <w:b/>
          <w:bCs/>
        </w:rPr>
        <w:t>Figures 2D-E</w:t>
      </w:r>
      <w:r w:rsidR="003B7F8C" w:rsidRPr="002A0251">
        <w:rPr>
          <w:rFonts w:hint="eastAsia"/>
        </w:rPr>
        <w:t xml:space="preserve">). </w:t>
      </w:r>
      <w:r w:rsidR="00A136DB">
        <w:rPr>
          <w:rFonts w:hint="eastAsia"/>
        </w:rPr>
        <w:t>Among</w:t>
      </w:r>
      <w:r w:rsidR="00A51D17" w:rsidRPr="002A0251">
        <w:t xml:space="preserve"> the 1</w:t>
      </w:r>
      <w:r w:rsidR="00C94D30" w:rsidRPr="002A0251">
        <w:t>5</w:t>
      </w:r>
      <w:r w:rsidR="00722B3A" w:rsidRPr="002A0251">
        <w:t>2</w:t>
      </w:r>
      <w:r w:rsidR="00A51D17" w:rsidRPr="002A0251">
        <w:t xml:space="preserve"> </w:t>
      </w:r>
      <w:r w:rsidR="00262CE6" w:rsidRPr="002A0251">
        <w:t xml:space="preserve">outbreaks </w:t>
      </w:r>
      <w:r w:rsidR="001E21A7" w:rsidRPr="002A0251">
        <w:rPr>
          <w:rFonts w:hint="eastAsia"/>
        </w:rPr>
        <w:t xml:space="preserve">reporting </w:t>
      </w:r>
      <w:r w:rsidR="00722B3A" w:rsidRPr="002A0251">
        <w:t>at least one laboratory-confirmed case</w:t>
      </w:r>
      <w:r w:rsidR="00A51D17" w:rsidRPr="002A0251">
        <w:t xml:space="preserve">, duration ranged from </w:t>
      </w:r>
      <w:r w:rsidR="00262CE6" w:rsidRPr="002A0251">
        <w:t>5</w:t>
      </w:r>
      <w:r w:rsidR="005A20BB" w:rsidRPr="002A0251">
        <w:t xml:space="preserve"> </w:t>
      </w:r>
      <w:r w:rsidR="00A51D17" w:rsidRPr="002A0251">
        <w:t>to</w:t>
      </w:r>
      <w:r w:rsidR="00722B3A" w:rsidRPr="002A0251">
        <w:t xml:space="preserve"> 56 </w:t>
      </w:r>
      <w:r w:rsidR="005A20BB" w:rsidRPr="002A0251">
        <w:t>weeks</w:t>
      </w:r>
      <w:r w:rsidR="00F333D1" w:rsidRPr="002A0251">
        <w:rPr>
          <w:rFonts w:hint="eastAsia"/>
        </w:rPr>
        <w:t xml:space="preserve">, outbreak </w:t>
      </w:r>
      <w:r w:rsidR="00A51D17" w:rsidRPr="002A0251">
        <w:t>size</w:t>
      </w:r>
      <w:r w:rsidR="00C94D30" w:rsidRPr="002A0251">
        <w:t>s</w:t>
      </w:r>
      <w:r w:rsidR="00A51D17" w:rsidRPr="002A0251">
        <w:t xml:space="preserve"> </w:t>
      </w:r>
      <w:r w:rsidR="00F333D1" w:rsidRPr="002A0251">
        <w:rPr>
          <w:rFonts w:hint="eastAsia"/>
        </w:rPr>
        <w:t xml:space="preserve">from </w:t>
      </w:r>
      <w:r w:rsidR="009B0441" w:rsidRPr="002A0251">
        <w:t>10</w:t>
      </w:r>
      <w:r w:rsidR="00A51D17" w:rsidRPr="002A0251">
        <w:t xml:space="preserve"> </w:t>
      </w:r>
      <w:r w:rsidR="00F333D1" w:rsidRPr="002A0251">
        <w:rPr>
          <w:rFonts w:hint="eastAsia"/>
        </w:rPr>
        <w:t>to</w:t>
      </w:r>
      <w:r w:rsidR="00A51D17" w:rsidRPr="002A0251">
        <w:t xml:space="preserve"> </w:t>
      </w:r>
      <w:r w:rsidR="00970F23" w:rsidRPr="002A0251">
        <w:rPr>
          <w:rFonts w:hint="eastAsia"/>
        </w:rPr>
        <w:t>7</w:t>
      </w:r>
      <w:r w:rsidR="009B0441" w:rsidRPr="002A0251">
        <w:t>,</w:t>
      </w:r>
      <w:r w:rsidR="00970F23" w:rsidRPr="002A0251">
        <w:rPr>
          <w:rFonts w:hint="eastAsia"/>
        </w:rPr>
        <w:t>726</w:t>
      </w:r>
      <w:r w:rsidR="005A20BB" w:rsidRPr="002A0251">
        <w:t xml:space="preserve"> suspected cases</w:t>
      </w:r>
      <w:r w:rsidR="00F333D1" w:rsidRPr="002A0251">
        <w:rPr>
          <w:rFonts w:hint="eastAsia"/>
        </w:rPr>
        <w:t xml:space="preserve">, and attack rates </w:t>
      </w:r>
      <w:r w:rsidR="003770F2" w:rsidRPr="002A0251">
        <w:rPr>
          <w:rFonts w:hint="eastAsia"/>
        </w:rPr>
        <w:t>from</w:t>
      </w:r>
      <w:r w:rsidR="00F333D1" w:rsidRPr="002A0251">
        <w:rPr>
          <w:rFonts w:hint="eastAsia"/>
        </w:rPr>
        <w:t xml:space="preserve"> 0</w:t>
      </w:r>
      <w:r w:rsidR="002E5B0B" w:rsidRPr="002A0251">
        <w:t>.00</w:t>
      </w:r>
      <w:r w:rsidR="00970F23" w:rsidRPr="002A0251">
        <w:rPr>
          <w:rFonts w:hint="eastAsia"/>
        </w:rPr>
        <w:t>5</w:t>
      </w:r>
      <w:r w:rsidR="002E5B0B" w:rsidRPr="002A0251">
        <w:t xml:space="preserve"> </w:t>
      </w:r>
      <w:r w:rsidR="003770F2" w:rsidRPr="002A0251">
        <w:rPr>
          <w:rFonts w:hint="eastAsia"/>
        </w:rPr>
        <w:t>to</w:t>
      </w:r>
      <w:r w:rsidR="002E5B0B" w:rsidRPr="002A0251">
        <w:t xml:space="preserve"> </w:t>
      </w:r>
      <w:r w:rsidR="00970F23" w:rsidRPr="002A0251">
        <w:rPr>
          <w:rFonts w:hint="eastAsia"/>
        </w:rPr>
        <w:t>19</w:t>
      </w:r>
      <w:r w:rsidR="002E5B0B" w:rsidRPr="002A0251">
        <w:t xml:space="preserve"> rates per 10,000 </w:t>
      </w:r>
      <w:r w:rsidR="003770F2" w:rsidRPr="002A0251">
        <w:rPr>
          <w:rFonts w:hint="eastAsia"/>
        </w:rPr>
        <w:t>population</w:t>
      </w:r>
      <w:r w:rsidR="002E5B0B" w:rsidRPr="002A0251">
        <w:t>.</w:t>
      </w:r>
      <w:r w:rsidR="000B396B">
        <w:rPr>
          <w:rFonts w:hint="eastAsia"/>
        </w:rPr>
        <w:t xml:space="preserve"> </w:t>
      </w:r>
      <w:r w:rsidR="00215DF6">
        <w:rPr>
          <w:rFonts w:hint="eastAsia"/>
        </w:rPr>
        <w:t>O</w:t>
      </w:r>
      <w:r w:rsidR="00CF2402" w:rsidRPr="002A0251">
        <w:rPr>
          <w:rFonts w:hint="eastAsia"/>
        </w:rPr>
        <w:t xml:space="preserve">utbreaks </w:t>
      </w:r>
      <w:r w:rsidR="00215DF6">
        <w:rPr>
          <w:rFonts w:hint="eastAsia"/>
        </w:rPr>
        <w:t xml:space="preserve">excluded from analysis </w:t>
      </w:r>
      <w:r w:rsidR="003770F2" w:rsidRPr="002A0251">
        <w:rPr>
          <w:rFonts w:hint="eastAsia"/>
        </w:rPr>
        <w:t xml:space="preserve">exhibited </w:t>
      </w:r>
      <w:r w:rsidR="00CF2402" w:rsidRPr="002A0251">
        <w:rPr>
          <w:rFonts w:hint="eastAsia"/>
        </w:rPr>
        <w:t>similar spatiotemporal patterns</w:t>
      </w:r>
      <w:r w:rsidR="003770F2" w:rsidRPr="002A0251">
        <w:rPr>
          <w:rFonts w:hint="eastAsia"/>
        </w:rPr>
        <w:t>, although the</w:t>
      </w:r>
      <w:r w:rsidR="00215DF6">
        <w:rPr>
          <w:rFonts w:hint="eastAsia"/>
        </w:rPr>
        <w:t>y</w:t>
      </w:r>
      <w:r w:rsidR="003770F2" w:rsidRPr="002A0251">
        <w:rPr>
          <w:rFonts w:hint="eastAsia"/>
        </w:rPr>
        <w:t xml:space="preserve"> tended to be larger.</w:t>
      </w:r>
      <w:r w:rsidR="00CF2402" w:rsidRPr="002A0251">
        <w:rPr>
          <w:rFonts w:hint="eastAsia"/>
        </w:rPr>
        <w:t xml:space="preserve"> </w:t>
      </w:r>
      <w:r w:rsidR="003770F2" w:rsidRPr="002A0251">
        <w:t>These consistencies suggest that the dataset is broadly representative</w:t>
      </w:r>
      <w:r w:rsidR="00215DF6">
        <w:rPr>
          <w:rFonts w:hint="eastAsia"/>
        </w:rPr>
        <w:t xml:space="preserve"> of cholera epidemiology across the region</w:t>
      </w:r>
      <w:r w:rsidR="003770F2" w:rsidRPr="002A0251">
        <w:rPr>
          <w:rFonts w:hint="eastAsia"/>
        </w:rPr>
        <w:t xml:space="preserve"> </w:t>
      </w:r>
      <w:r w:rsidR="00CF2402" w:rsidRPr="002A0251">
        <w:rPr>
          <w:rFonts w:hint="eastAsia"/>
        </w:rPr>
        <w:t>(</w:t>
      </w:r>
      <w:r w:rsidR="000B37F2" w:rsidRPr="002A0251">
        <w:rPr>
          <w:rFonts w:hint="eastAsia"/>
          <w:b/>
          <w:bCs/>
        </w:rPr>
        <w:t>Figure S</w:t>
      </w:r>
      <w:r w:rsidR="00A80FF7" w:rsidRPr="002A0251">
        <w:rPr>
          <w:rFonts w:hint="eastAsia"/>
          <w:b/>
          <w:bCs/>
        </w:rPr>
        <w:t>2</w:t>
      </w:r>
      <w:r w:rsidR="000B37F2" w:rsidRPr="002A0251">
        <w:rPr>
          <w:rFonts w:hint="eastAsia"/>
        </w:rPr>
        <w:t xml:space="preserve"> in Supplementary Material</w:t>
      </w:r>
      <w:r w:rsidR="00CF2402" w:rsidRPr="002A0251">
        <w:rPr>
          <w:rFonts w:hint="eastAsia"/>
        </w:rPr>
        <w:t>)</w:t>
      </w:r>
      <w:r w:rsidR="00B42B4E" w:rsidRPr="002A0251">
        <w:rPr>
          <w:rFonts w:hint="eastAsia"/>
        </w:rPr>
        <w:t>.</w:t>
      </w:r>
    </w:p>
    <w:p w14:paraId="768EC1D7" w14:textId="0457159C" w:rsidR="00F07ABA" w:rsidRPr="002A0251" w:rsidRDefault="008C5352" w:rsidP="00F57F15">
      <w:pPr>
        <w:pStyle w:val="Heading3"/>
      </w:pPr>
      <w:bookmarkStart w:id="28" w:name="_Toc184909206"/>
      <w:r w:rsidRPr="002A0251">
        <w:t>Impact of ORI</w:t>
      </w:r>
      <w:bookmarkEnd w:id="28"/>
      <w:r w:rsidR="00CE75ED" w:rsidRPr="002A0251">
        <w:rPr>
          <w:rFonts w:hint="eastAsia"/>
        </w:rPr>
        <w:t>s</w:t>
      </w:r>
      <w:r w:rsidR="004A0798" w:rsidRPr="002A0251">
        <w:rPr>
          <w:rFonts w:hint="eastAsia"/>
        </w:rPr>
        <w:t xml:space="preserve"> </w:t>
      </w:r>
      <w:proofErr w:type="gramStart"/>
      <w:r w:rsidR="002837D3" w:rsidRPr="002A0251">
        <w:rPr>
          <w:rFonts w:hint="eastAsia"/>
        </w:rPr>
        <w:t>in</w:t>
      </w:r>
      <w:proofErr w:type="gramEnd"/>
      <w:r w:rsidR="002837D3" w:rsidRPr="002A0251">
        <w:rPr>
          <w:rFonts w:hint="eastAsia"/>
        </w:rPr>
        <w:t xml:space="preserve"> </w:t>
      </w:r>
      <w:r w:rsidR="004A0798" w:rsidRPr="002A0251">
        <w:rPr>
          <w:rFonts w:hint="eastAsia"/>
        </w:rPr>
        <w:t>individual outbreak</w:t>
      </w:r>
      <w:r w:rsidR="002837D3" w:rsidRPr="002A0251">
        <w:rPr>
          <w:rFonts w:hint="eastAsia"/>
        </w:rPr>
        <w:t>s</w:t>
      </w:r>
    </w:p>
    <w:p w14:paraId="3DAB3980" w14:textId="1C821B3A" w:rsidR="00CE75ED" w:rsidRPr="002A0251" w:rsidRDefault="00CE75ED" w:rsidP="00CE75ED">
      <w:pPr>
        <w:pStyle w:val="Heading4"/>
      </w:pPr>
      <w:r w:rsidRPr="002A0251">
        <w:rPr>
          <w:rFonts w:hint="eastAsia"/>
        </w:rPr>
        <w:t>Impact of ORIs across campaign timing and coverage levels</w:t>
      </w:r>
    </w:p>
    <w:p w14:paraId="6B77BCB7" w14:textId="7D1BB615" w:rsidR="00215DF6" w:rsidRDefault="00972DD3" w:rsidP="00F97ADD">
      <w:r w:rsidRPr="002A0251">
        <w:rPr>
          <w:rFonts w:hint="eastAsia"/>
        </w:rPr>
        <w:t>In the o</w:t>
      </w:r>
      <w:r w:rsidR="00CE75ED" w:rsidRPr="002A0251">
        <w:rPr>
          <w:rFonts w:hint="eastAsia"/>
        </w:rPr>
        <w:t>utbreak</w:t>
      </w:r>
      <w:r w:rsidR="00C840BE" w:rsidRPr="002A0251">
        <w:rPr>
          <w:rFonts w:hint="eastAsia"/>
        </w:rPr>
        <w:t>-</w:t>
      </w:r>
      <w:r w:rsidR="00CE75ED" w:rsidRPr="002A0251">
        <w:rPr>
          <w:rFonts w:hint="eastAsia"/>
        </w:rPr>
        <w:t>onset-</w:t>
      </w:r>
      <w:r w:rsidR="00707FAB" w:rsidRPr="002A0251">
        <w:t xml:space="preserve">triggered </w:t>
      </w:r>
      <w:r w:rsidRPr="002A0251">
        <w:rPr>
          <w:rFonts w:hint="eastAsia"/>
        </w:rPr>
        <w:t xml:space="preserve">scenario, </w:t>
      </w:r>
      <w:r w:rsidR="0081188F" w:rsidRPr="002A0251">
        <w:rPr>
          <w:rFonts w:hint="eastAsia"/>
        </w:rPr>
        <w:t xml:space="preserve">an </w:t>
      </w:r>
      <w:r w:rsidRPr="002A0251">
        <w:rPr>
          <w:rFonts w:hint="eastAsia"/>
        </w:rPr>
        <w:t xml:space="preserve">ORI </w:t>
      </w:r>
      <w:r w:rsidR="0081188F" w:rsidRPr="002A0251">
        <w:t xml:space="preserve">launched </w:t>
      </w:r>
      <w:r w:rsidR="000B396B">
        <w:rPr>
          <w:rFonts w:hint="eastAsia"/>
        </w:rPr>
        <w:t xml:space="preserve">in </w:t>
      </w:r>
      <w:r w:rsidR="0081188F" w:rsidRPr="002A0251">
        <w:t xml:space="preserve">week 1 </w:t>
      </w:r>
      <w:r w:rsidR="0081188F" w:rsidRPr="002A0251">
        <w:rPr>
          <w:rFonts w:hint="eastAsia"/>
        </w:rPr>
        <w:t xml:space="preserve">at 75% coverage averted </w:t>
      </w:r>
      <w:r w:rsidR="00F97ADD" w:rsidRPr="002A0251">
        <w:t>70</w:t>
      </w:r>
      <w:r w:rsidR="00F97ADD" w:rsidRPr="002A0251">
        <w:rPr>
          <w:rFonts w:hint="eastAsia"/>
        </w:rPr>
        <w:t>%</w:t>
      </w:r>
      <w:r w:rsidR="00F97ADD" w:rsidRPr="002A0251">
        <w:t xml:space="preserve"> [IQR: 49.</w:t>
      </w:r>
      <w:r w:rsidR="005935D8" w:rsidRPr="002A0251">
        <w:rPr>
          <w:rFonts w:hint="eastAsia"/>
        </w:rPr>
        <w:t>8-</w:t>
      </w:r>
      <w:r w:rsidR="00F97ADD" w:rsidRPr="002A0251">
        <w:t>8</w:t>
      </w:r>
      <w:r w:rsidR="005935D8" w:rsidRPr="002A0251">
        <w:rPr>
          <w:rFonts w:hint="eastAsia"/>
        </w:rPr>
        <w:t>2</w:t>
      </w:r>
      <w:r w:rsidR="00F97ADD" w:rsidRPr="002A0251">
        <w:t>.</w:t>
      </w:r>
      <w:r w:rsidR="005935D8" w:rsidRPr="002A0251">
        <w:rPr>
          <w:rFonts w:hint="eastAsia"/>
        </w:rPr>
        <w:t>5</w:t>
      </w:r>
      <w:r w:rsidR="00F97ADD" w:rsidRPr="002A0251">
        <w:t>]</w:t>
      </w:r>
      <w:r w:rsidR="00F97ADD" w:rsidRPr="002A0251">
        <w:rPr>
          <w:rFonts w:hint="eastAsia"/>
        </w:rPr>
        <w:t xml:space="preserve"> o</w:t>
      </w:r>
      <w:r w:rsidR="00F97ADD" w:rsidRPr="002A0251">
        <w:t xml:space="preserve">f all </w:t>
      </w:r>
      <w:r w:rsidR="00F97ADD" w:rsidRPr="002A0251">
        <w:rPr>
          <w:rFonts w:hint="eastAsia"/>
        </w:rPr>
        <w:t xml:space="preserve">outbreak </w:t>
      </w:r>
      <w:r w:rsidR="00F97ADD" w:rsidRPr="002A0251">
        <w:t>cases</w:t>
      </w:r>
      <w:r w:rsidR="00C840BE" w:rsidRPr="002A0251">
        <w:t>—corresponding to 1</w:t>
      </w:r>
      <w:r w:rsidR="005935D8" w:rsidRPr="002A0251">
        <w:rPr>
          <w:rFonts w:hint="eastAsia"/>
        </w:rPr>
        <w:t>29</w:t>
      </w:r>
      <w:r w:rsidR="00C840BE" w:rsidRPr="002A0251">
        <w:t xml:space="preserve"> cases </w:t>
      </w:r>
      <w:r w:rsidR="005935D8" w:rsidRPr="002A0251">
        <w:rPr>
          <w:rFonts w:hint="eastAsia"/>
        </w:rPr>
        <w:t>[</w:t>
      </w:r>
      <w:r w:rsidR="005935D8" w:rsidRPr="002A0251">
        <w:rPr>
          <w:lang w:val="en-US"/>
        </w:rPr>
        <w:t xml:space="preserve">IQR: </w:t>
      </w:r>
      <w:r w:rsidR="00C840BE" w:rsidRPr="002A0251">
        <w:t>41</w:t>
      </w:r>
      <w:r w:rsidR="005935D8" w:rsidRPr="002A0251">
        <w:rPr>
          <w:rFonts w:hint="eastAsia"/>
        </w:rPr>
        <w:t>-</w:t>
      </w:r>
      <w:r w:rsidR="00C840BE" w:rsidRPr="002A0251">
        <w:t>37</w:t>
      </w:r>
      <w:r w:rsidR="005935D8" w:rsidRPr="002A0251">
        <w:rPr>
          <w:rFonts w:hint="eastAsia"/>
        </w:rPr>
        <w:t>5]</w:t>
      </w:r>
      <w:r w:rsidR="00C840BE" w:rsidRPr="002A0251">
        <w:t xml:space="preserve"> averted</w:t>
      </w:r>
      <w:r w:rsidR="0033709F">
        <w:rPr>
          <w:rFonts w:hint="eastAsia"/>
        </w:rPr>
        <w:t xml:space="preserve"> (</w:t>
      </w:r>
      <w:r w:rsidR="00C840BE" w:rsidRPr="002A0251">
        <w:rPr>
          <w:b/>
          <w:bCs/>
        </w:rPr>
        <w:t>Figure 3A</w:t>
      </w:r>
      <w:r w:rsidR="00C840BE" w:rsidRPr="002A0251">
        <w:t>)</w:t>
      </w:r>
      <w:r w:rsidR="00C840BE" w:rsidRPr="002A0251">
        <w:rPr>
          <w:rFonts w:hint="eastAsia"/>
        </w:rPr>
        <w:t>.</w:t>
      </w:r>
      <w:r w:rsidR="00B2340C" w:rsidRPr="002A0251">
        <w:rPr>
          <w:rFonts w:hint="eastAsia"/>
        </w:rPr>
        <w:t xml:space="preserve"> </w:t>
      </w:r>
      <w:r w:rsidR="005E1823" w:rsidRPr="002A0251">
        <w:t>Higher coverage yielded greater benefit</w:t>
      </w:r>
      <w:r w:rsidR="00C840BE" w:rsidRPr="002A0251">
        <w:rPr>
          <w:rFonts w:hint="eastAsia"/>
        </w:rPr>
        <w:t xml:space="preserve">: </w:t>
      </w:r>
      <w:proofErr w:type="gramStart"/>
      <w:r w:rsidR="00C840BE" w:rsidRPr="002A0251">
        <w:rPr>
          <w:rFonts w:hint="eastAsia"/>
        </w:rPr>
        <w:t>a</w:t>
      </w:r>
      <w:r w:rsidR="005E1823" w:rsidRPr="002A0251">
        <w:t>t</w:t>
      </w:r>
      <w:proofErr w:type="gramEnd"/>
      <w:r w:rsidR="005E1823" w:rsidRPr="002A0251">
        <w:t xml:space="preserve"> week 1</w:t>
      </w:r>
      <w:r w:rsidR="00C840BE" w:rsidRPr="002A0251">
        <w:rPr>
          <w:rFonts w:hint="eastAsia"/>
        </w:rPr>
        <w:t>,</w:t>
      </w:r>
      <w:r w:rsidR="005E1823" w:rsidRPr="002A0251">
        <w:t xml:space="preserve"> the median</w:t>
      </w:r>
      <w:r w:rsidR="00C840BE" w:rsidRPr="002A0251">
        <w:rPr>
          <w:rFonts w:hint="eastAsia"/>
        </w:rPr>
        <w:t xml:space="preserve"> </w:t>
      </w:r>
      <w:r w:rsidR="005E1823" w:rsidRPr="002A0251">
        <w:t>cases averted were 1</w:t>
      </w:r>
      <w:r w:rsidR="0033709F">
        <w:rPr>
          <w:rFonts w:hint="eastAsia"/>
        </w:rPr>
        <w:t>20</w:t>
      </w:r>
      <w:r w:rsidR="005E1823" w:rsidRPr="002A0251">
        <w:t>, 1</w:t>
      </w:r>
      <w:r w:rsidR="0033709F">
        <w:rPr>
          <w:rFonts w:hint="eastAsia"/>
        </w:rPr>
        <w:t>29</w:t>
      </w:r>
      <w:r w:rsidR="005E1823" w:rsidRPr="002A0251">
        <w:t>, and 13</w:t>
      </w:r>
      <w:r w:rsidR="0033709F">
        <w:rPr>
          <w:rFonts w:hint="eastAsia"/>
        </w:rPr>
        <w:t>5</w:t>
      </w:r>
      <w:r w:rsidR="005E1823" w:rsidRPr="002A0251">
        <w:t xml:space="preserve"> for coverage levels of 60%, 75%, and 90%, respectively</w:t>
      </w:r>
      <w:r w:rsidR="00C840BE" w:rsidRPr="002A0251">
        <w:rPr>
          <w:rFonts w:hint="eastAsia"/>
        </w:rPr>
        <w:t xml:space="preserve">. </w:t>
      </w:r>
      <w:r w:rsidR="00C840BE" w:rsidRPr="002A0251">
        <w:t xml:space="preserve">By week 9, these medians fell to </w:t>
      </w:r>
      <w:r w:rsidR="0033709F">
        <w:rPr>
          <w:rFonts w:hint="eastAsia"/>
        </w:rPr>
        <w:t>15</w:t>
      </w:r>
      <w:r w:rsidR="00C840BE" w:rsidRPr="002A0251">
        <w:t xml:space="preserve">, </w:t>
      </w:r>
      <w:r w:rsidR="0033709F">
        <w:rPr>
          <w:rFonts w:hint="eastAsia"/>
        </w:rPr>
        <w:t>16</w:t>
      </w:r>
      <w:r w:rsidR="00C840BE" w:rsidRPr="002A0251">
        <w:t xml:space="preserve">, and </w:t>
      </w:r>
      <w:r w:rsidR="0033709F">
        <w:rPr>
          <w:rFonts w:hint="eastAsia"/>
        </w:rPr>
        <w:t>17</w:t>
      </w:r>
      <w:r w:rsidR="00215DF6">
        <w:rPr>
          <w:rFonts w:hint="eastAsia"/>
        </w:rPr>
        <w:t xml:space="preserve"> cases</w:t>
      </w:r>
      <w:r w:rsidR="00C840BE" w:rsidRPr="002A0251">
        <w:t xml:space="preserve">, </w:t>
      </w:r>
      <w:r w:rsidR="00215DF6">
        <w:rPr>
          <w:rFonts w:hint="eastAsia"/>
        </w:rPr>
        <w:t xml:space="preserve">corresponding to &lt; </w:t>
      </w:r>
      <w:r w:rsidR="0033709F">
        <w:rPr>
          <w:rFonts w:hint="eastAsia"/>
        </w:rPr>
        <w:t>9</w:t>
      </w:r>
      <w:r w:rsidR="00C840BE" w:rsidRPr="002A0251">
        <w:t xml:space="preserve">% </w:t>
      </w:r>
      <w:r w:rsidR="00215DF6">
        <w:rPr>
          <w:rFonts w:hint="eastAsia"/>
        </w:rPr>
        <w:lastRenderedPageBreak/>
        <w:t xml:space="preserve">of cases </w:t>
      </w:r>
      <w:r w:rsidR="00C840BE" w:rsidRPr="002A0251">
        <w:t>across all coverage levels.</w:t>
      </w:r>
      <w:r w:rsidR="00C840BE" w:rsidRPr="002A0251">
        <w:rPr>
          <w:rFonts w:hint="eastAsia"/>
        </w:rPr>
        <w:t xml:space="preserve"> </w:t>
      </w:r>
      <w:r w:rsidR="00C840BE" w:rsidRPr="002A0251">
        <w:t>Substantial variation remained across outbreaks for each delay, reflecting heterogeneity in outbreak dynamics and ORI parameters.</w:t>
      </w:r>
      <w:r w:rsidR="009A5D40" w:rsidRPr="002A0251">
        <w:rPr>
          <w:rFonts w:hint="eastAsia"/>
        </w:rPr>
        <w:t xml:space="preserve"> </w:t>
      </w:r>
    </w:p>
    <w:p w14:paraId="017F3C6A" w14:textId="77777777" w:rsidR="00215DF6" w:rsidRDefault="00215DF6" w:rsidP="00F97ADD"/>
    <w:p w14:paraId="0B662672" w14:textId="7A9E9494" w:rsidR="00C840BE" w:rsidRPr="002A0251" w:rsidRDefault="00215DF6" w:rsidP="00F97ADD">
      <w:pPr>
        <w:rPr>
          <w:lang w:val="en-US"/>
        </w:rPr>
      </w:pPr>
      <w:r>
        <w:rPr>
          <w:rFonts w:hint="eastAsia"/>
        </w:rPr>
        <w:t>An e</w:t>
      </w:r>
      <w:r w:rsidR="00F97ADD" w:rsidRPr="002A0251">
        <w:rPr>
          <w:rFonts w:hint="eastAsia"/>
        </w:rPr>
        <w:t>xponential decay</w:t>
      </w:r>
      <w:r w:rsidR="00C840BE" w:rsidRPr="002A0251">
        <w:rPr>
          <w:rFonts w:hint="eastAsia"/>
        </w:rPr>
        <w:t xml:space="preserve"> model</w:t>
      </w:r>
      <w:r w:rsidR="00F97ADD" w:rsidRPr="002A0251">
        <w:rPr>
          <w:rFonts w:hint="eastAsia"/>
        </w:rPr>
        <w:t xml:space="preserve"> </w:t>
      </w:r>
      <w:r w:rsidR="00C840BE" w:rsidRPr="002A0251">
        <w:rPr>
          <w:rFonts w:hint="eastAsia"/>
        </w:rPr>
        <w:t xml:space="preserve">captured </w:t>
      </w:r>
      <w:r w:rsidR="00F97ADD" w:rsidRPr="002A0251">
        <w:rPr>
          <w:rFonts w:hint="eastAsia"/>
        </w:rPr>
        <w:t>th</w:t>
      </w:r>
      <w:r>
        <w:rPr>
          <w:rFonts w:hint="eastAsia"/>
        </w:rPr>
        <w:t>is</w:t>
      </w:r>
      <w:r w:rsidR="00F97ADD" w:rsidRPr="002A0251">
        <w:rPr>
          <w:rFonts w:hint="eastAsia"/>
        </w:rPr>
        <w:t xml:space="preserve"> dec</w:t>
      </w:r>
      <w:r w:rsidR="00C840BE" w:rsidRPr="002A0251">
        <w:rPr>
          <w:rFonts w:hint="eastAsia"/>
        </w:rPr>
        <w:t xml:space="preserve">line </w:t>
      </w:r>
      <w:r w:rsidR="00F97ADD" w:rsidRPr="002A0251">
        <w:rPr>
          <w:rFonts w:hint="eastAsia"/>
        </w:rPr>
        <w:t>(</w:t>
      </w:r>
      <w:r w:rsidR="00C840BE" w:rsidRPr="002A0251">
        <w:rPr>
          <w:rFonts w:hint="eastAsia"/>
          <w:i/>
          <w:iCs/>
        </w:rPr>
        <w:t>R</w:t>
      </w:r>
      <w:r w:rsidR="00F97ADD" w:rsidRPr="002A0251">
        <w:rPr>
          <w:rFonts w:hint="eastAsia"/>
          <w:vertAlign w:val="superscript"/>
        </w:rPr>
        <w:t>2</w:t>
      </w:r>
      <w:r w:rsidR="00F97ADD" w:rsidRPr="002A0251">
        <w:rPr>
          <w:rFonts w:hint="eastAsia"/>
        </w:rPr>
        <w:t>=</w:t>
      </w:r>
      <w:r w:rsidR="00F97ADD" w:rsidRPr="002A0251">
        <w:t xml:space="preserve"> 0.94 [IQR: 0.88 - 0.9</w:t>
      </w:r>
      <w:r w:rsidR="004E79E3">
        <w:rPr>
          <w:rFonts w:hint="eastAsia"/>
        </w:rPr>
        <w:t>8</w:t>
      </w:r>
      <w:r w:rsidR="00F97ADD" w:rsidRPr="002A0251">
        <w:t>]</w:t>
      </w:r>
      <w:r w:rsidR="00F97ADD" w:rsidRPr="002A0251">
        <w:rPr>
          <w:rFonts w:hint="eastAsia"/>
        </w:rPr>
        <w:t>)</w:t>
      </w:r>
      <w:r w:rsidR="005E1823" w:rsidRPr="002A0251">
        <w:rPr>
          <w:rFonts w:hint="eastAsia"/>
        </w:rPr>
        <w:t xml:space="preserve"> (</w:t>
      </w:r>
      <w:r w:rsidR="005E1823" w:rsidRPr="002A0251">
        <w:rPr>
          <w:rFonts w:hint="eastAsia"/>
          <w:b/>
          <w:bCs/>
        </w:rPr>
        <w:t>Figure 3B</w:t>
      </w:r>
      <w:r w:rsidR="005E1823" w:rsidRPr="002A0251">
        <w:rPr>
          <w:rFonts w:hint="eastAsia"/>
        </w:rPr>
        <w:t>)</w:t>
      </w:r>
      <w:r w:rsidR="00F97ADD" w:rsidRPr="002A0251">
        <w:rPr>
          <w:rFonts w:hint="eastAsia"/>
        </w:rPr>
        <w:t xml:space="preserve">. </w:t>
      </w:r>
      <w:r w:rsidR="00C840BE" w:rsidRPr="002A0251">
        <w:rPr>
          <w:rFonts w:hint="eastAsia"/>
        </w:rPr>
        <w:t>Among o</w:t>
      </w:r>
      <w:r w:rsidR="00F97ADD" w:rsidRPr="002A0251">
        <w:rPr>
          <w:rFonts w:hint="eastAsia"/>
        </w:rPr>
        <w:t xml:space="preserve">utbreaks </w:t>
      </w:r>
      <w:r w:rsidR="00C840BE" w:rsidRPr="002A0251">
        <w:rPr>
          <w:rFonts w:hint="eastAsia"/>
        </w:rPr>
        <w:t>lasting &gt;</w:t>
      </w:r>
      <w:r w:rsidR="00F97ADD" w:rsidRPr="002A0251">
        <w:rPr>
          <w:rFonts w:hint="eastAsia"/>
        </w:rPr>
        <w:t>9 weeks</w:t>
      </w:r>
      <w:r w:rsidR="00C840BE" w:rsidRPr="002A0251">
        <w:rPr>
          <w:rFonts w:hint="eastAsia"/>
        </w:rPr>
        <w:t xml:space="preserve">, the </w:t>
      </w:r>
      <w:r w:rsidR="00F97ADD" w:rsidRPr="002A0251">
        <w:rPr>
          <w:rFonts w:hint="eastAsia"/>
        </w:rPr>
        <w:t xml:space="preserve">instantaneous reduction rate </w:t>
      </w:r>
      <w:r w:rsidR="00C840BE" w:rsidRPr="002A0251">
        <w:rPr>
          <w:rFonts w:hint="eastAsia"/>
        </w:rPr>
        <w:t>was</w:t>
      </w:r>
      <w:r w:rsidR="00F97ADD" w:rsidRPr="002A0251">
        <w:rPr>
          <w:rFonts w:hint="eastAsia"/>
        </w:rPr>
        <w:t xml:space="preserve"> </w:t>
      </w:r>
      <w:r w:rsidR="00F97ADD" w:rsidRPr="002A0251">
        <w:rPr>
          <w:lang w:val="en-US"/>
        </w:rPr>
        <w:t xml:space="preserve">0.166 </w:t>
      </w:r>
      <w:r w:rsidR="00C840BE" w:rsidRPr="002A0251">
        <w:rPr>
          <w:rFonts w:hint="eastAsia"/>
          <w:lang w:val="en-US"/>
        </w:rPr>
        <w:t xml:space="preserve">per </w:t>
      </w:r>
      <w:r w:rsidR="00C840BE" w:rsidRPr="002A0251">
        <w:rPr>
          <w:lang w:val="en-US"/>
        </w:rPr>
        <w:t>week</w:t>
      </w:r>
      <w:r w:rsidR="00C840BE" w:rsidRPr="002A0251">
        <w:rPr>
          <w:rFonts w:hint="eastAsia"/>
          <w:lang w:val="en-US"/>
        </w:rPr>
        <w:t xml:space="preserve"> </w:t>
      </w:r>
      <w:r w:rsidR="00F97ADD" w:rsidRPr="002A0251">
        <w:rPr>
          <w:lang w:val="en-US"/>
        </w:rPr>
        <w:t>[IQR: 0.079 - 0.293]</w:t>
      </w:r>
      <w:r w:rsidR="00F97ADD" w:rsidRPr="002A0251">
        <w:rPr>
          <w:rFonts w:hint="eastAsia"/>
          <w:lang w:val="en-US"/>
        </w:rPr>
        <w:t xml:space="preserve">, </w:t>
      </w:r>
      <w:r w:rsidR="00C840BE" w:rsidRPr="002A0251">
        <w:rPr>
          <w:rFonts w:hint="eastAsia"/>
          <w:lang w:val="en-US"/>
        </w:rPr>
        <w:t xml:space="preserve">implying </w:t>
      </w:r>
      <w:r w:rsidR="002077D5" w:rsidRPr="002A0251">
        <w:rPr>
          <w:rFonts w:hint="eastAsia"/>
          <w:lang w:val="en-US"/>
        </w:rPr>
        <w:t xml:space="preserve">a </w:t>
      </w:r>
      <w:r>
        <w:rPr>
          <w:rFonts w:hint="eastAsia"/>
          <w:lang w:val="en-US"/>
        </w:rPr>
        <w:t>weekly</w:t>
      </w:r>
      <w:r w:rsidR="002077D5" w:rsidRPr="002A0251">
        <w:rPr>
          <w:rFonts w:hint="eastAsia"/>
          <w:lang w:val="en-US"/>
        </w:rPr>
        <w:t xml:space="preserve"> decline of </w:t>
      </w:r>
      <w:r w:rsidR="005E1823" w:rsidRPr="002A0251">
        <w:rPr>
          <w:lang w:val="en-US"/>
        </w:rPr>
        <w:t>15.3</w:t>
      </w:r>
      <w:r w:rsidR="005E1823" w:rsidRPr="002A0251">
        <w:rPr>
          <w:rFonts w:hint="eastAsia"/>
          <w:lang w:val="en-US"/>
        </w:rPr>
        <w:t>%</w:t>
      </w:r>
      <w:r w:rsidR="005E1823" w:rsidRPr="002A0251">
        <w:rPr>
          <w:lang w:val="en-US"/>
        </w:rPr>
        <w:t xml:space="preserve"> [IQR: 7.6 - 25.4]</w:t>
      </w:r>
      <w:r w:rsidR="005E1823" w:rsidRPr="002A0251">
        <w:rPr>
          <w:rFonts w:hint="eastAsia"/>
          <w:lang w:val="en-US"/>
        </w:rPr>
        <w:t xml:space="preserve"> </w:t>
      </w:r>
      <w:r w:rsidR="002077D5" w:rsidRPr="002A0251">
        <w:rPr>
          <w:rFonts w:hint="eastAsia"/>
          <w:lang w:val="en-US"/>
        </w:rPr>
        <w:t>and a halving time of</w:t>
      </w:r>
      <w:r w:rsidR="005E1823" w:rsidRPr="002A0251">
        <w:rPr>
          <w:rFonts w:hint="eastAsia"/>
          <w:lang w:val="en-US"/>
        </w:rPr>
        <w:t xml:space="preserve"> </w:t>
      </w:r>
      <w:r w:rsidR="005E1823" w:rsidRPr="002A0251">
        <w:rPr>
          <w:lang w:val="en-US"/>
        </w:rPr>
        <w:t>4.2</w:t>
      </w:r>
      <w:r w:rsidR="002077D5" w:rsidRPr="002A0251">
        <w:rPr>
          <w:rFonts w:hint="eastAsia"/>
          <w:lang w:val="en-US"/>
        </w:rPr>
        <w:t xml:space="preserve"> weeks</w:t>
      </w:r>
      <w:r w:rsidR="005E1823" w:rsidRPr="002A0251">
        <w:rPr>
          <w:lang w:val="en-US"/>
        </w:rPr>
        <w:t xml:space="preserve"> [IQR: 2.4 - 8.8]</w:t>
      </w:r>
      <w:r w:rsidR="005E1823" w:rsidRPr="002A0251">
        <w:rPr>
          <w:rFonts w:hint="eastAsia"/>
          <w:lang w:val="en-US"/>
        </w:rPr>
        <w:t>.</w:t>
      </w:r>
      <w:r w:rsidR="002077D5" w:rsidRPr="002A0251">
        <w:rPr>
          <w:rFonts w:hint="eastAsia"/>
          <w:lang w:val="en-US"/>
        </w:rPr>
        <w:t xml:space="preserve"> </w:t>
      </w:r>
      <w:r>
        <w:rPr>
          <w:rFonts w:hint="eastAsia"/>
          <w:lang w:val="en-US"/>
        </w:rPr>
        <w:t>The d</w:t>
      </w:r>
      <w:r w:rsidR="00C840BE" w:rsidRPr="002A0251">
        <w:rPr>
          <w:lang w:val="en-US"/>
        </w:rPr>
        <w:t>ecay was faster in shorter outbreaks (</w:t>
      </w:r>
      <w:r>
        <w:rPr>
          <w:rFonts w:hint="eastAsia"/>
          <w:lang w:val="en-US"/>
        </w:rPr>
        <w:t xml:space="preserve">weekly decline of </w:t>
      </w:r>
      <w:r w:rsidR="004E79E3" w:rsidRPr="004E79E3">
        <w:rPr>
          <w:lang w:val="en-US"/>
        </w:rPr>
        <w:t>17.5</w:t>
      </w:r>
      <w:r w:rsidR="004E79E3">
        <w:rPr>
          <w:rFonts w:hint="eastAsia"/>
          <w:lang w:val="en-US"/>
        </w:rPr>
        <w:t xml:space="preserve">% </w:t>
      </w:r>
      <w:r>
        <w:rPr>
          <w:rFonts w:hint="eastAsia"/>
          <w:lang w:val="en-US"/>
        </w:rPr>
        <w:t>for outbreak</w:t>
      </w:r>
      <w:r w:rsidR="005935D8" w:rsidRPr="002A0251">
        <w:rPr>
          <w:rFonts w:hint="eastAsia"/>
        </w:rPr>
        <w:t>s lasting &gt;5 weeks</w:t>
      </w:r>
      <w:r w:rsidR="000B1D35" w:rsidRPr="002A0251">
        <w:rPr>
          <w:rFonts w:hint="eastAsia"/>
          <w:lang w:val="en-US"/>
        </w:rPr>
        <w:t>)</w:t>
      </w:r>
      <w:r w:rsidR="00C840BE" w:rsidRPr="002A0251">
        <w:rPr>
          <w:lang w:val="en-US"/>
        </w:rPr>
        <w:t>.</w:t>
      </w:r>
      <w:r w:rsidR="00AC5B8D" w:rsidRPr="002A0251">
        <w:rPr>
          <w:rFonts w:hint="eastAsia"/>
          <w:lang w:val="en-US"/>
        </w:rPr>
        <w:t xml:space="preserve"> </w:t>
      </w:r>
      <w:r w:rsidR="00BB369F" w:rsidRPr="002A0251">
        <w:rPr>
          <w:lang w:val="en-US"/>
        </w:rPr>
        <w:t>Delay also cause</w:t>
      </w:r>
      <w:r>
        <w:rPr>
          <w:rFonts w:hint="eastAsia"/>
          <w:lang w:val="en-US"/>
        </w:rPr>
        <w:t>d</w:t>
      </w:r>
      <w:r w:rsidR="00BB369F" w:rsidRPr="002A0251">
        <w:rPr>
          <w:lang w:val="en-US"/>
        </w:rPr>
        <w:t xml:space="preserve"> some outbreaks to </w:t>
      </w:r>
      <w:r>
        <w:rPr>
          <w:rFonts w:hint="eastAsia"/>
          <w:lang w:val="en-US"/>
        </w:rPr>
        <w:t>end</w:t>
      </w:r>
      <w:r w:rsidR="00BB369F" w:rsidRPr="002A0251">
        <w:rPr>
          <w:lang w:val="en-US"/>
        </w:rPr>
        <w:t xml:space="preserve"> because vaccination </w:t>
      </w:r>
      <w:r>
        <w:rPr>
          <w:rFonts w:hint="eastAsia"/>
          <w:lang w:val="en-US"/>
        </w:rPr>
        <w:t>began</w:t>
      </w:r>
      <w:r w:rsidR="00BB369F" w:rsidRPr="002A0251">
        <w:rPr>
          <w:lang w:val="en-US"/>
        </w:rPr>
        <w:t xml:space="preserve"> (</w:t>
      </w:r>
      <w:r w:rsidR="00BB369F" w:rsidRPr="002A0251">
        <w:rPr>
          <w:b/>
          <w:bCs/>
          <w:lang w:val="en-US"/>
        </w:rPr>
        <w:t>Figure 3C</w:t>
      </w:r>
      <w:r w:rsidR="00BB369F" w:rsidRPr="002A0251">
        <w:rPr>
          <w:lang w:val="en-US"/>
        </w:rPr>
        <w:t>). From week 5 onward, an additional 5.</w:t>
      </w:r>
      <w:r w:rsidR="00510853">
        <w:rPr>
          <w:rFonts w:hint="eastAsia"/>
          <w:lang w:val="en-US"/>
        </w:rPr>
        <w:t>4</w:t>
      </w:r>
      <w:r w:rsidR="00BB369F" w:rsidRPr="002A0251">
        <w:rPr>
          <w:lang w:val="en-US"/>
        </w:rPr>
        <w:t>% of outbreaks were missed per week of delay</w:t>
      </w:r>
      <w:r w:rsidR="006351FF">
        <w:rPr>
          <w:rFonts w:hint="eastAsia"/>
          <w:lang w:val="en-US"/>
        </w:rPr>
        <w:t xml:space="preserve">, reaching around </w:t>
      </w:r>
      <w:r w:rsidR="00BB369F" w:rsidRPr="002A0251">
        <w:rPr>
          <w:lang w:val="en-US"/>
        </w:rPr>
        <w:t>2</w:t>
      </w:r>
      <w:r w:rsidR="00510853">
        <w:rPr>
          <w:rFonts w:hint="eastAsia"/>
          <w:lang w:val="en-US"/>
        </w:rPr>
        <w:t>5</w:t>
      </w:r>
      <w:r w:rsidR="00BB369F" w:rsidRPr="002A0251">
        <w:rPr>
          <w:lang w:val="en-US"/>
        </w:rPr>
        <w:t>.</w:t>
      </w:r>
      <w:r w:rsidR="00510853">
        <w:rPr>
          <w:rFonts w:hint="eastAsia"/>
          <w:lang w:val="en-US"/>
        </w:rPr>
        <w:t>9</w:t>
      </w:r>
      <w:r w:rsidR="00BB369F" w:rsidRPr="002A0251">
        <w:rPr>
          <w:lang w:val="en-US"/>
        </w:rPr>
        <w:t xml:space="preserve">% </w:t>
      </w:r>
      <w:r w:rsidR="006351FF">
        <w:rPr>
          <w:rFonts w:hint="eastAsia"/>
          <w:lang w:val="en-US"/>
        </w:rPr>
        <w:t>by week 9</w:t>
      </w:r>
      <w:r w:rsidR="00BB369F" w:rsidRPr="002A0251">
        <w:rPr>
          <w:lang w:val="en-US"/>
        </w:rPr>
        <w:t>.</w:t>
      </w:r>
      <w:r w:rsidR="00807D15" w:rsidRPr="002A0251">
        <w:rPr>
          <w:lang w:val="en-US"/>
        </w:rPr>
        <w:t xml:space="preserve"> </w:t>
      </w:r>
      <w:r w:rsidR="000B1D35" w:rsidRPr="002A0251">
        <w:rPr>
          <w:rFonts w:hint="eastAsia"/>
          <w:lang w:val="en-US"/>
        </w:rPr>
        <w:t xml:space="preserve"> </w:t>
      </w:r>
    </w:p>
    <w:p w14:paraId="1731E32B" w14:textId="77777777" w:rsidR="00C840BE" w:rsidRPr="002A0251" w:rsidRDefault="00C840BE" w:rsidP="00F97ADD">
      <w:pPr>
        <w:rPr>
          <w:lang w:val="en-US"/>
        </w:rPr>
      </w:pPr>
    </w:p>
    <w:p w14:paraId="702391B4" w14:textId="77777777" w:rsidR="006B137E" w:rsidRDefault="00D06980" w:rsidP="000275CA">
      <w:r w:rsidRPr="002A0251">
        <w:rPr>
          <w:rFonts w:hint="eastAsia"/>
        </w:rPr>
        <w:t xml:space="preserve">Impact of </w:t>
      </w:r>
      <w:r w:rsidR="006351FF">
        <w:rPr>
          <w:rFonts w:hint="eastAsia"/>
        </w:rPr>
        <w:t>ORI</w:t>
      </w:r>
      <w:r w:rsidRPr="002A0251">
        <w:rPr>
          <w:rFonts w:hint="eastAsia"/>
        </w:rPr>
        <w:t xml:space="preserve"> vari</w:t>
      </w:r>
      <w:r w:rsidR="00807D15" w:rsidRPr="002A0251">
        <w:t>ed</w:t>
      </w:r>
      <w:r w:rsidRPr="002A0251">
        <w:rPr>
          <w:rFonts w:hint="eastAsia"/>
        </w:rPr>
        <w:t xml:space="preserve"> by epidemiological characteristics of outbreaks</w:t>
      </w:r>
      <w:r w:rsidR="006351FF">
        <w:rPr>
          <w:rFonts w:hint="eastAsia"/>
        </w:rPr>
        <w:t>,</w:t>
      </w:r>
      <w:r w:rsidR="00807D15" w:rsidRPr="002A0251">
        <w:t xml:space="preserve"> and different metrics </w:t>
      </w:r>
      <w:r w:rsidR="006351FF">
        <w:rPr>
          <w:rFonts w:hint="eastAsia"/>
        </w:rPr>
        <w:t>responded to prioritization in distinct ways</w:t>
      </w:r>
      <w:r w:rsidR="00807D15" w:rsidRPr="002A0251">
        <w:t xml:space="preserve">. </w:t>
      </w:r>
      <w:r w:rsidR="00360C77" w:rsidRPr="002A0251">
        <w:t xml:space="preserve">Prioritizing larger outbreaks produced the </w:t>
      </w:r>
      <w:r w:rsidR="006351FF">
        <w:rPr>
          <w:rFonts w:hint="eastAsia"/>
        </w:rPr>
        <w:t>greatest</w:t>
      </w:r>
      <w:r w:rsidR="00360C77" w:rsidRPr="002A0251">
        <w:t xml:space="preserve"> </w:t>
      </w:r>
      <w:r w:rsidR="006351FF">
        <w:rPr>
          <w:rFonts w:hint="eastAsia"/>
        </w:rPr>
        <w:t>absolute case reduction</w:t>
      </w:r>
      <w:r w:rsidRPr="002A0251">
        <w:rPr>
          <w:rFonts w:hint="eastAsia"/>
        </w:rPr>
        <w:t xml:space="preserve"> </w:t>
      </w:r>
      <w:r w:rsidR="00807D15" w:rsidRPr="002A0251">
        <w:t>(</w:t>
      </w:r>
      <w:r w:rsidR="00807D15" w:rsidRPr="002A0251">
        <w:rPr>
          <w:b/>
          <w:bCs/>
        </w:rPr>
        <w:t>Figure 3D; Figure S</w:t>
      </w:r>
      <w:r w:rsidR="000B1D35" w:rsidRPr="002A0251">
        <w:rPr>
          <w:rFonts w:hint="eastAsia"/>
          <w:b/>
          <w:bCs/>
        </w:rPr>
        <w:t>3</w:t>
      </w:r>
      <w:r w:rsidR="00807D15" w:rsidRPr="002A0251">
        <w:rPr>
          <w:b/>
          <w:bCs/>
        </w:rPr>
        <w:t xml:space="preserve"> </w:t>
      </w:r>
      <w:r w:rsidR="00807D15" w:rsidRPr="002A0251">
        <w:t xml:space="preserve">in the </w:t>
      </w:r>
      <w:r w:rsidR="00807D15" w:rsidRPr="003D43AD">
        <w:t>Supplement</w:t>
      </w:r>
      <w:r w:rsidR="00807D15" w:rsidRPr="002A0251">
        <w:t>)</w:t>
      </w:r>
      <w:r w:rsidR="00360C77" w:rsidRPr="002A0251">
        <w:t xml:space="preserve"> whereas prioritizing high</w:t>
      </w:r>
      <w:r w:rsidR="006351FF">
        <w:rPr>
          <w:rFonts w:hint="eastAsia"/>
        </w:rPr>
        <w:t>-</w:t>
      </w:r>
      <w:r w:rsidR="00360C77" w:rsidRPr="002A0251">
        <w:t>attack</w:t>
      </w:r>
      <w:r w:rsidR="006351FF">
        <w:rPr>
          <w:rFonts w:hint="eastAsia"/>
        </w:rPr>
        <w:t>-</w:t>
      </w:r>
      <w:r w:rsidR="00360C77" w:rsidRPr="002A0251">
        <w:t xml:space="preserve">rate outbreaks </w:t>
      </w:r>
      <w:r w:rsidR="006351FF">
        <w:rPr>
          <w:rFonts w:hint="eastAsia"/>
        </w:rPr>
        <w:t>maximized</w:t>
      </w:r>
      <w:r w:rsidR="003C5C26" w:rsidRPr="002A0251">
        <w:t xml:space="preserve"> efficiency—measured as cases</w:t>
      </w:r>
      <w:r w:rsidR="00807D15" w:rsidRPr="002A0251">
        <w:t xml:space="preserve"> or DALYs</w:t>
      </w:r>
      <w:r w:rsidR="003C5C26" w:rsidRPr="002A0251">
        <w:t xml:space="preserve"> averted per 1,000 OCV dose</w:t>
      </w:r>
      <w:r w:rsidR="00606A65" w:rsidRPr="002A0251">
        <w:t>s</w:t>
      </w:r>
      <w:r w:rsidR="008E19DF" w:rsidRPr="002A0251">
        <w:rPr>
          <w:rFonts w:hint="eastAsia"/>
        </w:rPr>
        <w:t xml:space="preserve"> </w:t>
      </w:r>
      <w:r w:rsidR="00893E04" w:rsidRPr="002A0251">
        <w:rPr>
          <w:rFonts w:hint="eastAsia"/>
        </w:rPr>
        <w:t>(</w:t>
      </w:r>
      <w:r w:rsidR="008E19DF" w:rsidRPr="002A0251">
        <w:rPr>
          <w:rFonts w:hint="eastAsia"/>
        </w:rPr>
        <w:t xml:space="preserve">or </w:t>
      </w:r>
      <w:r w:rsidR="006351FF">
        <w:rPr>
          <w:rFonts w:hint="eastAsia"/>
        </w:rPr>
        <w:t>vaccine recipients</w:t>
      </w:r>
      <w:r w:rsidR="00893E04" w:rsidRPr="002A0251">
        <w:rPr>
          <w:rFonts w:hint="eastAsia"/>
        </w:rPr>
        <w:t>)</w:t>
      </w:r>
      <w:r w:rsidR="00807D15" w:rsidRPr="002A0251">
        <w:t xml:space="preserve"> </w:t>
      </w:r>
      <w:r w:rsidR="003C5C26" w:rsidRPr="002A0251">
        <w:t>(</w:t>
      </w:r>
      <w:r w:rsidR="003C5C26" w:rsidRPr="002A0251">
        <w:rPr>
          <w:b/>
          <w:bCs/>
        </w:rPr>
        <w:t>Figure</w:t>
      </w:r>
      <w:r w:rsidR="003C5C26" w:rsidRPr="002A0251">
        <w:rPr>
          <w:rFonts w:hint="eastAsia"/>
          <w:b/>
          <w:bCs/>
        </w:rPr>
        <w:t>s</w:t>
      </w:r>
      <w:r w:rsidR="003C5C26" w:rsidRPr="002A0251">
        <w:rPr>
          <w:b/>
          <w:bCs/>
        </w:rPr>
        <w:t xml:space="preserve"> 3</w:t>
      </w:r>
      <w:r w:rsidR="00807D15" w:rsidRPr="002A0251">
        <w:rPr>
          <w:b/>
          <w:bCs/>
        </w:rPr>
        <w:t>E</w:t>
      </w:r>
      <w:r w:rsidR="003C5C26" w:rsidRPr="002A0251">
        <w:rPr>
          <w:b/>
          <w:bCs/>
        </w:rPr>
        <w:t>–F</w:t>
      </w:r>
      <w:r w:rsidR="003C5C26" w:rsidRPr="002A0251">
        <w:t>).</w:t>
      </w:r>
      <w:r w:rsidR="00606A65" w:rsidRPr="002A0251">
        <w:t xml:space="preserve"> </w:t>
      </w:r>
    </w:p>
    <w:p w14:paraId="603219A9" w14:textId="77777777" w:rsidR="006B137E" w:rsidRDefault="006B137E" w:rsidP="000275CA"/>
    <w:p w14:paraId="462809C4" w14:textId="09A360E3" w:rsidR="003C5C26" w:rsidRPr="002A0251" w:rsidRDefault="00606A65" w:rsidP="000275CA">
      <w:r w:rsidRPr="002A0251">
        <w:t>Targeting</w:t>
      </w:r>
      <w:r w:rsidR="008E19DF" w:rsidRPr="002A0251">
        <w:rPr>
          <w:rFonts w:hint="eastAsia"/>
        </w:rPr>
        <w:t xml:space="preserve"> </w:t>
      </w:r>
      <w:r w:rsidRPr="002A0251">
        <w:t>top 10% of outbreaks</w:t>
      </w:r>
      <w:r w:rsidR="008E19DF" w:rsidRPr="002A0251">
        <w:rPr>
          <w:rFonts w:hint="eastAsia"/>
        </w:rPr>
        <w:t xml:space="preserve"> by size increased the median </w:t>
      </w:r>
      <w:r w:rsidR="00686B8A">
        <w:rPr>
          <w:rFonts w:hint="eastAsia"/>
        </w:rPr>
        <w:t xml:space="preserve">to </w:t>
      </w:r>
      <w:r w:rsidR="008E19DF" w:rsidRPr="002A0251">
        <w:rPr>
          <w:rFonts w:hint="eastAsia"/>
          <w:lang w:val="en-US"/>
        </w:rPr>
        <w:t>6</w:t>
      </w:r>
      <w:r w:rsidR="00804E7E">
        <w:rPr>
          <w:rFonts w:hint="eastAsia"/>
          <w:lang w:val="en-US"/>
        </w:rPr>
        <w:t>82</w:t>
      </w:r>
      <w:r w:rsidR="008E19DF" w:rsidRPr="002A0251">
        <w:rPr>
          <w:rFonts w:hint="eastAsia"/>
          <w:lang w:val="en-US"/>
        </w:rPr>
        <w:t xml:space="preserve"> </w:t>
      </w:r>
      <w:proofErr w:type="gramStart"/>
      <w:r w:rsidR="008E19DF" w:rsidRPr="002A0251">
        <w:rPr>
          <w:rFonts w:hint="eastAsia"/>
          <w:lang w:val="en-US"/>
        </w:rPr>
        <w:t>case</w:t>
      </w:r>
      <w:proofErr w:type="gramEnd"/>
      <w:r w:rsidR="008E19DF" w:rsidRPr="002A0251">
        <w:rPr>
          <w:rFonts w:hint="eastAsia"/>
          <w:lang w:val="en-US"/>
        </w:rPr>
        <w:t xml:space="preserve"> </w:t>
      </w:r>
      <w:r w:rsidR="00686B8A">
        <w:rPr>
          <w:rFonts w:hint="eastAsia"/>
          <w:lang w:val="en-US"/>
        </w:rPr>
        <w:t xml:space="preserve">(vs </w:t>
      </w:r>
      <w:r w:rsidR="00804E7E">
        <w:rPr>
          <w:rFonts w:hint="eastAsia"/>
          <w:lang w:val="en-US"/>
        </w:rPr>
        <w:t>16</w:t>
      </w:r>
      <w:r w:rsidR="008E19DF" w:rsidRPr="002A0251">
        <w:rPr>
          <w:rFonts w:hint="eastAsia"/>
          <w:lang w:val="en-US"/>
        </w:rPr>
        <w:t xml:space="preserve"> cases </w:t>
      </w:r>
      <w:r w:rsidR="00686B8A">
        <w:rPr>
          <w:rFonts w:hint="eastAsia"/>
          <w:lang w:val="en-US"/>
        </w:rPr>
        <w:t>under random targeting) for ORIs</w:t>
      </w:r>
      <w:r w:rsidR="008E19DF" w:rsidRPr="002A0251">
        <w:rPr>
          <w:rFonts w:hint="eastAsia"/>
          <w:lang w:val="en-US"/>
        </w:rPr>
        <w:t xml:space="preserve"> i</w:t>
      </w:r>
      <w:r w:rsidR="00C710B1" w:rsidRPr="002A0251">
        <w:rPr>
          <w:rFonts w:hint="eastAsia"/>
          <w:lang w:val="en-US"/>
        </w:rPr>
        <w:t xml:space="preserve">nitiated </w:t>
      </w:r>
      <w:r w:rsidR="00686B8A">
        <w:rPr>
          <w:rFonts w:hint="eastAsia"/>
          <w:lang w:val="en-US"/>
        </w:rPr>
        <w:t>in</w:t>
      </w:r>
      <w:r w:rsidR="00DF3326" w:rsidRPr="002A0251">
        <w:rPr>
          <w:rFonts w:hint="eastAsia"/>
          <w:lang w:val="en-US"/>
        </w:rPr>
        <w:t xml:space="preserve"> week 9</w:t>
      </w:r>
      <w:r w:rsidR="00686B8A">
        <w:rPr>
          <w:rFonts w:hint="eastAsia"/>
          <w:lang w:val="en-US"/>
        </w:rPr>
        <w:t xml:space="preserve">, and to </w:t>
      </w:r>
      <w:r w:rsidR="008E19DF" w:rsidRPr="002A0251">
        <w:rPr>
          <w:lang w:val="en-US"/>
        </w:rPr>
        <w:t>1</w:t>
      </w:r>
      <w:r w:rsidR="008E19DF" w:rsidRPr="002A0251">
        <w:rPr>
          <w:rFonts w:hint="eastAsia"/>
          <w:lang w:val="en-US"/>
        </w:rPr>
        <w:t>,</w:t>
      </w:r>
      <w:r w:rsidR="008E19DF" w:rsidRPr="002A0251">
        <w:rPr>
          <w:lang w:val="en-US"/>
        </w:rPr>
        <w:t>725</w:t>
      </w:r>
      <w:r w:rsidR="008E19DF" w:rsidRPr="002A0251">
        <w:rPr>
          <w:rFonts w:hint="eastAsia"/>
          <w:lang w:val="en-US"/>
        </w:rPr>
        <w:t xml:space="preserve"> cases if </w:t>
      </w:r>
      <w:r w:rsidR="00C710B1" w:rsidRPr="002A0251">
        <w:rPr>
          <w:rFonts w:hint="eastAsia"/>
          <w:lang w:val="en-US"/>
        </w:rPr>
        <w:t xml:space="preserve">initiated </w:t>
      </w:r>
      <w:r w:rsidR="008E19DF" w:rsidRPr="002A0251">
        <w:rPr>
          <w:rFonts w:hint="eastAsia"/>
          <w:lang w:val="en-US"/>
        </w:rPr>
        <w:t xml:space="preserve">in </w:t>
      </w:r>
      <w:r w:rsidR="00686B8A">
        <w:rPr>
          <w:rFonts w:hint="eastAsia"/>
          <w:lang w:val="en-US"/>
        </w:rPr>
        <w:t>week 1</w:t>
      </w:r>
      <w:r w:rsidR="008E19DF" w:rsidRPr="002A0251">
        <w:rPr>
          <w:rFonts w:hint="eastAsia"/>
          <w:lang w:val="en-US"/>
        </w:rPr>
        <w:t xml:space="preserve">. </w:t>
      </w:r>
      <w:r w:rsidR="003C5C26" w:rsidRPr="002A0251">
        <w:t xml:space="preserve">Prioritizing </w:t>
      </w:r>
      <w:r w:rsidR="00686B8A">
        <w:rPr>
          <w:rFonts w:hint="eastAsia"/>
        </w:rPr>
        <w:t xml:space="preserve">the </w:t>
      </w:r>
      <w:r w:rsidR="000B1D35" w:rsidRPr="002A0251">
        <w:rPr>
          <w:rFonts w:hint="eastAsia"/>
        </w:rPr>
        <w:t xml:space="preserve">top 10 % </w:t>
      </w:r>
      <w:r w:rsidR="00686B8A">
        <w:rPr>
          <w:rFonts w:hint="eastAsia"/>
        </w:rPr>
        <w:t>by</w:t>
      </w:r>
      <w:r w:rsidR="000B1D35" w:rsidRPr="002A0251">
        <w:rPr>
          <w:rFonts w:hint="eastAsia"/>
        </w:rPr>
        <w:t xml:space="preserve"> </w:t>
      </w:r>
      <w:r w:rsidR="003C5C26" w:rsidRPr="002A0251">
        <w:t>attack</w:t>
      </w:r>
      <w:r w:rsidR="000B1D35" w:rsidRPr="002A0251">
        <w:rPr>
          <w:rFonts w:hint="eastAsia"/>
        </w:rPr>
        <w:t xml:space="preserve"> </w:t>
      </w:r>
      <w:r w:rsidR="003C5C26" w:rsidRPr="002A0251">
        <w:t xml:space="preserve">rate </w:t>
      </w:r>
      <w:r w:rsidR="008E19DF" w:rsidRPr="002A0251">
        <w:rPr>
          <w:rFonts w:hint="eastAsia"/>
        </w:rPr>
        <w:t xml:space="preserve">increased </w:t>
      </w:r>
      <w:r w:rsidR="000B1D35" w:rsidRPr="002A0251">
        <w:rPr>
          <w:rFonts w:hint="eastAsia"/>
        </w:rPr>
        <w:t xml:space="preserve">the </w:t>
      </w:r>
      <w:r w:rsidR="00686B8A">
        <w:rPr>
          <w:rFonts w:hint="eastAsia"/>
        </w:rPr>
        <w:t>ORI</w:t>
      </w:r>
      <w:r w:rsidR="000B1D35" w:rsidRPr="002A0251">
        <w:rPr>
          <w:rFonts w:hint="eastAsia"/>
        </w:rPr>
        <w:t xml:space="preserve"> efficiency </w:t>
      </w:r>
      <w:r w:rsidR="00FC0DFD" w:rsidRPr="002A0251">
        <w:rPr>
          <w:rFonts w:hint="eastAsia"/>
        </w:rPr>
        <w:t>approximately</w:t>
      </w:r>
      <w:r w:rsidR="00C710B1" w:rsidRPr="002A0251">
        <w:rPr>
          <w:rFonts w:hint="eastAsia"/>
        </w:rPr>
        <w:t xml:space="preserve"> to</w:t>
      </w:r>
      <w:r w:rsidR="000B1D35" w:rsidRPr="002A0251">
        <w:rPr>
          <w:rFonts w:hint="eastAsia"/>
        </w:rPr>
        <w:t xml:space="preserve"> </w:t>
      </w:r>
      <w:r w:rsidR="00FC0DFD" w:rsidRPr="002A0251">
        <w:rPr>
          <w:rFonts w:hint="eastAsia"/>
        </w:rPr>
        <w:t>2</w:t>
      </w:r>
      <w:r w:rsidR="008E19DF" w:rsidRPr="002A0251">
        <w:rPr>
          <w:rFonts w:hint="eastAsia"/>
        </w:rPr>
        <w:t>.</w:t>
      </w:r>
      <w:r w:rsidR="00686B8A">
        <w:rPr>
          <w:rFonts w:hint="eastAsia"/>
        </w:rPr>
        <w:t>39</w:t>
      </w:r>
      <w:r w:rsidR="00C710B1" w:rsidRPr="002A0251">
        <w:rPr>
          <w:rFonts w:hint="eastAsia"/>
        </w:rPr>
        <w:t xml:space="preserve"> </w:t>
      </w:r>
      <w:r w:rsidR="000E6BA5" w:rsidRPr="002A0251">
        <w:rPr>
          <w:rFonts w:hint="eastAsia"/>
        </w:rPr>
        <w:t>(or 0.0</w:t>
      </w:r>
      <w:r w:rsidR="00686B8A">
        <w:rPr>
          <w:rFonts w:hint="eastAsia"/>
        </w:rPr>
        <w:t>6</w:t>
      </w:r>
      <w:r w:rsidR="000E6BA5" w:rsidRPr="002A0251">
        <w:rPr>
          <w:rFonts w:hint="eastAsia"/>
        </w:rPr>
        <w:t xml:space="preserve"> DALYs) </w:t>
      </w:r>
      <w:r w:rsidR="00C710B1" w:rsidRPr="002A0251">
        <w:rPr>
          <w:rFonts w:hint="eastAsia"/>
        </w:rPr>
        <w:t>and 9.</w:t>
      </w:r>
      <w:r w:rsidR="00686B8A">
        <w:rPr>
          <w:rFonts w:hint="eastAsia"/>
        </w:rPr>
        <w:t>58</w:t>
      </w:r>
      <w:r w:rsidR="003C5C26" w:rsidRPr="002A0251">
        <w:t xml:space="preserve"> </w:t>
      </w:r>
      <w:r w:rsidR="00C710B1" w:rsidRPr="002A0251">
        <w:rPr>
          <w:rFonts w:hint="eastAsia"/>
        </w:rPr>
        <w:t>cases</w:t>
      </w:r>
      <w:r w:rsidR="000E6BA5" w:rsidRPr="002A0251">
        <w:rPr>
          <w:rFonts w:hint="eastAsia"/>
        </w:rPr>
        <w:t xml:space="preserve"> (1.</w:t>
      </w:r>
      <w:r w:rsidR="00686B8A">
        <w:rPr>
          <w:rFonts w:hint="eastAsia"/>
        </w:rPr>
        <w:t>28</w:t>
      </w:r>
      <w:r w:rsidR="000E6BA5" w:rsidRPr="002A0251">
        <w:rPr>
          <w:rFonts w:hint="eastAsia"/>
        </w:rPr>
        <w:t xml:space="preserve"> DALYs)</w:t>
      </w:r>
      <w:r w:rsidR="00C710B1" w:rsidRPr="002A0251">
        <w:rPr>
          <w:rFonts w:hint="eastAsia"/>
        </w:rPr>
        <w:t xml:space="preserve"> </w:t>
      </w:r>
      <w:r w:rsidR="003C5C26" w:rsidRPr="002A0251">
        <w:t xml:space="preserve">averted per 1,000 doses </w:t>
      </w:r>
      <w:r w:rsidR="00686B8A">
        <w:rPr>
          <w:rFonts w:hint="eastAsia"/>
        </w:rPr>
        <w:t>for</w:t>
      </w:r>
      <w:r w:rsidR="00C710B1" w:rsidRPr="002A0251">
        <w:rPr>
          <w:rFonts w:hint="eastAsia"/>
        </w:rPr>
        <w:t xml:space="preserve"> ORIs </w:t>
      </w:r>
      <w:r w:rsidR="003D43AD">
        <w:rPr>
          <w:rFonts w:hint="eastAsia"/>
        </w:rPr>
        <w:t>i</w:t>
      </w:r>
      <w:r w:rsidR="00C710B1" w:rsidRPr="002A0251">
        <w:rPr>
          <w:rFonts w:hint="eastAsia"/>
        </w:rPr>
        <w:t xml:space="preserve">nitiated </w:t>
      </w:r>
      <w:r w:rsidR="000E6BA5" w:rsidRPr="002A0251">
        <w:rPr>
          <w:rFonts w:hint="eastAsia"/>
        </w:rPr>
        <w:t>in</w:t>
      </w:r>
      <w:r w:rsidR="00C710B1" w:rsidRPr="002A0251">
        <w:rPr>
          <w:rFonts w:hint="eastAsia"/>
        </w:rPr>
        <w:t xml:space="preserve"> week 9 and 1, respectively</w:t>
      </w:r>
      <w:r w:rsidR="003C5C26" w:rsidRPr="002A0251">
        <w:t>.</w:t>
      </w:r>
      <w:r w:rsidR="00E66B68" w:rsidRPr="002A0251">
        <w:rPr>
          <w:rFonts w:hint="eastAsia"/>
        </w:rPr>
        <w:t xml:space="preserve"> </w:t>
      </w:r>
      <w:r w:rsidR="000E6BA5" w:rsidRPr="002A0251">
        <w:rPr>
          <w:rFonts w:hint="eastAsia"/>
        </w:rPr>
        <w:t xml:space="preserve">Prioritizing </w:t>
      </w:r>
      <w:r w:rsidR="003C5C26" w:rsidRPr="002A0251">
        <w:t>by size or duration also improved efficiency</w:t>
      </w:r>
      <w:r w:rsidR="003D43AD">
        <w:rPr>
          <w:rFonts w:hint="eastAsia"/>
        </w:rPr>
        <w:t xml:space="preserve"> but to a lesser extent</w:t>
      </w:r>
      <w:r w:rsidR="003C5C26" w:rsidRPr="002A0251">
        <w:t xml:space="preserve"> (</w:t>
      </w:r>
      <w:r w:rsidR="003C5C26" w:rsidRPr="002A0251">
        <w:rPr>
          <w:b/>
          <w:bCs/>
        </w:rPr>
        <w:t xml:space="preserve">Figure </w:t>
      </w:r>
      <w:r w:rsidR="00E66B68" w:rsidRPr="002A0251">
        <w:rPr>
          <w:rFonts w:hint="eastAsia"/>
          <w:b/>
          <w:bCs/>
        </w:rPr>
        <w:t>S3</w:t>
      </w:r>
      <w:r w:rsidR="003D43AD" w:rsidRPr="003D43AD">
        <w:rPr>
          <w:rFonts w:hint="eastAsia"/>
        </w:rPr>
        <w:t xml:space="preserve"> in the Supplement</w:t>
      </w:r>
      <w:r w:rsidR="003C5C26" w:rsidRPr="002A0251">
        <w:t xml:space="preserve">). In contrast, percent cases averted (not normalized by doses) was most sensitive to </w:t>
      </w:r>
      <w:r w:rsidR="003D43AD">
        <w:rPr>
          <w:rFonts w:hint="eastAsia"/>
        </w:rPr>
        <w:t xml:space="preserve">outbreak </w:t>
      </w:r>
      <w:r w:rsidR="003C5C26" w:rsidRPr="002A0251">
        <w:t xml:space="preserve">duration. </w:t>
      </w:r>
      <w:r w:rsidR="003D43AD">
        <w:rPr>
          <w:rFonts w:hint="eastAsia"/>
        </w:rPr>
        <w:t>For</w:t>
      </w:r>
      <w:r w:rsidR="003C5C26" w:rsidRPr="002A0251">
        <w:t xml:space="preserve"> ORIs </w:t>
      </w:r>
      <w:r w:rsidR="000E6BA5" w:rsidRPr="002A0251">
        <w:rPr>
          <w:rFonts w:hint="eastAsia"/>
        </w:rPr>
        <w:t xml:space="preserve">initiated </w:t>
      </w:r>
      <w:r w:rsidR="003C5C26" w:rsidRPr="002A0251">
        <w:t xml:space="preserve">in week 1, the median </w:t>
      </w:r>
      <w:proofErr w:type="gramStart"/>
      <w:r w:rsidR="003C5C26" w:rsidRPr="002A0251">
        <w:t>percent</w:t>
      </w:r>
      <w:proofErr w:type="gramEnd"/>
      <w:r w:rsidR="005453D4" w:rsidRPr="002A0251">
        <w:rPr>
          <w:rFonts w:hint="eastAsia"/>
        </w:rPr>
        <w:t xml:space="preserve"> </w:t>
      </w:r>
      <w:r w:rsidR="003C5C26" w:rsidRPr="002A0251">
        <w:t xml:space="preserve">cases averted </w:t>
      </w:r>
      <w:r w:rsidR="005453D4" w:rsidRPr="002A0251">
        <w:rPr>
          <w:rFonts w:hint="eastAsia"/>
        </w:rPr>
        <w:t xml:space="preserve">were </w:t>
      </w:r>
      <w:r w:rsidR="003C5C26" w:rsidRPr="002A0251">
        <w:t>83</w:t>
      </w:r>
      <w:r w:rsidR="003C5C26" w:rsidRPr="002A0251">
        <w:rPr>
          <w:rFonts w:hint="eastAsia"/>
        </w:rPr>
        <w:t>.8</w:t>
      </w:r>
      <w:r w:rsidR="003C5C26" w:rsidRPr="002A0251">
        <w:t>%, 82%, and 80</w:t>
      </w:r>
      <w:r w:rsidR="003C5C26" w:rsidRPr="002A0251">
        <w:rPr>
          <w:rFonts w:hint="eastAsia"/>
        </w:rPr>
        <w:t>.1</w:t>
      </w:r>
      <w:r w:rsidR="003C5C26" w:rsidRPr="002A0251">
        <w:t>% for outbreaks in the top decile of duration, size, and attack rate, respectively</w:t>
      </w:r>
      <w:r w:rsidR="003D43AD">
        <w:rPr>
          <w:rFonts w:hint="eastAsia"/>
        </w:rPr>
        <w:t xml:space="preserve">, declining to </w:t>
      </w:r>
      <w:r w:rsidR="003C5C26" w:rsidRPr="002A0251">
        <w:t>55.2</w:t>
      </w:r>
      <w:r w:rsidR="003C5C26" w:rsidRPr="002A0251">
        <w:rPr>
          <w:rFonts w:hint="eastAsia"/>
        </w:rPr>
        <w:t>%,</w:t>
      </w:r>
      <w:r w:rsidR="003C5C26" w:rsidRPr="002A0251">
        <w:t xml:space="preserve"> 2</w:t>
      </w:r>
      <w:r w:rsidR="003D43AD">
        <w:rPr>
          <w:rFonts w:hint="eastAsia"/>
        </w:rPr>
        <w:t>6</w:t>
      </w:r>
      <w:r w:rsidR="003C5C26" w:rsidRPr="002A0251">
        <w:t>.</w:t>
      </w:r>
      <w:r w:rsidR="003D43AD">
        <w:rPr>
          <w:rFonts w:hint="eastAsia"/>
        </w:rPr>
        <w:t>7</w:t>
      </w:r>
      <w:r w:rsidR="003C5C26" w:rsidRPr="002A0251">
        <w:rPr>
          <w:rFonts w:hint="eastAsia"/>
        </w:rPr>
        <w:t>%,</w:t>
      </w:r>
      <w:r w:rsidR="003C5C26" w:rsidRPr="002A0251">
        <w:t xml:space="preserve"> </w:t>
      </w:r>
      <w:r w:rsidR="003C5C26" w:rsidRPr="002A0251">
        <w:rPr>
          <w:rFonts w:hint="eastAsia"/>
        </w:rPr>
        <w:t xml:space="preserve">and </w:t>
      </w:r>
      <w:r w:rsidR="003C5C26" w:rsidRPr="002A0251">
        <w:rPr>
          <w:lang w:val="en-US"/>
        </w:rPr>
        <w:t>1</w:t>
      </w:r>
      <w:r w:rsidR="003D43AD">
        <w:rPr>
          <w:rFonts w:hint="eastAsia"/>
          <w:lang w:val="en-US"/>
        </w:rPr>
        <w:t>7</w:t>
      </w:r>
      <w:r w:rsidR="003C5C26" w:rsidRPr="002A0251">
        <w:rPr>
          <w:lang w:val="en-US"/>
        </w:rPr>
        <w:t>.</w:t>
      </w:r>
      <w:r w:rsidR="003D43AD">
        <w:rPr>
          <w:rFonts w:hint="eastAsia"/>
          <w:lang w:val="en-US"/>
        </w:rPr>
        <w:t>1</w:t>
      </w:r>
      <w:r w:rsidR="003C5C26" w:rsidRPr="002A0251">
        <w:rPr>
          <w:rFonts w:hint="eastAsia"/>
          <w:lang w:val="en-US"/>
        </w:rPr>
        <w:t>% by week 9</w:t>
      </w:r>
      <w:r w:rsidR="003C5C26" w:rsidRPr="002A0251">
        <w:t>.</w:t>
      </w:r>
    </w:p>
    <w:p w14:paraId="1BDD92EB" w14:textId="77777777" w:rsidR="003C5C26" w:rsidRPr="002A0251" w:rsidRDefault="003C5C26" w:rsidP="000275CA"/>
    <w:p w14:paraId="76875251" w14:textId="2463BC12" w:rsidR="0003655B" w:rsidRPr="002A0251" w:rsidRDefault="00CD0A6C" w:rsidP="000A3971">
      <w:r w:rsidRPr="002A0251">
        <w:rPr>
          <w:b/>
          <w:bCs/>
        </w:rPr>
        <w:lastRenderedPageBreak/>
        <w:t>Table 3</w:t>
      </w:r>
      <w:r w:rsidRPr="002A0251">
        <w:t xml:space="preserve"> summarizes</w:t>
      </w:r>
      <w:r w:rsidR="00C23933">
        <w:rPr>
          <w:rFonts w:hint="eastAsia"/>
        </w:rPr>
        <w:t xml:space="preserve"> the</w:t>
      </w:r>
      <w:r w:rsidRPr="002A0251">
        <w:t xml:space="preserve"> </w:t>
      </w:r>
      <w:r w:rsidR="003B5F48" w:rsidRPr="002A0251">
        <w:rPr>
          <w:rFonts w:hint="eastAsia"/>
        </w:rPr>
        <w:t>impact</w:t>
      </w:r>
      <w:r w:rsidR="00C23933">
        <w:rPr>
          <w:rFonts w:hint="eastAsia"/>
        </w:rPr>
        <w:t>, efficiency, and cost effectiveness of the ORI</w:t>
      </w:r>
      <w:r w:rsidR="003B5F48" w:rsidRPr="002A0251">
        <w:rPr>
          <w:rFonts w:hint="eastAsia"/>
        </w:rPr>
        <w:t xml:space="preserve"> </w:t>
      </w:r>
      <w:r w:rsidR="00E232A3" w:rsidRPr="002A0251">
        <w:rPr>
          <w:rFonts w:hint="eastAsia"/>
        </w:rPr>
        <w:t>under</w:t>
      </w:r>
      <w:r w:rsidR="00F20009" w:rsidRPr="002A0251">
        <w:t xml:space="preserve"> </w:t>
      </w:r>
      <w:r w:rsidR="003D7D41" w:rsidRPr="002A0251">
        <w:rPr>
          <w:rFonts w:hint="eastAsia"/>
        </w:rPr>
        <w:t xml:space="preserve">the </w:t>
      </w:r>
      <w:r w:rsidR="00BC2FA4" w:rsidRPr="002A0251">
        <w:rPr>
          <w:rFonts w:hint="eastAsia"/>
        </w:rPr>
        <w:t>outbreak onset-</w:t>
      </w:r>
      <w:r w:rsidR="00F20009" w:rsidRPr="002A0251">
        <w:t>trigger</w:t>
      </w:r>
      <w:r w:rsidR="00BC2FA4" w:rsidRPr="002A0251">
        <w:rPr>
          <w:rFonts w:hint="eastAsia"/>
        </w:rPr>
        <w:t>ed</w:t>
      </w:r>
      <w:r w:rsidR="00F20009" w:rsidRPr="002A0251">
        <w:t xml:space="preserve"> </w:t>
      </w:r>
      <w:r w:rsidR="00BC2FA4" w:rsidRPr="002A0251">
        <w:rPr>
          <w:rFonts w:hint="eastAsia"/>
        </w:rPr>
        <w:t>scenario</w:t>
      </w:r>
      <w:r w:rsidR="00F20009" w:rsidRPr="002A0251">
        <w:t xml:space="preserve"> </w:t>
      </w:r>
      <w:r w:rsidR="003D7D41" w:rsidRPr="002A0251">
        <w:rPr>
          <w:rFonts w:hint="eastAsia"/>
        </w:rPr>
        <w:t>with</w:t>
      </w:r>
      <w:r w:rsidR="00362788" w:rsidRPr="002A0251">
        <w:t xml:space="preserve"> 75% vaccine </w:t>
      </w:r>
      <w:r w:rsidRPr="002A0251">
        <w:t>coverage</w:t>
      </w:r>
      <w:r w:rsidR="003F3A8F" w:rsidRPr="002A0251">
        <w:t xml:space="preserve"> (</w:t>
      </w:r>
      <w:r w:rsidR="00D0371D" w:rsidRPr="002A0251">
        <w:t xml:space="preserve">results for other coverage levels and delays </w:t>
      </w:r>
      <w:r w:rsidR="00C23933">
        <w:rPr>
          <w:rFonts w:hint="eastAsia"/>
        </w:rPr>
        <w:t>appear in</w:t>
      </w:r>
      <w:r w:rsidR="00D0371D" w:rsidRPr="002A0251">
        <w:t xml:space="preserve"> </w:t>
      </w:r>
      <w:r w:rsidR="003F3A8F" w:rsidRPr="002A0251">
        <w:rPr>
          <w:b/>
          <w:bCs/>
        </w:rPr>
        <w:t>Table S1</w:t>
      </w:r>
      <w:r w:rsidR="001571CE" w:rsidRPr="002A0251">
        <w:t>)</w:t>
      </w:r>
      <w:r w:rsidRPr="002A0251">
        <w:t xml:space="preserve">. </w:t>
      </w:r>
      <w:r w:rsidR="00C23933" w:rsidRPr="00C23933">
        <w:t xml:space="preserve">As delays increased, the number of </w:t>
      </w:r>
      <w:r w:rsidR="00C23933">
        <w:rPr>
          <w:rFonts w:hint="eastAsia"/>
        </w:rPr>
        <w:t xml:space="preserve">cases or </w:t>
      </w:r>
      <w:r w:rsidR="00C23933" w:rsidRPr="00C23933">
        <w:t xml:space="preserve">DALYs averted and </w:t>
      </w:r>
      <w:r w:rsidR="00C23933">
        <w:t>the</w:t>
      </w:r>
      <w:r w:rsidR="00C23933">
        <w:rPr>
          <w:rFonts w:hint="eastAsia"/>
        </w:rPr>
        <w:t xml:space="preserve"> ORI </w:t>
      </w:r>
      <w:r w:rsidR="00C23933" w:rsidRPr="00C23933">
        <w:t>efficiency declined, while costs per case or DALY averted rose.</w:t>
      </w:r>
      <w:r w:rsidR="00C23933">
        <w:rPr>
          <w:rFonts w:hint="eastAsia"/>
        </w:rPr>
        <w:t xml:space="preserve"> </w:t>
      </w:r>
      <w:r w:rsidR="00A842BD" w:rsidRPr="002A0251">
        <w:t xml:space="preserve">The cost per case averted was approximately </w:t>
      </w:r>
      <w:r w:rsidR="009C735C" w:rsidRPr="002A0251">
        <w:t>4,</w:t>
      </w:r>
      <w:r w:rsidR="009C735C" w:rsidRPr="00C6056F">
        <w:rPr>
          <w:highlight w:val="yellow"/>
        </w:rPr>
        <w:t>6</w:t>
      </w:r>
      <w:r w:rsidR="00174DAC">
        <w:rPr>
          <w:rFonts w:hint="eastAsia"/>
        </w:rPr>
        <w:t>62</w:t>
      </w:r>
      <w:r w:rsidR="009C735C" w:rsidRPr="002A0251">
        <w:t xml:space="preserve"> [IQR: 98</w:t>
      </w:r>
      <w:r w:rsidR="00174DAC">
        <w:rPr>
          <w:rFonts w:hint="eastAsia"/>
        </w:rPr>
        <w:t>5</w:t>
      </w:r>
      <w:r w:rsidR="009C735C" w:rsidRPr="002A0251">
        <w:t xml:space="preserve"> - 17,91</w:t>
      </w:r>
      <w:r w:rsidR="00174DAC">
        <w:rPr>
          <w:rFonts w:hint="eastAsia"/>
        </w:rPr>
        <w:t>7</w:t>
      </w:r>
      <w:r w:rsidR="009C735C" w:rsidRPr="002A0251">
        <w:rPr>
          <w:rFonts w:hint="eastAsia"/>
        </w:rPr>
        <w:t>]</w:t>
      </w:r>
      <w:r w:rsidR="00A842BD" w:rsidRPr="002A0251">
        <w:t xml:space="preserve"> for </w:t>
      </w:r>
      <w:r w:rsidR="009C735C" w:rsidRPr="002A0251">
        <w:rPr>
          <w:rFonts w:hint="eastAsia"/>
        </w:rPr>
        <w:t>randomly targeted</w:t>
      </w:r>
      <w:r w:rsidR="00BE54ED">
        <w:rPr>
          <w:rFonts w:hint="eastAsia"/>
        </w:rPr>
        <w:t xml:space="preserve"> ORIs </w:t>
      </w:r>
      <w:r w:rsidR="00A842BD" w:rsidRPr="002A0251">
        <w:t>in week</w:t>
      </w:r>
      <w:r w:rsidR="00BE54ED">
        <w:rPr>
          <w:rFonts w:hint="eastAsia"/>
        </w:rPr>
        <w:t xml:space="preserve"> 1</w:t>
      </w:r>
      <w:r w:rsidR="00A842BD" w:rsidRPr="002A0251">
        <w:t xml:space="preserve">, </w:t>
      </w:r>
      <w:r w:rsidR="00BE54ED">
        <w:rPr>
          <w:rFonts w:hint="eastAsia"/>
        </w:rPr>
        <w:t xml:space="preserve">rising to </w:t>
      </w:r>
      <w:r w:rsidR="007D3F7F" w:rsidRPr="002A0251">
        <w:t>$1</w:t>
      </w:r>
      <w:r w:rsidR="00BE54ED">
        <w:rPr>
          <w:rFonts w:hint="eastAsia"/>
        </w:rPr>
        <w:t>3</w:t>
      </w:r>
      <w:r w:rsidR="007D3F7F" w:rsidRPr="002A0251">
        <w:t>,</w:t>
      </w:r>
      <w:r w:rsidR="00BE54ED">
        <w:rPr>
          <w:rFonts w:hint="eastAsia"/>
        </w:rPr>
        <w:t>043</w:t>
      </w:r>
      <w:r w:rsidR="007D3F7F" w:rsidRPr="002A0251">
        <w:t xml:space="preserve"> </w:t>
      </w:r>
      <w:r w:rsidR="007D3F7F" w:rsidRPr="002A0251">
        <w:rPr>
          <w:rFonts w:hint="eastAsia"/>
        </w:rPr>
        <w:t xml:space="preserve">[IQR: </w:t>
      </w:r>
      <w:r w:rsidR="007D3F7F" w:rsidRPr="002A0251">
        <w:t>2,</w:t>
      </w:r>
      <w:r w:rsidR="00BE54ED">
        <w:rPr>
          <w:rFonts w:hint="eastAsia"/>
        </w:rPr>
        <w:t>575</w:t>
      </w:r>
      <w:r w:rsidR="007D3F7F" w:rsidRPr="002A0251">
        <w:t xml:space="preserve"> </w:t>
      </w:r>
      <w:r w:rsidR="00160E58">
        <w:rPr>
          <w:rFonts w:hint="eastAsia"/>
        </w:rPr>
        <w:t>-</w:t>
      </w:r>
      <w:r w:rsidR="007D3F7F" w:rsidRPr="002A0251">
        <w:t xml:space="preserve"> </w:t>
      </w:r>
      <w:r w:rsidR="00BE54ED">
        <w:rPr>
          <w:rFonts w:hint="eastAsia"/>
        </w:rPr>
        <w:t>60,026</w:t>
      </w:r>
      <w:r w:rsidR="007D3F7F" w:rsidRPr="002A0251">
        <w:rPr>
          <w:rFonts w:hint="eastAsia"/>
        </w:rPr>
        <w:t>]</w:t>
      </w:r>
      <w:r w:rsidR="00BE54ED">
        <w:rPr>
          <w:rFonts w:hint="eastAsia"/>
        </w:rPr>
        <w:t xml:space="preserve"> in week 9</w:t>
      </w:r>
      <w:r w:rsidR="007D3F7F" w:rsidRPr="002A0251">
        <w:rPr>
          <w:rFonts w:hint="eastAsia"/>
        </w:rPr>
        <w:t>.</w:t>
      </w:r>
      <w:r w:rsidR="00160E58">
        <w:rPr>
          <w:rFonts w:hint="eastAsia"/>
        </w:rPr>
        <w:t xml:space="preserve"> The </w:t>
      </w:r>
      <w:r w:rsidR="00D27099">
        <w:rPr>
          <w:rFonts w:hint="eastAsia"/>
        </w:rPr>
        <w:t xml:space="preserve">corresponding </w:t>
      </w:r>
      <w:r w:rsidR="00160E58">
        <w:rPr>
          <w:rFonts w:hint="eastAsia"/>
        </w:rPr>
        <w:t>cost per DALY averted was</w:t>
      </w:r>
      <w:r w:rsidR="007D3F7F" w:rsidRPr="002A0251">
        <w:rPr>
          <w:rFonts w:hint="eastAsia"/>
        </w:rPr>
        <w:t xml:space="preserve"> </w:t>
      </w:r>
      <w:r w:rsidR="00160E58" w:rsidRPr="00160E58">
        <w:t xml:space="preserve">24,770 </w:t>
      </w:r>
      <w:r w:rsidR="00160E58" w:rsidRPr="002A0251">
        <w:rPr>
          <w:rFonts w:hint="eastAsia"/>
        </w:rPr>
        <w:t xml:space="preserve">[IQR: </w:t>
      </w:r>
      <w:r w:rsidR="00160E58" w:rsidRPr="00160E58">
        <w:t>4,06</w:t>
      </w:r>
      <w:r w:rsidR="00160E58">
        <w:rPr>
          <w:rFonts w:hint="eastAsia"/>
        </w:rPr>
        <w:t>6</w:t>
      </w:r>
      <w:r w:rsidR="00160E58" w:rsidRPr="00160E58">
        <w:t xml:space="preserve"> - 4,679,419</w:t>
      </w:r>
      <w:r w:rsidR="00160E58">
        <w:rPr>
          <w:rFonts w:hint="eastAsia"/>
        </w:rPr>
        <w:t>]</w:t>
      </w:r>
      <w:r w:rsidR="00D27099">
        <w:rPr>
          <w:rFonts w:hint="eastAsia"/>
        </w:rPr>
        <w:t xml:space="preserve"> and </w:t>
      </w:r>
      <w:r w:rsidR="00160E58" w:rsidRPr="00160E58">
        <w:t xml:space="preserve">1,745,455 </w:t>
      </w:r>
      <w:r w:rsidR="00160E58" w:rsidRPr="002A0251">
        <w:rPr>
          <w:rFonts w:hint="eastAsia"/>
        </w:rPr>
        <w:t xml:space="preserve">[IQR: </w:t>
      </w:r>
      <w:r w:rsidR="00160E58" w:rsidRPr="00160E58">
        <w:t>11,816 - 40,406,869</w:t>
      </w:r>
      <w:r w:rsidR="00160E58">
        <w:rPr>
          <w:rFonts w:hint="eastAsia"/>
        </w:rPr>
        <w:t>]</w:t>
      </w:r>
      <w:r w:rsidR="00D27099">
        <w:rPr>
          <w:rFonts w:hint="eastAsia"/>
        </w:rPr>
        <w:t>, respectively</w:t>
      </w:r>
      <w:r w:rsidR="000A3971">
        <w:rPr>
          <w:rFonts w:hint="eastAsia"/>
        </w:rPr>
        <w:t xml:space="preserve">, </w:t>
      </w:r>
      <w:r w:rsidR="0003655B" w:rsidRPr="002A0251">
        <w:rPr>
          <w:rFonts w:hint="eastAsia"/>
        </w:rPr>
        <w:t xml:space="preserve">much higher than </w:t>
      </w:r>
      <w:r w:rsidR="007D3F7F" w:rsidRPr="002A0251">
        <w:rPr>
          <w:rFonts w:hint="eastAsia"/>
        </w:rPr>
        <w:t xml:space="preserve">approximate </w:t>
      </w:r>
      <w:r w:rsidR="007D3F7F" w:rsidRPr="002A0251">
        <w:t>GDP per capita in sub-Saharan Africa (≈$1,636</w:t>
      </w:r>
      <w:r w:rsidR="007D3F7F" w:rsidRPr="002A0251">
        <w:rPr>
          <w:rFonts w:eastAsia="Aptos"/>
        </w:rPr>
        <w:fldChar w:fldCharType="begin"/>
      </w:r>
      <w:r w:rsidR="007D3F7F" w:rsidRPr="002A0251">
        <w:rPr>
          <w:rFonts w:eastAsia="Aptos"/>
        </w:rPr>
        <w:instrText xml:space="preserve"> ADDIN ZOTERO_ITEM CSL_CITATION {"citationID":"JoVXGF3J","properties":{"formattedCitation":"\\super 64\\nosupersub{}","plainCitation":"64","noteIndex":0},"citationItems":[{"id":"ybNQHeeS/Wrl0iLER","uris":["http://zotero.org/users/local/xDVOxgbN/items/G7M42ZDC"],"itemData":{"id":183,"type":"dataset","title":"GDP per capita (current US$)","URL":"https://data.worldbank.org/indicator/NY.GDP.PCAP.CD","author":[{"literal":"World Bank Group"}]}}],"schema":"https://github.com/citation-style-language/schema/raw/master/csl-citation.json"} </w:instrText>
      </w:r>
      <w:r w:rsidR="007D3F7F" w:rsidRPr="002A0251">
        <w:rPr>
          <w:rFonts w:eastAsia="Aptos"/>
        </w:rPr>
        <w:fldChar w:fldCharType="separate"/>
      </w:r>
      <w:r w:rsidR="007D3F7F" w:rsidRPr="002A0251">
        <w:rPr>
          <w:rFonts w:cs="Times New Roman"/>
          <w:vertAlign w:val="superscript"/>
        </w:rPr>
        <w:t>64</w:t>
      </w:r>
      <w:r w:rsidR="007D3F7F" w:rsidRPr="002A0251">
        <w:rPr>
          <w:rFonts w:eastAsia="Aptos"/>
        </w:rPr>
        <w:fldChar w:fldCharType="end"/>
      </w:r>
      <w:r w:rsidR="007D3F7F" w:rsidRPr="002A0251">
        <w:t>)</w:t>
      </w:r>
      <w:r w:rsidR="007D3F7F" w:rsidRPr="002A0251">
        <w:rPr>
          <w:rFonts w:hint="eastAsia"/>
        </w:rPr>
        <w:t xml:space="preserve"> in 2010 - 2020. </w:t>
      </w:r>
    </w:p>
    <w:p w14:paraId="46880228" w14:textId="77777777" w:rsidR="0003655B" w:rsidRPr="002A0251" w:rsidRDefault="0003655B" w:rsidP="0003655B">
      <w:pPr>
        <w:rPr>
          <w:b/>
          <w:bCs/>
        </w:rPr>
      </w:pPr>
    </w:p>
    <w:p w14:paraId="30D9CC90" w14:textId="75664466" w:rsidR="0003655B" w:rsidRPr="002A0251" w:rsidRDefault="0003655B" w:rsidP="0003655B">
      <w:r w:rsidRPr="002A0251">
        <w:rPr>
          <w:b/>
          <w:bCs/>
        </w:rPr>
        <w:t>Table 3</w:t>
      </w:r>
      <w:r w:rsidRPr="002A0251">
        <w:rPr>
          <w:rFonts w:hint="eastAsia"/>
          <w:b/>
          <w:bCs/>
        </w:rPr>
        <w:t xml:space="preserve"> </w:t>
      </w:r>
      <w:r w:rsidRPr="002A0251">
        <w:rPr>
          <w:rFonts w:hint="eastAsia"/>
        </w:rPr>
        <w:t xml:space="preserve">also shows that </w:t>
      </w:r>
      <w:r w:rsidRPr="002A0251">
        <w:t>ORI impact</w:t>
      </w:r>
      <w:r w:rsidR="00F235F5" w:rsidRPr="002A0251">
        <w:rPr>
          <w:rFonts w:hint="eastAsia"/>
        </w:rPr>
        <w:t>, OCV efficiency, and cost effectiveness</w:t>
      </w:r>
      <w:r w:rsidRPr="002A0251">
        <w:t xml:space="preserve"> w</w:t>
      </w:r>
      <w:r w:rsidR="00F235F5" w:rsidRPr="002A0251">
        <w:rPr>
          <w:rFonts w:hint="eastAsia"/>
        </w:rPr>
        <w:t>ere</w:t>
      </w:r>
      <w:r w:rsidRPr="002A0251">
        <w:t xml:space="preserve"> consistently greater in the top quartile of outbreaks by attack rate, duration, or size. </w:t>
      </w:r>
      <w:r w:rsidR="00F235F5" w:rsidRPr="002A0251">
        <w:rPr>
          <w:rFonts w:hint="eastAsia"/>
        </w:rPr>
        <w:t>Percent case averted</w:t>
      </w:r>
      <w:r w:rsidRPr="002A0251">
        <w:t xml:space="preserve"> in the </w:t>
      </w:r>
      <w:r w:rsidRPr="002A0251">
        <w:rPr>
          <w:rFonts w:hint="eastAsia"/>
        </w:rPr>
        <w:t>top quartile of o</w:t>
      </w:r>
      <w:r w:rsidRPr="002A0251">
        <w:t>utbreaks</w:t>
      </w:r>
      <w:r w:rsidRPr="002A0251">
        <w:rPr>
          <w:rFonts w:hint="eastAsia"/>
        </w:rPr>
        <w:t xml:space="preserve"> by duration</w:t>
      </w:r>
      <w:r w:rsidRPr="002A0251">
        <w:t xml:space="preserve"> reached 82% </w:t>
      </w:r>
      <w:r w:rsidRPr="002A0251">
        <w:rPr>
          <w:rFonts w:hint="eastAsia"/>
        </w:rPr>
        <w:t xml:space="preserve">[IQR: </w:t>
      </w:r>
      <w:r w:rsidRPr="002A0251">
        <w:t>72.9 – 88</w:t>
      </w:r>
      <w:r w:rsidRPr="002A0251">
        <w:rPr>
          <w:rFonts w:hint="eastAsia"/>
        </w:rPr>
        <w:t>]</w:t>
      </w:r>
      <w:r w:rsidRPr="002A0251">
        <w:t xml:space="preserve"> </w:t>
      </w:r>
      <w:r w:rsidR="00F235F5" w:rsidRPr="002A0251">
        <w:rPr>
          <w:rFonts w:hint="eastAsia"/>
        </w:rPr>
        <w:t xml:space="preserve">and </w:t>
      </w:r>
      <w:r w:rsidR="00F235F5" w:rsidRPr="002A0251">
        <w:t>24.6</w:t>
      </w:r>
      <w:r w:rsidR="00F235F5" w:rsidRPr="002A0251">
        <w:rPr>
          <w:rFonts w:hint="eastAsia"/>
          <w:lang w:val="en-US"/>
        </w:rPr>
        <w:t>%</w:t>
      </w:r>
      <w:r w:rsidR="00F235F5" w:rsidRPr="002A0251">
        <w:rPr>
          <w:lang w:val="en-US"/>
        </w:rPr>
        <w:t xml:space="preserve"> </w:t>
      </w:r>
      <w:r w:rsidR="00F235F5" w:rsidRPr="002A0251">
        <w:rPr>
          <w:rFonts w:hint="eastAsia"/>
          <w:lang w:val="en-US"/>
        </w:rPr>
        <w:t>[IQR:</w:t>
      </w:r>
      <w:r w:rsidR="00F235F5" w:rsidRPr="002A0251">
        <w:t>12.9 - 44.1</w:t>
      </w:r>
      <w:r w:rsidR="00F235F5" w:rsidRPr="002A0251">
        <w:rPr>
          <w:rFonts w:hint="eastAsia"/>
          <w:lang w:val="en-US"/>
        </w:rPr>
        <w:t xml:space="preserve">] </w:t>
      </w:r>
      <w:r w:rsidRPr="002A0251">
        <w:t>when ORI was launched in week 1</w:t>
      </w:r>
      <w:r w:rsidR="00F235F5" w:rsidRPr="002A0251">
        <w:rPr>
          <w:rFonts w:hint="eastAsia"/>
        </w:rPr>
        <w:t xml:space="preserve"> and</w:t>
      </w:r>
      <w:r w:rsidRPr="002A0251">
        <w:t xml:space="preserve"> week 1</w:t>
      </w:r>
      <w:r w:rsidRPr="002A0251">
        <w:rPr>
          <w:rFonts w:hint="eastAsia"/>
        </w:rPr>
        <w:t>3</w:t>
      </w:r>
      <w:r w:rsidR="00F235F5" w:rsidRPr="002A0251">
        <w:rPr>
          <w:rFonts w:hint="eastAsia"/>
        </w:rPr>
        <w:t>, respectively</w:t>
      </w:r>
      <w:r w:rsidRPr="002A0251">
        <w:t>.</w:t>
      </w:r>
      <w:r w:rsidRPr="002A0251">
        <w:rPr>
          <w:rFonts w:hint="eastAsia"/>
        </w:rPr>
        <w:t xml:space="preserve"> OCV efficiency and cost effectiveness were </w:t>
      </w:r>
      <w:r w:rsidR="00F235F5" w:rsidRPr="002A0251">
        <w:rPr>
          <w:rFonts w:hint="eastAsia"/>
        </w:rPr>
        <w:t xml:space="preserve">more </w:t>
      </w:r>
      <w:r w:rsidRPr="002A0251">
        <w:rPr>
          <w:rFonts w:hint="eastAsia"/>
        </w:rPr>
        <w:t xml:space="preserve">pronounced </w:t>
      </w:r>
      <w:r w:rsidR="00F235F5" w:rsidRPr="002A0251">
        <w:rPr>
          <w:rFonts w:hint="eastAsia"/>
        </w:rPr>
        <w:t xml:space="preserve">in the top quartile of outbreaks by attack rate. </w:t>
      </w:r>
      <w:r w:rsidRPr="002A0251">
        <w:rPr>
          <w:rFonts w:hint="eastAsia"/>
        </w:rPr>
        <w:t xml:space="preserve">Focusing on outbreaks of top quartile of </w:t>
      </w:r>
      <w:r w:rsidR="00644BF3" w:rsidRPr="002A0251">
        <w:rPr>
          <w:rFonts w:hint="eastAsia"/>
        </w:rPr>
        <w:t>attach rate</w:t>
      </w:r>
      <w:r w:rsidRPr="002A0251">
        <w:rPr>
          <w:rFonts w:hint="eastAsia"/>
        </w:rPr>
        <w:t xml:space="preserve"> can achieve </w:t>
      </w:r>
      <w:r w:rsidRPr="002A0251">
        <w:t xml:space="preserve">2,967 </w:t>
      </w:r>
      <w:r w:rsidRPr="002A0251">
        <w:rPr>
          <w:rFonts w:hint="eastAsia"/>
        </w:rPr>
        <w:t xml:space="preserve">[IQR: </w:t>
      </w:r>
      <w:r w:rsidRPr="002A0251">
        <w:t>-37 - 45,357</w:t>
      </w:r>
      <w:r w:rsidRPr="002A0251">
        <w:rPr>
          <w:rFonts w:hint="eastAsia"/>
        </w:rPr>
        <w:t xml:space="preserve">] and </w:t>
      </w:r>
      <w:r w:rsidRPr="002A0251">
        <w:t>8,53</w:t>
      </w:r>
      <w:r w:rsidRPr="002A0251">
        <w:rPr>
          <w:rFonts w:hint="eastAsia"/>
        </w:rPr>
        <w:t>3</w:t>
      </w:r>
      <w:r w:rsidRPr="002A0251">
        <w:t xml:space="preserve"> </w:t>
      </w:r>
      <w:r w:rsidRPr="002A0251">
        <w:rPr>
          <w:rFonts w:hint="eastAsia"/>
        </w:rPr>
        <w:t xml:space="preserve">[IQR: </w:t>
      </w:r>
      <w:r w:rsidRPr="002A0251">
        <w:t>1,292 - 1,186,542</w:t>
      </w:r>
      <w:r w:rsidRPr="002A0251">
        <w:rPr>
          <w:rFonts w:hint="eastAsia"/>
        </w:rPr>
        <w:t xml:space="preserve">] for ORIs implemented in week 1 and 9, respectively. </w:t>
      </w:r>
      <w:r w:rsidR="00644BF3" w:rsidRPr="002A0251">
        <w:rPr>
          <w:rFonts w:hint="eastAsia"/>
        </w:rPr>
        <w:t>The median values were comparable to approximately 1.8 and 5.2 times the GDP per capita values. Fo</w:t>
      </w:r>
      <w:r w:rsidRPr="002A0251">
        <w:rPr>
          <w:rFonts w:hint="eastAsia"/>
        </w:rPr>
        <w:t xml:space="preserve">r the case-triggered scenario, </w:t>
      </w:r>
      <w:r w:rsidRPr="002A0251">
        <w:t xml:space="preserve">the impact of ORI </w:t>
      </w:r>
      <w:r w:rsidRPr="002A0251">
        <w:rPr>
          <w:rFonts w:hint="eastAsia"/>
        </w:rPr>
        <w:t>declined</w:t>
      </w:r>
      <w:r w:rsidRPr="002A0251">
        <w:t xml:space="preserve"> with longer delays</w:t>
      </w:r>
      <w:r w:rsidRPr="002A0251">
        <w:rPr>
          <w:rFonts w:hint="eastAsia"/>
        </w:rPr>
        <w:t xml:space="preserve"> after the trigger and higher thresholds (</w:t>
      </w:r>
      <w:r w:rsidRPr="002A0251">
        <w:rPr>
          <w:rFonts w:hint="eastAsia"/>
          <w:b/>
          <w:bCs/>
        </w:rPr>
        <w:t>Table S2</w:t>
      </w:r>
      <w:r w:rsidRPr="002A0251">
        <w:rPr>
          <w:rFonts w:hint="eastAsia"/>
        </w:rPr>
        <w:t xml:space="preserve">). </w:t>
      </w:r>
      <w:r w:rsidRPr="002A0251">
        <w:t>Efficiency also decreased with higher thresholds and longer delays</w:t>
      </w:r>
      <w:r w:rsidRPr="002A0251">
        <w:rPr>
          <w:rFonts w:hint="eastAsia"/>
        </w:rPr>
        <w:t xml:space="preserve">. </w:t>
      </w:r>
      <w:r w:rsidRPr="002A0251">
        <w:t>Accordingly, the median cost per case</w:t>
      </w:r>
      <w:r w:rsidRPr="002A0251">
        <w:rPr>
          <w:rFonts w:hint="eastAsia"/>
        </w:rPr>
        <w:t>, death,</w:t>
      </w:r>
      <w:r w:rsidRPr="002A0251">
        <w:t xml:space="preserve"> and DALY averted </w:t>
      </w:r>
      <w:r w:rsidRPr="002A0251">
        <w:rPr>
          <w:rFonts w:hint="eastAsia"/>
        </w:rPr>
        <w:t>rose with higher</w:t>
      </w:r>
      <w:r w:rsidRPr="002A0251">
        <w:t xml:space="preserve"> thresholds</w:t>
      </w:r>
      <w:r w:rsidRPr="002A0251">
        <w:rPr>
          <w:rFonts w:hint="eastAsia"/>
        </w:rPr>
        <w:t xml:space="preserve"> and longer delays, </w:t>
      </w:r>
      <w:r w:rsidRPr="002A0251">
        <w:t xml:space="preserve">remaining below </w:t>
      </w:r>
      <w:r w:rsidRPr="002A0251">
        <w:rPr>
          <w:rFonts w:hint="eastAsia"/>
        </w:rPr>
        <w:t xml:space="preserve">conventional </w:t>
      </w:r>
      <w:r w:rsidRPr="002A0251">
        <w:t xml:space="preserve">cost-effectiveness </w:t>
      </w:r>
      <w:r w:rsidRPr="002A0251">
        <w:rPr>
          <w:rFonts w:hint="eastAsia"/>
        </w:rPr>
        <w:t>benchmark</w:t>
      </w:r>
      <w:r w:rsidRPr="002A0251">
        <w:t>s</w:t>
      </w:r>
      <w:r w:rsidRPr="002A0251">
        <w:rPr>
          <w:rFonts w:hint="eastAsia"/>
        </w:rPr>
        <w:t>.</w:t>
      </w:r>
    </w:p>
    <w:p w14:paraId="4C38061F" w14:textId="3A32293D" w:rsidR="00CE75ED" w:rsidRPr="002A0251" w:rsidRDefault="00CE75ED" w:rsidP="00F57F15">
      <w:pPr>
        <w:pStyle w:val="Heading3"/>
      </w:pPr>
      <w:bookmarkStart w:id="29" w:name="_Toc184909208"/>
      <w:r w:rsidRPr="002A0251">
        <w:rPr>
          <w:rFonts w:hint="eastAsia"/>
        </w:rPr>
        <w:t xml:space="preserve">Impact of ORIs </w:t>
      </w:r>
      <w:r w:rsidR="00F666B7" w:rsidRPr="002A0251">
        <w:rPr>
          <w:rFonts w:hint="eastAsia"/>
        </w:rPr>
        <w:t xml:space="preserve">aggregated </w:t>
      </w:r>
      <w:r w:rsidR="004647EB" w:rsidRPr="002A0251">
        <w:rPr>
          <w:rFonts w:hint="eastAsia"/>
        </w:rPr>
        <w:t>across</w:t>
      </w:r>
      <w:r w:rsidRPr="002A0251">
        <w:rPr>
          <w:rFonts w:hint="eastAsia"/>
        </w:rPr>
        <w:t xml:space="preserve"> multiple outbreaks</w:t>
      </w:r>
    </w:p>
    <w:bookmarkEnd w:id="29"/>
    <w:p w14:paraId="751EB781" w14:textId="05D00AAB" w:rsidR="00F666B7" w:rsidRPr="002A0251" w:rsidRDefault="00F666B7" w:rsidP="00F666B7">
      <w:pPr>
        <w:pStyle w:val="Heading4"/>
      </w:pPr>
      <w:r w:rsidRPr="002A0251">
        <w:rPr>
          <w:rFonts w:hint="eastAsia"/>
        </w:rPr>
        <w:t>Impact of ORIs across campaign timing and coverage levels</w:t>
      </w:r>
    </w:p>
    <w:p w14:paraId="3D6246B4" w14:textId="2CE3F558" w:rsidR="004D4BFD" w:rsidRPr="002A0251" w:rsidRDefault="007604A7" w:rsidP="00B12ECB">
      <w:r w:rsidRPr="002A0251">
        <w:t xml:space="preserve">Assuming 100,000 to 200 million OCV doses, the number of outbreaks eligible for ORI ranged from 1 to &gt;530 when targeted at random. Because outbreaks differ in population affected, the number of outbreaks targeted decreased when prioritizing larger outbreaks </w:t>
      </w:r>
      <w:r w:rsidRPr="002A0251">
        <w:lastRenderedPageBreak/>
        <w:t>(approximately 480 outbreaks) and increased when prioritizing high-attack-rate (AR) outbreaks (≈ 800 outbreaks)</w:t>
      </w:r>
      <w:r w:rsidRPr="002A0251">
        <w:rPr>
          <w:rFonts w:hint="eastAsia"/>
        </w:rPr>
        <w:t xml:space="preserve">, which are usually smaller </w:t>
      </w:r>
      <w:r w:rsidR="00C13DB7" w:rsidRPr="002A0251">
        <w:rPr>
          <w:rFonts w:hint="eastAsia"/>
        </w:rPr>
        <w:t>(</w:t>
      </w:r>
      <w:r w:rsidR="00C13DB7" w:rsidRPr="002A0251">
        <w:rPr>
          <w:rFonts w:hint="eastAsia"/>
          <w:b/>
          <w:bCs/>
        </w:rPr>
        <w:t>Figure 4A</w:t>
      </w:r>
      <w:r w:rsidR="00C13DB7" w:rsidRPr="002A0251">
        <w:rPr>
          <w:rFonts w:hint="eastAsia"/>
        </w:rPr>
        <w:t xml:space="preserve">). </w:t>
      </w:r>
      <w:r w:rsidRPr="002A0251">
        <w:rPr>
          <w:rFonts w:hint="eastAsia"/>
        </w:rPr>
        <w:t xml:space="preserve"> </w:t>
      </w:r>
      <w:r w:rsidRPr="002A0251">
        <w:t>Total cases averted increased with both the number of doses deployed and the prioritization criteria (</w:t>
      </w:r>
      <w:r w:rsidRPr="002A0251">
        <w:rPr>
          <w:b/>
          <w:bCs/>
        </w:rPr>
        <w:t>Figure 4B</w:t>
      </w:r>
      <w:r w:rsidRPr="002A0251">
        <w:t>). With a 9-week delay in ORI implementation, the median number of cases averted reached 68,000 [IQR</w:t>
      </w:r>
      <w:r w:rsidRPr="002A0251">
        <w:rPr>
          <w:rFonts w:hint="eastAsia"/>
        </w:rPr>
        <w:t>:</w:t>
      </w:r>
      <w:r w:rsidRPr="002A0251">
        <w:t xml:space="preserve"> 65,900–75,800] under random targeting, compared with 87,000 [78,100–95,700], 97,000 [89,900–103,800], and 156,000 [154,100–158,300] when prioritizing outbreaks with larger size, longer duration, and higher AR, respectively. When the delay was shortened to 1 week, the corresponding numbers increased to 194,000 [184,400–202,500], 244,000 [236,200–253,700], 259,000 [243,000–276,200], and 420,000 [418,200–423,600] for the same four strategies.</w:t>
      </w:r>
      <w:r w:rsidRPr="002A0251">
        <w:rPr>
          <w:rFonts w:hint="eastAsia"/>
        </w:rPr>
        <w:t xml:space="preserve"> </w:t>
      </w:r>
    </w:p>
    <w:p w14:paraId="7E3F32B1" w14:textId="77777777" w:rsidR="004D4BFD" w:rsidRPr="002A0251" w:rsidRDefault="004D4BFD" w:rsidP="004D4BFD">
      <w:pPr>
        <w:pStyle w:val="Heading4"/>
      </w:pPr>
      <w:r w:rsidRPr="002A0251">
        <w:t>Efficiency and cost</w:t>
      </w:r>
      <w:r w:rsidRPr="002A0251">
        <w:rPr>
          <w:rFonts w:hint="eastAsia"/>
        </w:rPr>
        <w:t xml:space="preserve"> effectiveness</w:t>
      </w:r>
    </w:p>
    <w:p w14:paraId="5D4D7E69" w14:textId="255DC9AF" w:rsidR="007604A7" w:rsidRPr="002A0251" w:rsidRDefault="007604A7" w:rsidP="007604A7">
      <w:pPr>
        <w:rPr>
          <w:lang w:val="en-US"/>
        </w:rPr>
      </w:pPr>
      <w:r w:rsidRPr="002A0251">
        <w:rPr>
          <w:rFonts w:hint="eastAsia"/>
        </w:rPr>
        <w:t>Efficiency</w:t>
      </w:r>
      <w:r w:rsidRPr="002A0251">
        <w:t>—</w:t>
      </w:r>
      <w:r w:rsidRPr="002A0251">
        <w:rPr>
          <w:rFonts w:hint="eastAsia"/>
        </w:rPr>
        <w:t>measured as cases averted per</w:t>
      </w:r>
      <w:r w:rsidR="004D4BFD" w:rsidRPr="002A0251">
        <w:rPr>
          <w:rFonts w:hint="eastAsia"/>
        </w:rPr>
        <w:t xml:space="preserve"> </w:t>
      </w:r>
      <w:r w:rsidRPr="002A0251">
        <w:rPr>
          <w:rFonts w:hint="eastAsia"/>
        </w:rPr>
        <w:t>1,000 OCV doses</w:t>
      </w:r>
      <w:r w:rsidRPr="002A0251">
        <w:t>—</w:t>
      </w:r>
      <w:r w:rsidRPr="002A0251">
        <w:rPr>
          <w:rFonts w:hint="eastAsia"/>
        </w:rPr>
        <w:t>showed large variability at low vaccine supply (100,000 and 200,000 doses) but converged at higher coverage (</w:t>
      </w:r>
      <w:r w:rsidRPr="002A0251">
        <w:rPr>
          <w:rFonts w:hint="eastAsia"/>
          <w:b/>
          <w:bCs/>
        </w:rPr>
        <w:t>Figure 4C</w:t>
      </w:r>
      <w:r w:rsidRPr="002A0251">
        <w:rPr>
          <w:rFonts w:hint="eastAsia"/>
        </w:rPr>
        <w:t xml:space="preserve">). As the number of doses increased, targeting high-AR outbreaks consistently produced the </w:t>
      </w:r>
      <w:r w:rsidRPr="002A0251">
        <w:t>highest efficiency, exceeding 2 cases averted per 1,000 doses with a 1-week delay and about 1 case per 1,000 doses with a 9-week delay, while other strategies remained lower. The pattern for DALYs averted per 1,000 doses mirrored that of cases averted but with smaller magnitude—approximately 0.6 for high-AR targeting at a 1-week delay and 0.3–0.4 for other strategies (</w:t>
      </w:r>
      <w:r w:rsidRPr="002A0251">
        <w:rPr>
          <w:b/>
          <w:bCs/>
        </w:rPr>
        <w:t>Figure 4D</w:t>
      </w:r>
      <w:r w:rsidRPr="002A0251">
        <w:t>).</w:t>
      </w:r>
      <w:r w:rsidRPr="002A0251">
        <w:rPr>
          <w:rFonts w:hint="eastAsia"/>
        </w:rPr>
        <w:t xml:space="preserve"> </w:t>
      </w:r>
      <w:r w:rsidRPr="002A0251">
        <w:rPr>
          <w:lang w:val="en-US"/>
        </w:rPr>
        <w:t>Economic efficiency also improved markedly with both shorter delays and better targeting. The cost per case averted declined from US$8,285 [7,776–9,191] under random targeting to US$4,299 [4,231–4,421] when high-AR outbreaks were prioritized with a 9-week delay, and further to US$3,346 [3,106–3,505] and US$1,331 [1,312–1,357] under a 1-week delay for random and high-AR targeting, respectively (</w:t>
      </w:r>
      <w:r w:rsidRPr="002A0251">
        <w:rPr>
          <w:b/>
          <w:bCs/>
          <w:lang w:val="en-US"/>
        </w:rPr>
        <w:t>Figure 4E</w:t>
      </w:r>
      <w:r w:rsidRPr="002A0251">
        <w:rPr>
          <w:lang w:val="en-US"/>
        </w:rPr>
        <w:t>). Similarly, cost per DALY averted decreased from US$31,248 [28,347–36,212] to US$16,621 [16,279–16,812] with a 9-week delay, and from US$10,997 [10,253–11,610] to US$4,695 [4,602–4,753] with a 1-week delay (</w:t>
      </w:r>
      <w:r w:rsidRPr="002A0251">
        <w:rPr>
          <w:b/>
          <w:bCs/>
          <w:lang w:val="en-US"/>
        </w:rPr>
        <w:t>Figure 4F</w:t>
      </w:r>
      <w:r w:rsidRPr="002A0251">
        <w:rPr>
          <w:lang w:val="en-US"/>
        </w:rPr>
        <w:t>).</w:t>
      </w:r>
      <w:r w:rsidRPr="002A0251">
        <w:rPr>
          <w:rFonts w:hint="eastAsia"/>
          <w:lang w:val="en-US"/>
        </w:rPr>
        <w:t xml:space="preserve"> </w:t>
      </w:r>
      <w:r w:rsidRPr="002A0251">
        <w:rPr>
          <w:lang w:val="en-US"/>
        </w:rPr>
        <w:t>Together, these results indicate that targeting outbreaks with high attack rates offers the largest gains in both health and economic outcomes, and that timeliness of ORI implementation remains a critical determinant of OCV impact.</w:t>
      </w:r>
    </w:p>
    <w:p w14:paraId="2654C35A" w14:textId="00F757A4" w:rsidR="007604A7" w:rsidRPr="002A0251" w:rsidRDefault="007604A7" w:rsidP="00B12ECB"/>
    <w:p w14:paraId="2BF97C3F" w14:textId="77777777" w:rsidR="007604A7" w:rsidRPr="002A0251" w:rsidRDefault="007604A7" w:rsidP="00B12ECB"/>
    <w:p w14:paraId="16038545" w14:textId="0883994C" w:rsidR="00A3640F" w:rsidRPr="002A0251" w:rsidRDefault="0073569F" w:rsidP="009810DC">
      <w:r w:rsidRPr="002A0251">
        <w:t>When the impact</w:t>
      </w:r>
      <w:r w:rsidR="00A46471" w:rsidRPr="002A0251">
        <w:rPr>
          <w:rFonts w:hint="eastAsia"/>
        </w:rPr>
        <w:t xml:space="preserve"> and efficiency</w:t>
      </w:r>
      <w:r w:rsidRPr="002A0251">
        <w:t xml:space="preserve"> of ORI campaigns with 75% vaccine coverage was evaluated across aggregated sets of outbreaks</w:t>
      </w:r>
      <w:r w:rsidR="00B1216A" w:rsidRPr="002A0251">
        <w:rPr>
          <w:rFonts w:hint="eastAsia"/>
        </w:rPr>
        <w:t>,</w:t>
      </w:r>
      <w:r w:rsidRPr="002A0251">
        <w:t xml:space="preserve"> median effectiveness</w:t>
      </w:r>
      <w:r w:rsidR="00A46471" w:rsidRPr="002A0251">
        <w:rPr>
          <w:rFonts w:hint="eastAsia"/>
        </w:rPr>
        <w:t xml:space="preserve"> and efficiency</w:t>
      </w:r>
      <w:r w:rsidRPr="002A0251">
        <w:t xml:space="preserve"> increased with the number of outbreaks included in the sample </w:t>
      </w:r>
      <w:r w:rsidR="00711225" w:rsidRPr="002A0251">
        <w:t>(</w:t>
      </w:r>
      <w:r w:rsidR="00251C88" w:rsidRPr="002A0251">
        <w:rPr>
          <w:rFonts w:hint="eastAsia"/>
          <w:b/>
          <w:bCs/>
        </w:rPr>
        <w:t xml:space="preserve">Figure </w:t>
      </w:r>
      <w:r w:rsidR="00A46471" w:rsidRPr="002A0251">
        <w:rPr>
          <w:rFonts w:hint="eastAsia"/>
          <w:b/>
          <w:bCs/>
        </w:rPr>
        <w:t>S4</w:t>
      </w:r>
      <w:r w:rsidR="001E69BC" w:rsidRPr="002A0251">
        <w:t>)</w:t>
      </w:r>
      <w:r w:rsidR="00DB6385" w:rsidRPr="002A0251">
        <w:t>.</w:t>
      </w:r>
      <w:r w:rsidR="001116CD" w:rsidRPr="002A0251">
        <w:rPr>
          <w:rFonts w:hint="eastAsia"/>
        </w:rPr>
        <w:t xml:space="preserve"> </w:t>
      </w:r>
      <w:bookmarkStart w:id="30" w:name="_Hlk203670219"/>
      <w:r w:rsidR="002F5474" w:rsidRPr="002A0251">
        <w:rPr>
          <w:rFonts w:hint="eastAsia"/>
        </w:rPr>
        <w:t>As such s</w:t>
      </w:r>
      <w:r w:rsidR="00E334EE" w:rsidRPr="002A0251">
        <w:rPr>
          <w:rFonts w:hint="eastAsia"/>
        </w:rPr>
        <w:t>ubstantial impact w</w:t>
      </w:r>
      <w:r w:rsidR="00260A60" w:rsidRPr="002A0251">
        <w:rPr>
          <w:rFonts w:hint="eastAsia"/>
        </w:rPr>
        <w:t>as</w:t>
      </w:r>
      <w:r w:rsidR="00E334EE" w:rsidRPr="002A0251">
        <w:rPr>
          <w:rFonts w:hint="eastAsia"/>
        </w:rPr>
        <w:t xml:space="preserve"> observed when the outbreaks were </w:t>
      </w:r>
      <w:r w:rsidR="002146B4" w:rsidRPr="002A0251">
        <w:rPr>
          <w:rFonts w:hint="eastAsia"/>
        </w:rPr>
        <w:t>aggregated</w:t>
      </w:r>
      <w:r w:rsidR="00E334EE" w:rsidRPr="002A0251">
        <w:rPr>
          <w:rFonts w:hint="eastAsia"/>
        </w:rPr>
        <w:t xml:space="preserve"> </w:t>
      </w:r>
      <w:r w:rsidR="002146B4" w:rsidRPr="002A0251">
        <w:rPr>
          <w:rFonts w:hint="eastAsia"/>
        </w:rPr>
        <w:t xml:space="preserve">to reflect </w:t>
      </w:r>
      <w:r w:rsidR="00E334EE" w:rsidRPr="002A0251">
        <w:rPr>
          <w:rFonts w:hint="eastAsia"/>
        </w:rPr>
        <w:t xml:space="preserve">the </w:t>
      </w:r>
      <w:r w:rsidR="00260A60" w:rsidRPr="002A0251">
        <w:rPr>
          <w:rFonts w:hint="eastAsia"/>
        </w:rPr>
        <w:t xml:space="preserve">volume </w:t>
      </w:r>
      <w:r w:rsidR="00E334EE" w:rsidRPr="002A0251">
        <w:rPr>
          <w:rFonts w:hint="eastAsia"/>
        </w:rPr>
        <w:t xml:space="preserve">of OCVs deployed </w:t>
      </w:r>
      <w:r w:rsidR="00260A60" w:rsidRPr="002A0251">
        <w:rPr>
          <w:rFonts w:hint="eastAsia"/>
        </w:rPr>
        <w:t>t</w:t>
      </w:r>
      <w:r w:rsidR="00E334EE" w:rsidRPr="002A0251">
        <w:rPr>
          <w:rFonts w:hint="eastAsia"/>
        </w:rPr>
        <w:t xml:space="preserve">hrough the global stockpile </w:t>
      </w:r>
      <w:bookmarkEnd w:id="30"/>
      <w:r w:rsidR="00E334EE" w:rsidRPr="002A0251">
        <w:rPr>
          <w:rFonts w:hint="eastAsia"/>
        </w:rPr>
        <w:t>(</w:t>
      </w:r>
      <w:r w:rsidR="00E334EE" w:rsidRPr="002A0251">
        <w:rPr>
          <w:rFonts w:hint="eastAsia"/>
          <w:b/>
          <w:bCs/>
        </w:rPr>
        <w:t xml:space="preserve">Figure </w:t>
      </w:r>
      <w:r w:rsidR="00BE2DE0" w:rsidRPr="002A0251">
        <w:rPr>
          <w:rFonts w:hint="eastAsia"/>
          <w:b/>
          <w:bCs/>
        </w:rPr>
        <w:t>4</w:t>
      </w:r>
      <w:r w:rsidR="00C20B98" w:rsidRPr="002A0251">
        <w:rPr>
          <w:rFonts w:hint="eastAsia"/>
          <w:b/>
          <w:bCs/>
        </w:rPr>
        <w:t>;</w:t>
      </w:r>
      <w:r w:rsidR="00C20B98" w:rsidRPr="002A0251">
        <w:rPr>
          <w:rFonts w:hint="eastAsia"/>
        </w:rPr>
        <w:t xml:space="preserve"> more details in </w:t>
      </w:r>
      <w:r w:rsidR="00C20B98" w:rsidRPr="002A0251">
        <w:rPr>
          <w:rFonts w:hint="eastAsia"/>
          <w:b/>
          <w:bCs/>
        </w:rPr>
        <w:t>Table S3</w:t>
      </w:r>
      <w:r w:rsidR="00E334EE" w:rsidRPr="002A0251">
        <w:rPr>
          <w:rFonts w:hint="eastAsia"/>
        </w:rPr>
        <w:t>). Over time</w:t>
      </w:r>
      <w:r w:rsidR="00711225" w:rsidRPr="002A0251">
        <w:rPr>
          <w:rFonts w:hint="eastAsia"/>
        </w:rPr>
        <w:t xml:space="preserve">, </w:t>
      </w:r>
      <w:r w:rsidR="00711225" w:rsidRPr="002A0251">
        <w:t>the</w:t>
      </w:r>
      <w:r w:rsidR="00711225" w:rsidRPr="002A0251">
        <w:rPr>
          <w:rFonts w:hint="eastAsia"/>
        </w:rPr>
        <w:t xml:space="preserve"> </w:t>
      </w:r>
      <w:r w:rsidR="004647EB" w:rsidRPr="002A0251">
        <w:rPr>
          <w:rFonts w:hint="eastAsia"/>
        </w:rPr>
        <w:t xml:space="preserve">aggregated </w:t>
      </w:r>
      <w:r w:rsidR="00711225" w:rsidRPr="002A0251">
        <w:rPr>
          <w:rFonts w:hint="eastAsia"/>
        </w:rPr>
        <w:t xml:space="preserve">number of </w:t>
      </w:r>
      <w:r w:rsidR="001649DA" w:rsidRPr="002A0251">
        <w:rPr>
          <w:rFonts w:hint="eastAsia"/>
        </w:rPr>
        <w:t>case</w:t>
      </w:r>
      <w:r w:rsidR="004257A0" w:rsidRPr="002A0251">
        <w:rPr>
          <w:rFonts w:hint="eastAsia"/>
        </w:rPr>
        <w:t>s</w:t>
      </w:r>
      <w:r w:rsidR="00711225" w:rsidRPr="002A0251">
        <w:rPr>
          <w:rFonts w:hint="eastAsia"/>
        </w:rPr>
        <w:t xml:space="preserve"> a</w:t>
      </w:r>
      <w:r w:rsidR="00711225" w:rsidRPr="002A0251">
        <w:t>verted by these campaigns increased</w:t>
      </w:r>
      <w:r w:rsidR="00260A60" w:rsidRPr="002A0251">
        <w:rPr>
          <w:rFonts w:hint="eastAsia"/>
        </w:rPr>
        <w:t>,</w:t>
      </w:r>
      <w:r w:rsidR="001649DA" w:rsidRPr="002A0251">
        <w:rPr>
          <w:rFonts w:hint="eastAsia"/>
        </w:rPr>
        <w:t xml:space="preserve"> </w:t>
      </w:r>
      <w:r w:rsidR="001E653C" w:rsidRPr="002A0251">
        <w:t>reach</w:t>
      </w:r>
      <w:r w:rsidR="00711225" w:rsidRPr="002A0251">
        <w:rPr>
          <w:rFonts w:hint="eastAsia"/>
        </w:rPr>
        <w:t>ing</w:t>
      </w:r>
      <w:r w:rsidR="001E653C" w:rsidRPr="002A0251">
        <w:t xml:space="preserve"> </w:t>
      </w:r>
      <w:r w:rsidR="007A5971" w:rsidRPr="002A0251">
        <w:rPr>
          <w:rFonts w:hint="eastAsia"/>
        </w:rPr>
        <w:t>4,028</w:t>
      </w:r>
      <w:r w:rsidR="004F5322" w:rsidRPr="002A0251">
        <w:rPr>
          <w:lang w:val="en-US"/>
        </w:rPr>
        <w:t xml:space="preserve"> [IQR: </w:t>
      </w:r>
      <w:r w:rsidR="007A5971" w:rsidRPr="002A0251">
        <w:rPr>
          <w:rFonts w:hint="eastAsia"/>
          <w:lang w:val="en-US"/>
        </w:rPr>
        <w:t>3</w:t>
      </w:r>
      <w:r w:rsidR="004F5322" w:rsidRPr="002A0251">
        <w:rPr>
          <w:lang w:val="en-US"/>
        </w:rPr>
        <w:t>,</w:t>
      </w:r>
      <w:r w:rsidR="007A5971" w:rsidRPr="002A0251">
        <w:rPr>
          <w:rFonts w:hint="eastAsia"/>
          <w:lang w:val="en-US"/>
        </w:rPr>
        <w:t>679</w:t>
      </w:r>
      <w:r w:rsidR="004F5322" w:rsidRPr="002A0251">
        <w:rPr>
          <w:lang w:val="en-US"/>
        </w:rPr>
        <w:t xml:space="preserve"> - </w:t>
      </w:r>
      <w:r w:rsidR="007A5971" w:rsidRPr="002A0251">
        <w:rPr>
          <w:rFonts w:hint="eastAsia"/>
          <w:lang w:val="en-US"/>
        </w:rPr>
        <w:t>4</w:t>
      </w:r>
      <w:r w:rsidR="004F5322" w:rsidRPr="002A0251">
        <w:rPr>
          <w:lang w:val="en-US"/>
        </w:rPr>
        <w:t>,</w:t>
      </w:r>
      <w:r w:rsidR="007A5971" w:rsidRPr="002A0251">
        <w:rPr>
          <w:rFonts w:hint="eastAsia"/>
          <w:lang w:val="en-US"/>
        </w:rPr>
        <w:t>376</w:t>
      </w:r>
      <w:r w:rsidR="004F5322" w:rsidRPr="002A0251">
        <w:rPr>
          <w:lang w:val="en-US"/>
        </w:rPr>
        <w:t>]</w:t>
      </w:r>
      <w:r w:rsidR="00C20B98" w:rsidRPr="002A0251">
        <w:rPr>
          <w:rFonts w:hint="eastAsia"/>
          <w:lang w:val="en-US"/>
        </w:rPr>
        <w:t xml:space="preserve"> </w:t>
      </w:r>
      <w:r w:rsidR="00260A60" w:rsidRPr="002A0251">
        <w:rPr>
          <w:rFonts w:hint="eastAsia"/>
        </w:rPr>
        <w:t>by</w:t>
      </w:r>
      <w:r w:rsidR="004257A0" w:rsidRPr="002A0251">
        <w:rPr>
          <w:rFonts w:hint="eastAsia"/>
        </w:rPr>
        <w:t xml:space="preserve"> 202</w:t>
      </w:r>
      <w:r w:rsidR="00093854" w:rsidRPr="002A0251">
        <w:rPr>
          <w:rFonts w:hint="eastAsia"/>
        </w:rPr>
        <w:t>0</w:t>
      </w:r>
      <w:r w:rsidR="00DD5AD5" w:rsidRPr="002A0251">
        <w:rPr>
          <w:rFonts w:hint="eastAsia"/>
        </w:rPr>
        <w:t>.</w:t>
      </w:r>
      <w:r w:rsidR="007A5971" w:rsidRPr="002A0251">
        <w:rPr>
          <w:rFonts w:hint="eastAsia"/>
        </w:rPr>
        <w:t xml:space="preserve"> </w:t>
      </w:r>
      <w:r w:rsidR="00B32D8B" w:rsidRPr="002A0251">
        <w:t>The percent</w:t>
      </w:r>
      <w:r w:rsidR="00E334EE" w:rsidRPr="002A0251">
        <w:rPr>
          <w:rFonts w:hint="eastAsia"/>
        </w:rPr>
        <w:t>age</w:t>
      </w:r>
      <w:r w:rsidR="0041282D" w:rsidRPr="002A0251">
        <w:rPr>
          <w:rFonts w:hint="eastAsia"/>
        </w:rPr>
        <w:t xml:space="preserve"> </w:t>
      </w:r>
      <w:r w:rsidR="00260A60" w:rsidRPr="002A0251">
        <w:rPr>
          <w:rFonts w:hint="eastAsia"/>
        </w:rPr>
        <w:t>cases averted also rose steadily</w:t>
      </w:r>
      <w:r w:rsidR="00EB4D9D" w:rsidRPr="002A0251">
        <w:rPr>
          <w:rFonts w:hint="eastAsia"/>
        </w:rPr>
        <w:t xml:space="preserve"> to</w:t>
      </w:r>
      <w:r w:rsidR="0041282D" w:rsidRPr="002A0251">
        <w:rPr>
          <w:rFonts w:hint="eastAsia"/>
        </w:rPr>
        <w:t xml:space="preserve"> </w:t>
      </w:r>
      <w:r w:rsidR="007A5971" w:rsidRPr="002A0251">
        <w:rPr>
          <w:rFonts w:hint="eastAsia"/>
        </w:rPr>
        <w:t>32.3</w:t>
      </w:r>
      <w:r w:rsidR="006B235C" w:rsidRPr="002A0251">
        <w:rPr>
          <w:rFonts w:hint="eastAsia"/>
          <w:lang w:val="en-US"/>
        </w:rPr>
        <w:t>%</w:t>
      </w:r>
      <w:r w:rsidR="006B235C" w:rsidRPr="002A0251">
        <w:rPr>
          <w:lang w:val="en-US"/>
        </w:rPr>
        <w:t xml:space="preserve"> [IQR: </w:t>
      </w:r>
      <w:r w:rsidR="007A5971" w:rsidRPr="002A0251">
        <w:rPr>
          <w:rFonts w:hint="eastAsia"/>
          <w:lang w:val="en-US"/>
        </w:rPr>
        <w:t xml:space="preserve">29.1 - </w:t>
      </w:r>
      <w:r w:rsidR="006B235C" w:rsidRPr="002A0251">
        <w:rPr>
          <w:lang w:val="en-US"/>
        </w:rPr>
        <w:t>3</w:t>
      </w:r>
      <w:r w:rsidR="007A5971" w:rsidRPr="002A0251">
        <w:rPr>
          <w:rFonts w:hint="eastAsia"/>
          <w:lang w:val="en-US"/>
        </w:rPr>
        <w:t>5.2</w:t>
      </w:r>
      <w:r w:rsidR="006B235C" w:rsidRPr="002A0251">
        <w:rPr>
          <w:lang w:val="en-US"/>
        </w:rPr>
        <w:t>]</w:t>
      </w:r>
      <w:r w:rsidR="0049285E" w:rsidRPr="002A0251">
        <w:rPr>
          <w:rFonts w:hint="eastAsia"/>
          <w:lang w:val="en-US"/>
        </w:rPr>
        <w:t xml:space="preserve"> </w:t>
      </w:r>
      <w:r w:rsidR="0041282D" w:rsidRPr="002A0251">
        <w:rPr>
          <w:rFonts w:hint="eastAsia"/>
        </w:rPr>
        <w:t>in 202</w:t>
      </w:r>
      <w:r w:rsidR="00EB4D9D" w:rsidRPr="002A0251">
        <w:rPr>
          <w:rFonts w:hint="eastAsia"/>
        </w:rPr>
        <w:t>0</w:t>
      </w:r>
      <w:r w:rsidR="00BE2DE0" w:rsidRPr="002A0251">
        <w:rPr>
          <w:rFonts w:hint="eastAsia"/>
        </w:rPr>
        <w:t xml:space="preserve">, assuming a 9-week delay </w:t>
      </w:r>
      <w:proofErr w:type="gramStart"/>
      <w:r w:rsidR="00BE2DE0" w:rsidRPr="002A0251">
        <w:rPr>
          <w:rFonts w:hint="eastAsia"/>
        </w:rPr>
        <w:t>in ORI</w:t>
      </w:r>
      <w:proofErr w:type="gramEnd"/>
      <w:r w:rsidR="00BE2DE0" w:rsidRPr="002A0251">
        <w:rPr>
          <w:rFonts w:hint="eastAsia"/>
        </w:rPr>
        <w:t xml:space="preserve"> implementation</w:t>
      </w:r>
      <w:r w:rsidR="007A5971" w:rsidRPr="002A0251">
        <w:rPr>
          <w:rFonts w:hint="eastAsia"/>
        </w:rPr>
        <w:t xml:space="preserve"> with 75% coverage</w:t>
      </w:r>
      <w:r w:rsidR="00260A60" w:rsidRPr="002A0251">
        <w:rPr>
          <w:rFonts w:hint="eastAsia"/>
        </w:rPr>
        <w:t>.</w:t>
      </w:r>
      <w:r w:rsidR="00C20B98" w:rsidRPr="002A0251">
        <w:rPr>
          <w:rFonts w:hint="eastAsia"/>
        </w:rPr>
        <w:t xml:space="preserve"> These values increase further if ORIs are prioritized to longer outbreaks. If outbreaks are targeted to top 25% of outbreaks by duration, case averted increased to </w:t>
      </w:r>
      <w:r w:rsidR="00C20B98" w:rsidRPr="002A0251">
        <w:t xml:space="preserve">7,805 </w:t>
      </w:r>
      <w:r w:rsidR="00C20B98" w:rsidRPr="002A0251">
        <w:rPr>
          <w:rFonts w:hint="eastAsia"/>
        </w:rPr>
        <w:t xml:space="preserve">[IQR: </w:t>
      </w:r>
      <w:r w:rsidR="00C20B98" w:rsidRPr="002A0251">
        <w:t>7,126 - 8,438</w:t>
      </w:r>
      <w:r w:rsidR="00C20B98" w:rsidRPr="002A0251">
        <w:rPr>
          <w:rFonts w:hint="eastAsia"/>
        </w:rPr>
        <w:t xml:space="preserve">], corresponding to </w:t>
      </w:r>
      <w:r w:rsidR="00C20B98" w:rsidRPr="002A0251">
        <w:t>41.3</w:t>
      </w:r>
      <w:r w:rsidR="00C20B98" w:rsidRPr="002A0251">
        <w:rPr>
          <w:rFonts w:hint="eastAsia"/>
        </w:rPr>
        <w:t>%</w:t>
      </w:r>
      <w:r w:rsidR="00C20B98" w:rsidRPr="002A0251">
        <w:t xml:space="preserve"> </w:t>
      </w:r>
      <w:r w:rsidR="00C20B98" w:rsidRPr="002A0251">
        <w:rPr>
          <w:rFonts w:hint="eastAsia"/>
        </w:rPr>
        <w:t xml:space="preserve">[IQR: </w:t>
      </w:r>
      <w:r w:rsidR="00C20B98" w:rsidRPr="002A0251">
        <w:t>37.6 - 44.8</w:t>
      </w:r>
      <w:r w:rsidR="00C20B98" w:rsidRPr="002A0251">
        <w:rPr>
          <w:rFonts w:hint="eastAsia"/>
        </w:rPr>
        <w:t xml:space="preserve">] under the same conditions of 9-week delay in ORI implementation with 70% coverage. </w:t>
      </w:r>
      <w:r w:rsidR="00260A60" w:rsidRPr="002A0251">
        <w:t xml:space="preserve">These </w:t>
      </w:r>
      <w:r w:rsidR="00C20B98" w:rsidRPr="002A0251">
        <w:rPr>
          <w:rFonts w:hint="eastAsia"/>
        </w:rPr>
        <w:t>e</w:t>
      </w:r>
      <w:r w:rsidR="00260A60" w:rsidRPr="002A0251">
        <w:t>stimates</w:t>
      </w:r>
      <w:r w:rsidR="00C20B98" w:rsidRPr="002A0251">
        <w:rPr>
          <w:rFonts w:hint="eastAsia"/>
        </w:rPr>
        <w:t xml:space="preserve"> across aggregated outbreaks</w:t>
      </w:r>
      <w:r w:rsidR="00260A60" w:rsidRPr="002A0251">
        <w:t xml:space="preserve"> contrast with the lower median impact observed when vaccination scenarios were evaluated at the level of individual outbreaks—e.g., </w:t>
      </w:r>
      <w:r w:rsidR="007A5971" w:rsidRPr="002A0251">
        <w:t>12.3 [IQR: 1.7 - 34.2]</w:t>
      </w:r>
      <w:r w:rsidR="007A5971" w:rsidRPr="002A0251">
        <w:rPr>
          <w:rFonts w:hint="eastAsia"/>
        </w:rPr>
        <w:t xml:space="preserve"> </w:t>
      </w:r>
      <w:r w:rsidR="00260A60" w:rsidRPr="002A0251">
        <w:t>under a comparable implementation delay</w:t>
      </w:r>
      <w:r w:rsidR="009810DC" w:rsidRPr="002A0251">
        <w:rPr>
          <w:rFonts w:hint="eastAsia"/>
        </w:rPr>
        <w:t xml:space="preserve"> (</w:t>
      </w:r>
      <w:r w:rsidR="009818F3" w:rsidRPr="002A0251">
        <w:rPr>
          <w:rFonts w:hint="eastAsia"/>
        </w:rPr>
        <w:t xml:space="preserve">as </w:t>
      </w:r>
      <w:r w:rsidR="00344F4D" w:rsidRPr="002A0251">
        <w:rPr>
          <w:rFonts w:hint="eastAsia"/>
        </w:rPr>
        <w:t xml:space="preserve">previously </w:t>
      </w:r>
      <w:r w:rsidR="009818F3" w:rsidRPr="002A0251">
        <w:rPr>
          <w:rFonts w:hint="eastAsia"/>
        </w:rPr>
        <w:t xml:space="preserve">illustrated in </w:t>
      </w:r>
      <w:r w:rsidR="009810DC" w:rsidRPr="002A0251">
        <w:rPr>
          <w:rFonts w:hint="eastAsia"/>
          <w:b/>
          <w:bCs/>
        </w:rPr>
        <w:t>Table2</w:t>
      </w:r>
      <w:r w:rsidR="009818F3" w:rsidRPr="002A0251">
        <w:rPr>
          <w:rFonts w:hint="eastAsia"/>
        </w:rPr>
        <w:t xml:space="preserve"> and </w:t>
      </w:r>
      <w:r w:rsidR="009810DC" w:rsidRPr="002A0251">
        <w:rPr>
          <w:rFonts w:hint="eastAsia"/>
          <w:b/>
          <w:bCs/>
        </w:rPr>
        <w:t>Figure 3</w:t>
      </w:r>
      <w:r w:rsidR="009810DC" w:rsidRPr="002A0251">
        <w:rPr>
          <w:rFonts w:hint="eastAsia"/>
        </w:rPr>
        <w:t>)</w:t>
      </w:r>
      <w:r w:rsidR="004257A0" w:rsidRPr="002A0251">
        <w:rPr>
          <w:rFonts w:hint="eastAsia"/>
        </w:rPr>
        <w:t xml:space="preserve">. </w:t>
      </w:r>
    </w:p>
    <w:p w14:paraId="04F4F890" w14:textId="7715A553" w:rsidR="00A3640F" w:rsidRPr="002A0251" w:rsidRDefault="00A3640F" w:rsidP="00A3640F">
      <w:pPr>
        <w:pStyle w:val="Heading4"/>
      </w:pPr>
      <w:r w:rsidRPr="002A0251">
        <w:t>Efficiency and cost</w:t>
      </w:r>
      <w:r w:rsidR="00C20B98" w:rsidRPr="002A0251">
        <w:rPr>
          <w:rFonts w:hint="eastAsia"/>
        </w:rPr>
        <w:t xml:space="preserve"> effectiveness</w:t>
      </w:r>
    </w:p>
    <w:p w14:paraId="589D4CBB" w14:textId="759E5675" w:rsidR="005D7F75" w:rsidRPr="002A0251" w:rsidRDefault="0026334F" w:rsidP="005D7F75">
      <w:pPr>
        <w:rPr>
          <w:color w:val="000000"/>
        </w:rPr>
      </w:pPr>
      <w:r w:rsidRPr="002A0251">
        <w:rPr>
          <w:rFonts w:hint="eastAsia"/>
        </w:rPr>
        <w:t>C</w:t>
      </w:r>
      <w:r w:rsidR="00372943" w:rsidRPr="002A0251">
        <w:rPr>
          <w:rFonts w:hint="eastAsia"/>
        </w:rPr>
        <w:t>ase</w:t>
      </w:r>
      <w:r w:rsidR="00A10060" w:rsidRPr="002A0251">
        <w:rPr>
          <w:rFonts w:hint="eastAsia"/>
        </w:rPr>
        <w:t>s</w:t>
      </w:r>
      <w:r w:rsidR="00372943" w:rsidRPr="002A0251">
        <w:rPr>
          <w:rFonts w:hint="eastAsia"/>
        </w:rPr>
        <w:t xml:space="preserve"> averted per </w:t>
      </w:r>
      <w:r w:rsidR="00B32D8B" w:rsidRPr="002A0251">
        <w:rPr>
          <w:rFonts w:hint="eastAsia"/>
        </w:rPr>
        <w:t>1,000 OCVs</w:t>
      </w:r>
      <w:r w:rsidR="00372943" w:rsidRPr="002A0251">
        <w:rPr>
          <w:rFonts w:hint="eastAsia"/>
        </w:rPr>
        <w:t xml:space="preserve"> (</w:t>
      </w:r>
      <w:r w:rsidR="00372943" w:rsidRPr="002A0251">
        <w:rPr>
          <w:rFonts w:hint="eastAsia"/>
          <w:b/>
          <w:bCs/>
        </w:rPr>
        <w:t xml:space="preserve">Figure </w:t>
      </w:r>
      <w:r w:rsidR="003E19A6" w:rsidRPr="002A0251">
        <w:rPr>
          <w:rFonts w:hint="eastAsia"/>
          <w:b/>
          <w:bCs/>
        </w:rPr>
        <w:t>5</w:t>
      </w:r>
      <w:r w:rsidR="00372943" w:rsidRPr="002A0251">
        <w:rPr>
          <w:rFonts w:hint="eastAsia"/>
          <w:b/>
          <w:bCs/>
        </w:rPr>
        <w:t>D</w:t>
      </w:r>
      <w:r w:rsidR="00372943" w:rsidRPr="002A0251">
        <w:rPr>
          <w:rFonts w:hint="eastAsia"/>
        </w:rPr>
        <w:t>)</w:t>
      </w:r>
      <w:r w:rsidRPr="002A0251">
        <w:rPr>
          <w:rFonts w:hint="eastAsia"/>
        </w:rPr>
        <w:t xml:space="preserve"> tended to increase while the cost per case averted (</w:t>
      </w:r>
      <w:r w:rsidRPr="002A0251">
        <w:rPr>
          <w:rFonts w:hint="eastAsia"/>
          <w:b/>
          <w:bCs/>
        </w:rPr>
        <w:t xml:space="preserve">Figure </w:t>
      </w:r>
      <w:r w:rsidR="003E19A6" w:rsidRPr="002A0251">
        <w:rPr>
          <w:rFonts w:hint="eastAsia"/>
          <w:b/>
          <w:bCs/>
        </w:rPr>
        <w:t>5</w:t>
      </w:r>
      <w:r w:rsidRPr="002A0251">
        <w:rPr>
          <w:rFonts w:hint="eastAsia"/>
          <w:b/>
          <w:bCs/>
        </w:rPr>
        <w:t>E</w:t>
      </w:r>
      <w:r w:rsidRPr="002A0251">
        <w:rPr>
          <w:rFonts w:hint="eastAsia"/>
        </w:rPr>
        <w:t xml:space="preserve">) and the cost per DALY averted </w:t>
      </w:r>
      <w:r w:rsidR="00BD6493" w:rsidRPr="002A0251">
        <w:rPr>
          <w:rFonts w:hint="eastAsia"/>
        </w:rPr>
        <w:t>(</w:t>
      </w:r>
      <w:r w:rsidR="00BD6493" w:rsidRPr="002A0251">
        <w:rPr>
          <w:rFonts w:hint="eastAsia"/>
          <w:b/>
          <w:bCs/>
        </w:rPr>
        <w:t xml:space="preserve">Figure </w:t>
      </w:r>
      <w:r w:rsidR="003E19A6" w:rsidRPr="002A0251">
        <w:rPr>
          <w:rFonts w:hint="eastAsia"/>
          <w:b/>
          <w:bCs/>
        </w:rPr>
        <w:t>5</w:t>
      </w:r>
      <w:r w:rsidR="00BD6493" w:rsidRPr="002A0251">
        <w:rPr>
          <w:rFonts w:hint="eastAsia"/>
          <w:b/>
          <w:bCs/>
        </w:rPr>
        <w:t>F</w:t>
      </w:r>
      <w:r w:rsidR="00BD6493" w:rsidRPr="002A0251">
        <w:rPr>
          <w:rFonts w:hint="eastAsia"/>
        </w:rPr>
        <w:t xml:space="preserve">) </w:t>
      </w:r>
      <w:r w:rsidRPr="002A0251">
        <w:rPr>
          <w:rFonts w:hint="eastAsia"/>
        </w:rPr>
        <w:t xml:space="preserve">tended to </w:t>
      </w:r>
      <w:r w:rsidR="00534B1A" w:rsidRPr="002A0251">
        <w:t>decrease</w:t>
      </w:r>
      <w:r w:rsidRPr="002A0251">
        <w:rPr>
          <w:rFonts w:hint="eastAsia"/>
        </w:rPr>
        <w:t xml:space="preserve"> as the years went by and the number of OCV doses used increased. Also, variability</w:t>
      </w:r>
      <w:r w:rsidR="00BD6493" w:rsidRPr="002A0251">
        <w:rPr>
          <w:rFonts w:hint="eastAsia"/>
        </w:rPr>
        <w:t xml:space="preserve"> in these metrics</w:t>
      </w:r>
      <w:r w:rsidRPr="002A0251">
        <w:rPr>
          <w:rFonts w:hint="eastAsia"/>
        </w:rPr>
        <w:t xml:space="preserve"> decreased</w:t>
      </w:r>
      <w:r w:rsidR="00711225" w:rsidRPr="002A0251">
        <w:t xml:space="preserve"> as the number of deployed</w:t>
      </w:r>
      <w:r w:rsidR="002B77C2" w:rsidRPr="002A0251">
        <w:rPr>
          <w:rFonts w:hint="eastAsia"/>
        </w:rPr>
        <w:t xml:space="preserve"> </w:t>
      </w:r>
      <w:r w:rsidR="00265040" w:rsidRPr="002A0251">
        <w:rPr>
          <w:rFonts w:hint="eastAsia"/>
        </w:rPr>
        <w:t>doses</w:t>
      </w:r>
      <w:r w:rsidR="00711225" w:rsidRPr="002A0251">
        <w:t xml:space="preserve"> increased.</w:t>
      </w:r>
      <w:r w:rsidR="00B32D8B" w:rsidRPr="002A0251">
        <w:rPr>
          <w:rFonts w:hint="eastAsia"/>
        </w:rPr>
        <w:t xml:space="preserve"> </w:t>
      </w:r>
      <w:r w:rsidR="00657355" w:rsidRPr="002A0251">
        <w:rPr>
          <w:rFonts w:hint="eastAsia"/>
        </w:rPr>
        <w:t xml:space="preserve">By 2020, </w:t>
      </w:r>
      <w:r w:rsidR="00711225" w:rsidRPr="002A0251">
        <w:rPr>
          <w:rFonts w:hint="eastAsia"/>
        </w:rPr>
        <w:t>the estimated c</w:t>
      </w:r>
      <w:r w:rsidR="00B32D8B" w:rsidRPr="002A0251">
        <w:rPr>
          <w:rFonts w:hint="eastAsia"/>
        </w:rPr>
        <w:t xml:space="preserve">ase averted per 1,000 OCVs </w:t>
      </w:r>
      <w:proofErr w:type="gramStart"/>
      <w:r w:rsidR="00B32D8B" w:rsidRPr="002A0251">
        <w:rPr>
          <w:rFonts w:hint="eastAsia"/>
        </w:rPr>
        <w:t>were</w:t>
      </w:r>
      <w:proofErr w:type="gramEnd"/>
      <w:r w:rsidR="00B32D8B" w:rsidRPr="002A0251">
        <w:rPr>
          <w:rFonts w:hint="eastAsia"/>
        </w:rPr>
        <w:t xml:space="preserve"> </w:t>
      </w:r>
      <w:r w:rsidR="00547B10" w:rsidRPr="002A0251">
        <w:rPr>
          <w:lang w:val="en-US"/>
        </w:rPr>
        <w:t>0.409 [IQR: 0.374 - 0.451]</w:t>
      </w:r>
      <w:r w:rsidR="00B32D8B" w:rsidRPr="002A0251">
        <w:rPr>
          <w:rFonts w:hint="eastAsia"/>
        </w:rPr>
        <w:t>,</w:t>
      </w:r>
      <w:r w:rsidR="00B67AF4" w:rsidRPr="002A0251">
        <w:rPr>
          <w:rFonts w:hint="eastAsia"/>
        </w:rPr>
        <w:t xml:space="preserve"> which could increase to</w:t>
      </w:r>
      <w:r w:rsidR="00B32D8B" w:rsidRPr="002A0251">
        <w:rPr>
          <w:rFonts w:hint="eastAsia"/>
        </w:rPr>
        <w:t xml:space="preserve"> </w:t>
      </w:r>
      <w:r w:rsidR="00B67AF4" w:rsidRPr="002A0251">
        <w:t>0.736 [IQR: 0.663 - 0.813]</w:t>
      </w:r>
      <w:r w:rsidR="00B67AF4" w:rsidRPr="002A0251">
        <w:rPr>
          <w:rFonts w:hint="eastAsia"/>
        </w:rPr>
        <w:t xml:space="preserve"> if top quartile of outbreaks by duration are prioritized. These median values are substantially higher </w:t>
      </w:r>
      <w:r w:rsidR="00711225" w:rsidRPr="002A0251">
        <w:rPr>
          <w:rFonts w:hint="eastAsia"/>
        </w:rPr>
        <w:t xml:space="preserve">than </w:t>
      </w:r>
      <w:r w:rsidR="00547B10" w:rsidRPr="002A0251">
        <w:rPr>
          <w:lang w:val="en-US"/>
        </w:rPr>
        <w:t>0.151 [IQR: 0.013 - 0.892]</w:t>
      </w:r>
      <w:r w:rsidR="00CF1D2D" w:rsidRPr="002A0251">
        <w:rPr>
          <w:rFonts w:hint="eastAsia"/>
          <w:lang w:val="en-US"/>
        </w:rPr>
        <w:t xml:space="preserve"> </w:t>
      </w:r>
      <w:r w:rsidR="00B32D8B" w:rsidRPr="002A0251">
        <w:rPr>
          <w:rFonts w:hint="eastAsia"/>
          <w:lang w:val="en-US"/>
        </w:rPr>
        <w:t>per 1,000 OCVs</w:t>
      </w:r>
      <w:r w:rsidR="00711225" w:rsidRPr="002A0251">
        <w:rPr>
          <w:rFonts w:hint="eastAsia"/>
          <w:lang w:val="en-US"/>
        </w:rPr>
        <w:t xml:space="preserve"> when</w:t>
      </w:r>
      <w:r w:rsidR="00A3640F" w:rsidRPr="002A0251">
        <w:rPr>
          <w:rFonts w:hint="eastAsia"/>
          <w:lang w:val="en-US"/>
        </w:rPr>
        <w:t xml:space="preserve"> the estimate was </w:t>
      </w:r>
      <w:r w:rsidR="00662D4B" w:rsidRPr="002A0251">
        <w:rPr>
          <w:rFonts w:hint="eastAsia"/>
          <w:lang w:val="en-US"/>
        </w:rPr>
        <w:t>e</w:t>
      </w:r>
      <w:r w:rsidR="00A3640F" w:rsidRPr="002A0251">
        <w:rPr>
          <w:rFonts w:hint="eastAsia"/>
          <w:lang w:val="en-US"/>
        </w:rPr>
        <w:t xml:space="preserve">valuated at the individual outbreak level. </w:t>
      </w:r>
      <w:r w:rsidR="0047646C" w:rsidRPr="002A0251">
        <w:rPr>
          <w:rFonts w:hint="eastAsia"/>
        </w:rPr>
        <w:t>T</w:t>
      </w:r>
      <w:r w:rsidR="00711225" w:rsidRPr="002A0251">
        <w:rPr>
          <w:rFonts w:hint="eastAsia"/>
        </w:rPr>
        <w:t>he c</w:t>
      </w:r>
      <w:r w:rsidR="00B32D8B" w:rsidRPr="002A0251">
        <w:rPr>
          <w:rFonts w:hint="eastAsia"/>
        </w:rPr>
        <w:t xml:space="preserve">ost per case averted were </w:t>
      </w:r>
      <w:r w:rsidR="00711225" w:rsidRPr="002A0251">
        <w:t>US$</w:t>
      </w:r>
      <w:r w:rsidR="004632B6" w:rsidRPr="002A0251">
        <w:rPr>
          <w:rFonts w:hint="eastAsia"/>
        </w:rPr>
        <w:t xml:space="preserve"> </w:t>
      </w:r>
      <w:r w:rsidR="00547B10" w:rsidRPr="002A0251">
        <w:rPr>
          <w:lang w:val="en-US"/>
        </w:rPr>
        <w:t>9,035 [IQR: 8,142 - 9,945</w:t>
      </w:r>
      <w:proofErr w:type="gramStart"/>
      <w:r w:rsidR="00547B10" w:rsidRPr="002A0251">
        <w:rPr>
          <w:lang w:val="en-US"/>
        </w:rPr>
        <w:t>]</w:t>
      </w:r>
      <w:r w:rsidR="00B67AF4" w:rsidRPr="002A0251">
        <w:rPr>
          <w:rFonts w:hint="eastAsia"/>
          <w:lang w:val="en-US"/>
        </w:rPr>
        <w:t>,which</w:t>
      </w:r>
      <w:proofErr w:type="gramEnd"/>
      <w:r w:rsidR="00B67AF4" w:rsidRPr="002A0251">
        <w:rPr>
          <w:rFonts w:hint="eastAsia"/>
          <w:lang w:val="en-US"/>
        </w:rPr>
        <w:t xml:space="preserve"> could be reduced to</w:t>
      </w:r>
      <w:r w:rsidR="00547B10" w:rsidRPr="002A0251">
        <w:rPr>
          <w:rFonts w:hint="eastAsia"/>
          <w:lang w:val="en-US"/>
        </w:rPr>
        <w:t xml:space="preserve"> </w:t>
      </w:r>
      <w:r w:rsidR="00B67AF4" w:rsidRPr="002A0251">
        <w:rPr>
          <w:lang w:val="en-US"/>
        </w:rPr>
        <w:t>4,498 [IQR: 4,017 - 5,054]</w:t>
      </w:r>
      <w:r w:rsidR="00B67AF4" w:rsidRPr="002A0251">
        <w:rPr>
          <w:rFonts w:hint="eastAsia"/>
          <w:lang w:val="en-US"/>
        </w:rPr>
        <w:t xml:space="preserve"> if top quartile of outbreaks by duration are prioritized. These values again are </w:t>
      </w:r>
      <w:r w:rsidR="004632B6" w:rsidRPr="002A0251">
        <w:rPr>
          <w:rFonts w:hint="eastAsia"/>
          <w:lang w:val="en-US"/>
        </w:rPr>
        <w:t xml:space="preserve">much lower than </w:t>
      </w:r>
      <w:r w:rsidR="0047646C" w:rsidRPr="002A0251">
        <w:lastRenderedPageBreak/>
        <w:t>US$</w:t>
      </w:r>
      <w:r w:rsidR="0047646C" w:rsidRPr="002A0251">
        <w:rPr>
          <w:rFonts w:hint="eastAsia"/>
        </w:rPr>
        <w:t xml:space="preserve"> </w:t>
      </w:r>
      <w:r w:rsidR="00547B10" w:rsidRPr="002A0251">
        <w:rPr>
          <w:lang w:val="en-US"/>
        </w:rPr>
        <w:t>13,045 [IQR: 2,546 - 59,533]</w:t>
      </w:r>
      <w:r w:rsidR="00B67AF4" w:rsidRPr="002A0251">
        <w:rPr>
          <w:rFonts w:hint="eastAsia"/>
          <w:lang w:val="en-US"/>
        </w:rPr>
        <w:t xml:space="preserve"> </w:t>
      </w:r>
      <w:r w:rsidR="00711225" w:rsidRPr="002A0251">
        <w:rPr>
          <w:lang w:val="en-US"/>
        </w:rPr>
        <w:t>when evaluated for individual outbreaks</w:t>
      </w:r>
      <w:r w:rsidR="00E27257" w:rsidRPr="002A0251">
        <w:rPr>
          <w:lang w:val="en-US"/>
        </w:rPr>
        <w:t xml:space="preserve"> </w:t>
      </w:r>
      <w:r w:rsidR="004632B6" w:rsidRPr="002A0251">
        <w:rPr>
          <w:rFonts w:hint="eastAsia"/>
          <w:lang w:val="en-US"/>
        </w:rPr>
        <w:t>(</w:t>
      </w:r>
      <w:r w:rsidR="00B67AF4" w:rsidRPr="002A0251">
        <w:rPr>
          <w:rFonts w:hint="eastAsia"/>
          <w:lang w:val="en-US"/>
        </w:rPr>
        <w:t xml:space="preserve">as previously shown in </w:t>
      </w:r>
      <w:r w:rsidR="00E27257" w:rsidRPr="002A0251">
        <w:rPr>
          <w:b/>
          <w:bCs/>
          <w:color w:val="000000"/>
        </w:rPr>
        <w:t xml:space="preserve">Table </w:t>
      </w:r>
      <w:r w:rsidR="0085544E" w:rsidRPr="002A0251">
        <w:rPr>
          <w:rFonts w:hint="eastAsia"/>
          <w:b/>
          <w:bCs/>
          <w:color w:val="000000"/>
        </w:rPr>
        <w:t>3</w:t>
      </w:r>
      <w:r w:rsidR="00E27257" w:rsidRPr="002A0251">
        <w:rPr>
          <w:color w:val="000000"/>
        </w:rPr>
        <w:t>).</w:t>
      </w:r>
      <w:r w:rsidR="005D7F75" w:rsidRPr="002A0251">
        <w:rPr>
          <w:rFonts w:hint="eastAsia"/>
          <w:color w:val="000000"/>
        </w:rPr>
        <w:t xml:space="preserve"> Similarly, the cost per DALY averted was </w:t>
      </w:r>
      <w:r w:rsidR="0047646C" w:rsidRPr="002A0251">
        <w:t>US$</w:t>
      </w:r>
      <w:r w:rsidR="0047646C" w:rsidRPr="002A0251">
        <w:rPr>
          <w:rFonts w:hint="eastAsia"/>
        </w:rPr>
        <w:t xml:space="preserve"> </w:t>
      </w:r>
      <w:r w:rsidR="00547B10" w:rsidRPr="002A0251">
        <w:rPr>
          <w:color w:val="000000"/>
          <w:lang w:val="en-US"/>
        </w:rPr>
        <w:t>27,307 [IQR: 23,727 - 31,423]</w:t>
      </w:r>
      <w:r w:rsidR="0047646C" w:rsidRPr="002A0251">
        <w:rPr>
          <w:rFonts w:hint="eastAsia"/>
          <w:color w:val="000000"/>
          <w:lang w:val="en-US"/>
        </w:rPr>
        <w:t xml:space="preserve">, </w:t>
      </w:r>
      <w:r w:rsidR="00B67AF4" w:rsidRPr="002A0251">
        <w:rPr>
          <w:rFonts w:hint="eastAsia"/>
          <w:color w:val="000000"/>
          <w:lang w:val="en-US"/>
        </w:rPr>
        <w:t xml:space="preserve">which could decrease to </w:t>
      </w:r>
      <w:r w:rsidR="00B67AF4" w:rsidRPr="002A0251">
        <w:t>US$</w:t>
      </w:r>
      <w:r w:rsidR="00B67AF4" w:rsidRPr="002A0251">
        <w:rPr>
          <w:rFonts w:hint="eastAsia"/>
        </w:rPr>
        <w:t xml:space="preserve"> </w:t>
      </w:r>
      <w:r w:rsidR="00B67AF4" w:rsidRPr="002A0251">
        <w:rPr>
          <w:color w:val="000000"/>
          <w:lang w:val="en-US"/>
        </w:rPr>
        <w:t>10,695 [IQR: 9,807 - 11,761]</w:t>
      </w:r>
      <w:r w:rsidR="00B67AF4" w:rsidRPr="002A0251">
        <w:rPr>
          <w:rFonts w:hint="eastAsia"/>
          <w:color w:val="000000"/>
          <w:lang w:val="en-US"/>
        </w:rPr>
        <w:t xml:space="preserve"> when ORIs were prioritized to the top quartile of outbreak by duration. The median values are again</w:t>
      </w:r>
      <w:r w:rsidR="0047646C" w:rsidRPr="002A0251">
        <w:rPr>
          <w:rFonts w:hint="eastAsia"/>
          <w:color w:val="000000"/>
          <w:lang w:val="en-US"/>
        </w:rPr>
        <w:t xml:space="preserve"> much lower than </w:t>
      </w:r>
      <w:r w:rsidR="0047646C" w:rsidRPr="002A0251">
        <w:t>US$</w:t>
      </w:r>
      <w:r w:rsidR="0047646C" w:rsidRPr="002A0251">
        <w:rPr>
          <w:rFonts w:hint="eastAsia"/>
        </w:rPr>
        <w:t xml:space="preserve"> </w:t>
      </w:r>
      <w:r w:rsidR="00547B10" w:rsidRPr="002A0251">
        <w:rPr>
          <w:color w:val="000000"/>
          <w:lang w:val="en-US"/>
        </w:rPr>
        <w:t>1,744,390 [IQR: 11,650 - 40,068,121]</w:t>
      </w:r>
      <w:r w:rsidR="0047646C" w:rsidRPr="002A0251">
        <w:rPr>
          <w:lang w:val="en-US"/>
        </w:rPr>
        <w:t xml:space="preserve"> when evaluated for individual outbreaks</w:t>
      </w:r>
      <w:r w:rsidR="0047646C" w:rsidRPr="002A0251">
        <w:rPr>
          <w:rFonts w:hint="eastAsia"/>
          <w:lang w:val="en-US"/>
        </w:rPr>
        <w:t xml:space="preserve"> (</w:t>
      </w:r>
      <w:r w:rsidR="00B67AF4" w:rsidRPr="002A0251">
        <w:rPr>
          <w:rFonts w:hint="eastAsia"/>
          <w:lang w:val="en-US"/>
        </w:rPr>
        <w:t xml:space="preserve">as </w:t>
      </w:r>
      <w:r w:rsidR="000D466C" w:rsidRPr="002A0251">
        <w:rPr>
          <w:rFonts w:hint="eastAsia"/>
          <w:lang w:val="en-US"/>
        </w:rPr>
        <w:t xml:space="preserve">previously shown in </w:t>
      </w:r>
      <w:r w:rsidR="00B61FF5" w:rsidRPr="002A0251">
        <w:rPr>
          <w:rFonts w:hint="eastAsia"/>
          <w:b/>
          <w:bCs/>
          <w:color w:val="000000"/>
        </w:rPr>
        <w:t>Ta</w:t>
      </w:r>
      <w:r w:rsidR="0047646C" w:rsidRPr="002A0251">
        <w:rPr>
          <w:b/>
          <w:bCs/>
          <w:color w:val="000000"/>
        </w:rPr>
        <w:t xml:space="preserve">ble </w:t>
      </w:r>
      <w:r w:rsidR="0085544E" w:rsidRPr="002A0251">
        <w:rPr>
          <w:rFonts w:hint="eastAsia"/>
          <w:b/>
          <w:bCs/>
          <w:color w:val="000000"/>
        </w:rPr>
        <w:t>3</w:t>
      </w:r>
      <w:r w:rsidR="0047646C" w:rsidRPr="002A0251">
        <w:rPr>
          <w:color w:val="000000"/>
        </w:rPr>
        <w:t>).</w:t>
      </w:r>
      <w:r w:rsidR="00C91CA5" w:rsidRPr="002A0251">
        <w:rPr>
          <w:rFonts w:hint="eastAsia"/>
          <w:color w:val="000000"/>
        </w:rPr>
        <w:t xml:space="preserve">  </w:t>
      </w:r>
    </w:p>
    <w:p w14:paraId="6C707527" w14:textId="25958AFC" w:rsidR="005F544E" w:rsidRPr="002A0251" w:rsidRDefault="005F544E" w:rsidP="009810DC">
      <w:pPr>
        <w:rPr>
          <w:color w:val="000000"/>
        </w:rPr>
      </w:pPr>
    </w:p>
    <w:p w14:paraId="0AA52432" w14:textId="71251F4D" w:rsidR="000F26E2" w:rsidRPr="002A0251" w:rsidRDefault="0091383D" w:rsidP="00F57F15">
      <w:pPr>
        <w:pStyle w:val="Heading2"/>
      </w:pPr>
      <w:bookmarkStart w:id="31" w:name="_Toc184909209"/>
      <w:r w:rsidRPr="002A0251">
        <w:t>Discussion</w:t>
      </w:r>
      <w:bookmarkEnd w:id="31"/>
    </w:p>
    <w:p w14:paraId="164EFFE5" w14:textId="77777777" w:rsidR="008771FC" w:rsidRPr="002A0251" w:rsidRDefault="002063E9" w:rsidP="000F37C7">
      <w:r w:rsidRPr="002A0251">
        <w:rPr>
          <w:rFonts w:hint="eastAsia"/>
        </w:rPr>
        <w:t>Our</w:t>
      </w:r>
      <w:r w:rsidR="00A07B98" w:rsidRPr="002A0251">
        <w:t xml:space="preserve"> study</w:t>
      </w:r>
      <w:r w:rsidR="00AD3B10" w:rsidRPr="002A0251">
        <w:t xml:space="preserve"> demonstrat</w:t>
      </w:r>
      <w:r w:rsidR="00AD3B10" w:rsidRPr="002A0251">
        <w:rPr>
          <w:rFonts w:hint="eastAsia"/>
        </w:rPr>
        <w:t>ed</w:t>
      </w:r>
      <w:r w:rsidR="00AD3B10" w:rsidRPr="002A0251">
        <w:t xml:space="preserve"> the substantial </w:t>
      </w:r>
      <w:r w:rsidR="00364F26" w:rsidRPr="002A0251">
        <w:rPr>
          <w:rFonts w:hint="eastAsia"/>
        </w:rPr>
        <w:t xml:space="preserve">potential impact </w:t>
      </w:r>
      <w:r w:rsidR="00AD3B10" w:rsidRPr="002A0251">
        <w:t xml:space="preserve">of OCVs to </w:t>
      </w:r>
      <w:r w:rsidR="00364F26" w:rsidRPr="002A0251">
        <w:rPr>
          <w:rFonts w:hint="eastAsia"/>
        </w:rPr>
        <w:t>reduce</w:t>
      </w:r>
      <w:r w:rsidR="00AD3B10" w:rsidRPr="002A0251">
        <w:t xml:space="preserve"> the </w:t>
      </w:r>
      <w:r w:rsidR="00AD3B10" w:rsidRPr="002A0251">
        <w:rPr>
          <w:rFonts w:hint="eastAsia"/>
        </w:rPr>
        <w:t>burden</w:t>
      </w:r>
      <w:r w:rsidR="00AD3B10" w:rsidRPr="002A0251">
        <w:t xml:space="preserve"> of </w:t>
      </w:r>
      <w:r w:rsidR="00AD3B10" w:rsidRPr="002A0251">
        <w:rPr>
          <w:rFonts w:hint="eastAsia"/>
        </w:rPr>
        <w:t xml:space="preserve">cholera </w:t>
      </w:r>
      <w:r w:rsidR="00AD3B10" w:rsidRPr="002A0251">
        <w:t>outbreaks</w:t>
      </w:r>
      <w:r w:rsidR="00364F26" w:rsidRPr="002A0251">
        <w:rPr>
          <w:rFonts w:hint="eastAsia"/>
        </w:rPr>
        <w:t>, based on m</w:t>
      </w:r>
      <w:r w:rsidR="00AD3B10" w:rsidRPr="002A0251">
        <w:rPr>
          <w:rFonts w:hint="eastAsia"/>
        </w:rPr>
        <w:t xml:space="preserve">odeling </w:t>
      </w:r>
      <w:r w:rsidR="00364F26" w:rsidRPr="002A0251">
        <w:rPr>
          <w:rFonts w:hint="eastAsia"/>
        </w:rPr>
        <w:t xml:space="preserve">of </w:t>
      </w:r>
      <w:r w:rsidR="00A07B98" w:rsidRPr="002A0251">
        <w:t>1,</w:t>
      </w:r>
      <w:r w:rsidR="00AD3B10" w:rsidRPr="002A0251">
        <w:rPr>
          <w:rFonts w:hint="eastAsia"/>
        </w:rPr>
        <w:t>192</w:t>
      </w:r>
      <w:r w:rsidR="00A07B98" w:rsidRPr="002A0251">
        <w:t xml:space="preserve"> outbreaks in sub-Saharan Africa from 2010 to 202</w:t>
      </w:r>
      <w:r w:rsidR="00AD3B10" w:rsidRPr="002A0251">
        <w:rPr>
          <w:rFonts w:hint="eastAsia"/>
        </w:rPr>
        <w:t xml:space="preserve">0. </w:t>
      </w:r>
      <w:r w:rsidR="00364F26" w:rsidRPr="002A0251">
        <w:t>We found that the timing of ORI is critical: the median percentage reduction in cases declined from 70.</w:t>
      </w:r>
      <w:r w:rsidR="00004374" w:rsidRPr="002A0251">
        <w:rPr>
          <w:rFonts w:hint="eastAsia"/>
        </w:rPr>
        <w:t>0</w:t>
      </w:r>
      <w:r w:rsidR="00364F26" w:rsidRPr="002A0251">
        <w:t xml:space="preserve">% to </w:t>
      </w:r>
      <w:r w:rsidR="00004374" w:rsidRPr="002A0251">
        <w:rPr>
          <w:rFonts w:hint="eastAsia"/>
        </w:rPr>
        <w:t>7</w:t>
      </w:r>
      <w:r w:rsidR="00364F26" w:rsidRPr="002A0251">
        <w:t>.</w:t>
      </w:r>
      <w:r w:rsidR="00004374" w:rsidRPr="002A0251">
        <w:rPr>
          <w:rFonts w:hint="eastAsia"/>
        </w:rPr>
        <w:t>8</w:t>
      </w:r>
      <w:r w:rsidR="00364F26" w:rsidRPr="002A0251">
        <w:t>% when ORI was delayed from week 1 to week 9. This corresponds to a</w:t>
      </w:r>
      <w:r w:rsidR="00004374" w:rsidRPr="002A0251">
        <w:rPr>
          <w:rFonts w:hint="eastAsia"/>
        </w:rPr>
        <w:t>pproximately</w:t>
      </w:r>
      <w:r w:rsidR="00364F26" w:rsidRPr="002A0251">
        <w:t xml:space="preserve"> 1</w:t>
      </w:r>
      <w:r w:rsidR="0081024F" w:rsidRPr="002A0251">
        <w:rPr>
          <w:rFonts w:hint="eastAsia"/>
        </w:rPr>
        <w:t>5</w:t>
      </w:r>
      <w:r w:rsidR="00004374" w:rsidRPr="002A0251">
        <w:rPr>
          <w:rFonts w:hint="eastAsia"/>
        </w:rPr>
        <w:t>.3</w:t>
      </w:r>
      <w:r w:rsidR="00364F26" w:rsidRPr="002A0251">
        <w:t xml:space="preserve">% reduction in </w:t>
      </w:r>
      <w:r w:rsidR="00F031EA" w:rsidRPr="002A0251">
        <w:rPr>
          <w:rFonts w:hint="eastAsia"/>
        </w:rPr>
        <w:t xml:space="preserve">case averted </w:t>
      </w:r>
      <w:r w:rsidR="00353A49" w:rsidRPr="002A0251">
        <w:t>per week of delay in vaccination</w:t>
      </w:r>
      <w:r w:rsidR="00364F26" w:rsidRPr="002A0251">
        <w:t xml:space="preserve">, with the benefit halving approximately every </w:t>
      </w:r>
      <w:r w:rsidR="00004374" w:rsidRPr="002A0251">
        <w:rPr>
          <w:rFonts w:hint="eastAsia"/>
        </w:rPr>
        <w:t>4</w:t>
      </w:r>
      <w:r w:rsidR="0081024F" w:rsidRPr="002A0251">
        <w:rPr>
          <w:rFonts w:hint="eastAsia"/>
        </w:rPr>
        <w:t>.</w:t>
      </w:r>
      <w:r w:rsidR="00004374" w:rsidRPr="002A0251">
        <w:rPr>
          <w:rFonts w:hint="eastAsia"/>
        </w:rPr>
        <w:t>2</w:t>
      </w:r>
      <w:r w:rsidR="00364F26" w:rsidRPr="002A0251">
        <w:t xml:space="preserve"> weeks.</w:t>
      </w:r>
      <w:r w:rsidR="00F031EA" w:rsidRPr="002A0251">
        <w:t xml:space="preserve"> Vaccine efficiency showed a similar decline, dropping from roughly 0.7 to 0.1 cases averted per 1,000 vaccinated persons over the same delay interval.</w:t>
      </w:r>
      <w:r w:rsidR="00F031EA" w:rsidRPr="002A0251">
        <w:rPr>
          <w:rFonts w:hint="eastAsia"/>
        </w:rPr>
        <w:t xml:space="preserve"> </w:t>
      </w:r>
    </w:p>
    <w:p w14:paraId="5D8FA59E" w14:textId="77777777" w:rsidR="005935D8" w:rsidRPr="002A0251" w:rsidRDefault="005935D8" w:rsidP="008771FC"/>
    <w:p w14:paraId="1BD94316" w14:textId="0FB994D7" w:rsidR="008771FC" w:rsidRPr="002A0251" w:rsidRDefault="008771FC" w:rsidP="008771FC">
      <w:r w:rsidRPr="002A0251">
        <w:t xml:space="preserve">Our findings </w:t>
      </w:r>
      <w:r w:rsidRPr="002A0251">
        <w:rPr>
          <w:rFonts w:hint="eastAsia"/>
        </w:rPr>
        <w:t xml:space="preserve">also </w:t>
      </w:r>
      <w:r w:rsidRPr="002A0251">
        <w:t xml:space="preserve">highlight that </w:t>
      </w:r>
      <w:r w:rsidRPr="002A0251">
        <w:rPr>
          <w:rFonts w:hint="eastAsia"/>
        </w:rPr>
        <w:t>impact of ORI depends not only on campaign parameters but also on outbreak characteristics. Delays in campaign initiation can be offset by targeting outbreaks that are likely to be longer, larger, or have high AR in the absence of intervention. For example, median case reduction</w:t>
      </w:r>
      <w:r w:rsidR="00637815" w:rsidRPr="002A0251">
        <w:rPr>
          <w:rFonts w:hint="eastAsia"/>
        </w:rPr>
        <w:t xml:space="preserve"> (approximately </w:t>
      </w:r>
      <w:r w:rsidR="00637815" w:rsidRPr="002A0251">
        <w:t>2</w:t>
      </w:r>
      <w:r w:rsidR="00637815" w:rsidRPr="002A0251">
        <w:rPr>
          <w:rFonts w:hint="eastAsia"/>
        </w:rPr>
        <w:t>2</w:t>
      </w:r>
      <w:r w:rsidR="00637815" w:rsidRPr="002A0251">
        <w:t>.</w:t>
      </w:r>
      <w:r w:rsidR="00637815" w:rsidRPr="002A0251">
        <w:rPr>
          <w:rFonts w:hint="eastAsia"/>
        </w:rPr>
        <w:t xml:space="preserve">8%) </w:t>
      </w:r>
      <w:r w:rsidRPr="002A0251">
        <w:rPr>
          <w:rFonts w:hint="eastAsia"/>
        </w:rPr>
        <w:t>achieved by an ORI with 5-week delay across all outbreaks</w:t>
      </w:r>
      <w:r w:rsidR="00637815" w:rsidRPr="002A0251">
        <w:rPr>
          <w:rFonts w:hint="eastAsia"/>
        </w:rPr>
        <w:t xml:space="preserve"> </w:t>
      </w:r>
      <w:r w:rsidRPr="002A0251">
        <w:rPr>
          <w:rFonts w:hint="eastAsia"/>
        </w:rPr>
        <w:t>is comparable to that of a 13-week delay in outbreaks in the top quartile by duration (</w:t>
      </w:r>
      <w:r w:rsidRPr="002A0251">
        <w:t>2</w:t>
      </w:r>
      <w:r w:rsidR="00055F7A" w:rsidRPr="002A0251">
        <w:rPr>
          <w:rFonts w:hint="eastAsia"/>
        </w:rPr>
        <w:t>3</w:t>
      </w:r>
      <w:r w:rsidRPr="002A0251">
        <w:t>.</w:t>
      </w:r>
      <w:r w:rsidR="00055F7A" w:rsidRPr="002A0251">
        <w:rPr>
          <w:rFonts w:hint="eastAsia"/>
        </w:rPr>
        <w:t>3</w:t>
      </w:r>
      <w:r w:rsidRPr="002A0251">
        <w:rPr>
          <w:rFonts w:hint="eastAsia"/>
        </w:rPr>
        <w:t>%)</w:t>
      </w:r>
      <w:r w:rsidRPr="002A0251">
        <w:t>.</w:t>
      </w:r>
      <w:r w:rsidR="00637815" w:rsidRPr="002A0251">
        <w:rPr>
          <w:rFonts w:hint="eastAsia"/>
        </w:rPr>
        <w:t xml:space="preserve"> Similarly, OCV efficiency was 0.2 for an ORI with 5-week delay across all outbreaks whereas it was 0.5 in the top </w:t>
      </w:r>
      <w:proofErr w:type="gramStart"/>
      <w:r w:rsidR="00637815" w:rsidRPr="002A0251">
        <w:rPr>
          <w:rFonts w:hint="eastAsia"/>
        </w:rPr>
        <w:t>quartile</w:t>
      </w:r>
      <w:proofErr w:type="gramEnd"/>
      <w:r w:rsidR="00637815" w:rsidRPr="002A0251">
        <w:rPr>
          <w:rFonts w:hint="eastAsia"/>
        </w:rPr>
        <w:t xml:space="preserve"> by AR.</w:t>
      </w:r>
      <w:r w:rsidRPr="002A0251">
        <w:t xml:space="preserve"> This underscores the value of strategic prioritization: </w:t>
      </w:r>
      <w:r w:rsidRPr="002A0251">
        <w:rPr>
          <w:rFonts w:hint="eastAsia"/>
        </w:rPr>
        <w:t xml:space="preserve">directing limited OCV supplies to outbreaks with </w:t>
      </w:r>
      <w:r w:rsidRPr="002A0251">
        <w:t>a higher likelihood of being large</w:t>
      </w:r>
      <w:r w:rsidR="00637815" w:rsidRPr="002A0251">
        <w:rPr>
          <w:rFonts w:hint="eastAsia"/>
        </w:rPr>
        <w:t>,</w:t>
      </w:r>
      <w:r w:rsidRPr="002A0251">
        <w:t xml:space="preserve"> prolonged</w:t>
      </w:r>
      <w:r w:rsidR="00637815" w:rsidRPr="002A0251">
        <w:rPr>
          <w:rFonts w:hint="eastAsia"/>
        </w:rPr>
        <w:t>, or high AR</w:t>
      </w:r>
      <w:r w:rsidRPr="002A0251">
        <w:t xml:space="preserve"> can significantly amplify the overall effect</w:t>
      </w:r>
      <w:r w:rsidR="00637815" w:rsidRPr="002A0251">
        <w:rPr>
          <w:rFonts w:hint="eastAsia"/>
        </w:rPr>
        <w:t xml:space="preserve"> and efficiency</w:t>
      </w:r>
      <w:r w:rsidRPr="002A0251">
        <w:t xml:space="preserve"> of ORIs. While </w:t>
      </w:r>
      <w:r w:rsidRPr="002A0251">
        <w:rPr>
          <w:rFonts w:hint="eastAsia"/>
        </w:rPr>
        <w:t xml:space="preserve">this approach </w:t>
      </w:r>
      <w:r w:rsidRPr="002A0251">
        <w:t>assumes an idealized ability to predict outbreak size</w:t>
      </w:r>
      <w:r w:rsidR="00637815" w:rsidRPr="002A0251">
        <w:rPr>
          <w:rFonts w:hint="eastAsia"/>
        </w:rPr>
        <w:t xml:space="preserve"> or duration</w:t>
      </w:r>
      <w:r w:rsidRPr="002A0251">
        <w:t xml:space="preserve"> at the time of response, such prediction may be </w:t>
      </w:r>
      <w:r w:rsidRPr="002A0251">
        <w:lastRenderedPageBreak/>
        <w:t>partially feasible using known risk factors—such as environmental indicators, socioeconomic conditions (e.g., poverty, literacy, healthcare access), and WASH infrastructure.</w:t>
      </w:r>
      <w:r w:rsidRPr="002A0251">
        <w:fldChar w:fldCharType="begin"/>
      </w:r>
      <w:r w:rsidRPr="002A0251">
        <w:instrText xml:space="preserve"> ADDIN ZOTERO_ITEM CSL_CITATION {"citationID":"sdNtNpkT","properties":{"formattedCitation":"\\super 19,71\\uc0\\u8211{}74\\nosupersub{}","plainCitation":"19,71–74","noteIndex":0},"citationItems":[{"id":15132,"uris":["http://zotero.org/users/7663102/items/JFZ6PANM"],"itemData":{"id":15132,"type":"article-journal","abstract":"Improvements in water and sanitation should reduce cholera risk though the associations between cholera and specific water and sanitation access measures remain unclear. We estimated the association between eight water and sanitation measures and annual cholera incidence access across sub-Saharan Africa (2010–2016) for data aggregated at the country and district levels. We fit random forest regression and classification models to understand how well these measures combined might be able to predict cholera incidence rates and identify high cholera incidence areas. Across spatial scales, piped or “other improved” water access was inversely associated with cholera incidence. Access to piped water, septic or sewer sanitation, and septic, sewer, or “other improved” sanitation were associated with decreased district-level cholera incidence. The classification model had moderate performance in identifying high cholera incidence areas (cross-validated-AUC 0.81, 95% CI 0.78–0.83) with high negative predictive values (93–100%) indicating the utility of water and sanitation measures for screening out areas that are unlikely to be at high cholera risk. While comprehensive cholera risk assessments must incorporate other data sources (e.g., historical incidence), our results suggest that water and sanitation measures could alone be useful in narrowing the geographic focus for detailed risk assessments.","container-title":"Environmental Science &amp; Technology","DOI":"10.1021/acs.est.3c01317","ISSN":"0013-936X","issue":"28","journalAbbreviation":"Environ. Sci. Technol.","note":"publisher: American Chemical Society","page":"10185-10192","source":"ACS Publications","title":"Water, Sanitation, and Cholera in Sub-Saharan Africa","volume":"57","author":[{"family":"Sikder","given":"Mustafa"},{"family":"Deshpande","given":"Aniruddha"},{"family":"Hegde","given":"Sonia T."},{"family":"Malembaka","given":"Espoir Bwenge"},{"family":"Gallandat","given":"Karin"},{"family":"Reiner","given":"Robert C."},{"family":"Lessler","given":"Justin"},{"family":"Lee","given":"Elizabeth C."},{"family":"Azman","given":"Andrew S."}],"issued":{"date-parts":[["2023",7,18]]},"citation-key":"sikderWaterSanitationCholera2023"}},{"id":15130,"uris":["http://zotero.org/users/7663102/items/GQUIFY9N"],"itemData":{"id":15130,"type":"article-journal","abstract":"The recurring cholera outbreaks in sub-Saharan Africa are of growing concern, especially considering the potential acceleration in the global trend of larger and more lethal cholera outbreaks due to the impacts of climate change. However, there is a scarcity of evidence-based research addressing the environmental and infrastructure factors that sustain cholera recurrence in Africa. This study adopts a statistical approach to investigate over two decades of endemic cholera outbreaks and their relationship with five environmental factors: water provision, sanitation provision, raising temperatures, increased rainfall and GDP. The analysis covers thirteen of the forty-two countries in the mainland sub-Saharan region, collectively representing one-third of the region’s territory and half of its population. This breadth enables the findings to be generalised at a regional level. Results from all analyses consistently associate water provision with cholera reduction. The stratified model links increased water provision with a reduction in cholera risk that ranged from 4.2 % to 84.1 % among eight countries (out of 13 countries) as well as a reduction of such risk that ranged from 9.8 % to 68.9 % when there is increased sanitation provision, which was observed in nine countries (out of 13). These results indicate that the population's limited access to water and sanitation, as well as the rise in temperatures, are critical infrastructure and environmental factors contributing to endemic cholera and the heightened risk of outbreaks across the sub-Saharan region. Therefore, these are key areas for targeted interventions and cross-border collaboration to enhance resilience to outbreaks and lead to the end of endemic cholera in the region. However, it is important to interpret the results of this study with caution; hence, further investigation is recommended to conduct a more detailed analysis of the impact of infrastructure and environmental factors on reducing cholera risk.","container-title":"Science of The Total Environment","DOI":"10.1016/j.scitotenv.2024.171896","ISSN":"0048-9697","journalAbbreviation":"Science of The Total Environment","page":"171896","source":"ScienceDirect","title":"Analysis of environmental factors influencing endemic cholera risks in sub-Saharan Africa","volume":"926","author":[{"family":"Girotto","given":"Cristiane D."},{"family":"Behzadian","given":"Kourosh"},{"family":"Musah","given":"Anwar"},{"family":"Chen","given":"Albert S."},{"family":"Djordjević","given":"Slobodan"},{"family":"Nichols","given":"Gordon"},{"family":"Campos","given":"Luiza C."}],"issued":{"date-parts":[["2024",5,20]]},"citation-key":"girottoAnalysisEnvironmentalFactors2024"}},{"id":15142,"uris":["http://zotero.org/users/7663102/items/KPLJYLZ2"],"itemData":{"id":15142,"type":"article-journal","abstract":"Despite seasonal cholera outbreaks in Bangladesh, little is known about the relationship between environmental conditions and cholera cases. We seek to develop a predictive model for cholera outbreaks in Bangladesh based on environmental predictors. To do this, we estimate the contribution of environmental variables, such as water depth and water temperature, to cholera outbreaks in the context of a disease transmission model. We implement a method which simultaneously accounts for disease dynamics and environmental variables in a Susceptible-Infected-Recovered-Susceptible (SIRS) model. The entire system is treated as a continuous-time hidden Markov model, where the hidden Markov states are the numbers of people who are susceptible, infected, or recovered at each time point, and the observed states are the numbers of cholera cases reported. We use a Bayesian framework to fit this hidden SIRS model, implementing particle Markov chain Monte Carlo methods to sample from the posterior distribution of the environmental and transmission parameters given the observed data. We test this method using both simulation and data from Mathbaria, Bangladesh. Parameter estimates are used to make short-term predictions that capture the formation and decline of epidemic peaks. We demonstrate that our model can successfully predict an increase in the number of infected individuals in the population weeks before the observed number of cholera cases increases, which could allow for early notification of an epidemic and timely allocation of resources.","container-title":"The annals of applied statistics","DOI":"10.1214/16-AOAS908","ISSN":"1932-6157","issue":"2","journalAbbreviation":"Ann Appl Stat","note":"PMID: 27746850\nPMCID: PMC5061460","page":"575-595","source":"PubMed Central","title":"PREDICTIVE MODELING OF CHOLERA OUTBREAKS IN BANGLADESH","volume":"10","author":[{"family":"Koepke","given":"Amanda A."},{"family":"Longini","given":"Ira M."},{"family":"Halloran","given":"M. Elizabeth"},{"family":"Wakefield","given":"Jon"},{"family":"Minin","given":"Vladimir N."}],"issued":{"date-parts":[["2016",6]]},"citation-key":"koepkePREDICTIVEMODELINGCHOLERA2016"}},{"id":"ybNQHeeS/BQHKJ4V6","uris":["http://zotero.org/users/local/xDVOxgbN/items/FWDM2MLV"],"itemData":{"id":224,"type":"article-journal","abstract":"Objectives\n              This study aims to assess both socioeconomic and climatic factors of cholera morbidity in Mozambique considering both spatial and temporal dimensions.\n            \n            \n              Design\n              An ecological longitudinal retrospective study using monthly provincial cholera cases from Mozambican Ministry of Health between 2000 and 2018. The cholera cases were linked to socioeconomic data from Mozambique Demographic and Health Surveys conducted in the period 2000–2018 and climatic data; relative humidity (RH), mean temperature, precipitation and Normalised Difference Vegetation Index (NDVI). A negative binomial regression model in a Bayesian framework was used to model cholera incidence while adjusting for the spatiotemporal covariance, lagged effect of environmental factors and the socioeconomic indicators.\n            \n            \n              Setting\n              Eleven provinces in Mozambique.\n            \n            \n              Results\n              Over the 19-year period, a total of 153</w:instrText>
      </w:r>
      <w:r w:rsidRPr="002A0251">
        <w:rPr>
          <w:rFonts w:ascii="Arial" w:hAnsi="Arial"/>
        </w:rPr>
        <w:instrText> </w:instrText>
      </w:r>
      <w:r w:rsidRPr="002A0251">
        <w:instrText>941 cholera cases were notified to the surveillance system in Mozambique. Risk of cholera increased with higher monthly mean temperatures above 24</w:instrText>
      </w:r>
      <w:r w:rsidRPr="002A0251">
        <w:rPr>
          <w:rFonts w:cs="Aptos"/>
        </w:rPr>
        <w:instrText>°</w:instrText>
      </w:r>
      <w:r w:rsidRPr="002A0251">
        <w:instrText>C in comparison to the reference mean temperature of 23</w:instrText>
      </w:r>
      <w:r w:rsidRPr="002A0251">
        <w:rPr>
          <w:rFonts w:cs="Aptos"/>
        </w:rPr>
        <w:instrText>°</w:instrText>
      </w:r>
      <w:r w:rsidRPr="002A0251">
        <w:instrText>C. At mean temperature of 19</w:instrText>
      </w:r>
      <w:r w:rsidRPr="002A0251">
        <w:rPr>
          <w:rFonts w:cs="Aptos"/>
        </w:rPr>
        <w:instrText>°</w:instrText>
      </w:r>
      <w:r w:rsidRPr="002A0251">
        <w:instrText>C, cholera risk was higher at a lag of 5</w:instrText>
      </w:r>
      <w:r w:rsidRPr="002A0251">
        <w:rPr>
          <w:rFonts w:cs="Aptos"/>
        </w:rPr>
        <w:instrText>–</w:instrText>
      </w:r>
      <w:r w:rsidRPr="002A0251">
        <w:instrText>6 months. At a shorter lag of 1</w:instrText>
      </w:r>
      <w:r w:rsidRPr="002A0251">
        <w:rPr>
          <w:rFonts w:ascii="Arial" w:hAnsi="Arial"/>
        </w:rPr>
        <w:instrText> </w:instrText>
      </w:r>
      <w:r w:rsidRPr="002A0251">
        <w:instrText>month, precipitation of 223.3</w:instrText>
      </w:r>
      <w:r w:rsidRPr="002A0251">
        <w:rPr>
          <w:rFonts w:ascii="Arial" w:hAnsi="Arial"/>
        </w:rPr>
        <w:instrText> </w:instrText>
      </w:r>
      <w:r w:rsidRPr="002A0251">
        <w:instrText>mm resulted in an 57% increase in cholera risk (relative risk, RR 1.57 (95% CI 1.06 to 2.31)). Cholera risk was greatest at 3 lag months with monthly NDVI of 0.137 (RR 1.220 (95% CI 1.042 to 1.430)), compared with the reference value of 0.2. At an RH of 54%, cholera RR was increased by 62% (RR 1.620 (95% CI 1.124 to 2.342)) at a lag of 4</w:instrText>
      </w:r>
      <w:r w:rsidRPr="002A0251">
        <w:rPr>
          <w:rFonts w:ascii="Arial" w:hAnsi="Arial"/>
        </w:rPr>
        <w:instrText> </w:instrText>
      </w:r>
      <w:r w:rsidRPr="002A0251">
        <w:instrText xml:space="preserve">months. We found that ownership of radio RR 0.29, (95% CI 0.109 to 0.776) and mobile phones RR 0.262 (95% CI 0.097 to 0.711) were significantly associated with low cholera risk.\n            \n            \n              Conclusion\n              The derived lagged patterns can provide appropriate lead times in a climate-driven cholera early warning system that could contribute to the prevention and management of outbreaks.","container-title":"BMJ Open","DOI":"10.1136/bmjopen-2023-082503","ISSN":"2044-6055, 2044-6055","issue":"8","journalAbbreviation":"BMJ Open","language":"en","page":"e082503","source":"DOI.org (Crossref)","title":"Spatial-temporal analysis of climate and socioeconomic conditions on cholera incidence in Mozambique from 2000 to 2018: an ecological longitudinal retrospective study","title-short":"Spatial-temporal analysis of climate and socioeconomic conditions on cholera incidence in Mozambique from 2000 to 2018","volume":"14","author":[{"family":"Armando","given":"Chaibo Jose"},{"family":"Rocklöv","given":"Joacim"},{"family":"Sidat","given":"Mohsin"},{"family":"Tozan","given":"Yesim"},{"family":"Mavume","given":"Alberto Francisco"},{"family":"Bunker","given":"Aditi"},{"family":"Sewe","given":"Maquins Odhiambo"}],"issued":{"date-parts":[["2024",8]]}}},{"id":"ybNQHeeS/epqG4Q1Z","uris":["http://zotero.org/users/local/xDVOxgbN/items/HUSMITWH"],"itemData":{"id":226,"type":"article-journal","container-title":"PLOS ONE","DOI":"10.1371/journal.pone.0183100","ISSN":"1932-6203","issue":"8","journalAbbreviation":"PLoS ONE","language":"en","page":"e0183100","source":"DOI.org (Crossref)","title":"Identification of burden hotspots and risk factors for cholera in India: An observational study","title-short":"Identification of burden hotspots and risk factors for cholera in India","volume":"12","author":[{"family":"Ali","given":"Mohammad"},{"family":"Sen Gupta","given":"Sanjukta"},{"family":"Arora","given":"Nisha"},{"family":"Khasnobis","given":"Pradeep"},{"family":"Venkatesh","given":"Srinivas"},{"family":"Sur","given":"Dipika"},{"family":"Nair","given":"Gopinath B."},{"family":"Sack","given":"David A."},{"family":"Ganguly","given":"Nirmal K."}],"editor":[{"family":"Moise","given":"Imelda K."}],"issued":{"date-parts":[["2017",8,24]]}}}],"schema":"https://github.com/citation-style-language/schema/raw/master/csl-citation.json"} </w:instrText>
      </w:r>
      <w:r w:rsidRPr="002A0251">
        <w:fldChar w:fldCharType="separate"/>
      </w:r>
      <w:r w:rsidRPr="002A0251">
        <w:rPr>
          <w:rFonts w:cs="Times New Roman"/>
          <w:vertAlign w:val="superscript"/>
        </w:rPr>
        <w:t>19,71–74</w:t>
      </w:r>
      <w:r w:rsidRPr="002A0251">
        <w:fldChar w:fldCharType="end"/>
      </w:r>
      <w:r w:rsidRPr="002A0251">
        <w:t xml:space="preserve"> These proxies can help guide the allocation of limited OCV supplies toward outbreaks with the greatest potential for impact</w:t>
      </w:r>
      <w:r w:rsidR="00637815" w:rsidRPr="002A0251">
        <w:rPr>
          <w:rFonts w:hint="eastAsia"/>
        </w:rPr>
        <w:t xml:space="preserve"> and efficiency</w:t>
      </w:r>
      <w:r w:rsidRPr="002A0251">
        <w:t>. Prioritizing high-risk geographic areas has similarly been shown to improve the effectiveness and efficiency of OCV campaigns in sub-Saharan Africa.</w:t>
      </w:r>
      <w:r w:rsidRPr="002A0251">
        <w:fldChar w:fldCharType="begin"/>
      </w:r>
      <w:r w:rsidRPr="002A0251">
        <w:instrText xml:space="preserve"> ADDIN ZOTERO_ITEM CSL_CITATION {"citationID":"RLMhfORh","properties":{"formattedCitation":"\\super 75\\nosupersub{}","plainCitation":"75","noteIndex":0},"citationItems":[{"id":"ybNQHeeS/013Y0n2v","uris":["http://zotero.org/users/local/xDVOxgbN/items/9SKJXDU4"],"itemData":{"id":"ZN66rL7d/srPBwIBI","type":"article-journal","container-title":"PLOS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E."}],"issued":{"date-parts":[["2019",12,11]]}},"label":"page"}],"schema":"https://github.com/citation-style-language/schema/raw/master/csl-citation.json"} </w:instrText>
      </w:r>
      <w:r w:rsidRPr="002A0251">
        <w:fldChar w:fldCharType="separate"/>
      </w:r>
      <w:r w:rsidRPr="002A0251">
        <w:rPr>
          <w:rFonts w:cs="Times New Roman"/>
          <w:vertAlign w:val="superscript"/>
        </w:rPr>
        <w:t>75</w:t>
      </w:r>
      <w:r w:rsidRPr="002A0251">
        <w:fldChar w:fldCharType="end"/>
      </w:r>
      <w:r w:rsidRPr="002A0251">
        <w:t xml:space="preserve"> In addition,</w:t>
      </w:r>
      <w:r w:rsidRPr="002A0251">
        <w:rPr>
          <w:rFonts w:hint="eastAsia"/>
        </w:rPr>
        <w:t xml:space="preserve"> highly targeted interventions such as</w:t>
      </w:r>
      <w:r w:rsidRPr="002A0251">
        <w:t xml:space="preserve"> case-area targeted interventions have demonstrated enhanced OCV efficiency.</w:t>
      </w:r>
      <w:r w:rsidRPr="002A0251">
        <w:fldChar w:fldCharType="begin"/>
      </w:r>
      <w:r w:rsidRPr="002A0251">
        <w:instrText xml:space="preserve"> ADDIN ZOTERO_ITEM CSL_CITATION {"citationID":"tEqNrGuN","properties":{"formattedCitation":"\\super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Pr="002A0251">
        <w:fldChar w:fldCharType="separate"/>
      </w:r>
      <w:r w:rsidRPr="002A0251">
        <w:rPr>
          <w:vertAlign w:val="superscript"/>
        </w:rPr>
        <w:t>1</w:t>
      </w:r>
      <w:r w:rsidRPr="002A0251">
        <w:fldChar w:fldCharType="end"/>
      </w:r>
      <w:r w:rsidRPr="002A0251">
        <w:t xml:space="preserve"> As predictive models </w:t>
      </w:r>
      <w:r w:rsidRPr="002A0251">
        <w:rPr>
          <w:rFonts w:hint="eastAsia"/>
        </w:rPr>
        <w:t xml:space="preserve">and surveillance systems </w:t>
      </w:r>
      <w:r w:rsidRPr="002A0251">
        <w:t xml:space="preserve">continue to improve, the </w:t>
      </w:r>
      <w:r w:rsidRPr="002A0251">
        <w:rPr>
          <w:rFonts w:hint="eastAsia"/>
        </w:rPr>
        <w:t xml:space="preserve">capacity </w:t>
      </w:r>
      <w:r w:rsidRPr="002A0251">
        <w:t>to forecast outbreak characteristics in real time will support more effective and targeted vaccination strategies.</w:t>
      </w:r>
    </w:p>
    <w:p w14:paraId="54F80394" w14:textId="77777777" w:rsidR="00210D07" w:rsidRPr="002A0251" w:rsidRDefault="00210D07" w:rsidP="00210D07"/>
    <w:p w14:paraId="598A9BA7" w14:textId="764BCCAD" w:rsidR="00210D07" w:rsidRPr="002A0251" w:rsidRDefault="00210D07" w:rsidP="00210D07">
      <w:pPr>
        <w:rPr>
          <w:lang w:val="en-US"/>
        </w:rPr>
      </w:pPr>
      <w:r w:rsidRPr="002A0251">
        <w:rPr>
          <w:rFonts w:hint="eastAsia"/>
        </w:rPr>
        <w:t xml:space="preserve">Our studies also illustrate that the prioritizing outbreaks that can produce high impact and efficiency is also as critical as reducing the delay in ORI implementation, which </w:t>
      </w:r>
      <w:r w:rsidRPr="002A0251">
        <w:t>manifested</w:t>
      </w:r>
      <w:r w:rsidRPr="002A0251">
        <w:rPr>
          <w:rFonts w:hint="eastAsia"/>
        </w:rPr>
        <w:t xml:space="preserve"> as large uncertainty intervals in plots presented throughout. As an illustration, percent case averted can vary from zero to close to 100 % regardless of delays in ORIs implementation. Similarly, OCV efficiency could vary from 0 to </w:t>
      </w:r>
      <w:r w:rsidRPr="002A0251">
        <w:rPr>
          <w:lang w:val="en-US"/>
        </w:rPr>
        <w:t>27.5</w:t>
      </w:r>
      <w:r w:rsidRPr="002A0251">
        <w:rPr>
          <w:rFonts w:hint="eastAsia"/>
          <w:lang w:val="en-US"/>
        </w:rPr>
        <w:t xml:space="preserve"> and 144 at ORI implemented at week 9 and 1, respectively. </w:t>
      </w:r>
    </w:p>
    <w:p w14:paraId="172C8DBC" w14:textId="77777777" w:rsidR="00210D07" w:rsidRPr="002A0251" w:rsidRDefault="00210D07" w:rsidP="00210D07"/>
    <w:p w14:paraId="5109B5E4" w14:textId="51FEA9A6" w:rsidR="000F37C7" w:rsidRPr="002A0251" w:rsidRDefault="00210D07" w:rsidP="00210D07">
      <w:pPr>
        <w:rPr>
          <w:lang w:val="en-US"/>
        </w:rPr>
      </w:pPr>
      <w:r w:rsidRPr="002A0251">
        <w:t>O</w:t>
      </w:r>
      <w:r w:rsidRPr="002A0251">
        <w:rPr>
          <w:rFonts w:hint="eastAsia"/>
        </w:rPr>
        <w:t xml:space="preserve">ur study also </w:t>
      </w:r>
      <w:proofErr w:type="gramStart"/>
      <w:r w:rsidRPr="002A0251">
        <w:rPr>
          <w:rFonts w:hint="eastAsia"/>
        </w:rPr>
        <w:t>illustrate</w:t>
      </w:r>
      <w:proofErr w:type="gramEnd"/>
      <w:r w:rsidRPr="002A0251">
        <w:rPr>
          <w:rFonts w:hint="eastAsia"/>
        </w:rPr>
        <w:t xml:space="preserve"> </w:t>
      </w:r>
      <w:r w:rsidRPr="002A0251">
        <w:t>the</w:t>
      </w:r>
      <w:r w:rsidRPr="002A0251">
        <w:rPr>
          <w:rFonts w:hint="eastAsia"/>
        </w:rPr>
        <w:t xml:space="preserve"> median impact at the individual level does not translate </w:t>
      </w:r>
      <w:r w:rsidRPr="002A0251">
        <w:t>t</w:t>
      </w:r>
      <w:r w:rsidRPr="002A0251">
        <w:rPr>
          <w:rFonts w:hint="eastAsia"/>
        </w:rPr>
        <w:t>o the overall impact if multiple outbreaks of different characteristics are targeted over time. T</w:t>
      </w:r>
      <w:r w:rsidR="007D4AF8" w:rsidRPr="002A0251">
        <w:rPr>
          <w:rFonts w:hint="eastAsia"/>
        </w:rPr>
        <w:t xml:space="preserve">argeting outbreaks repeatedly eventually ran across </w:t>
      </w:r>
      <w:r w:rsidR="00F031EA" w:rsidRPr="002A0251">
        <w:t>large, long-lasting</w:t>
      </w:r>
      <w:r w:rsidR="00F031EA" w:rsidRPr="002A0251">
        <w:rPr>
          <w:rFonts w:hint="eastAsia"/>
        </w:rPr>
        <w:t>, and high AR</w:t>
      </w:r>
      <w:r w:rsidR="00F031EA" w:rsidRPr="002A0251">
        <w:t xml:space="preserve"> outbreaks</w:t>
      </w:r>
      <w:r w:rsidR="007D4AF8" w:rsidRPr="002A0251">
        <w:rPr>
          <w:rFonts w:hint="eastAsia"/>
        </w:rPr>
        <w:t>, which tend to produce higher impact and efficiency,</w:t>
      </w:r>
      <w:r w:rsidR="00F031EA" w:rsidRPr="002A0251">
        <w:t xml:space="preserve"> contribute disproportionately to </w:t>
      </w:r>
      <w:r w:rsidR="007D4AF8" w:rsidRPr="002A0251">
        <w:rPr>
          <w:rFonts w:hint="eastAsia"/>
        </w:rPr>
        <w:t>the overall impact</w:t>
      </w:r>
      <w:r w:rsidR="00F031EA" w:rsidRPr="002A0251">
        <w:t xml:space="preserve">. </w:t>
      </w:r>
      <w:r w:rsidR="007D4AF8" w:rsidRPr="002A0251">
        <w:rPr>
          <w:rFonts w:hint="eastAsia"/>
        </w:rPr>
        <w:t xml:space="preserve">Assuming </w:t>
      </w:r>
      <w:r w:rsidR="00F031EA" w:rsidRPr="002A0251">
        <w:t xml:space="preserve">200 million OCV doses—comparable to the total stockpile deployed globally between 2013 and 2024—our model estimated </w:t>
      </w:r>
      <w:r w:rsidR="007D4AF8" w:rsidRPr="002A0251">
        <w:rPr>
          <w:rFonts w:hint="eastAsia"/>
        </w:rPr>
        <w:t xml:space="preserve">around median </w:t>
      </w:r>
      <w:r w:rsidR="007D4AF8" w:rsidRPr="002A0251">
        <w:rPr>
          <w:lang w:val="en-US"/>
        </w:rPr>
        <w:t>0.4</w:t>
      </w:r>
      <w:r w:rsidR="007D4AF8" w:rsidRPr="002A0251">
        <w:rPr>
          <w:rFonts w:hint="eastAsia"/>
          <w:lang w:val="en-US"/>
        </w:rPr>
        <w:t xml:space="preserve"> cases (compared to </w:t>
      </w:r>
      <w:r w:rsidR="007D4AF8" w:rsidRPr="002A0251">
        <w:rPr>
          <w:lang w:val="en-US"/>
        </w:rPr>
        <w:t>approximately</w:t>
      </w:r>
      <w:r w:rsidR="007D4AF8" w:rsidRPr="002A0251">
        <w:rPr>
          <w:rFonts w:hint="eastAsia"/>
          <w:lang w:val="en-US"/>
        </w:rPr>
        <w:t xml:space="preserve"> 0.1 at the individual outbreak level). With prioritization in favor of attack rates, our model estimated </w:t>
      </w:r>
      <w:proofErr w:type="spellStart"/>
      <w:r w:rsidR="007D4AF8" w:rsidRPr="002A0251">
        <w:rPr>
          <w:rFonts w:hint="eastAsia"/>
          <w:lang w:val="en-US"/>
        </w:rPr>
        <w:t>u</w:t>
      </w:r>
      <w:r w:rsidR="00F031EA" w:rsidRPr="002A0251">
        <w:t>p</w:t>
      </w:r>
      <w:proofErr w:type="spellEnd"/>
      <w:r w:rsidR="00F031EA" w:rsidRPr="002A0251">
        <w:t xml:space="preserve"> to 420,000 cases averted when vaccination was initiated </w:t>
      </w:r>
      <w:r w:rsidR="008771FC" w:rsidRPr="002A0251">
        <w:rPr>
          <w:rFonts w:hint="eastAsia"/>
        </w:rPr>
        <w:t>at</w:t>
      </w:r>
      <w:r w:rsidR="00F031EA" w:rsidRPr="002A0251">
        <w:t xml:space="preserve"> week 1, equivalent to approximately 2.1 cases averted per 1,000 doses administered.</w:t>
      </w:r>
    </w:p>
    <w:p w14:paraId="03E30C08" w14:textId="77777777" w:rsidR="003E7E81" w:rsidRPr="002A0251" w:rsidRDefault="003E7E81" w:rsidP="00F57F15"/>
    <w:p w14:paraId="0558AC23" w14:textId="7DEF028D" w:rsidR="005C75E1" w:rsidRPr="002A0251" w:rsidRDefault="00210D07" w:rsidP="00F57F15">
      <w:r w:rsidRPr="002A0251">
        <w:rPr>
          <w:rFonts w:hint="eastAsia"/>
        </w:rPr>
        <w:lastRenderedPageBreak/>
        <w:t>While estimates from previous studies are quite diverse, o</w:t>
      </w:r>
      <w:r w:rsidR="006677A0" w:rsidRPr="002A0251">
        <w:rPr>
          <w:rFonts w:hint="eastAsia"/>
        </w:rPr>
        <w:t xml:space="preserve">ur estimates for the impact, efficiency, and cost effectiveness </w:t>
      </w:r>
      <w:r w:rsidRPr="002A0251">
        <w:rPr>
          <w:rFonts w:hint="eastAsia"/>
        </w:rPr>
        <w:t xml:space="preserve">appear </w:t>
      </w:r>
      <w:r w:rsidR="00B62880" w:rsidRPr="002A0251">
        <w:rPr>
          <w:rFonts w:hint="eastAsia"/>
        </w:rPr>
        <w:t xml:space="preserve">comparable to </w:t>
      </w:r>
      <w:r w:rsidRPr="002A0251">
        <w:rPr>
          <w:rFonts w:hint="eastAsia"/>
        </w:rPr>
        <w:t>existing estimates</w:t>
      </w:r>
      <w:r w:rsidR="006677A0" w:rsidRPr="002A0251">
        <w:rPr>
          <w:rFonts w:hint="eastAsia"/>
        </w:rPr>
        <w:t xml:space="preserve"> and </w:t>
      </w:r>
      <w:r w:rsidRPr="002A0251">
        <w:rPr>
          <w:rFonts w:hint="eastAsia"/>
        </w:rPr>
        <w:t xml:space="preserve">we believe that our estimates </w:t>
      </w:r>
      <w:r w:rsidR="006677A0" w:rsidRPr="002A0251">
        <w:rPr>
          <w:rFonts w:hint="eastAsia"/>
        </w:rPr>
        <w:t>provide more realistic versions</w:t>
      </w:r>
      <w:r w:rsidR="00B62880" w:rsidRPr="002A0251">
        <w:rPr>
          <w:rFonts w:hint="eastAsia"/>
        </w:rPr>
        <w:t xml:space="preserve">. </w:t>
      </w:r>
      <w:r w:rsidR="00A21D3A" w:rsidRPr="002A0251">
        <w:rPr>
          <w:rFonts w:hint="eastAsia"/>
        </w:rPr>
        <w:t>In contrast to our extensive dataset, m</w:t>
      </w:r>
      <w:r w:rsidR="00A21D3A" w:rsidRPr="002A0251">
        <w:t>ost previous studies assessing OCV impact during or prior to cholera outbreaks have focused on single outbreaks or a small number of large-scale events</w:t>
      </w:r>
      <w:r w:rsidR="00A21D3A" w:rsidRPr="002A0251">
        <w:rPr>
          <w:rFonts w:hint="eastAsia"/>
        </w:rPr>
        <w:t>.</w:t>
      </w:r>
      <w:r w:rsidR="005C75E1" w:rsidRPr="002A0251">
        <w:rPr>
          <w:vertAlign w:val="superscript"/>
        </w:rPr>
        <w:fldChar w:fldCharType="begin"/>
      </w:r>
      <w:r w:rsidR="00492FC8" w:rsidRPr="002A0251">
        <w:rPr>
          <w:vertAlign w:val="superscript"/>
        </w:rPr>
        <w:instrText xml:space="preserve"> ADDIN ZOTERO_ITEM CSL_CITATION {"citationID":"fwgAfALq","properties":{"formattedCitation":"\\super 1\\uc0\\u8211{}4,6\\uc0\\u8211{}8,10,16,76\\nosupersub{}","plainCitation":"1–4,6–8,10,16,76","noteIndex":0},"citationItems":[{"id":"ybNQHeeS/SclWsZkd","uris":["http://zotero.org/users/local/xDVOxgbN/items/C9VJ6Y9N"],"itemData":{"id":87,"type":"article-journal","abstract":"In October 2010, a virulent South Asian strain of El Tor cholera began to spread in Haiti. Interventions have included treatment of cases and improved sanitation. Use of cholera vaccines would likely have further reduced morbidity and mortality, but such vaccines are in short supply and little is known about effective vaccination strategies for epidemic cholera. We use a mathematical cholera transmission model to assess different vaccination strategies. With limited vaccine quantities, concentrating vaccine in high-risk areas is always most efficient. We show that targeting one million doses of vaccine to areas with high exposure to\n              Vibrio cholerae\n              , enough for two doses for 5% of the population, would reduce the number of cases by 11%. The same strategy with enough vaccine for 30% of the population with modest hygienic improvement could reduce cases by 55% and save 3,320 lives. For epidemic cholera, we recommend a large mobile stockpile of enough vaccine to cover 30% of a country's population to be reactively targeted to populations at high risk of exposure.","container-title":"Proceedings of the National Academy of Sciences","DOI":"10.1073/pnas.1102149108","ISSN":"0027-8424, 1091-6490","issue":"17","journalAbbreviation":"Proc. Natl. Acad. Sci. U.S.A.","language":"en","page":"7081-7085","source":"DOI.org (Crossref)","title":"Vaccination strategies for epidemic cholera in Haiti with implications for the developing world","volume":"108","author":[{"family":"Chao","given":"Dennis L."},{"family":"Halloran","given":"M. Elizabeth"},{"family":"Longini","given":"Ira M."}],"issued":{"date-parts":[["2011",4,26]]}}},{"id":"ybNQHeeS/nFz6CHzy","uris":["http://zotero.org/users/local/xDVOxgbN/items/A7JBWGAG"],"itemData":{"id":97,"type":"article-journal","container-title":"PLoS Neglected Tropical Diseases","DOI":"10.1371/journal.pntd.0001901","ISSN":"1935-2735","issue":"11","journalAbbreviation":"PLoS Negl Trop Dis","language":"en","page":"e1901","source":"DOI.org (Crossref)","title":"Urban Cholera Transmission Hotspots and Their Implications for Reactive Vaccination: Evidence from Bissau City, Guinea Bissau","title-short":"Urban Cholera Transmission Hotspots and Their Implications for Reactive Vaccination","volume":"6","author":[{"family":"Azman","given":"Andrew S."},{"family":"Luquero","given":"Francisco J."},{"family":"Rodrigues","given":"Amabelia"},{"family":"Palma","given":"Pedro Pablo"},{"family":"Grais","given":"Rebecca F."},{"family":"Banga","given":"Cunhate Na"},{"family":"Grenfell","given":"Bryan T."},{"family":"Lessler","given":"Justin"}],"editor":[{"family":"Vinetz","given":"Joseph M."}],"issued":{"date-parts":[["2012",11,8]]}}},{"id":"ybNQHeeS/FsjA11A9","uris":["http://zotero.org/users/local/xDVOxgbN/items/3KCFPCDX"],"itemData":{"id":67,"type":"article-journal","container-title":"PLOS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Seidlein","given":"Lorenz"}],"issued":{"date-parts":[["2018",2,27]]}}},{"id":"ybNQHeeS/KaT8ut55","uris":["http://zotero.org/users/local/xDVOxgbN/items/Z93MZCN2"],"itemData":{"id":74,"type":"article-journal","container-title":"PLoS Neglected Tropical Diseases","DOI":"10.1371/journal.pntd.0003343","ISSN":"1935-2735","issue":"12","journalAbbreviation":"PLoS Negl Trop Dis","language":"en","page":"e3343","source":"DOI.org (Crossref)","title":"Comparative Effectiveness of Different Strategies of Oral Cholera Vaccination in Bangladesh: A Modeling Study","title-short":"Comparative Effectiveness of Different Strategies of Oral Cholera Vaccination in Bangladesh","volume":"8","author":[{"family":"Dimitrov","given":"Dobromir T."},{"family":"Troeger","given":"Christopher"},{"family":"Halloran","given":"M. Elizabeth"},{"family":"Longini","given":"Ira M."},{"family":"Chao","given":"Dennis L."}],"editor":[{"family":"Baker","given":"Stephen"}],"issued":{"date-parts":[["2014",12,4]]}}},{"id":"ybNQHeeS/MmGlO31r","uris":["http://zotero.org/users/local/xDVOxgbN/items/PMGMMCST"],"itemData":{"id":38,"type":"article-journal","container-title":"PLOS Neglected Tropical Diseases","DOI":"10.1371/journal.pntd.0006652","ISSN":"1935-2735","issue":"10","journalAbbreviation":"PLoS Negl Trop Dis","language":"en","page":"e0006652","source":"DOI.org (Crossref)","title":"The impact and cost-effectiveness of controlling cholera through the use of oral cholera vaccines in urban Bangladesh: A disease modeling and economic analysis","title-short":"The impact and cost-effectiveness of controlling cholera through the use of oral cholera vaccines in urban Bangladesh","volume":"12","author":[{"family":"Khan","given":"Ashraful Islam"},{"family":"Levin","given":"Ann"},{"family":"Chao","given":"Dennis L."},{"family":"DeRoeck","given":"Denise"},{"family":"Dimitrov","given":"Dobromir T."},{"family":"Khan","given":"Jahangir A. M."},{"family":"Islam","given":"Muhammad Shariful"},{"family":"Ali","given":"Mohammad"},{"family":"Islam","given":"Md. Taufiqul"},{"family":"Sarker","given":"Abdur Razzaque"},{"family":"Clemens","given":"John D."},{"family":"Qadri","given":"Firdausi"}],"editor":[{"family":"Maheu-Giroux","given":"Mathieu"}],"issued":{"date-parts":[["2018",10,9]]}}},{"id":"ybNQHeeS/Gc95S37c","uris":["http://zotero.org/users/local/xDVOxgbN/items/JZWUIAKP"],"itemData":{"id":69,"type":"article-journal","container-title":"International Journal of Infectious Diseases","DOI":"10.1016/j.ijid.2020.03.077","ISSN":"12019712","journalAbbreviation":"International Journal of Infectious Diseases","language":"en","page":"222-227","source":"DOI.org (Crossref)","title":"Stemming cholera tides in Zimbabwe through mass vaccination","volume":"96","author":[{"family":"Mukandavire","given":"Zindoga"},{"family":"Manangazira","given":"Portia"},{"family":"Nyabadza","given":"Farai"},{"family":"Cuadros","given":"Diego F"},{"family":"Musuka","given":"Godfrey"},{"family":"Morris","given":"J. Glenn"}],"issued":{"date-parts":[["2020",7]]}}},{"id":"ybNQHeeS/cBTeTulP","uris":["http://zotero.org/users/local/xDVOxgbN/items/4F2U9M9L"],"itemData":{"id":84,"type":"article-journal","container-title":"Vaccine","DOI":"10.1016/j.vaccine.2016.03.004","ISSN":"0264410X","issue":"18","journalAbbreviation":"Vaccine","language":"en","page":"2113-2120","source":"DOI.org (Crossref)","title":"Impact of oral cholera vaccines in cholera-endemic countries: A mathematical modeling study","title-short":"Impact of oral cholera vaccines in cholera-endemic countries","volume":"34","author":[{"family":"Kim","given":"Jong-Hoon"},{"family":"Mogasale","given":"Vittal"},{"family":"Burgess","given":"Colleen"},{"family":"Wierzba","given":"Thomas F."}],"issued":{"date-parts":[["2016",4]]}}},{"id":"ybNQHeeS/BTFCrDFl","uris":["http://zotero.org/users/local/xDVOxgbN/items/QWND6R6T"],"itemData":{"id":89,"type":"article-journal","container-title":"PLOS Neglected Tropical Diseases","DOI":"10.1371/journal.pntd.0005482","ISSN":"1935-2735","issue":"4","journalAbbreviation":"PLoS Negl Trop Dis","language":"en","page":"e0005482","source":"DOI.org (Crossref)","title":"Controlling cholera in the Ouest Department of Haiti using oral vaccines","volume":"11","author":[{"family":"Kirpich","given":"Alexander"},{"family":"Weppelmann","given":"Thomas A."},{"family":"Yang","given":"Yang"},{"family":"Morris","given":"John Glenn"},{"family":"Longini","given":"Ira M."}],"editor":[{"family":"Coudeville","given":"Laurent"}],"issued":{"date-parts":[["2017",4,14]]}}},{"id":"ybNQHeeS/JSVKjJjQ","uris":["http://zotero.org/users/local/xDVOxgbN/items/TR5894IS"],"itemData":{"id":91,"type":"article-journal","abstract":"Abstract\n            \n              Background\n              Cholera is a major public health concern in displaced-person camps, which often contend with overcrowding and scarcity of resources. Maela, the largest and longest-standing refugee camp in Thailand, located along the Thai-Burmese border, experienced four cholera outbreaks between 2005 and 2010. In 2013, a cholera vaccine campaign was implemented in the camp. To assist in the evaluation of the campaign and planning for subsequent campaigns, we developed a mathematical model of cholera in Maela.\n            \n            \n              Methods\n              We formulated a Susceptible-Infectious-Water-Recovered-based transmission model and estimated parameters using incidence data from 2010. We next evaluated the reduction in cases conferred by several immunization strategies, varying timing, effectiveness, and resources (i.e., vaccine availability). After the vaccine campaign, we generated case forecasts for the next year, to inform on-the-ground decision-making regarding whether a booster campaign was needed.\n            \n            \n              Results\n              \n                We found that preexposure vaccination can substantially reduce the risk of cholera even when &lt;50\n                %\n                of the population is given the full two-dose series. Additionally, the preferred number of doses per person should be considered in the context of one vs. two dose effectiveness and vaccine availability. For reactive vaccination, a trade-off between timing and effectiveness was revealed, indicating that it may be beneficial to give one dose to more people rather than two doses to fewer people, given that a two-dose schedule would incur a delay in administration of the second dose. Forecasting using realistic coverage levels predicted that there was no need for a booster campaign in 2014 (consistent with our predictions, there was not a cholera epidemic in 2014).\n              \n            \n            \n              Conclusions\n              Our analyses suggest that vaccination in conjunction with ongoing water sanitation and hygiene efforts provides an effective strategy for controlling cholera outbreaks in refugee camps. Effective preexposure vaccination depends on timing and effectiveness. If a camp is facing an outbreak, delayed distribution of vaccines can substantially alter the effectiveness of reactive vaccination, suggesting that quick distribution of vaccines may be more important than ensuring every individual receives both vaccine doses. Overall, this analysis illustrates how mathematical models can be applied in public health practice, to assist in evaluating alternative intervention strategies and inform decision-making.","container-title":"BMC Infectious Diseases","DOI":"10.1186/s12879-019-4688-6","ISSN":"1471-2334","issue":"1","journalAbbreviation":"BMC Infect Dis","language":"en","page":"1075","source":"DOI.org (Crossref)","title":"Comparing alternative cholera vaccination strategies in Maela refugee camp: using a transmission model in public health practice","title-short":"Comparing alternative cholera vaccination strategies in Maela refugee camp","volume":"19","author":[{"family":"Havumaki","given":"Joshua"},{"family":"Meza","given":"Rafael"},{"family":"Phares","given":"Christina R."},{"family":"Date","given":"Kashmira"},{"family":"Eisenberg","given":"Marisa C."}],"issued":{"date-parts":[["2019",12]]}}},{"id":15384,"uris":["http://zotero.org/users/7663102/items/V45PRDVH"],"itemData":{"id":15384,"type":"article","abstract":"Background Outbreaks of vaccine-preventable diseases continue to occur in low- and middle-income countries (LMICs), requiring outbreak response immunization (ORI) programs for containment. To inform future investment decisions, this study aimed to estimate the cases, deaths, disability-adjusted life years (DALYs), and societal economic costs averted by past ORI programs. Outbreaks of measles, Ebola, yellow fever, cholera, and meningococcal meningitis in LMICs between 2000-2023 were considered.\nMethods 210 outbreaks (51 measles, 40 cholera, 88 yellow fever, 24 meningitis, 7 Ebola) were identified with sufficient data for analysis. Agent-based models were calibrated for each disease such that after controlling for baseline vaccine coverage, ORI initiation time, speed of vaccine delivery, environmental variables, or endemic prevalence of the disease, observed outbreaks were within the distribution of simulated outbreaks. A status-quo and no ORI scenario were compared for each outbreak.\nFindings Across 210 outbreaks, ORI programs are estimated to have averted 5·81M [95% uncertainty interval 5·75M–5·87M] cases (4·01M measles, 283K cholera, 1·50M yellow fever, 21·3K meningitis, 820 Ebola), 327K [317K–338K] deaths (20.0K measles, 5215 cholera, 300K yellow fever, 1599 meningitis, 381 Ebola), 14·6M [14·1M–15·1M] DALYs (1·27M measles, 220K cholera, 13·0M yellow fever, 113K meningitis, 16·6K Ebola), and US$31·7B [29·0B–34·9B] (US$710M measles, US$156M cholera, US$30·7B yellow fever, US$97·6M meningitis, US$6·72M Ebola) in societal economic costs. In general, the more rapidly the ORI was initiated the greater the impact.\nInterpretation ORI programs are critical for reducing the health and economic impacts of outbreaks of vaccine-preventable diseases.\nFunding Gavi,the Vaccine Alliance.","DOI":"10.1101/2024.06.02.24308241","language":"en","license":"© 2024, Posted by Cold Spring Harbor Laboratory. This pre-print is available under a Creative Commons License (Attribution 4.0 International), CC BY 4.0, as described at http://creativecommons.org/licenses/by/4.0/","note":"page: 2024.06.02.24308241","publisher":"medRxiv","source":"medRxiv","title":"Estimating the historical impact of outbreak response immunization programs across 210 outbreaks in LMICs","URL":"https://www.medrxiv.org/content/10.1101/2024.06.02.24308241v1","author":[{"family":"Delport","given":"D."},{"family":"Muellenmeister","given":"A. M."},{"family":"MacKechnie","given":"G."},{"family":"Vaccher","given":"S."},{"family":"Mengistu","given":"T."},{"family":"Hogan","given":"D."},{"family":"Abeysuriya","given":"R. G."},{"family":"Scott","given":"N."}],"accessed":{"date-parts":[["2025",2,21]]},"issued":{"date-parts":[["2024",6,3]]},"citation-key":"delportEstimatingHistoricalImpact2024"}}],"schema":"https://github.com/citation-style-language/schema/raw/master/csl-citation.json"} </w:instrText>
      </w:r>
      <w:r w:rsidR="005C75E1" w:rsidRPr="002A0251">
        <w:rPr>
          <w:vertAlign w:val="superscript"/>
        </w:rPr>
        <w:fldChar w:fldCharType="separate"/>
      </w:r>
      <w:r w:rsidR="00492FC8" w:rsidRPr="002A0251">
        <w:rPr>
          <w:rFonts w:cs="Times New Roman"/>
          <w:vertAlign w:val="superscript"/>
        </w:rPr>
        <w:t>1–4,6–8,10,16,76</w:t>
      </w:r>
      <w:r w:rsidR="005C75E1" w:rsidRPr="002A0251">
        <w:rPr>
          <w:vertAlign w:val="superscript"/>
        </w:rPr>
        <w:fldChar w:fldCharType="end"/>
      </w:r>
      <w:r w:rsidR="005C75E1" w:rsidRPr="002A0251">
        <w:t xml:space="preserve">. </w:t>
      </w:r>
      <w:r w:rsidR="00A16201" w:rsidRPr="002A0251">
        <w:t>For example, a preemptive vaccination campaign in Matlab, Bangladesh with 50% coverage was associated with a 93% reduction in cholera cases</w:t>
      </w:r>
      <w:r w:rsidR="00BF0ED8" w:rsidRPr="002A0251">
        <w:t xml:space="preserve"> </w:t>
      </w:r>
      <w:r w:rsidR="0029688A" w:rsidRPr="002A0251">
        <w:t>[</w:t>
      </w:r>
      <w:r w:rsidR="00BF0ED8" w:rsidRPr="002A0251">
        <w:t>95% CI</w:t>
      </w:r>
      <w:r w:rsidR="0029688A" w:rsidRPr="002A0251">
        <w:t>:</w:t>
      </w:r>
      <w:r w:rsidR="00BF0ED8" w:rsidRPr="002A0251">
        <w:t xml:space="preserve"> 82%</w:t>
      </w:r>
      <w:r w:rsidR="0029688A" w:rsidRPr="002A0251">
        <w:t xml:space="preserve"> - </w:t>
      </w:r>
      <w:r w:rsidR="00BF0ED8" w:rsidRPr="002A0251">
        <w:t>99%</w:t>
      </w:r>
      <w:r w:rsidR="0029688A" w:rsidRPr="002A0251">
        <w:t>]</w:t>
      </w:r>
      <w:r w:rsidR="006B7E4E" w:rsidRPr="002A0251">
        <w:rPr>
          <w:rFonts w:hint="eastAsia"/>
        </w:rPr>
        <w:t>.</w:t>
      </w:r>
      <w:r w:rsidR="005C75E1" w:rsidRPr="002A0251">
        <w:fldChar w:fldCharType="begin"/>
      </w:r>
      <w:r w:rsidR="00492FC8" w:rsidRPr="002A0251">
        <w:instrText xml:space="preserve"> ADDIN ZOTERO_ITEM CSL_CITATION {"citationID":"vRmoYNMT","properties":{"formattedCitation":"\\super 11\\nosupersub{}","plainCitation":"11","noteIndex":0},"citationItems":[{"id":"ybNQHeeS/tc6RtEm3","uris":["http://zotero.org/users/local/xDVOxgbN/items/37LE7P3K"],"itemData":{"id":"ZN66rL7d/hXqTsIEn","type":"article-journal","container-title":"PLoS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Seidlein","given":"Lorenz"}],"issued":{"date-parts":[["2007",11,27]]}}}],"schema":"https://github.com/citation-style-language/schema/raw/master/csl-citation.json"} </w:instrText>
      </w:r>
      <w:r w:rsidR="005C75E1" w:rsidRPr="002A0251">
        <w:fldChar w:fldCharType="separate"/>
      </w:r>
      <w:r w:rsidR="005C75E1" w:rsidRPr="002A0251">
        <w:rPr>
          <w:vertAlign w:val="superscript"/>
        </w:rPr>
        <w:t>11</w:t>
      </w:r>
      <w:r w:rsidR="005C75E1" w:rsidRPr="002A0251">
        <w:fldChar w:fldCharType="end"/>
      </w:r>
      <w:r w:rsidR="005C75E1" w:rsidRPr="002A0251">
        <w:t xml:space="preserve"> </w:t>
      </w:r>
      <w:r w:rsidR="00417190" w:rsidRPr="002A0251">
        <w:t>A</w:t>
      </w:r>
      <w:r w:rsidR="006B7E4E" w:rsidRPr="002A0251">
        <w:rPr>
          <w:rFonts w:hint="eastAsia"/>
        </w:rPr>
        <w:t>nother modeling</w:t>
      </w:r>
      <w:r w:rsidR="00417190" w:rsidRPr="002A0251">
        <w:t xml:space="preserve"> study </w:t>
      </w:r>
      <w:r w:rsidR="000F7281" w:rsidRPr="002A0251">
        <w:t>of reactive</w:t>
      </w:r>
      <w:r w:rsidR="00A16201" w:rsidRPr="002A0251">
        <w:rPr>
          <w:rFonts w:hint="eastAsia"/>
        </w:rPr>
        <w:t xml:space="preserve"> evaluating </w:t>
      </w:r>
      <w:r w:rsidR="000F7281" w:rsidRPr="002A0251">
        <w:t xml:space="preserve">single-dose OCV campaigns </w:t>
      </w:r>
      <w:r w:rsidR="006B7E4E" w:rsidRPr="002A0251">
        <w:rPr>
          <w:rFonts w:hint="eastAsia"/>
        </w:rPr>
        <w:t>i</w:t>
      </w:r>
      <w:r w:rsidR="000F7281" w:rsidRPr="002A0251">
        <w:t xml:space="preserve">n Zimbabwe, </w:t>
      </w:r>
      <w:r w:rsidR="00417190" w:rsidRPr="002A0251">
        <w:t>Haiti</w:t>
      </w:r>
      <w:r w:rsidR="000F7281" w:rsidRPr="002A0251">
        <w:t>, and Guinea</w:t>
      </w:r>
      <w:r w:rsidR="00417190" w:rsidRPr="002A0251">
        <w:t xml:space="preserve"> </w:t>
      </w:r>
      <w:r w:rsidR="006B7E4E" w:rsidRPr="002A0251">
        <w:rPr>
          <w:rFonts w:hint="eastAsia"/>
        </w:rPr>
        <w:t xml:space="preserve">found case reductions of </w:t>
      </w:r>
      <w:r w:rsidR="000F7281" w:rsidRPr="002A0251">
        <w:t xml:space="preserve">71.6%, </w:t>
      </w:r>
      <w:r w:rsidR="00417190" w:rsidRPr="002A0251">
        <w:t>65.3%</w:t>
      </w:r>
      <w:r w:rsidR="000F7281" w:rsidRPr="002A0251">
        <w:t>, and</w:t>
      </w:r>
      <w:r w:rsidR="00417190" w:rsidRPr="002A0251">
        <w:t xml:space="preserve"> </w:t>
      </w:r>
      <w:r w:rsidR="000F7281" w:rsidRPr="002A0251">
        <w:t>61.9%</w:t>
      </w:r>
      <w:r w:rsidR="006B7E4E" w:rsidRPr="002A0251">
        <w:rPr>
          <w:rFonts w:hint="eastAsia"/>
        </w:rPr>
        <w:t xml:space="preserve">, </w:t>
      </w:r>
      <w:r w:rsidR="00A16201" w:rsidRPr="002A0251">
        <w:rPr>
          <w:rFonts w:hint="eastAsia"/>
        </w:rPr>
        <w:t xml:space="preserve">when campaigns were initiated on </w:t>
      </w:r>
      <w:r w:rsidR="000F7281" w:rsidRPr="002A0251">
        <w:t>day 122, day 76, and day 61, respectively.</w:t>
      </w:r>
      <w:r w:rsidR="00417190" w:rsidRPr="002A0251">
        <w:fldChar w:fldCharType="begin"/>
      </w:r>
      <w:r w:rsidR="00492FC8" w:rsidRPr="002A0251">
        <w:instrText xml:space="preserve"> ADDIN ZOTERO_ITEM CSL_CITATION {"citationID":"GSTDb111","properties":{"formattedCitation":"\\super 15\\nosupersub{}","plainCitation":"15","noteIndex":0},"citationItems":[{"id":"ybNQHeeS/dB2lsX4Z","uris":["http://zotero.org/users/local/xDVOxgbN/items/D9HE3GUQ"],"itemData":{"id":78,"type":"article-journal","container-title":"PLOS Medicine","DOI":"10.1371/journal.pmed.1001867","ISSN":"1549-1676","issue":"8","journalAbbreviation":"PLoS Med","language":"en","page":"e1001867","source":"DOI.org (Crossref)","title":"The Impact of a One-Dose versus Two-Dose Oral Cholera Vaccine Regimen in Outbreak Settings: A Modeling Study","title-short":"The Impact of a One-Dose versus Two-Dose Oral Cholera Vaccine Regimen in Outbreak Settings","volume":"12","author":[{"family":"Azman","given":"Andrew S."},{"family":"Luquero","given":"Francisco J."},{"family":"Ciglenecki","given":"Iza"},{"family":"Grais","given":"Rebecca F."},{"family":"Sack","given":"David A."},{"family":"Lessler","given":"Justin"}],"editor":[{"family":"Kretzschmar","given":"Mirjam E. E."}],"issued":{"date-parts":[["2015",8,25]]}}}],"schema":"https://github.com/citation-style-language/schema/raw/master/csl-citation.json"} </w:instrText>
      </w:r>
      <w:r w:rsidR="00417190" w:rsidRPr="002A0251">
        <w:fldChar w:fldCharType="separate"/>
      </w:r>
      <w:r w:rsidR="00417190" w:rsidRPr="002A0251">
        <w:rPr>
          <w:vertAlign w:val="superscript"/>
          <w:lang w:val="en-US"/>
        </w:rPr>
        <w:t>15</w:t>
      </w:r>
      <w:r w:rsidR="00417190" w:rsidRPr="002A0251">
        <w:fldChar w:fldCharType="end"/>
      </w:r>
      <w:r w:rsidR="003330B0" w:rsidRPr="002A0251">
        <w:t xml:space="preserve"> </w:t>
      </w:r>
      <w:r w:rsidR="00A16201" w:rsidRPr="002A0251">
        <w:rPr>
          <w:rFonts w:hint="eastAsia"/>
        </w:rPr>
        <w:t>Similarly,</w:t>
      </w:r>
      <w:r w:rsidR="006B7E4E" w:rsidRPr="002A0251">
        <w:rPr>
          <w:rFonts w:hint="eastAsia"/>
        </w:rPr>
        <w:t xml:space="preserve"> </w:t>
      </w:r>
      <w:r w:rsidR="000F7281" w:rsidRPr="002A0251">
        <w:t xml:space="preserve">a single-dose OCV campaign </w:t>
      </w:r>
      <w:r w:rsidR="00B9349E" w:rsidRPr="002A0251">
        <w:t xml:space="preserve">in N'Djamena, Chad </w:t>
      </w:r>
      <w:r w:rsidR="006B7E4E" w:rsidRPr="002A0251">
        <w:rPr>
          <w:rFonts w:hint="eastAsia"/>
        </w:rPr>
        <w:t xml:space="preserve">reduced cases </w:t>
      </w:r>
      <w:r w:rsidR="006B7E4E" w:rsidRPr="002A0251">
        <w:t>by 81% (or 43% or 8%)</w:t>
      </w:r>
      <w:r w:rsidR="00A16201" w:rsidRPr="002A0251">
        <w:rPr>
          <w:rFonts w:hint="eastAsia"/>
        </w:rPr>
        <w:t xml:space="preserve"> when initiated on</w:t>
      </w:r>
      <w:r w:rsidR="00A16201" w:rsidRPr="002A0251">
        <w:t xml:space="preserve"> day 50 (or day 130 or day 180)</w:t>
      </w:r>
      <w:r w:rsidR="006B7E4E" w:rsidRPr="002A0251">
        <w:fldChar w:fldCharType="begin"/>
      </w:r>
      <w:r w:rsidR="00492FC8" w:rsidRPr="002A0251">
        <w:instrText xml:space="preserve"> ADDIN ZOTERO_ITEM CSL_CITATION {"citationID":"BVVGrKHM","properties":{"formattedCitation":"\\super 1\\nosupersub{}","plainCitation":"1","noteIndex":0},"citationItems":[{"id":"ybNQHeeS/FsjA11A9","uris":["http://zotero.org/users/local/xDVOxgbN/items/3KCFPCDX"],"itemData":{"id":"ZN66rL7d/xLgkmKAb","type":"article-journal","container-title":"PLOS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Seidlein","given":"Lorenz"}],"issued":{"date-parts":[["2018",2,27]]}}}],"schema":"https://github.com/citation-style-language/schema/raw/master/csl-citation.json"} </w:instrText>
      </w:r>
      <w:r w:rsidR="006B7E4E" w:rsidRPr="002A0251">
        <w:fldChar w:fldCharType="separate"/>
      </w:r>
      <w:r w:rsidR="006B7E4E" w:rsidRPr="002A0251">
        <w:rPr>
          <w:vertAlign w:val="superscript"/>
        </w:rPr>
        <w:t>1</w:t>
      </w:r>
      <w:r w:rsidR="006B7E4E" w:rsidRPr="002A0251">
        <w:fldChar w:fldCharType="end"/>
      </w:r>
      <w:r w:rsidR="006B7E4E" w:rsidRPr="002A0251">
        <w:t xml:space="preserve"> </w:t>
      </w:r>
      <w:r w:rsidR="006B7E4E" w:rsidRPr="002A0251">
        <w:rPr>
          <w:rFonts w:hint="eastAsia"/>
        </w:rPr>
        <w:t xml:space="preserve">Additional modeling of multiple </w:t>
      </w:r>
      <w:r w:rsidR="006B7E4E" w:rsidRPr="002A0251">
        <w:t>strategies in N’Djamena, Maela</w:t>
      </w:r>
      <w:r w:rsidR="006B7E4E" w:rsidRPr="002A0251">
        <w:rPr>
          <w:rFonts w:hint="eastAsia"/>
        </w:rPr>
        <w:t xml:space="preserve"> (</w:t>
      </w:r>
      <w:r w:rsidR="006B7E4E" w:rsidRPr="002A0251">
        <w:t>Thailand</w:t>
      </w:r>
      <w:r w:rsidR="006B7E4E" w:rsidRPr="002A0251">
        <w:rPr>
          <w:rFonts w:hint="eastAsia"/>
        </w:rPr>
        <w:t>)</w:t>
      </w:r>
      <w:r w:rsidR="006B7E4E" w:rsidRPr="002A0251">
        <w:t xml:space="preserve">, and Haiti </w:t>
      </w:r>
      <w:r w:rsidR="00A16201" w:rsidRPr="002A0251">
        <w:rPr>
          <w:rFonts w:hint="eastAsia"/>
        </w:rPr>
        <w:t>found</w:t>
      </w:r>
      <w:r w:rsidR="006B7E4E" w:rsidRPr="002A0251">
        <w:rPr>
          <w:rFonts w:hint="eastAsia"/>
        </w:rPr>
        <w:t xml:space="preserve"> </w:t>
      </w:r>
      <w:r w:rsidR="00FA1F7C" w:rsidRPr="002A0251">
        <w:t xml:space="preserve">that a single-dose regimen </w:t>
      </w:r>
      <w:r w:rsidR="00A16201" w:rsidRPr="002A0251">
        <w:rPr>
          <w:rFonts w:hint="eastAsia"/>
        </w:rPr>
        <w:t>targeting</w:t>
      </w:r>
      <w:r w:rsidR="006B7E4E" w:rsidRPr="002A0251">
        <w:rPr>
          <w:rFonts w:hint="eastAsia"/>
        </w:rPr>
        <w:t xml:space="preserve"> individuals over five years </w:t>
      </w:r>
      <w:r w:rsidR="00FA1F7C" w:rsidRPr="002A0251">
        <w:t xml:space="preserve">old </w:t>
      </w:r>
      <w:r w:rsidR="006B7E4E" w:rsidRPr="002A0251">
        <w:rPr>
          <w:rFonts w:hint="eastAsia"/>
        </w:rPr>
        <w:t xml:space="preserve">often produced </w:t>
      </w:r>
      <w:r w:rsidR="00A16201" w:rsidRPr="002A0251">
        <w:rPr>
          <w:rFonts w:hint="eastAsia"/>
        </w:rPr>
        <w:t xml:space="preserve">greatest </w:t>
      </w:r>
      <w:r w:rsidR="00FA1F7C" w:rsidRPr="002A0251">
        <w:t>reduction</w:t>
      </w:r>
      <w:r w:rsidR="006B7E4E" w:rsidRPr="002A0251">
        <w:rPr>
          <w:rFonts w:hint="eastAsia"/>
        </w:rPr>
        <w:t>s</w:t>
      </w:r>
      <w:r w:rsidR="00FA1F7C" w:rsidRPr="002A0251">
        <w:t xml:space="preserve">, </w:t>
      </w:r>
      <w:r w:rsidR="00A16201" w:rsidRPr="002A0251">
        <w:rPr>
          <w:rFonts w:hint="eastAsia"/>
        </w:rPr>
        <w:t xml:space="preserve">lowering </w:t>
      </w:r>
      <w:r w:rsidR="00A16201" w:rsidRPr="002A0251">
        <w:t>total and symptomatic infections</w:t>
      </w:r>
      <w:r w:rsidR="00A16201" w:rsidRPr="002A0251">
        <w:rPr>
          <w:rFonts w:hint="eastAsia"/>
        </w:rPr>
        <w:t xml:space="preserve"> by</w:t>
      </w:r>
      <w:r w:rsidR="00A16201" w:rsidRPr="002A0251">
        <w:t xml:space="preserve"> </w:t>
      </w:r>
      <w:r w:rsidR="00FA1F7C" w:rsidRPr="002A0251">
        <w:t>up to 68%, 90%, and 36%</w:t>
      </w:r>
      <w:r w:rsidR="006B7E4E" w:rsidRPr="002A0251">
        <w:rPr>
          <w:rFonts w:hint="eastAsia"/>
        </w:rPr>
        <w:t>, respectively</w:t>
      </w:r>
      <w:r w:rsidR="003330B0" w:rsidRPr="002A0251">
        <w:fldChar w:fldCharType="begin"/>
      </w:r>
      <w:r w:rsidR="00492FC8" w:rsidRPr="002A0251">
        <w:instrText xml:space="preserve"> ADDIN ZOTERO_ITEM CSL_CITATION {"citationID":"ExGdrT0W","properties":{"formattedCitation":"\\super 14\\nosupersub{}","plainCitation":"14","noteIndex":0},"citationItems":[{"id":"ybNQHeeS/DZXg9sJk","uris":["http://zotero.org/users/local/xDVOxgbN/items/P34TEJN2"],"itemData":{"id":"ZN66rL7d/T0HOJMjP","type":"article-journal","abstract":"Background\n              A global stockpile of oral cholera vaccine (OCV) was established in 2013 for use in outbreak response and are licensed as two-dose regimens. Vaccine availability, however, remains limited. Previous studies have found that a single dose of OCV may provide substantial protection against cholera.\n            \n            \n              Methods\n              Using a mathematical model with two age groups paired with optimization algorithms, we determine the optimal vaccination strategy with one and two doses of vaccine to minimize cumulative overall infections, symptomatic infections, and deaths. We explore counterfactual vaccination scenarios in three distinct settings: Maela, the largest refugee camp in Thailand, with high in- and out-migration; N’Djamena, Chad, a densely populated region; and Haiti, where departments are connected by rivers and roads.\n            \n            \n              Results\n              Over the short term under limited vaccine supply, the optimal strategies for all objectives prioritize one dose to the older age group (over five years old), irrespective of setting and level of vaccination coverage. As more vaccine becomes available, it is optimal to administer a second dose for long-term protection. With enough vaccine to cover the whole population with one dose, the optimal strategies can avert up to 30% to 90% of deaths and 36% to 92% of symptomatic infections across the three settings over one year. The one-dose optimal strategies can avert 1.2 to 1.8 times as many cases and deaths compared to the standard two-dose strategy.\n            \n            \n              Conclusions\n              In an outbreak setting, speedy vaccination campaigns with a single dose of OCV is likely to avert more cases and deaths than a two-dose pro-rata campaign under a limited vaccine supply.","container-title":"PLOS Neglected Tropical Diseases","DOI":"10.1371/journal.pntd.0010358","ISSN":"1935-2735","issue":"4","journalAbbreviation":"PLoS Negl Trop Dis","language":"en","page":"e0010358","source":"DOI.org (Crossref)","title":"Optimizing one-dose and two-dose cholera vaccine allocation in outbreak settings: A modeling study","title-short":"Optimizing one-dose and two-dose cholera vaccine allocation in outbreak settings","volume":"16","author":[{"family":"Leung","given":"Tiffany"},{"family":"Eaton","given":"Julia"},{"family":"Matrajt","given":"Laura"}],"editor":[{"family":"Fleckenstein","given":"James Michael"}],"issued":{"date-parts":[["2022",4,20]]}}}],"schema":"https://github.com/citation-style-language/schema/raw/master/csl-citation.json"} </w:instrText>
      </w:r>
      <w:r w:rsidR="003330B0" w:rsidRPr="002A0251">
        <w:fldChar w:fldCharType="separate"/>
      </w:r>
      <w:r w:rsidR="003330B0" w:rsidRPr="002A0251">
        <w:rPr>
          <w:vertAlign w:val="superscript"/>
        </w:rPr>
        <w:t>14</w:t>
      </w:r>
      <w:r w:rsidR="003330B0" w:rsidRPr="002A0251">
        <w:fldChar w:fldCharType="end"/>
      </w:r>
      <w:r w:rsidR="001F5587" w:rsidRPr="002A0251">
        <w:rPr>
          <w:rFonts w:hint="eastAsia"/>
        </w:rPr>
        <w:t>.</w:t>
      </w:r>
      <w:r w:rsidR="00334A5E" w:rsidRPr="002A0251">
        <w:t xml:space="preserve"> </w:t>
      </w:r>
      <w:r w:rsidR="006B7E4E" w:rsidRPr="002A0251">
        <w:rPr>
          <w:rFonts w:hint="eastAsia"/>
        </w:rPr>
        <w:t xml:space="preserve">Together, </w:t>
      </w:r>
      <w:r w:rsidR="00AA489D" w:rsidRPr="002A0251">
        <w:t xml:space="preserve">these </w:t>
      </w:r>
      <w:r w:rsidR="00334A5E" w:rsidRPr="002A0251">
        <w:t xml:space="preserve">studies </w:t>
      </w:r>
      <w:r w:rsidR="00A16201" w:rsidRPr="002A0251">
        <w:rPr>
          <w:rFonts w:hint="eastAsia"/>
        </w:rPr>
        <w:t>demonstrate</w:t>
      </w:r>
      <w:r w:rsidR="006B7E4E" w:rsidRPr="002A0251">
        <w:rPr>
          <w:rFonts w:hint="eastAsia"/>
        </w:rPr>
        <w:t xml:space="preserve"> </w:t>
      </w:r>
      <w:r w:rsidR="00A16201" w:rsidRPr="002A0251">
        <w:rPr>
          <w:rFonts w:hint="eastAsia"/>
        </w:rPr>
        <w:t xml:space="preserve">the large potential </w:t>
      </w:r>
      <w:r w:rsidR="00334A5E" w:rsidRPr="002A0251">
        <w:t>of OCV campaign</w:t>
      </w:r>
      <w:r w:rsidR="006B7E4E" w:rsidRPr="002A0251">
        <w:rPr>
          <w:rFonts w:hint="eastAsia"/>
        </w:rPr>
        <w:t>s</w:t>
      </w:r>
      <w:r w:rsidR="00334A5E" w:rsidRPr="002A0251">
        <w:t xml:space="preserve">, </w:t>
      </w:r>
      <w:r w:rsidR="00361A6D" w:rsidRPr="002A0251">
        <w:t>but focus</w:t>
      </w:r>
      <w:r w:rsidR="001F5587" w:rsidRPr="002A0251">
        <w:rPr>
          <w:rFonts w:hint="eastAsia"/>
        </w:rPr>
        <w:t>ing</w:t>
      </w:r>
      <w:r w:rsidR="00361A6D" w:rsidRPr="002A0251">
        <w:t xml:space="preserve"> on large outbreaks may </w:t>
      </w:r>
      <w:r w:rsidR="008E7059" w:rsidRPr="002A0251">
        <w:rPr>
          <w:rFonts w:hint="eastAsia"/>
        </w:rPr>
        <w:t>bias estimates upward</w:t>
      </w:r>
      <w:r w:rsidR="00361A6D" w:rsidRPr="002A0251">
        <w:t>.</w:t>
      </w:r>
      <w:r w:rsidR="00334A5E" w:rsidRPr="002A0251">
        <w:t xml:space="preserve"> </w:t>
      </w:r>
    </w:p>
    <w:p w14:paraId="35D07097" w14:textId="77777777" w:rsidR="005C75E1" w:rsidRPr="002A0251" w:rsidRDefault="005C75E1" w:rsidP="00F57F15"/>
    <w:p w14:paraId="243635DA" w14:textId="37880D78" w:rsidR="00210D07" w:rsidRPr="002A0251" w:rsidRDefault="00210D07" w:rsidP="00210D07">
      <w:r w:rsidRPr="002A0251">
        <w:rPr>
          <w:rFonts w:hint="eastAsia"/>
        </w:rPr>
        <w:t xml:space="preserve">OCV efficiency (the number of cases averted per 1,000 OCV doses) was </w:t>
      </w:r>
      <w:r w:rsidR="00717944" w:rsidRPr="002A0251">
        <w:rPr>
          <w:rFonts w:hint="eastAsia"/>
        </w:rPr>
        <w:t>also</w:t>
      </w:r>
      <w:r w:rsidR="001F5587" w:rsidRPr="002A0251">
        <w:rPr>
          <w:rFonts w:hint="eastAsia"/>
        </w:rPr>
        <w:t xml:space="preserve"> </w:t>
      </w:r>
      <w:r w:rsidRPr="002A0251">
        <w:rPr>
          <w:rFonts w:hint="eastAsia"/>
        </w:rPr>
        <w:t>higher in some previous studies</w:t>
      </w:r>
      <w:r w:rsidR="00717944" w:rsidRPr="002A0251">
        <w:rPr>
          <w:rFonts w:hint="eastAsia"/>
        </w:rPr>
        <w:t xml:space="preserve"> focused on large outbreaks in </w:t>
      </w:r>
      <w:r w:rsidR="001F5587" w:rsidRPr="002A0251">
        <w:rPr>
          <w:rFonts w:hint="eastAsia"/>
        </w:rPr>
        <w:t>Matlab, Bangladesh</w:t>
      </w:r>
      <w:r w:rsidR="000234E6" w:rsidRPr="002A0251">
        <w:rPr>
          <w:rFonts w:hint="eastAsia"/>
        </w:rPr>
        <w:t xml:space="preserve">, </w:t>
      </w:r>
      <w:r w:rsidR="00717944" w:rsidRPr="002A0251">
        <w:rPr>
          <w:rFonts w:hint="eastAsia"/>
        </w:rPr>
        <w:t>Haiti</w:t>
      </w:r>
      <w:r w:rsidR="000234E6" w:rsidRPr="002A0251">
        <w:rPr>
          <w:rFonts w:hint="eastAsia"/>
        </w:rPr>
        <w:t>, or a few African cities</w:t>
      </w:r>
      <w:r w:rsidR="00717944" w:rsidRPr="002A0251">
        <w:rPr>
          <w:rFonts w:hint="eastAsia"/>
        </w:rPr>
        <w:t xml:space="preserve"> [ref]. </w:t>
      </w:r>
      <w:r w:rsidRPr="002A0251">
        <w:rPr>
          <w:rFonts w:hint="eastAsia"/>
        </w:rPr>
        <w:t xml:space="preserve">The increased estimates can be attributed to, among many other things that involve other modeling assumptions, to </w:t>
      </w:r>
      <w:r w:rsidR="00717944" w:rsidRPr="002A0251">
        <w:rPr>
          <w:rFonts w:hint="eastAsia"/>
        </w:rPr>
        <w:t xml:space="preserve">again that </w:t>
      </w:r>
      <w:r w:rsidRPr="002A0251">
        <w:rPr>
          <w:rFonts w:hint="eastAsia"/>
        </w:rPr>
        <w:t xml:space="preserve">prior studies focused on single or few relative larger, high AR outbreaks that tend to produce high OCV efficiency. They also employ two dose </w:t>
      </w:r>
      <w:proofErr w:type="gramStart"/>
      <w:r w:rsidRPr="002A0251">
        <w:rPr>
          <w:rFonts w:hint="eastAsia"/>
        </w:rPr>
        <w:t>schedule</w:t>
      </w:r>
      <w:proofErr w:type="gramEnd"/>
      <w:r w:rsidRPr="002A0251">
        <w:rPr>
          <w:rFonts w:hint="eastAsia"/>
        </w:rPr>
        <w:t xml:space="preserve"> with higher vaccine efficacy. They also employ pre-emptive vaccination strategies or with reactive vaccination while not incorporating the delay in the </w:t>
      </w:r>
      <w:r w:rsidRPr="002A0251">
        <w:t>development</w:t>
      </w:r>
      <w:r w:rsidRPr="002A0251">
        <w:rPr>
          <w:rFonts w:hint="eastAsia"/>
        </w:rPr>
        <w:t xml:space="preserve"> of vaccine-derived immunity.  The study by Lee et al. provides more comparable </w:t>
      </w:r>
      <w:r w:rsidR="000234E6" w:rsidRPr="002A0251">
        <w:rPr>
          <w:rFonts w:hint="eastAsia"/>
        </w:rPr>
        <w:t xml:space="preserve">setting that other previous studies by incorporating </w:t>
      </w:r>
      <w:proofErr w:type="spellStart"/>
      <w:r w:rsidR="000234E6" w:rsidRPr="002A0251">
        <w:rPr>
          <w:rFonts w:hint="eastAsia"/>
        </w:rPr>
        <w:t>heteroneities</w:t>
      </w:r>
      <w:proofErr w:type="spellEnd"/>
      <w:r w:rsidR="000234E6" w:rsidRPr="002A0251">
        <w:rPr>
          <w:rFonts w:hint="eastAsia"/>
        </w:rPr>
        <w:t xml:space="preserve"> in cholera transmission (while not focusing on outbreaks) in sub-Saharan Africa. The study </w:t>
      </w:r>
      <w:r w:rsidRPr="002A0251">
        <w:rPr>
          <w:rFonts w:hint="eastAsia"/>
        </w:rPr>
        <w:t xml:space="preserve">assumes preventive campaigns </w:t>
      </w:r>
      <w:r w:rsidR="000234E6" w:rsidRPr="002A0251">
        <w:rPr>
          <w:rFonts w:hint="eastAsia"/>
        </w:rPr>
        <w:t>under</w:t>
      </w:r>
      <w:r w:rsidRPr="002A0251">
        <w:rPr>
          <w:rFonts w:hint="eastAsia"/>
        </w:rPr>
        <w:t xml:space="preserve"> endemic transmission </w:t>
      </w:r>
      <w:r w:rsidR="000234E6" w:rsidRPr="002A0251">
        <w:rPr>
          <w:rFonts w:hint="eastAsia"/>
        </w:rPr>
        <w:t xml:space="preserve">using </w:t>
      </w:r>
      <w:r w:rsidRPr="002A0251">
        <w:rPr>
          <w:rFonts w:hint="eastAsia"/>
        </w:rPr>
        <w:t>two-dose schedule</w:t>
      </w:r>
      <w:r w:rsidR="000234E6" w:rsidRPr="002A0251">
        <w:rPr>
          <w:rFonts w:hint="eastAsia"/>
        </w:rPr>
        <w:t xml:space="preserve">. It found out </w:t>
      </w:r>
      <w:r w:rsidR="000234E6" w:rsidRPr="002A0251">
        <w:t>that</w:t>
      </w:r>
      <w:r w:rsidR="000234E6" w:rsidRPr="002A0251">
        <w:rPr>
          <w:rFonts w:hint="eastAsia"/>
        </w:rPr>
        <w:t xml:space="preserve"> </w:t>
      </w:r>
      <w:r w:rsidRPr="002A0251">
        <w:rPr>
          <w:rFonts w:hint="eastAsia"/>
        </w:rPr>
        <w:t>with some selective geographical targeting provides estimates varied from</w:t>
      </w:r>
      <w:r w:rsidRPr="002A0251">
        <w:t xml:space="preserve"> 2.6 (95% PI </w:t>
      </w:r>
      <w:r w:rsidRPr="002A0251">
        <w:lastRenderedPageBreak/>
        <w:t>2.4–2.9)</w:t>
      </w:r>
      <w:r w:rsidR="000234E6" w:rsidRPr="002A0251">
        <w:rPr>
          <w:rFonts w:hint="eastAsia"/>
        </w:rPr>
        <w:t xml:space="preserve"> to</w:t>
      </w:r>
      <w:r w:rsidR="000234E6" w:rsidRPr="002A0251">
        <w:t xml:space="preserve"> 12 (95% PI 10.3–14.4)</w:t>
      </w:r>
      <w:r w:rsidR="000234E6" w:rsidRPr="002A0251">
        <w:rPr>
          <w:rFonts w:hint="eastAsia"/>
        </w:rPr>
        <w:t xml:space="preserve"> per 1,000 fully vaccinated persons. O</w:t>
      </w:r>
      <w:r w:rsidRPr="002A0251">
        <w:rPr>
          <w:rFonts w:hint="eastAsia"/>
        </w:rPr>
        <w:t>ur estimates of</w:t>
      </w:r>
      <w:r w:rsidR="000234E6" w:rsidRPr="002A0251">
        <w:rPr>
          <w:rFonts w:hint="eastAsia"/>
        </w:rPr>
        <w:t xml:space="preserve"> </w:t>
      </w:r>
      <w:r w:rsidRPr="002A0251">
        <w:rPr>
          <w:rFonts w:hint="eastAsia"/>
        </w:rPr>
        <w:t xml:space="preserve">2.1 </w:t>
      </w:r>
      <w:r w:rsidR="000234E6" w:rsidRPr="002A0251">
        <w:rPr>
          <w:rFonts w:hint="eastAsia"/>
        </w:rPr>
        <w:t>appear comparable considering that we assumed single-dose regimen and therefore dividing the estimates by Lee et al. by 2 would be fairer comparison.</w:t>
      </w:r>
      <w:r w:rsidRPr="002A0251">
        <w:rPr>
          <w:rFonts w:hint="eastAsia"/>
        </w:rPr>
        <w:t xml:space="preserve"> Also, our estimates </w:t>
      </w:r>
      <w:proofErr w:type="gramStart"/>
      <w:r w:rsidRPr="002A0251">
        <w:rPr>
          <w:rFonts w:hint="eastAsia"/>
        </w:rPr>
        <w:t>shows</w:t>
      </w:r>
      <w:proofErr w:type="gramEnd"/>
      <w:r w:rsidRPr="002A0251">
        <w:rPr>
          <w:rFonts w:hint="eastAsia"/>
        </w:rPr>
        <w:t xml:space="preserve"> cumulative </w:t>
      </w:r>
      <w:proofErr w:type="gramStart"/>
      <w:r w:rsidRPr="002A0251">
        <w:rPr>
          <w:rFonts w:hint="eastAsia"/>
        </w:rPr>
        <w:t>effect</w:t>
      </w:r>
      <w:proofErr w:type="gramEnd"/>
      <w:r w:rsidRPr="002A0251">
        <w:rPr>
          <w:rFonts w:hint="eastAsia"/>
        </w:rPr>
        <w:t xml:space="preserve"> of 200,000 million doses</w:t>
      </w:r>
      <w:r w:rsidR="000234E6" w:rsidRPr="002A0251">
        <w:rPr>
          <w:rFonts w:hint="eastAsia"/>
        </w:rPr>
        <w:t xml:space="preserve"> which include around 800 outbreaks (although OCV efficiency of this magnitude is already observed with 1 million doses) and not all outbreaks </w:t>
      </w:r>
      <w:proofErr w:type="gramStart"/>
      <w:r w:rsidR="000234E6" w:rsidRPr="002A0251">
        <w:rPr>
          <w:rFonts w:hint="eastAsia"/>
        </w:rPr>
        <w:t>has</w:t>
      </w:r>
      <w:proofErr w:type="gramEnd"/>
      <w:r w:rsidR="000234E6" w:rsidRPr="002A0251">
        <w:rPr>
          <w:rFonts w:hint="eastAsia"/>
        </w:rPr>
        <w:t xml:space="preserve"> AR as high as the incidence rate that Lee et al. study used. In other words, i</w:t>
      </w:r>
      <w:r w:rsidRPr="002A0251">
        <w:rPr>
          <w:rFonts w:hint="eastAsia"/>
        </w:rPr>
        <w:t xml:space="preserve">t is straightforward to find a condition </w:t>
      </w:r>
      <w:r w:rsidR="000234E6" w:rsidRPr="002A0251">
        <w:rPr>
          <w:rFonts w:hint="eastAsia"/>
        </w:rPr>
        <w:t xml:space="preserve">that can produce </w:t>
      </w:r>
      <w:r w:rsidRPr="002A0251">
        <w:rPr>
          <w:rFonts w:hint="eastAsia"/>
        </w:rPr>
        <w:t xml:space="preserve">OCV efficiency estimates as high as </w:t>
      </w:r>
      <w:r w:rsidR="000234E6" w:rsidRPr="002A0251">
        <w:rPr>
          <w:rFonts w:hint="eastAsia"/>
        </w:rPr>
        <w:t xml:space="preserve">the highest </w:t>
      </w:r>
      <w:proofErr w:type="spellStart"/>
      <w:r w:rsidR="000234E6" w:rsidRPr="002A0251">
        <w:rPr>
          <w:rFonts w:hint="eastAsia"/>
        </w:rPr>
        <w:t>estiamtes</w:t>
      </w:r>
      <w:proofErr w:type="spellEnd"/>
      <w:r w:rsidR="000234E6" w:rsidRPr="002A0251">
        <w:rPr>
          <w:rFonts w:hint="eastAsia"/>
        </w:rPr>
        <w:t xml:space="preserve"> by Lee et al. </w:t>
      </w:r>
      <w:r w:rsidRPr="002A0251">
        <w:rPr>
          <w:rFonts w:hint="eastAsia"/>
        </w:rPr>
        <w:t>by focusing on high AR outbreaks.</w:t>
      </w:r>
      <w:r w:rsidR="007F3880" w:rsidRPr="002A0251">
        <w:rPr>
          <w:rFonts w:hint="eastAsia"/>
        </w:rPr>
        <w:t xml:space="preserve"> </w:t>
      </w:r>
      <w:r w:rsidRPr="002A0251">
        <w:rPr>
          <w:rFonts w:hint="eastAsia"/>
        </w:rPr>
        <w:t xml:space="preserve">Simiarly, cost effectiveness measures, measured as cost per DALY averted, </w:t>
      </w:r>
      <w:proofErr w:type="gramStart"/>
      <w:r w:rsidRPr="002A0251">
        <w:rPr>
          <w:rFonts w:hint="eastAsia"/>
        </w:rPr>
        <w:t>is</w:t>
      </w:r>
      <w:proofErr w:type="gramEnd"/>
      <w:r w:rsidRPr="002A0251">
        <w:rPr>
          <w:rFonts w:hint="eastAsia"/>
        </w:rPr>
        <w:t xml:space="preserve"> comparable to existing estimates. </w:t>
      </w:r>
      <w:r w:rsidR="000234E6" w:rsidRPr="002A0251">
        <w:t>T</w:t>
      </w:r>
      <w:r w:rsidR="000234E6" w:rsidRPr="002A0251">
        <w:rPr>
          <w:rFonts w:hint="eastAsia"/>
        </w:rPr>
        <w:t>he study by Lee et al, again</w:t>
      </w:r>
      <w:r w:rsidRPr="002A0251">
        <w:rPr>
          <w:rFonts w:hint="eastAsia"/>
        </w:rPr>
        <w:t xml:space="preserve"> shows that </w:t>
      </w:r>
      <w:r w:rsidRPr="002A0251">
        <w:t>$1,843 (95% CI 1,032–2,382)</w:t>
      </w:r>
      <w:r w:rsidRPr="002A0251">
        <w:rPr>
          <w:rFonts w:hint="eastAsia"/>
        </w:rPr>
        <w:t xml:space="preserve"> to </w:t>
      </w:r>
      <w:r w:rsidRPr="002A0251">
        <w:t>$21,213 (95% CI 11,953–</w:t>
      </w:r>
      <w:r w:rsidRPr="002A0251">
        <w:rPr>
          <w:rFonts w:hint="eastAsia"/>
        </w:rPr>
        <w:t xml:space="preserve">our estimate show that around </w:t>
      </w:r>
      <w:r w:rsidRPr="002A0251">
        <w:t>$4,695</w:t>
      </w:r>
      <w:r w:rsidRPr="002A0251">
        <w:rPr>
          <w:rFonts w:hint="eastAsia"/>
        </w:rPr>
        <w:t xml:space="preserve"> with ORI implemented at week 1</w:t>
      </w:r>
    </w:p>
    <w:p w14:paraId="4EBCB660" w14:textId="77777777" w:rsidR="00210D07" w:rsidRPr="002A0251" w:rsidRDefault="00210D07" w:rsidP="00210D07"/>
    <w:p w14:paraId="106FC701" w14:textId="77777777" w:rsidR="00210D07" w:rsidRPr="002A0251" w:rsidRDefault="00210D07" w:rsidP="00210D07">
      <w:r w:rsidRPr="002A0251">
        <w:rPr>
          <w:rFonts w:hint="eastAsia"/>
        </w:rPr>
        <w:t xml:space="preserve">Also, defining outbreaks based on </w:t>
      </w:r>
      <w:r w:rsidRPr="002A0251">
        <w:t>the</w:t>
      </w:r>
      <w:r w:rsidRPr="002A0251">
        <w:rPr>
          <w:rFonts w:hint="eastAsia"/>
        </w:rPr>
        <w:t xml:space="preserve"> reported may be </w:t>
      </w:r>
      <w:proofErr w:type="gramStart"/>
      <w:r w:rsidRPr="002A0251">
        <w:rPr>
          <w:rFonts w:hint="eastAsia"/>
        </w:rPr>
        <w:t>a larger</w:t>
      </w:r>
      <w:proofErr w:type="gramEnd"/>
      <w:r w:rsidRPr="002A0251">
        <w:rPr>
          <w:rFonts w:hint="eastAsia"/>
        </w:rPr>
        <w:t xml:space="preserve"> </w:t>
      </w:r>
    </w:p>
    <w:p w14:paraId="4CC523B5" w14:textId="77777777" w:rsidR="00210D07" w:rsidRPr="002A0251" w:rsidRDefault="00210D07" w:rsidP="00210D07">
      <w:r w:rsidRPr="002A0251">
        <w:rPr>
          <w:rFonts w:hint="eastAsia"/>
        </w:rPr>
        <w:t xml:space="preserve">And most studies do not account for the delays in vaccination response as we incorporated in </w:t>
      </w:r>
      <w:proofErr w:type="gramStart"/>
      <w:r w:rsidRPr="002A0251">
        <w:rPr>
          <w:rFonts w:hint="eastAsia"/>
        </w:rPr>
        <w:t>our</w:t>
      </w:r>
      <w:proofErr w:type="gramEnd"/>
      <w:r w:rsidRPr="002A0251">
        <w:rPr>
          <w:rFonts w:hint="eastAsia"/>
        </w:rPr>
        <w:t xml:space="preserve"> </w:t>
      </w:r>
    </w:p>
    <w:p w14:paraId="092A16DB" w14:textId="3C12BC08" w:rsidR="002F0E78" w:rsidRPr="002A0251" w:rsidRDefault="009422AF" w:rsidP="00F57F15">
      <w:r w:rsidRPr="002A0251">
        <w:rPr>
          <w:rFonts w:hint="eastAsia"/>
        </w:rPr>
        <w:t xml:space="preserve">. </w:t>
      </w:r>
      <w:r w:rsidR="006421B6" w:rsidRPr="002A0251">
        <w:rPr>
          <w:rFonts w:hint="eastAsia"/>
        </w:rPr>
        <w:t xml:space="preserve"> </w:t>
      </w:r>
    </w:p>
    <w:p w14:paraId="2FB8BAD5" w14:textId="20C6D16B" w:rsidR="00164060" w:rsidRPr="002A0251" w:rsidRDefault="002F0E78" w:rsidP="00F57F15">
      <w:r w:rsidRPr="002A0251">
        <w:rPr>
          <w:rFonts w:hint="eastAsia"/>
        </w:rPr>
        <w:t xml:space="preserve"> </w:t>
      </w:r>
    </w:p>
    <w:p w14:paraId="3F9C6963" w14:textId="77777777" w:rsidR="00164060" w:rsidRPr="002A0251" w:rsidRDefault="00164060" w:rsidP="00F57F15"/>
    <w:p w14:paraId="560FBAB7" w14:textId="69D2BB0E" w:rsidR="009422AF" w:rsidRPr="002A0251" w:rsidRDefault="0091605D" w:rsidP="00F57F15">
      <w:r w:rsidRPr="002A0251">
        <w:t xml:space="preserve">Despite its </w:t>
      </w:r>
      <w:r w:rsidR="00361A6D" w:rsidRPr="002A0251">
        <w:rPr>
          <w:rFonts w:hint="eastAsia"/>
        </w:rPr>
        <w:t>strengths</w:t>
      </w:r>
      <w:r w:rsidRPr="002A0251">
        <w:t xml:space="preserve">, our </w:t>
      </w:r>
      <w:r w:rsidR="001865A9" w:rsidRPr="002A0251">
        <w:rPr>
          <w:rFonts w:hint="eastAsia"/>
        </w:rPr>
        <w:t>study</w:t>
      </w:r>
      <w:r w:rsidRPr="002A0251">
        <w:t xml:space="preserve"> </w:t>
      </w:r>
      <w:r w:rsidR="00361A6D" w:rsidRPr="002A0251">
        <w:rPr>
          <w:rFonts w:hint="eastAsia"/>
        </w:rPr>
        <w:t xml:space="preserve">has </w:t>
      </w:r>
      <w:r w:rsidRPr="002A0251">
        <w:t xml:space="preserve">several limitations. </w:t>
      </w:r>
      <w:r w:rsidR="008E7059" w:rsidRPr="002A0251">
        <w:t>First, we assumed uniform vaccine coverage within administrative units, which may underestimate the benefits of more spatially focused strategies such as case-area targeted interventions</w:t>
      </w:r>
      <w:r w:rsidRPr="002A0251">
        <w:fldChar w:fldCharType="begin"/>
      </w:r>
      <w:r w:rsidR="00492FC8" w:rsidRPr="002A0251">
        <w:instrText xml:space="preserve"> ADDIN ZOTERO_ITEM CSL_CITATION {"citationID":"TnNKrFWO","properties":{"formattedCitation":"\\super 1,77\\uc0\\u8211{}79\\nosupersub{}","plainCitation":"1,77–79","noteIndex":0},"citationItems":[{"id":"ybNQHeeS/FsjA11A9","uris":["http://zotero.org/users/local/xDVOxgbN/items/3KCFPCDX"],"itemData":{"id":"uzNuC9xx/prXsVH16","type":"article-journal","container-title":"PLOS Medicine","DOI":"10.1371/journal.pmed.1002509","ISSN":"1549-1676","issue":"2","journalAbbreviation":"PLoS Med","language":"en","page":"e1002509","source":"DOI.org (Crossref)","title":"The potential impact of case-area targeted interventions in response to cholera outbreaks: A modeling study","title-short":"The potential impact of case-area targeted interventions in response to cholera outbreaks","volume":"15","author":[{"family":"Finger","given":"Flavio"},{"family":"Bertuzzo","given":"Enrico"},{"family":"Luquero","given":"Francisco J."},{"family":"Naibei","given":"Nathan"},{"family":"Touré","given":"Brahima"},{"family":"Allan","given":"Maya"},{"family":"Porten","given":"Klaudia"},{"family":"Lessler","given":"Justin"},{"family":"Rinaldo","given":"Andrea"},{"family":"Azman","given":"Andrew S."}],"editor":[{"family":"Von Seidlein","given":"Lorenz"}],"issued":{"date-parts":[["2018",2,27]]}}},{"id":15178,"uris":["http://zotero.org/users/7663102/items/ZIFQRHRQ"],"itemData":{"id":15178,"type":"article-journal","abstract":"BACKGROUND: Cholera is a major cause of mortality and morbidity in low-resource and humanitarian settings. It is transmitted by fecal-oral route, and the infection risk is higher to those living in and near cholera cases. Rapid identification of cholera cases and implementation of measures to prevent subsequent transmission around cases may be an efficient strategy to reduce the size and scale of cholera outbreaks.\nMETHODOLOGY/PRINCIPLE FINDINGS: We investigated implementation of cholera case-area targeted interventions (CATIs) using systematic reviews and case studies. We identified 11 peer-reviewed and eight grey literature articles documenting CATIs and completed 30 key informant interviews in case studies in Democratic Republic of Congo, Haiti, Yemen, and Zimbabwe. We documented 15 outbreaks in 12 countries where CATIs were used. The team composition and the interventions varied, with water, sanitation, and hygiene interventions implemented more commonly than those of health. Alert systems triggering interventions were diverse ranging from suspected cholera cases to culture confirmed cases. Selection of high-risk households around the case household was inconsistent and ranged from only one case to approximately 100 surrounding households with different methods of selecting them. Coordination among actors and integration between sectors were consistently reported as challenging. Delays in sharing case information impeded rapid implementation of this approach, while evaluation of the effectiveness of interventions varied.\nCONCLUSIONS/SIGNIFICANCE: CATIs appear effective in reducing cholera outbreaks, but there is limited and context specific evidence of their effectiveness in reducing the incidence of cholera cases and lack of guidance for their consistent implementation. We propose to 1) use uniform cholera case definitions considering a local capacity to trigger alert; 2) evaluate the effectiveness of individual or sets of interventions to interrupt cholera, and establish a set of evidence-based interventions; 3) establish criteria to select high-risk households; and 4) improve coordination and data sharing amongst actors and facilitate integration among sectors to strengthen CATI approaches in cholera outbreaks.","container-title":"PLoS neglected tropical diseases","DOI":"10.1371/journal.pntd.0010042","ISSN":"1935-2735","issue":"12","journalAbbreviation":"PLoS Negl Trop Dis","language":"eng","note":"PMID: 34919551\nPMCID: PMC8719662","page":"e0010042","source":"PubMed","title":"Case-area targeted preventive interventions to interrupt cholera transmission: Current implementation practices and lessons learned","title-short":"Case-area targeted preventive interventions to interrupt cholera transmission","volume":"15","author":[{"family":"Sikder","given":"Mustafa"},{"family":"Altare","given":"Chiara"},{"family":"Doocy","given":"Shannon"},{"family":"Trowbridge","given":"Daniella"},{"family":"Kaur","given":"Gurpreet"},{"family":"Kaushal","given":"Natasha"},{"family":"Lyles","given":"Emily"},{"family":"Lantagne","given":"Daniele"},{"family":"Azman","given":"Andrew S."},{"family":"Spiegel","given":"Paul"}],"issued":{"date-parts":[["2021",12]]},"citation-key":"sikderCaseareaTargetedPreventive2021"}},{"id":15166,"uris":["http://zotero.org/users/7663102/items/HLFJ79SF"],"itemData":{"id":15166,"type":"article-journal","abstract":"BACKGROUND: Cholera outbreaks are on the rise globally, with conflict-affected settings particularly at risk. Case-area targeted interventions (CATIs), a strategy whereby teams provide a package of interventions to case and neighboring households within a predefined \"ring,\" are increasingly employed in cholera responses. However, evidence on their ability to attenuate incidence is limited.\nMETHODS AND FINDINGS: We conducted a prospective observational cohort study in 3 conflict-affected states in Nigeria in 2021. Enumerators within rapid response teams observed CATI implementation during a cholera outbreak and collected data on household demographics; existing water, sanitation, and hygiene (WASH) infrastructure; and CATI interventions. Descriptive statistics showed that CATIs were delivered to 46,864 case and neighbor households, with 80.0% of cases and 33.5% of neighbors receiving all intended supplies and activities, in a context with operational challenges of population density, supply stock outs, and security constraints. We then applied prospective Poisson space-time scan statistics (STSS) across 3 models for each state: (1) an unadjusted model with case and population data; (2) an environmentally adjusted model adjusting for distance to cholera treatment centers and existing WASH infrastructure (improved water source, improved latrine, and handwashing station); and (3) a fully adjusted model adjusting for environmental and CATI variables (supply of Aquatabs and soap, hygiene promotion, bedding and latrine disinfection activities, ring coverage, and response timeliness). We ran the STSS each day of our study period to evaluate the space-time dynamics of the cholera outbreaks. Compared to the unadjusted model, significant cholera clustering was attenuated in the environmentally adjusted model (from 572 to 18 clusters) but there was still risk of cholera transmission. Two states still yielded significant clusters (range 8-10 total clusters, relative risk of 2.2-5.5, 16.6-19.9 day duration, including 11.1-56.8 cholera cases). Cholera clustering was completely attenuated in the fully adjusted model, with no significant anomalous clusters across time and space. Associated measures including quantity, relative risk, significance, likelihood of recurrence, size, and duration of clusters reinforced the results. Key limitations include selection bias, remote data monitoring, and the lack of a control group.\nCONCLUSIONS: CATIs were associated with significant reductions in cholera clustering in Northeast Nigeria despite operational challenges. Our results provide a strong justification for rapid implementation and scale-up CATIs in cholera-response, particularly in conflict settings where WASH access is often limited.","container-title":"PLoS medicine","DOI":"10.1371/journal.pmed.1004404","ISSN":"1549-1676","issue":"5","journalAbbreviation":"PLoS Med","language":"eng","note":"PMID: 38728366\nPMCID: PMC11149837","page":"e1004404","source":"PubMed","title":"Case-area targeted interventions during a large-scale cholera epidemic: A prospective cohort study in Northeast Nigeria","title-short":"Case-area targeted interventions during a large-scale cholera epidemic","volume":"21","author":[{"family":"OKeeffe","given":"Jennifer"},{"family":"Salem-Bango","given":"Lindsay"},{"family":"Desjardins","given":"Michael R."},{"family":"Lantagne","given":"Daniele"},{"family":"Altare","given":"Chiara"},{"family":"Kaur","given":"Gurpreet"},{"family":"Heath","given":"Thomas"},{"family":"Rangaiya","given":"Kanaganathan"},{"family":"Obroh","given":"Patricia Oke-Oghene"},{"family":"Audu","given":"Ahmadu"},{"family":"Lecuyot","given":"Baptiste"},{"family":"Zoungrana","given":"Timothée"},{"family":"Ihemezue","given":"Emmanuel Emeka"},{"family":"Aye","given":"Solomon"},{"family":"Sikder","given":"Mustafa"},{"family":"Doocy","given":"Shannon"},{"family":"Wang","given":"Qiulin"},{"family":"Xiao","given":"Melody"},{"family":"Spiegel","given":"Paul B."}],"issued":{"date-parts":[["2024",5]]},"citation-key":"okeeffeCaseareaTargetedInterventions2024"}},{"id":15172,"uris":["http://zotero.org/users/7663102/items/YDFYAS8X"],"itemData":{"id":15172,"type":"article-journal","abstract":"Cholera outbreaks primarily occur in areas lacking adequate water, sanitation, and hygiene (WASH), and infection can cause severe dehydration and death. As individuals living near cholera cases are more likely to contract cholera, case-area targeted interventions (CATI), where a response team visits case and neighbor households and conducts WASH and/or epidemiological interventions, are increasingly implemented to interrupt cholera transmission. As part of a multi-pronged evaluation on whether CATIs reduce cholera transmission, we compared two organizations' standard operating procedures (SOPs) with information from key informant interviews with 26 staff at national/headquarters and field levels who implemented CATIs in Nigeria in 2021. While organizations generally adhered to SOPs during implementation, deviations related to accessing case household and neighbor household selection were made due to incomplete line lists, high population density, and insufficient staffing and materials. We recommend reducing the CATI radius, providing more explicit context-specific guidance in SOPs, adopting more measures to ensure sufficient staffing and supplies, improving surveillance and data management, and strengthening risk communication and community engagement. The qualitative results herein will inform future quantitative analysis to provide recommendations for overall CATI implementation in future cholera responses in fragile contexts.","container-title":"PLoS neglected tropical diseases","DOI":"10.1371/journal.pntd.0011298","ISSN":"1935-2735","issue":"4","journalAbbreviation":"PLoS Negl Trop Dis","language":"eng","note":"PMID: 37115769\nPMCID: PMC10171589","page":"e0011298","source":"PubMed","title":"Implementation considerations in case-area targeted interventions to prevent cholera transmission in Northeast Nigeria: A qualitative analysis","title-short":"Implementation considerations in case-area targeted interventions to prevent cholera transmission in Northeast Nigeria","volume":"17","author":[{"family":"Kaur","given":"Gurpreet"},{"family":"Salem-Bango","given":"Lindsay"},{"family":"Nery","given":"Ana Leticia Melquiades Dos Santos"},{"family":"Solomon","given":"Emmanuel Chimda"},{"family":"Ihemezue","given":"Emmanuel"},{"family":"Kelly","given":"Christine"},{"family":"Altare","given":"Chiara"},{"family":"Azman","given":"Andrew S."},{"family":"Spiegel","given":"Paul B."},{"family":"Lantagne","given":"Daniele"}],"issued":{"date-parts":[["2023",4]]},"citation-key":"kaurImplementationConsiderationsCasearea2023"}}],"schema":"https://github.com/citation-style-language/schema/raw/master/csl-citation.json"} </w:instrText>
      </w:r>
      <w:r w:rsidRPr="002A0251">
        <w:fldChar w:fldCharType="separate"/>
      </w:r>
      <w:r w:rsidR="00492FC8" w:rsidRPr="002A0251">
        <w:rPr>
          <w:rFonts w:cs="Times New Roman"/>
          <w:vertAlign w:val="superscript"/>
        </w:rPr>
        <w:t>1,77–79</w:t>
      </w:r>
      <w:r w:rsidRPr="002A0251">
        <w:fldChar w:fldCharType="end"/>
      </w:r>
      <w:r w:rsidRPr="002A0251">
        <w:t xml:space="preserve"> or geographic targeting</w:t>
      </w:r>
      <w:r w:rsidRPr="002A0251">
        <w:fldChar w:fldCharType="begin"/>
      </w:r>
      <w:r w:rsidR="00492FC8" w:rsidRPr="002A0251">
        <w:instrText xml:space="preserve"> ADDIN ZOTERO_ITEM CSL_CITATION {"citationID":"1vq5fwhU","properties":{"formattedCitation":"\\super 75\\nosupersub{}","plainCitation":"75","noteIndex":0},"citationItems":[{"id":"ybNQHeeS/013Y0n2v","uris":["http://zotero.org/users/local/xDVOxgbN/items/9SKJXDU4"],"itemData":{"id":"uzNuC9xx/LKQ0djug","type":"article-journal","container-title":"PLOS Medicine","DOI":"10.1371/journal.pmed.1003003","ISSN":"1549-1676","issue":"12","journalAbbreviation":"PLoS Med","language":"en","page":"e1003003","source":"DOI.org (Crossref)","title":"The projected impact of geographic targeting of oral cholera vaccination in sub-Saharan Africa: A modeling study","title-short":"The projected impact of geographic targeting of oral cholera vaccination in sub-Saharan Africa","volume":"16","author":[{"family":"Lee","given":"Elizabeth C."},{"family":"Azman","given":"Andrew S."},{"family":"Kaminsky","given":"Joshua"},{"family":"Moore","given":"Sean M."},{"family":"McKay","given":"Heather S."},{"family":"Lessler","given":"Justin"}],"editor":[{"family":"Kretzschmar","given":"Mirjam E. E."}],"issued":{"date-parts":[["2019",12,11]]}}}],"schema":"https://github.com/citation-style-language/schema/raw/master/csl-citation.json"} </w:instrText>
      </w:r>
      <w:r w:rsidRPr="002A0251">
        <w:fldChar w:fldCharType="separate"/>
      </w:r>
      <w:r w:rsidR="00492FC8" w:rsidRPr="002A0251">
        <w:rPr>
          <w:rFonts w:cs="Times New Roman"/>
          <w:vertAlign w:val="superscript"/>
        </w:rPr>
        <w:t>75</w:t>
      </w:r>
      <w:r w:rsidRPr="002A0251">
        <w:fldChar w:fldCharType="end"/>
      </w:r>
      <w:r w:rsidR="00364F7C" w:rsidRPr="002A0251">
        <w:rPr>
          <w:rFonts w:hint="eastAsia"/>
        </w:rPr>
        <w:t xml:space="preserve"> if lower-level, high-risk administrative units are targeted than our model assumed </w:t>
      </w:r>
      <w:proofErr w:type="spellStart"/>
      <w:r w:rsidR="00364F7C" w:rsidRPr="002A0251">
        <w:rPr>
          <w:rFonts w:hint="eastAsia"/>
        </w:rPr>
        <w:t>tion</w:t>
      </w:r>
      <w:proofErr w:type="spellEnd"/>
      <w:r w:rsidR="00364F7C" w:rsidRPr="002A0251">
        <w:rPr>
          <w:rFonts w:hint="eastAsia"/>
        </w:rPr>
        <w:t xml:space="preserve"> of targeting all people of the </w:t>
      </w:r>
      <w:r w:rsidR="00364F7C" w:rsidRPr="002A0251">
        <w:t>“</w:t>
      </w:r>
      <w:r w:rsidR="00364F7C" w:rsidRPr="002A0251">
        <w:rPr>
          <w:rFonts w:hint="eastAsia"/>
        </w:rPr>
        <w:t>outbreaks-affected</w:t>
      </w:r>
      <w:r w:rsidR="00364F7C" w:rsidRPr="002A0251">
        <w:t>”</w:t>
      </w:r>
      <w:r w:rsidR="00364F7C" w:rsidRPr="002A0251">
        <w:rPr>
          <w:rFonts w:hint="eastAsia"/>
        </w:rPr>
        <w:t xml:space="preserve"> administrative unit. population.</w:t>
      </w:r>
      <w:r w:rsidRPr="002A0251">
        <w:t xml:space="preserve"> Conversely, vaccine wastage</w:t>
      </w:r>
      <w:r w:rsidRPr="002A0251">
        <w:fldChar w:fldCharType="begin"/>
      </w:r>
      <w:r w:rsidR="00492FC8" w:rsidRPr="002A0251">
        <w:instrText xml:space="preserve"> ADDIN ZOTERO_ITEM CSL_CITATION {"citationID":"dwlotRU0","properties":{"formattedCitation":"\\super 80\\nosupersub{}","plainCitation":"80","noteIndex":0},"citationItems":[{"id":14926,"uris":["http://zotero.org/users/7663102/items/RG8HI75U"],"itemData":{"id":14926,"type":"article-journal","abstract":"Justin Lessler and colleagues describe a method that estimates the fraction of a population accessible to vaccination activities, and they apply it to measles vaccination in three African countries: Ghana, Madagascar, and Sierra Leone.","container-title":"PLOS Medicine","DOI":"10.1371/journal.pmed.1001110","ISSN":"1549-1676","issue":"10","journalAbbreviation":"PLoS Med","language":"en","note":"publisher: Public Library of Science","page":"e1001110","source":"PLoS Journals","title":"Measuring the Performance of Vaccination Programs Using Cross-Sectional Surveys: A Likelihood Framework and Retrospective Analysis","title-short":"Measuring the Performance of Vaccination Programs Using Cross-Sectional Surveys","volume":"8","author":[{"family":"Lessler","given":"Justin"},{"family":"Metcalf","given":"C. Jessica E."},{"family":"Grais","given":"Rebecca F."},{"family":"Luquero","given":"Francisco J."},{"family":"Cummings","given":"Derek A. T."},{"family":"Grenfell","given":"Bryan T."}],"issued":{"date-parts":[["2011"]],"season":"25"},"citation-key":"lesslerMeasuringPerformanceVaccination2011"}}],"schema":"https://github.com/citation-style-language/schema/raw/master/csl-citation.json"} </w:instrText>
      </w:r>
      <w:r w:rsidRPr="002A0251">
        <w:fldChar w:fldCharType="separate"/>
      </w:r>
      <w:r w:rsidR="00492FC8" w:rsidRPr="002A0251">
        <w:rPr>
          <w:rFonts w:cs="Times New Roman"/>
          <w:vertAlign w:val="superscript"/>
        </w:rPr>
        <w:t>80</w:t>
      </w:r>
      <w:r w:rsidRPr="002A0251">
        <w:fldChar w:fldCharType="end"/>
      </w:r>
      <w:r w:rsidR="008904B1" w:rsidRPr="002A0251">
        <w:rPr>
          <w:rFonts w:hint="eastAsia"/>
        </w:rPr>
        <w:t xml:space="preserve"> </w:t>
      </w:r>
      <w:r w:rsidRPr="002A0251">
        <w:t xml:space="preserve">could </w:t>
      </w:r>
      <w:r w:rsidR="00AA489D" w:rsidRPr="002A0251">
        <w:t xml:space="preserve">lead to </w:t>
      </w:r>
      <w:r w:rsidRPr="002A0251">
        <w:t>overestimate</w:t>
      </w:r>
      <w:r w:rsidR="00361A6D" w:rsidRPr="002A0251">
        <w:rPr>
          <w:rFonts w:hint="eastAsia"/>
        </w:rPr>
        <w:t xml:space="preserve">s of </w:t>
      </w:r>
      <w:r w:rsidR="008904B1" w:rsidRPr="002A0251">
        <w:rPr>
          <w:rFonts w:hint="eastAsia"/>
        </w:rPr>
        <w:t>ORI efficiency and cost effectiveness</w:t>
      </w:r>
      <w:r w:rsidRPr="002A0251">
        <w:t>.</w:t>
      </w:r>
      <w:r w:rsidR="00361A6D" w:rsidRPr="002A0251">
        <w:t xml:space="preserve"> </w:t>
      </w:r>
      <w:r w:rsidR="00AA489D" w:rsidRPr="002A0251">
        <w:t xml:space="preserve">Second, </w:t>
      </w:r>
      <w:r w:rsidRPr="002A0251">
        <w:t xml:space="preserve">our </w:t>
      </w:r>
      <w:r w:rsidR="00361A6D" w:rsidRPr="002A0251">
        <w:rPr>
          <w:rFonts w:hint="eastAsia"/>
        </w:rPr>
        <w:t>parameter</w:t>
      </w:r>
      <w:r w:rsidR="00253023" w:rsidRPr="002A0251">
        <w:rPr>
          <w:rFonts w:hint="eastAsia"/>
        </w:rPr>
        <w:t>ization</w:t>
      </w:r>
      <w:r w:rsidR="00361A6D" w:rsidRPr="002A0251">
        <w:rPr>
          <w:rFonts w:hint="eastAsia"/>
        </w:rPr>
        <w:t xml:space="preserve"> </w:t>
      </w:r>
      <w:r w:rsidR="00253023" w:rsidRPr="002A0251">
        <w:rPr>
          <w:rFonts w:hint="eastAsia"/>
        </w:rPr>
        <w:t>of</w:t>
      </w:r>
      <w:r w:rsidR="00361A6D" w:rsidRPr="002A0251">
        <w:rPr>
          <w:rFonts w:hint="eastAsia"/>
        </w:rPr>
        <w:t xml:space="preserve"> </w:t>
      </w:r>
      <w:r w:rsidRPr="002A0251">
        <w:t xml:space="preserve">indirect vaccine effectiveness </w:t>
      </w:r>
      <w:r w:rsidR="001515E1" w:rsidRPr="002A0251">
        <w:rPr>
          <w:rFonts w:hint="eastAsia"/>
        </w:rPr>
        <w:t>was</w:t>
      </w:r>
      <w:r w:rsidR="00361A6D" w:rsidRPr="002A0251">
        <w:rPr>
          <w:rFonts w:hint="eastAsia"/>
        </w:rPr>
        <w:t xml:space="preserve"> derived </w:t>
      </w:r>
      <w:r w:rsidR="001515E1" w:rsidRPr="002A0251">
        <w:t>from studies conducted in</w:t>
      </w:r>
      <w:r w:rsidR="00361A6D" w:rsidRPr="002A0251">
        <w:rPr>
          <w:rFonts w:hint="eastAsia"/>
        </w:rPr>
        <w:t>B</w:t>
      </w:r>
      <w:r w:rsidRPr="002A0251">
        <w:t>angladesh</w:t>
      </w:r>
      <w:r w:rsidR="001515E1" w:rsidRPr="002A0251">
        <w:rPr>
          <w:rFonts w:hint="eastAsia"/>
        </w:rPr>
        <w:t>,</w:t>
      </w:r>
      <w:r w:rsidRPr="002A0251">
        <w:fldChar w:fldCharType="begin"/>
      </w:r>
      <w:r w:rsidR="00492FC8" w:rsidRPr="002A0251">
        <w:instrText xml:space="preserve"> ADDIN ZOTERO_ITEM CSL_CITATION {"citationID":"9E4AsK8m","properties":{"formattedCitation":"\\super 11,37\\nosupersub{}","plainCitation":"11,37","noteIndex":0},"citationItems":[{"id":"ybNQHeeS/tc6RtEm3","uris":["http://zotero.org/users/local/xDVOxgbN/items/37LE7P3K"],"itemData":{"id":99,"type":"article-journal","container-title":"PLoS Medicine","DOI":"10.1371/journal.pmed.0040336","ISSN":"1549-1676","issue":"11","journalAbbreviation":"PLoS Med","language":"en","page":"e336","source":"DOI.org (Crossref)","title":"Controlling Endemic Cholera with Oral Vaccines","volume":"4","author":[{"family":"Longini","given":"Ira M"},{"family":"Nizam","given":"Azhar"},{"family":"Ali","given":"Mohammad"},{"family":"Yunus","given":"Mohammad"},{"family":"Shenvi","given":"Neeta"},{"family":"Clemens","given":"John D"}],"editor":[{"family":"Von Seidlein","given":"Lorenz"}],"issued":{"date-parts":[["2007",11,27]]}}},{"id":"ybNQHeeS/SB1Ps0E2","uris":["http://zotero.org/users/local/xDVOxgbN/items/3QIMSM7G"],"itemData":{"id":154,"type":"article-journal","container-title":"The Lancet","DOI":"10.1016/S0140-6736(05)66550-6","ISSN":"01406736","issue":"9479","journalAbbreviation":"The Lancet","language":"en","license":"https://www.elsevier.com/tdm/userlicense/1.0/","page":"44-49","source":"DOI.org (Crossref)","title":"Herd immunity conferred by killed oral cholera vaccines in Bangladesh: a reanalysis","title-short":"Herd immunity conferred by killed oral cholera vaccines in Bangladesh","volume":"366","author":[{"family":"Ali","given":"Mohammad"},{"family":"Emch","given":"Michael"},{"family":"Von Seidlein","given":"Lorenz"},{"family":"Yunus","given":"Mohammad"},{"family":"Sack","given":"David A"},{"family":"Rao","given":"Malla"},{"family":"Holmgren","given":"Jan"},{"family":"Clemens","given":"John D"}],"issued":{"date-parts":[["2005",7]]}}}],"schema":"https://github.com/citation-style-language/schema/raw/master/csl-citation.json"} </w:instrText>
      </w:r>
      <w:r w:rsidRPr="002A0251">
        <w:fldChar w:fldCharType="separate"/>
      </w:r>
      <w:r w:rsidR="00492FC8" w:rsidRPr="002A0251">
        <w:rPr>
          <w:rFonts w:cs="Times New Roman"/>
          <w:vertAlign w:val="superscript"/>
        </w:rPr>
        <w:t>11,37</w:t>
      </w:r>
      <w:r w:rsidRPr="002A0251">
        <w:fldChar w:fldCharType="end"/>
      </w:r>
      <w:r w:rsidRPr="002A0251">
        <w:t xml:space="preserve"> </w:t>
      </w:r>
      <w:r w:rsidR="001515E1" w:rsidRPr="002A0251">
        <w:rPr>
          <w:rFonts w:hint="eastAsia"/>
        </w:rPr>
        <w:t>and</w:t>
      </w:r>
      <w:r w:rsidRPr="002A0251">
        <w:t xml:space="preserve"> may not generalize </w:t>
      </w:r>
      <w:r w:rsidR="001515E1" w:rsidRPr="002A0251">
        <w:t xml:space="preserve">fully </w:t>
      </w:r>
      <w:r w:rsidRPr="002A0251">
        <w:t>to sub-Saharan Africa</w:t>
      </w:r>
      <w:r w:rsidR="00361A6D" w:rsidRPr="002A0251">
        <w:rPr>
          <w:rFonts w:hint="eastAsia"/>
        </w:rPr>
        <w:t xml:space="preserve">n </w:t>
      </w:r>
      <w:r w:rsidR="001515E1" w:rsidRPr="002A0251">
        <w:rPr>
          <w:rFonts w:hint="eastAsia"/>
        </w:rPr>
        <w:t>settings</w:t>
      </w:r>
      <w:r w:rsidRPr="002A0251">
        <w:t>.</w:t>
      </w:r>
      <w:r w:rsidR="001515E1" w:rsidRPr="002A0251">
        <w:t xml:space="preserve"> Nonetheless, the consistency between our static model outputs and those from dynamic models (</w:t>
      </w:r>
      <w:r w:rsidR="00072A95" w:rsidRPr="002A0251">
        <w:rPr>
          <w:rFonts w:hint="eastAsia"/>
        </w:rPr>
        <w:t xml:space="preserve">Supplementary Material </w:t>
      </w:r>
      <w:r w:rsidR="001515E1" w:rsidRPr="002A0251">
        <w:rPr>
          <w:b/>
          <w:bCs/>
        </w:rPr>
        <w:t>S</w:t>
      </w:r>
      <w:r w:rsidR="009206B5" w:rsidRPr="002A0251">
        <w:rPr>
          <w:rFonts w:hint="eastAsia"/>
          <w:b/>
          <w:bCs/>
        </w:rPr>
        <w:t>9</w:t>
      </w:r>
      <w:r w:rsidR="00072A95" w:rsidRPr="002A0251">
        <w:rPr>
          <w:rFonts w:hint="eastAsia"/>
          <w:b/>
          <w:bCs/>
        </w:rPr>
        <w:t>; Figures S</w:t>
      </w:r>
      <w:r w:rsidR="00A5601D" w:rsidRPr="002A0251">
        <w:rPr>
          <w:rFonts w:hint="eastAsia"/>
          <w:b/>
          <w:bCs/>
        </w:rPr>
        <w:t>5</w:t>
      </w:r>
      <w:r w:rsidR="00072A95" w:rsidRPr="002A0251">
        <w:rPr>
          <w:rFonts w:hint="eastAsia"/>
          <w:b/>
          <w:bCs/>
        </w:rPr>
        <w:t>-S</w:t>
      </w:r>
      <w:r w:rsidR="00A5601D" w:rsidRPr="002A0251">
        <w:rPr>
          <w:rFonts w:hint="eastAsia"/>
          <w:b/>
          <w:bCs/>
        </w:rPr>
        <w:t>7</w:t>
      </w:r>
      <w:r w:rsidR="001515E1" w:rsidRPr="002A0251">
        <w:t>) suggests that our parameterization captures indirect effects reasonably well.</w:t>
      </w:r>
      <w:r w:rsidR="00A16D9B" w:rsidRPr="002A0251">
        <w:t xml:space="preserve"> </w:t>
      </w:r>
      <w:r w:rsidR="002450FE" w:rsidRPr="002A0251">
        <w:t xml:space="preserve">This static approach, </w:t>
      </w:r>
      <w:r w:rsidR="002450FE" w:rsidRPr="002A0251">
        <w:lastRenderedPageBreak/>
        <w:t>grounded in empirical observations, may offer a practical alternative for modeling ORI impact in settings with limited data.</w:t>
      </w:r>
      <w:r w:rsidR="00792A8E" w:rsidRPr="002A0251">
        <w:t xml:space="preserve"> </w:t>
      </w:r>
      <w:r w:rsidR="00AA489D" w:rsidRPr="002A0251">
        <w:t>Third</w:t>
      </w:r>
      <w:r w:rsidR="00A16D9B" w:rsidRPr="002A0251">
        <w:t xml:space="preserve">, </w:t>
      </w:r>
      <w:r w:rsidR="000A5801" w:rsidRPr="002A0251">
        <w:rPr>
          <w:rFonts w:hint="eastAsia"/>
        </w:rPr>
        <w:t xml:space="preserve">by </w:t>
      </w:r>
      <w:r w:rsidR="002450FE" w:rsidRPr="002A0251">
        <w:rPr>
          <w:rFonts w:hint="eastAsia"/>
        </w:rPr>
        <w:t>modeling</w:t>
      </w:r>
      <w:r w:rsidR="000A5801" w:rsidRPr="002A0251">
        <w:rPr>
          <w:rFonts w:hint="eastAsia"/>
        </w:rPr>
        <w:t xml:space="preserve"> individual outbreak</w:t>
      </w:r>
      <w:r w:rsidR="002450FE" w:rsidRPr="002A0251">
        <w:rPr>
          <w:rFonts w:hint="eastAsia"/>
        </w:rPr>
        <w:t xml:space="preserve"> independently</w:t>
      </w:r>
      <w:r w:rsidR="000A5801" w:rsidRPr="002A0251">
        <w:rPr>
          <w:rFonts w:hint="eastAsia"/>
        </w:rPr>
        <w:t xml:space="preserve"> </w:t>
      </w:r>
      <w:r w:rsidR="00253023" w:rsidRPr="002A0251">
        <w:rPr>
          <w:rFonts w:hint="eastAsia"/>
        </w:rPr>
        <w:t>(</w:t>
      </w:r>
      <w:r w:rsidR="000A5801" w:rsidRPr="002A0251">
        <w:rPr>
          <w:rFonts w:hint="eastAsia"/>
        </w:rPr>
        <w:t>or</w:t>
      </w:r>
      <w:r w:rsidR="002450FE" w:rsidRPr="002A0251">
        <w:rPr>
          <w:rFonts w:hint="eastAsia"/>
        </w:rPr>
        <w:t xml:space="preserve"> </w:t>
      </w:r>
      <w:r w:rsidR="00253023" w:rsidRPr="002A0251">
        <w:rPr>
          <w:rFonts w:hint="eastAsia"/>
        </w:rPr>
        <w:t>aggregating them)</w:t>
      </w:r>
      <w:r w:rsidR="000A5801" w:rsidRPr="002A0251">
        <w:rPr>
          <w:rFonts w:hint="eastAsia"/>
        </w:rPr>
        <w:t xml:space="preserve">, </w:t>
      </w:r>
      <w:r w:rsidR="002450FE" w:rsidRPr="002A0251">
        <w:rPr>
          <w:rFonts w:hint="eastAsia"/>
        </w:rPr>
        <w:t xml:space="preserve">we assumed that </w:t>
      </w:r>
      <w:r w:rsidR="00A16D9B" w:rsidRPr="002A0251">
        <w:t>the vaccine</w:t>
      </w:r>
      <w:r w:rsidR="002450FE" w:rsidRPr="002A0251">
        <w:rPr>
          <w:rFonts w:hint="eastAsia"/>
        </w:rPr>
        <w:t xml:space="preserve"> impact was</w:t>
      </w:r>
      <w:r w:rsidR="000A5801" w:rsidRPr="002A0251">
        <w:rPr>
          <w:rFonts w:hint="eastAsia"/>
        </w:rPr>
        <w:t xml:space="preserve"> </w:t>
      </w:r>
      <w:r w:rsidR="00253023" w:rsidRPr="002A0251">
        <w:rPr>
          <w:rFonts w:hint="eastAsia"/>
        </w:rPr>
        <w:t xml:space="preserve">confined to </w:t>
      </w:r>
      <w:r w:rsidR="00C72093" w:rsidRPr="002A0251">
        <w:rPr>
          <w:rFonts w:hint="eastAsia"/>
        </w:rPr>
        <w:t xml:space="preserve">the specific </w:t>
      </w:r>
      <w:r w:rsidR="00A16D9B" w:rsidRPr="002A0251">
        <w:t>outbreak</w:t>
      </w:r>
      <w:r w:rsidR="00C72093" w:rsidRPr="002A0251">
        <w:rPr>
          <w:rFonts w:hint="eastAsia"/>
        </w:rPr>
        <w:t xml:space="preserve"> in which vaccines were deployed</w:t>
      </w:r>
      <w:r w:rsidR="00A16D9B" w:rsidRPr="002A0251">
        <w:t>.</w:t>
      </w:r>
      <w:r w:rsidR="002450FE" w:rsidRPr="002A0251">
        <w:t xml:space="preserve"> </w:t>
      </w:r>
      <w:r w:rsidR="002450FE" w:rsidRPr="002A0251">
        <w:rPr>
          <w:rFonts w:hint="eastAsia"/>
        </w:rPr>
        <w:t>I</w:t>
      </w:r>
      <w:r w:rsidR="002450FE" w:rsidRPr="002A0251">
        <w:t xml:space="preserve">n reality, ORIs may </w:t>
      </w:r>
      <w:r w:rsidR="00C72093" w:rsidRPr="002A0251">
        <w:rPr>
          <w:rFonts w:hint="eastAsia"/>
        </w:rPr>
        <w:t xml:space="preserve">also confer </w:t>
      </w:r>
      <w:r w:rsidR="002450FE" w:rsidRPr="002A0251">
        <w:t xml:space="preserve">preemptive benefits </w:t>
      </w:r>
      <w:r w:rsidR="00C72093" w:rsidRPr="002A0251">
        <w:rPr>
          <w:rFonts w:hint="eastAsia"/>
        </w:rPr>
        <w:t xml:space="preserve">by preventing future </w:t>
      </w:r>
      <w:r w:rsidR="002450FE" w:rsidRPr="002A0251">
        <w:t>outbreaks in the same or neighboring areas</w:t>
      </w:r>
      <w:r w:rsidR="00C72093" w:rsidRPr="002A0251">
        <w:rPr>
          <w:rFonts w:hint="eastAsia"/>
        </w:rPr>
        <w:t>, given two-dose killed whole-cell OCVs provide overall protection for up to 4-5 years</w:t>
      </w:r>
      <w:r w:rsidR="002450FE" w:rsidRPr="002A0251">
        <w:t>.</w:t>
      </w:r>
      <w:r w:rsidR="00C72093" w:rsidRPr="002A0251">
        <w:fldChar w:fldCharType="begin"/>
      </w:r>
      <w:r w:rsidR="00492FC8" w:rsidRPr="002A0251">
        <w:instrText xml:space="preserve"> ADDIN ZOTERO_ITEM CSL_CITATION {"citationID":"2pfURpqk","properties":{"formattedCitation":"\\super 81\\uc0\\u8211{}84\\nosupersub{}","plainCitation":"81–84","noteIndex":0},"citationItems":[{"id":15866,"uris":["http://zotero.org/users/7663102/items/AWWNIBI4"],"itemData":{"id":15866,"type":"article-journal","abstract":"Several studies have shown that inactivated, whole-cell oral cholera vaccines (OCVs) confer both direct protection on vaccinees and herd protection on populations. Because our earlier cluster-randomized effectiveness trial (CRT) in urban Bangladesh failed to detect OCV herd protection, we reanalysed the trial to assess whether herd effects were masked in our original analysis.A total of 267 270 persons were randomized to 90 approximately equal-sized clusters. In 60 clusters persons aged 1 year and older were eligible to receive OCV and in 30 clusters persons received no intervention and served as controls. We analysed OCV protection against severely dehydrating cholera for the entire clusters, as in our original analysis, and for subclusters consisting of residents of innermost households. We hypothesized that if OCV herd protection was attenuated by cholera transmission into the clusters from the outside in this densely populated setting, herd protection would be most evident in the innermost households.During 2 years of follow-up of all residents of the clusters, total protection (protection of OCV recipients relative to control residents) was 58% [95% confidence interval (CI): 43%, 70%; P&amp;lt;0.0001], indirect protection (protection of non-OCV recipients in OCV clusters relative to control participants) was 16% (95% CI: –20%, 41%; P=0.35) and overall OCV protection (protection of all residents in the OCV clusters relative to control residents) was 46% (95% CI: 30%, 59%; P&amp;lt;0.0001). Analyses of the inner 75% and 50% households of the clusters showed similar findings. However, total protection was 75% (95% CI: 50%, 87%, P&amp;lt;0.0001), indirect protection 52% (95% CI: –9%, 79%; P=0.08) and overall protection 72% (95% CI: 49%, 84%; P&amp;lt;0.0001) for the innermost 25% households.Consistent with past studies, substantial OCV herd protective effects were identified, but were unmasked only by analysing innermost households of the clusters. Caution is needed in defining clusters for analysis of vaccine herd effects in CRTs of vaccines.","container-title":"International Journal of Epidemiology","DOI":"10.1093/ije/dyz060","ISSN":"0300-5771","issue":"4","journalAbbreviation":"International Journal of Epidemiology","page":"1252-1261","source":"Silverchair","title":"Unmasking herd protection by an oral cholera vaccine in a cluster-randomized trial","volume":"48","author":[{"family":"Ali","given":"Mohammad"},{"family":"Qadri","given":"Firdausi"},{"family":"Kim","given":"Deok Ryun"},{"family":"Islam","given":"Taufiqul"},{"family":"Im","given":"Justin"},{"family":"Ahmmed","given":"Faisal"},{"family":"Chon","given":"Yun"},{"family":"Islam Khan","given":"Ashraful"},{"family":"Zaman","given":"Khalequ"},{"family":"Marks","given":"Florian"},{"family":"Clemens","given":"John D"}],"issued":{"date-parts":[["2019",8,1]]},"citation-key":"ali2019a"}},{"id":15864,"uris":["http://zotero.org/users/7663102/items/6Z6UG45N"],"itemData":{"id":15864,"type":"article-journal","container-title":"The Lancet Infectious Diseases","DOI":"10.1016/S1473-3099(12)70196-2","ISSN":"1473-3099, 1474-4457","issue":"11","journalAbbreviation":"The Lancet Infectious Diseases","language":"English","note":"publisher: Elsevier\nPMID: 22954655","page":"837-844","source":"www.thelancet.com","title":"Effectiveness of an oral cholera vaccine in Zanzibar: findings from a mass vaccination campaign and observational cohort study","title-short":"Effectiveness of an oral cholera vaccine in Zanzibar","volume":"12","author":[{"family":"Khatib","given":"Ahmed M."},{"family":"Ali","given":"Mohammad"},{"family":"Seidlein","given":"Lorenz","dropping-particle":"von"},{"family":"Kim","given":"Deok Ryun"},{"family":"Hashim","given":"Ramadhan"},{"family":"Reyburn","given":"Rita"},{"family":"Ley","given":"Benedikt"},{"family":"Thriemer","given":"Kamala"},{"family":"Enwere","given":"Godwin"},{"family":"Hutubessy","given":"Raymond"},{"family":"Aguado","given":"Maria Teresa"},{"family":"Kieny","given":"Marie-Paule"},{"family":"Lopez","given":"Anna Lena"},{"family":"Wierzba","given":"Thomas F."},{"family":"Ali","given":"Said Mohammed"},{"family":"Saleh","given":"Abdul A."},{"family":"Mukhopadhyay","given":"Asish K."},{"family":"Clemens","given":"John"},{"family":"Jiddawi","given":"Mohamed Saleh"},{"family":"Deen","given":"Jacqueline"}],"issued":{"date-parts":[["2012",11,1]]},"citation-key":"khatib2012"}},{"id":15860,"uris":["http://zotero.org/users/7663102/items/IZ8CXXA9"],"itemData":{"id":15860,"type":"article-journal","abstract":"Background. We evaluated the herd protection conferred by an oral cholera vaccine using 2 approaches: cluster design and geographic information system (GIS) design.Methods. Residents living in 3933 dwellings (clusters) in Kolkata, India, were</w:instrText>
      </w:r>
      <w:r w:rsidR="00492FC8" w:rsidRPr="002A0251">
        <w:rPr>
          <w:rFonts w:hint="eastAsia"/>
        </w:rPr>
        <w:instrText xml:space="preserve"> cluster-randomized to receive either cholera vaccine or oral placebo. Nonpregnant residents aged </w:instrText>
      </w:r>
      <w:r w:rsidR="00492FC8" w:rsidRPr="002A0251">
        <w:rPr>
          <w:rFonts w:hint="eastAsia"/>
        </w:rPr>
        <w:instrText>≥</w:instrText>
      </w:r>
      <w:r w:rsidR="00492FC8" w:rsidRPr="002A0251">
        <w:rPr>
          <w:rFonts w:hint="eastAsia"/>
        </w:rPr>
        <w:instrText>1 year were invited to participate in the trial. Only the first episode of cholera detected for a subject between 14 and 1095 days after a second dose was c</w:instrText>
      </w:r>
      <w:r w:rsidR="00492FC8" w:rsidRPr="002A0251">
        <w:instrText xml:space="preserve">onsidered. In the cluster design, indirect protection was assessed by comparing the incidence of cholera among nonparticipants in vaccine clusters vs those in placebo clusters. In the GIS analysis, herd protection was assessed by evaluating association between vaccine coverage among the population residing within 250 m of the household and the occurrence of cholera in that population.Results. Among 107 347 eligible residents, 66 990 received 2 doses of either cholera vaccine or placebo. In the cluster design, the 3-year data showed significant total protection (66% protection, 95% confidence interval [CI], 50%–78%, P &amp;lt; .01) but no evidence of indirect protection. With the GIS approach, the risk of cholera among placebo recipients was inversely related to neighborhood-level vaccine coverage, and the trend was highly significant (P &amp;lt; .01). This relationship held in multivariable models that also controlled for potentially confounding demographic variables (hazard ratio, 0.94 [95% CI, .90–.98]; P &amp;lt; .01).Conclusions. Indirect protection was evident in analyses using the GIS approach but not the cluster design approach, likely owing to considerable transmission of cholera between clusters, which would vitiate herd protection in the cluster analyses.Clinical Trials Registration. NCT00289224.","container-title":"Clinical Infectious Diseases","DOI":"10.1093/cid/cit009","ISSN":"1058-4838","issue":"8","journalAbbreviation":"Clinical Infectious Diseases","page":"1123-1131","source":"Silverchair","title":"Herd Protection by a Bivalent Killed Whole-Cell Oral Cholera Vaccine in the Slums of Kolkata, India","volume":"56","author":[{"family":"Ali","given":"Mohammad"},{"family":"Sur","given":"Dipika"},{"family":"You","given":"Young Ae"},{"family":"Kanungo","given":"Suman"},{"family":"Sah","given":"Binod"},{"family":"Manna","given":"Byomkesh"},{"family":"Puri","given":"Mahesh"},{"family":"Wierzba","given":"Thomas F."},{"family":"Donner","given":"Allan"},{"family":"Nair","given":"G. Balakrish"},{"family":"Bhattacharya","given":"Sujit K."},{"family":"Dhingra","given":"Mandeep Singh"},{"family":"Deen","given":"Jacqueline L."},{"family":"Lopez","given":"Anna Lena"},{"family":"Clemens","given":"John"}],"issued":{"date-parts":[["2013",4,15]]},"citation-key":"ali2013a"}},{"id":15856,"uris":["http://zotero.org/users/7663102/items/LDTSAHDD"],"itemData":{"id":15856,"type":"article-journal","container-title":"The Lancet","DOI":"10.1016/S0140-6736(05)66550-6","ISSN":"0140-6736, 1474-547X","issue":"9479","journalAbbreviation":"The Lancet","language":"English","note":"publisher: Elsevier\nPMID: 15993232","page":"44-49","source":"www.thelancet.com","title":"Herd immunity conferred by killed oral cholera vaccines in Bangladesh: a reanalysis","title-short":"Herd immunity conferred by killed oral cholera vaccines in Bangladesh","volume":"366","author":[{"family":"Ali","given":"Mohammad"},{"family":"Emch","given":"Michael"},{"family":"Seidlein","given":"Lorenz","dropping-particle":"von"},{"family":"Yunus","given":"Mohammad"},{"family":"Sack","given":"David A."},{"family":"Rao","given":"Malla"},{"family":"Holmgren","given":"Jan"},{"family":"Clemens","given":"John D."}],"issued":{"date-parts":[["2005",7,2]]},"citation-key":"ali2005"}}],"schema":"https://github.com/citation-style-language/schema/raw/master/csl-citation.json"} </w:instrText>
      </w:r>
      <w:r w:rsidR="00C72093" w:rsidRPr="002A0251">
        <w:fldChar w:fldCharType="separate"/>
      </w:r>
      <w:r w:rsidR="00492FC8" w:rsidRPr="002A0251">
        <w:rPr>
          <w:rFonts w:cs="Times New Roman"/>
          <w:vertAlign w:val="superscript"/>
        </w:rPr>
        <w:t>81–84</w:t>
      </w:r>
      <w:r w:rsidR="00C72093" w:rsidRPr="002A0251">
        <w:fldChar w:fldCharType="end"/>
      </w:r>
      <w:r w:rsidR="000A5801" w:rsidRPr="002A0251">
        <w:rPr>
          <w:rFonts w:hint="eastAsia"/>
        </w:rPr>
        <w:t xml:space="preserve"> Due to </w:t>
      </w:r>
      <w:r w:rsidR="00253023" w:rsidRPr="002A0251">
        <w:rPr>
          <w:rFonts w:hint="eastAsia"/>
        </w:rPr>
        <w:t xml:space="preserve">a </w:t>
      </w:r>
      <w:r w:rsidR="000A5801" w:rsidRPr="002A0251">
        <w:rPr>
          <w:rFonts w:hint="eastAsia"/>
        </w:rPr>
        <w:t xml:space="preserve">lack of geographic details for each outbreak and epidemiologic links between the outbreaks, we </w:t>
      </w:r>
      <w:r w:rsidR="00253023" w:rsidRPr="002A0251">
        <w:rPr>
          <w:rFonts w:hint="eastAsia"/>
        </w:rPr>
        <w:t xml:space="preserve">could not evaluate </w:t>
      </w:r>
      <w:r w:rsidR="00253023" w:rsidRPr="002A0251">
        <w:t>the</w:t>
      </w:r>
      <w:r w:rsidR="00253023" w:rsidRPr="002A0251">
        <w:rPr>
          <w:rFonts w:hint="eastAsia"/>
        </w:rPr>
        <w:t xml:space="preserve"> downstream or spatial </w:t>
      </w:r>
      <w:r w:rsidR="002450FE" w:rsidRPr="002A0251">
        <w:rPr>
          <w:rFonts w:hint="eastAsia"/>
        </w:rPr>
        <w:t xml:space="preserve">spillover </w:t>
      </w:r>
      <w:r w:rsidR="00253023" w:rsidRPr="002A0251">
        <w:rPr>
          <w:rFonts w:hint="eastAsia"/>
        </w:rPr>
        <w:t>effects.</w:t>
      </w:r>
      <w:r w:rsidR="002450FE" w:rsidRPr="002A0251">
        <w:t xml:space="preserve"> </w:t>
      </w:r>
      <w:r w:rsidR="0050673E" w:rsidRPr="002A0251">
        <w:rPr>
          <w:rFonts w:hint="eastAsia"/>
        </w:rPr>
        <w:t xml:space="preserve">Fourth, </w:t>
      </w:r>
      <w:r w:rsidR="00B1098B" w:rsidRPr="002A0251">
        <w:t xml:space="preserve">our reliance on suspected </w:t>
      </w:r>
      <w:r w:rsidR="00783F42" w:rsidRPr="002A0251">
        <w:rPr>
          <w:rFonts w:hint="eastAsia"/>
        </w:rPr>
        <w:t xml:space="preserve">rather than confirmed </w:t>
      </w:r>
      <w:r w:rsidR="00B1098B" w:rsidRPr="002A0251">
        <w:t xml:space="preserve">cases </w:t>
      </w:r>
      <w:r w:rsidR="00783F42" w:rsidRPr="002A0251">
        <w:rPr>
          <w:rFonts w:hint="eastAsia"/>
        </w:rPr>
        <w:t xml:space="preserve">may overestimate </w:t>
      </w:r>
      <w:r w:rsidR="00783F42" w:rsidRPr="002A0251">
        <w:t>the</w:t>
      </w:r>
      <w:r w:rsidR="00783F42" w:rsidRPr="002A0251">
        <w:rPr>
          <w:rFonts w:hint="eastAsia"/>
        </w:rPr>
        <w:t xml:space="preserve"> vaccine impact </w:t>
      </w:r>
      <w:r w:rsidR="00B1098B" w:rsidRPr="002A0251">
        <w:t>given that roughly half may not be true cholera.</w:t>
      </w:r>
      <w:r w:rsidR="00B1098B" w:rsidRPr="002A0251">
        <w:fldChar w:fldCharType="begin"/>
      </w:r>
      <w:r w:rsidR="00492FC8" w:rsidRPr="002A0251">
        <w:instrText xml:space="preserve"> ADDIN ZOTERO_ITEM CSL_CITATION {"citationID":"KkMvIKUf","properties":{"formattedCitation":"\\super 85\\nosupersub{}","plainCitation":"85","noteIndex":0},"citationItems":[{"id":9937,"uris":["http://zotero.org/users/7663102/items/5Y8MIMKK"],"itemData":{"id":9937,"type":"article-journal","abstract":"BACKGROUND: Cholera surveillance relies on clinical diagnosis of acute watery diarrhea. Suspected cholera case definitions have high sensitivity but low specificity, challenging our ability to characterize cholera burden and epidemiology. Our objective was to estimate the proportion of clinically suspected cholera that are true Vibrio cholerae infections and identify factors that explain variation in positivity.\nMETHODS AND FINDINGS: We conducted a systematic r</w:instrText>
      </w:r>
      <w:r w:rsidR="00492FC8" w:rsidRPr="002A0251">
        <w:rPr>
          <w:rFonts w:hint="eastAsia"/>
        </w:rPr>
        <w:instrText xml:space="preserve">eview of studies that tested </w:instrText>
      </w:r>
      <w:r w:rsidR="00492FC8" w:rsidRPr="002A0251">
        <w:rPr>
          <w:rFonts w:hint="eastAsia"/>
        </w:rPr>
        <w:instrText>≥</w:instrText>
      </w:r>
      <w:r w:rsidR="00492FC8" w:rsidRPr="002A0251">
        <w:rPr>
          <w:rFonts w:hint="eastAsia"/>
        </w:rPr>
        <w:instrText>10 suspected cholera cases for V. cholerae O1/O139 using culture, PCR, and/or a rapid diagnostic test. We searched PubMed, Embase, Scopus, and Google Scholar for studies that sampled at least one suspected case between Januar</w:instrText>
      </w:r>
      <w:r w:rsidR="00492FC8" w:rsidRPr="002A0251">
        <w:instrText xml:space="preserve">y 1, 2000 and April 19, 2023, to reflect contemporary patterns in V. cholerae positivity. We estimated diagnostic test sensitivity and specificity using a latent class meta-analysis. We estimated V. cholerae positivity using a random-effects meta-analysis, adjusting for test performance. We included 119 studies from 30 countries. V. cholerae positivity was lower in studies with representative sampling and in studies that set minimum ages in suspected case definitions. After adjusting for test performance, on average, 52% (95% credible interval (CrI): 24%, 80%) of suspected cases represented true V. cholerae infections. After adjusting for test performance and study methodology, the odds of a suspected case having a true infection were 5.71 (odds ratio 95% CrI: 1.53, 15.43) times higher when surveillance was initiated in response to an outbreak than in non-outbreak settings. Variation across studies was high, and a limitation of our approach was that we were unable to explain all the heterogeneity with study-level attributes, including diagnostic test used, setting, and case definitions.\nCONCLUSIONS: In this study, we found that burden estimates based on suspected cases alone may overestimate the incidence of medically attended cholera by 2-fold. However, accounting for cases missed by traditional clinical surveillance is key to unbiased cholera burden estimates. Given the substantial variability in positivity between settings, extrapolations from suspected to confirmed cases, which is necessary to estimate cholera incidence rates without exhaustive testing, should be based on local data.","container-title":"PLoS medicine","DOI":"10.1371/journal.pmed.1004286","ISSN":"1549-1676","issue":"9","journalAbbreviation":"PLoS Med","language":"eng","note":"PMID: 37708235\nPMCID: PMC10538743","page":"e1004286","source":"PubMed","title":"Estimating the proportion of clinically suspected cholera cases that are true Vibrio cholerae infections: A systematic review and meta-analysis","title-short":"Estimating the proportion of clinically suspected cholera cases that are true Vibrio cholerae infections","volume":"20","author":[{"family":"Wiens","given":"Kirsten E."},{"family":"Xu","given":"Hanmeng"},{"family":"Zou","given":"Kaiyue"},{"family":"Mwaba","given":"John"},{"family":"Lessler","given":"Justin"},{"family":"Malembaka","given":"Espoir Bwenge"},{"family":"Demby","given":"Maya N."},{"family":"Bwire","given":"Godfrey"},{"family":"Qadri","given":"Firdausi"},{"family":"Lee","given":"Elizabeth C."},{"family":"Azman","given":"Andrew S."}],"issued":{"date-parts":[["2023",9]]},"citation-key":"wiensEstimatingProportionClinically2023"}}],"schema":"https://github.com/citation-style-language/schema/raw/master/csl-citation.json"} </w:instrText>
      </w:r>
      <w:r w:rsidR="00B1098B" w:rsidRPr="002A0251">
        <w:fldChar w:fldCharType="separate"/>
      </w:r>
      <w:r w:rsidR="00492FC8" w:rsidRPr="002A0251">
        <w:rPr>
          <w:rFonts w:cs="Times New Roman"/>
          <w:vertAlign w:val="superscript"/>
        </w:rPr>
        <w:t>85</w:t>
      </w:r>
      <w:r w:rsidR="00B1098B" w:rsidRPr="002A0251">
        <w:fldChar w:fldCharType="end"/>
      </w:r>
      <w:r w:rsidR="00B1098B" w:rsidRPr="002A0251">
        <w:t xml:space="preserve"> </w:t>
      </w:r>
      <w:r w:rsidR="002450FE" w:rsidRPr="002A0251">
        <w:rPr>
          <w:rFonts w:hint="eastAsia"/>
        </w:rPr>
        <w:t xml:space="preserve">On the other hand, </w:t>
      </w:r>
      <w:r w:rsidR="00B1098B" w:rsidRPr="002A0251">
        <w:t>underreporting of cholera in sub-Saharan Africa may offset this discrepancy</w:t>
      </w:r>
      <w:r w:rsidR="002450FE" w:rsidRPr="002A0251">
        <w:fldChar w:fldCharType="begin"/>
      </w:r>
      <w:r w:rsidR="00492FC8" w:rsidRPr="002A0251">
        <w:instrText xml:space="preserve"> ADDIN ZOTERO_ITEM CSL_CITATION {"citationID":"wwDpVruH","properties":{"formattedCitation":"\\super 86\\nosupersub{}","plainCitation":"86","noteIndex":0},"citationItems":[{"id":15610,"uris":["http://zotero.org/users/7663102/items/ZCTWCSKR"],"itemData":{"id":15610,"type":"article-journal","abstract":"Monitoring and treating diarrheal illness often relies on individuals seeking care at hospitals or clinics. Cases that seek care through pharmacies and community health workers (CHW) are frequently excluded from disease burden estimates, which are used to allocate mitigation resources. Studies on care-seeking behavior can help identify these gaps but typically focus on children under five, even though diarrheal diseases like cholera and Enterotoxigenic E. coli affect all age groups. This study aimed to estimate the proportion of individuals seeking care for themselves or their children with diarrhea, considering different age groups, case definitions, and study settings. We conducted a systematic review of population-based primary research studies published during 2000–2024 that examined care-seeking behavior for diarrhea. We included 166 studies from 62 countries. Hospitals and clinics were the most common source of care sought outside the home, with CHW and health posts rarely reported. Using a random-effects meta-analysis, we found substantial heterogeneity in care-seeking between studies from low- and middle-income countries (I2 = 99.3) and estimated that the proportion of diarrhea cases seeking care at a hospital or clinic was 32.8% on average (95% Confidence Interval (CI) 28.1% to 37.9%; prediction interval 3.3% to 87.5%). Although there were trends toward higher care-seeking for children compared to adults, substantial variation existed between studies, and the differences were not significant. We estimated that the adjusted odds of seeking care at a hospital or clinic were significantly higher for severe diarrhea and cholera compared to general diarrhea (Odds Ratio 3.43; 95% CI 1.71 to 6.88). Our findings confirm that passive surveillance through hospitals and clinics may substantially undercount the number of people with diarrhea, particularly those with milder symptoms, although this proportion varied widely. Additionally, our findings underscore the importance of including care-seeking questions across all age groups in future studies, as we cannot assume lower care-seeking for adults across all settings. Our study was limited by fewer data on care-seeking from health posts, traditional healers, and CHW compared to hospitals and clinics, highlighting a need for further research on these sources of care.","container-title":"PLOS Global Public Health","DOI":"10.1371/journal.pgph.0004483","ISSN":"2767-3375","issue":"4","journalAbbreviation":"PLOS Global Public Health","language":"en","note":"publisher: Public Library of Science","page":"e0004483","source":"PLoS Journals","title":"Care-seeking for diarrheal illness: A systematic review and meta-analysis","title-short":"Care-seeking for diarrheal illness","volume":"5","author":[{"family":"Wiens","given":"Kirsten E."},{"family":"Miller","given":"Marissa H."},{"family":"Costello","given":"Daniel J."},{"family":"Solomon","given":"Ashlynn P."},{"family":"Hilbert","given":"Skye M."},{"family":"Shipper","given":"Andrea G."},{"family":"Lee","given":"Elizabeth C."},{"family":"Azman","given":"Andrew S."}],"issued":{"date-parts":[["2025",4,22]]},"citation-key":"wiens2025"}}],"schema":"https://github.com/citation-style-language/schema/raw/master/csl-citation.json"} </w:instrText>
      </w:r>
      <w:r w:rsidR="002450FE" w:rsidRPr="002A0251">
        <w:fldChar w:fldCharType="separate"/>
      </w:r>
      <w:r w:rsidR="00492FC8" w:rsidRPr="002A0251">
        <w:rPr>
          <w:rFonts w:cs="Times New Roman"/>
          <w:vertAlign w:val="superscript"/>
        </w:rPr>
        <w:t>86</w:t>
      </w:r>
      <w:r w:rsidR="002450FE" w:rsidRPr="002A0251">
        <w:fldChar w:fldCharType="end"/>
      </w:r>
      <w:r w:rsidR="00B1098B" w:rsidRPr="002A0251">
        <w:rPr>
          <w:rFonts w:hint="eastAsia"/>
        </w:rPr>
        <w:t xml:space="preserve">. </w:t>
      </w:r>
      <w:r w:rsidR="00BC331E" w:rsidRPr="002A0251">
        <w:rPr>
          <w:rFonts w:hint="eastAsia"/>
        </w:rPr>
        <w:t>Fifth</w:t>
      </w:r>
      <w:r w:rsidR="00A66B7D" w:rsidRPr="002A0251">
        <w:t xml:space="preserve">, we assumed that ORIs did not occur if the delay in implementation exceeded the duration of the </w:t>
      </w:r>
      <w:proofErr w:type="gramStart"/>
      <w:r w:rsidR="00A66B7D" w:rsidRPr="002A0251">
        <w:t>outbreak—that is</w:t>
      </w:r>
      <w:proofErr w:type="gramEnd"/>
      <w:r w:rsidR="00A66B7D" w:rsidRPr="002A0251">
        <w:t xml:space="preserve">, if the outbreak had ended </w:t>
      </w:r>
      <w:r w:rsidR="008904B1" w:rsidRPr="002A0251">
        <w:rPr>
          <w:rFonts w:hint="eastAsia"/>
        </w:rPr>
        <w:t xml:space="preserve">two weeks </w:t>
      </w:r>
      <w:r w:rsidR="00A66B7D" w:rsidRPr="002A0251">
        <w:t xml:space="preserve">before the ORI was initiated. However, in real-world settings, it is often difficult to determine in real time whether an outbreak has </w:t>
      </w:r>
      <w:proofErr w:type="gramStart"/>
      <w:r w:rsidR="00A66B7D" w:rsidRPr="002A0251">
        <w:t>concluded</w:t>
      </w:r>
      <w:proofErr w:type="gramEnd"/>
      <w:r w:rsidR="008904B1" w:rsidRPr="002A0251">
        <w:rPr>
          <w:rFonts w:hint="eastAsia"/>
        </w:rPr>
        <w:t xml:space="preserve"> and ORIs may be conducted anyways</w:t>
      </w:r>
      <w:r w:rsidR="00A66B7D" w:rsidRPr="002A0251">
        <w:t>. Under this alternative scenario, the estimated impact of ORIs declined more sharply</w:t>
      </w:r>
      <w:r w:rsidR="001C39C3" w:rsidRPr="002A0251">
        <w:rPr>
          <w:rFonts w:hint="eastAsia"/>
        </w:rPr>
        <w:t>, as expected from the fact that zero-impact ORIs are included in the calculation</w:t>
      </w:r>
      <w:r w:rsidR="00A66B7D" w:rsidRPr="002A0251">
        <w:t>: the median percentage reduction in cases with a 9-week delay dropped from 12.</w:t>
      </w:r>
      <w:r w:rsidR="001C39C3" w:rsidRPr="002A0251">
        <w:rPr>
          <w:rFonts w:hint="eastAsia"/>
        </w:rPr>
        <w:t>3</w:t>
      </w:r>
      <w:r w:rsidR="00A66B7D" w:rsidRPr="002A0251">
        <w:t>% in the main scenario to 2.7% in the alternative</w:t>
      </w:r>
      <w:r w:rsidR="008904B1" w:rsidRPr="002A0251">
        <w:rPr>
          <w:rFonts w:hint="eastAsia"/>
        </w:rPr>
        <w:t xml:space="preserve"> </w:t>
      </w:r>
      <w:r w:rsidR="008904B1" w:rsidRPr="002A0251">
        <w:t>(</w:t>
      </w:r>
      <w:r w:rsidR="008904B1" w:rsidRPr="002A0251">
        <w:rPr>
          <w:rFonts w:hint="eastAsia"/>
        </w:rPr>
        <w:t xml:space="preserve">Supplementary Material </w:t>
      </w:r>
      <w:r w:rsidR="008904B1" w:rsidRPr="002A0251">
        <w:rPr>
          <w:rFonts w:hint="eastAsia"/>
          <w:b/>
          <w:bCs/>
        </w:rPr>
        <w:t>Table SX</w:t>
      </w:r>
      <w:r w:rsidR="008904B1" w:rsidRPr="002A0251">
        <w:t>)</w:t>
      </w:r>
      <w:r w:rsidR="00A66B7D" w:rsidRPr="002A0251">
        <w:rPr>
          <w:rFonts w:hint="eastAsia"/>
        </w:rPr>
        <w:t xml:space="preserve"> </w:t>
      </w:r>
      <w:r w:rsidR="008904B1" w:rsidRPr="002A0251">
        <w:rPr>
          <w:rFonts w:hint="eastAsia"/>
        </w:rPr>
        <w:t>Sixth</w:t>
      </w:r>
      <w:r w:rsidR="00BC331E" w:rsidRPr="002A0251">
        <w:rPr>
          <w:rFonts w:hint="eastAsia"/>
        </w:rPr>
        <w:t xml:space="preserve">, </w:t>
      </w:r>
      <w:r w:rsidR="00BC331E" w:rsidRPr="002A0251">
        <w:t xml:space="preserve">our estimates are contingent on the outbreak dataset used, which is based on a specific outbreak definition that is not universally accepted and may vary by context. Applying alternative outbreak criteria could yield different datasets and, consequently, different estimates of vaccine impact. </w:t>
      </w:r>
      <w:r w:rsidR="00BC331E" w:rsidRPr="002A0251">
        <w:rPr>
          <w:rFonts w:hint="eastAsia"/>
        </w:rPr>
        <w:t>T</w:t>
      </w:r>
      <w:r w:rsidR="00A66B7D" w:rsidRPr="002A0251">
        <w:t>he main analysis excluded outbreaks that were either too small or too large, based on the population sizes commonly observed in historical OCV campaigns. While this filtering was appropriate for retrospective evaluation, such thresholds may not be applicable to future scenarios. To explore a broader range of outbreak settings, we relaxed these criteria and included outbreaks occurring in populations between 5,000 and 15,000,000, instead of the original range of 16,500 to 5,000,000. Under this more inclusive scenario, the median and interquartile ranges remained largely unchanged (</w:t>
      </w:r>
      <w:r w:rsidR="00A66B7D" w:rsidRPr="002A0251">
        <w:rPr>
          <w:b/>
          <w:bCs/>
        </w:rPr>
        <w:t>Table S</w:t>
      </w:r>
      <w:r w:rsidR="00943796" w:rsidRPr="002A0251">
        <w:rPr>
          <w:rFonts w:hint="eastAsia"/>
          <w:b/>
          <w:bCs/>
        </w:rPr>
        <w:t>4</w:t>
      </w:r>
      <w:r w:rsidR="00A66B7D" w:rsidRPr="002A0251">
        <w:t>).</w:t>
      </w:r>
      <w:r w:rsidR="009422AF" w:rsidRPr="002A0251">
        <w:rPr>
          <w:rFonts w:hint="eastAsia"/>
        </w:rPr>
        <w:t xml:space="preserve">  </w:t>
      </w:r>
      <w:r w:rsidR="008904B1" w:rsidRPr="002A0251">
        <w:rPr>
          <w:rFonts w:hint="eastAsia"/>
        </w:rPr>
        <w:t xml:space="preserve">Finally (or </w:t>
      </w:r>
      <w:proofErr w:type="gramStart"/>
      <w:r w:rsidR="008904B1" w:rsidRPr="002A0251">
        <w:rPr>
          <w:rFonts w:hint="eastAsia"/>
        </w:rPr>
        <w:t>Seventh</w:t>
      </w:r>
      <w:proofErr w:type="gramEnd"/>
      <w:r w:rsidR="008904B1" w:rsidRPr="002A0251">
        <w:rPr>
          <w:rFonts w:hint="eastAsia"/>
        </w:rPr>
        <w:t xml:space="preserve">), the overall impact, efficiency, </w:t>
      </w:r>
      <w:r w:rsidR="008904B1" w:rsidRPr="002A0251">
        <w:rPr>
          <w:rFonts w:hint="eastAsia"/>
        </w:rPr>
        <w:lastRenderedPageBreak/>
        <w:t xml:space="preserve">and cost effectiveness derived from our simulation of OCV deployment from stockpile requires careful interpretation. Our simulation </w:t>
      </w:r>
      <w:r w:rsidR="00156E5F" w:rsidRPr="002A0251">
        <w:rPr>
          <w:rFonts w:hint="eastAsia"/>
        </w:rPr>
        <w:t>ignores many potentially important realistic details to produce accurate estimation of the overall impact of OCV deployment from global stockpile. That is, our simulation does not account for, for example, critical ch</w:t>
      </w:r>
      <w:r w:rsidR="008904B1" w:rsidRPr="002A0251">
        <w:rPr>
          <w:rFonts w:hint="eastAsia"/>
        </w:rPr>
        <w:t>a</w:t>
      </w:r>
      <w:r w:rsidR="00156E5F" w:rsidRPr="002A0251">
        <w:rPr>
          <w:rFonts w:hint="eastAsia"/>
        </w:rPr>
        <w:t>ra</w:t>
      </w:r>
      <w:r w:rsidR="008904B1" w:rsidRPr="002A0251">
        <w:rPr>
          <w:rFonts w:hint="eastAsia"/>
        </w:rPr>
        <w:t xml:space="preserve">cteristics of actual outbreaks targeted, vaccine coverage levels, </w:t>
      </w:r>
      <w:r w:rsidR="00156E5F" w:rsidRPr="002A0251">
        <w:rPr>
          <w:rFonts w:hint="eastAsia"/>
        </w:rPr>
        <w:t>detailed distribution of delays in ORI implementation. Our simulation of overall simulation was intended</w:t>
      </w:r>
      <w:r w:rsidR="00692E77" w:rsidRPr="002A0251">
        <w:rPr>
          <w:rFonts w:hint="eastAsia"/>
        </w:rPr>
        <w:t xml:space="preserve"> to illustrate the disproportionate contribution of larger and longer outbreaks to the overall impact and prioritization</w:t>
      </w:r>
      <w:r w:rsidR="00156E5F" w:rsidRPr="002A0251">
        <w:rPr>
          <w:rFonts w:hint="eastAsia"/>
        </w:rPr>
        <w:t>, which eventually will increase the median impact we can expect as we continue to vaccinate the outbreak-affected population even with delays.</w:t>
      </w:r>
      <w:r w:rsidR="00692E77" w:rsidRPr="002A0251">
        <w:rPr>
          <w:rFonts w:hint="eastAsia"/>
        </w:rPr>
        <w:t xml:space="preserve"> </w:t>
      </w:r>
    </w:p>
    <w:p w14:paraId="00000184" w14:textId="5616D693" w:rsidR="00E7552A" w:rsidRPr="002A0251" w:rsidRDefault="00E1583D" w:rsidP="00F57F15">
      <w:pPr>
        <w:pStyle w:val="Heading2"/>
      </w:pPr>
      <w:bookmarkStart w:id="32" w:name="_Toc184909210"/>
      <w:r w:rsidRPr="002A0251">
        <w:t>Conclusion</w:t>
      </w:r>
      <w:bookmarkEnd w:id="32"/>
    </w:p>
    <w:p w14:paraId="706FECB7" w14:textId="34D875C3" w:rsidR="00A518A8" w:rsidRPr="002A0251" w:rsidRDefault="00676EFF" w:rsidP="00F57F15">
      <w:r w:rsidRPr="002A0251">
        <w:t>This study provides important insights into the effectiveness of outbreak response immunizations (ORIs) across a broad range of cholera outbreak scenarios in sub-Saharan Africa. Our findings underscore the critical importance of timely intervention and strategic outbreak prioritization to maximize vaccine impact. Looking ahead, advances in predictive modeling, the integration of real-time surveillance data, and the development of more flexible and targeted vaccine deployment strategies will be essential</w:t>
      </w:r>
      <w:r w:rsidR="00727E5A" w:rsidRPr="002A0251">
        <w:rPr>
          <w:rFonts w:hint="eastAsia"/>
        </w:rPr>
        <w:t xml:space="preserve"> to</w:t>
      </w:r>
      <w:r w:rsidRPr="002A0251">
        <w:t xml:space="preserve"> contribute meaningfully to global cholera control and elimination efforts.</w:t>
      </w:r>
    </w:p>
    <w:p w14:paraId="1627E690" w14:textId="77777777" w:rsidR="00554F75" w:rsidRPr="002A0251" w:rsidRDefault="00554F75" w:rsidP="00F57F15"/>
    <w:p w14:paraId="2CD903ED" w14:textId="1269BE01" w:rsidR="00554F75" w:rsidRPr="002A0251" w:rsidRDefault="00554F75" w:rsidP="005107E2">
      <w:pPr>
        <w:pStyle w:val="Heading2"/>
      </w:pPr>
      <w:r w:rsidRPr="002A0251">
        <w:rPr>
          <w:rFonts w:hint="eastAsia"/>
        </w:rPr>
        <w:t>Acknowledgement</w:t>
      </w:r>
    </w:p>
    <w:p w14:paraId="02AC0827" w14:textId="0B4DF21B" w:rsidR="00554F75" w:rsidRPr="002A0251" w:rsidRDefault="00554F75" w:rsidP="00F57F15">
      <w:r w:rsidRPr="002A0251">
        <w:t>This work was supported, in whole or in part, by the Bill &amp; Melinda Gates Foundation [INV-009125]. The conclusions and opinions expressed in this work are those of the authors alone and shall not be attributed to the Foundation. Under the grant conditions of the Foundation, a Creative Commons Attribution 4.0 License has already been assigned to the Author Accepted Manuscript version that might arise from this submission. Please note works submitted as a preprint have not undergone a peer review process.</w:t>
      </w:r>
    </w:p>
    <w:p w14:paraId="24986659" w14:textId="77777777" w:rsidR="008A1FE1" w:rsidRPr="002A0251" w:rsidRDefault="008A1FE1" w:rsidP="00F57F15"/>
    <w:p w14:paraId="769E0BF6" w14:textId="4846D4E0" w:rsidR="008A1FE1" w:rsidRPr="002A0251" w:rsidRDefault="008A1FE1" w:rsidP="008A1FE1">
      <w:pPr>
        <w:pStyle w:val="Heading2"/>
      </w:pPr>
      <w:r w:rsidRPr="002A0251">
        <w:rPr>
          <w:rFonts w:hint="eastAsia"/>
        </w:rPr>
        <w:lastRenderedPageBreak/>
        <w:t xml:space="preserve">Author contributions </w:t>
      </w:r>
    </w:p>
    <w:p w14:paraId="2C4BB696" w14:textId="492F0250" w:rsidR="008A1FE1" w:rsidRPr="002A0251" w:rsidRDefault="0059032A" w:rsidP="00F57F15">
      <w:r w:rsidRPr="002A0251">
        <w:rPr>
          <w:rFonts w:hint="eastAsia"/>
        </w:rPr>
        <w:t xml:space="preserve">J-HK and ECL </w:t>
      </w:r>
      <w:r w:rsidR="008A1FE1" w:rsidRPr="002A0251">
        <w:t>concept</w:t>
      </w:r>
      <w:r w:rsidRPr="002A0251">
        <w:rPr>
          <w:rFonts w:hint="eastAsia"/>
        </w:rPr>
        <w:t xml:space="preserve">ualized the study. </w:t>
      </w:r>
      <w:r w:rsidR="008A1FE1" w:rsidRPr="002A0251">
        <w:t>J-HK led the study design</w:t>
      </w:r>
      <w:r w:rsidRPr="002A0251">
        <w:rPr>
          <w:rFonts w:hint="eastAsia"/>
        </w:rPr>
        <w:t xml:space="preserve"> and an</w:t>
      </w:r>
      <w:r w:rsidR="008A1FE1" w:rsidRPr="002A0251">
        <w:t>alysis</w:t>
      </w:r>
      <w:r w:rsidR="00EA5ACA" w:rsidRPr="002A0251">
        <w:rPr>
          <w:rFonts w:hint="eastAsia"/>
        </w:rPr>
        <w:t>.</w:t>
      </w:r>
      <w:r w:rsidR="00977519" w:rsidRPr="002A0251">
        <w:t xml:space="preserve"> J-HK </w:t>
      </w:r>
      <w:r w:rsidR="008A1FE1" w:rsidRPr="002A0251">
        <w:t>and</w:t>
      </w:r>
      <w:r w:rsidR="00977519" w:rsidRPr="002A0251">
        <w:rPr>
          <w:rFonts w:hint="eastAsia"/>
        </w:rPr>
        <w:t xml:space="preserve"> MD </w:t>
      </w:r>
      <w:r w:rsidR="008A1FE1" w:rsidRPr="002A0251">
        <w:t xml:space="preserve">performed the statistical analysis </w:t>
      </w:r>
      <w:r w:rsidR="00977519" w:rsidRPr="002A0251">
        <w:rPr>
          <w:rFonts w:hint="eastAsia"/>
        </w:rPr>
        <w:t xml:space="preserve">and </w:t>
      </w:r>
      <w:r w:rsidR="00977519" w:rsidRPr="002A0251">
        <w:t>drafted the initial manuscript</w:t>
      </w:r>
      <w:r w:rsidR="008A1FE1" w:rsidRPr="002A0251">
        <w:t xml:space="preserve">. ECL </w:t>
      </w:r>
      <w:r w:rsidR="00977519" w:rsidRPr="002A0251">
        <w:rPr>
          <w:rFonts w:hint="eastAsia"/>
        </w:rPr>
        <w:t>and QZ collected</w:t>
      </w:r>
      <w:r w:rsidR="002C7D9B" w:rsidRPr="002A0251">
        <w:rPr>
          <w:rFonts w:hint="eastAsia"/>
        </w:rPr>
        <w:t xml:space="preserve"> and prepared</w:t>
      </w:r>
      <w:r w:rsidR="00977519" w:rsidRPr="002A0251">
        <w:rPr>
          <w:rFonts w:hint="eastAsia"/>
        </w:rPr>
        <w:t xml:space="preserve"> the data</w:t>
      </w:r>
      <w:r w:rsidR="002C7D9B" w:rsidRPr="002A0251">
        <w:rPr>
          <w:rFonts w:hint="eastAsia"/>
        </w:rPr>
        <w:t xml:space="preserve"> for analysis</w:t>
      </w:r>
      <w:r w:rsidR="00977519" w:rsidRPr="002A0251">
        <w:rPr>
          <w:rFonts w:hint="eastAsia"/>
        </w:rPr>
        <w:t xml:space="preserve">. </w:t>
      </w:r>
      <w:r w:rsidRPr="002A0251">
        <w:rPr>
          <w:rFonts w:hint="eastAsia"/>
        </w:rPr>
        <w:t>ECL</w:t>
      </w:r>
      <w:r w:rsidR="00376D9C" w:rsidRPr="002A0251">
        <w:rPr>
          <w:rFonts w:hint="eastAsia"/>
        </w:rPr>
        <w:t>, A</w:t>
      </w:r>
      <w:r w:rsidR="004F4187" w:rsidRPr="002A0251">
        <w:rPr>
          <w:rFonts w:hint="eastAsia"/>
        </w:rPr>
        <w:t>S</w:t>
      </w:r>
      <w:r w:rsidR="00376D9C" w:rsidRPr="002A0251">
        <w:rPr>
          <w:rFonts w:hint="eastAsia"/>
        </w:rPr>
        <w:t>A,</w:t>
      </w:r>
      <w:r w:rsidRPr="002A0251">
        <w:rPr>
          <w:rFonts w:hint="eastAsia"/>
        </w:rPr>
        <w:t xml:space="preserve"> </w:t>
      </w:r>
      <w:r w:rsidR="008A1FE1" w:rsidRPr="002A0251">
        <w:t xml:space="preserve">and </w:t>
      </w:r>
      <w:r w:rsidR="00C57E2D" w:rsidRPr="002A0251">
        <w:rPr>
          <w:rFonts w:hint="eastAsia"/>
        </w:rPr>
        <w:t>JHK</w:t>
      </w:r>
      <w:r w:rsidR="00977519" w:rsidRPr="002A0251">
        <w:rPr>
          <w:rFonts w:hint="eastAsia"/>
        </w:rPr>
        <w:t xml:space="preserve"> </w:t>
      </w:r>
      <w:r w:rsidR="008A1FE1" w:rsidRPr="002A0251">
        <w:t>provided critical input on methodology. MD conducted the literature review. All authors participated in the interpretation of the findings, critically reviewed the manuscript for intellectual content, and approved the final version for submission.</w:t>
      </w:r>
    </w:p>
    <w:p w14:paraId="000001B7" w14:textId="4D4576F2" w:rsidR="00E7552A" w:rsidRPr="002A0251" w:rsidRDefault="0091383D" w:rsidP="00F57F15">
      <w:pPr>
        <w:pStyle w:val="Heading2"/>
        <w:rPr>
          <w:lang w:val="de-DE"/>
        </w:rPr>
      </w:pPr>
      <w:bookmarkStart w:id="33" w:name="_heading=h.2xcytpi" w:colFirst="0" w:colLast="0"/>
      <w:bookmarkStart w:id="34" w:name="_Toc184909211"/>
      <w:bookmarkEnd w:id="33"/>
      <w:r w:rsidRPr="002A0251">
        <w:rPr>
          <w:lang w:val="de-DE"/>
        </w:rPr>
        <w:t>Reference</w:t>
      </w:r>
      <w:r w:rsidR="004F6579" w:rsidRPr="002A0251">
        <w:rPr>
          <w:lang w:val="de-DE"/>
        </w:rPr>
        <w:t>s</w:t>
      </w:r>
      <w:bookmarkEnd w:id="34"/>
    </w:p>
    <w:p w14:paraId="6D4B2FA2" w14:textId="77777777" w:rsidR="00492FC8" w:rsidRPr="002A0251" w:rsidRDefault="0091469E" w:rsidP="00492FC8">
      <w:pPr>
        <w:pStyle w:val="Bibliography"/>
      </w:pPr>
      <w:r w:rsidRPr="002A0251">
        <w:rPr>
          <w:lang w:val="de-DE"/>
        </w:rPr>
        <w:fldChar w:fldCharType="begin"/>
      </w:r>
      <w:r w:rsidR="00FD2750" w:rsidRPr="002A0251">
        <w:rPr>
          <w:lang w:val="de-DE"/>
        </w:rPr>
        <w:instrText xml:space="preserve"> ADDIN ZOTERO_BIBL {"uncited":[],"omitted":[],"custom":[]} CSL_BIBLIOGRAPHY </w:instrText>
      </w:r>
      <w:r w:rsidRPr="002A0251">
        <w:rPr>
          <w:lang w:val="de-DE"/>
        </w:rPr>
        <w:fldChar w:fldCharType="separate"/>
      </w:r>
      <w:r w:rsidR="00492FC8" w:rsidRPr="002A0251">
        <w:rPr>
          <w:lang w:val="de-DE"/>
        </w:rPr>
        <w:t xml:space="preserve">1. </w:t>
      </w:r>
      <w:r w:rsidR="00492FC8" w:rsidRPr="002A0251">
        <w:rPr>
          <w:lang w:val="de-DE"/>
        </w:rPr>
        <w:tab/>
        <w:t xml:space="preserve">Finger F, Bertuzzo E, Luquero FJ, Naibei N, Touré B, Allan M, et al. </w:t>
      </w:r>
      <w:r w:rsidR="00492FC8" w:rsidRPr="002A0251">
        <w:t xml:space="preserve">The potential impact of case-area targeted interventions in response to cholera outbreaks: A modeling study. Von Seidlein L, editor. PLOS Med. 2018 Feb 27;15(2):e1002509. </w:t>
      </w:r>
    </w:p>
    <w:p w14:paraId="786F52C8" w14:textId="77777777" w:rsidR="00492FC8" w:rsidRPr="002A0251" w:rsidRDefault="00492FC8" w:rsidP="00492FC8">
      <w:pPr>
        <w:pStyle w:val="Bibliography"/>
      </w:pPr>
      <w:r w:rsidRPr="002A0251">
        <w:t xml:space="preserve">2. </w:t>
      </w:r>
      <w:r w:rsidRPr="002A0251">
        <w:tab/>
        <w:t xml:space="preserve">Mukandavire Z, Manangazira P, Nyabadza F, Cuadros DF, Musuka G, Morris JG. Stemming cholera tides in Zimbabwe through mass vaccination. Int J Infect Dis. 2020 Jul;96:222–7. </w:t>
      </w:r>
    </w:p>
    <w:p w14:paraId="61C7C973" w14:textId="77777777" w:rsidR="00492FC8" w:rsidRPr="002A0251" w:rsidRDefault="00492FC8" w:rsidP="00492FC8">
      <w:pPr>
        <w:pStyle w:val="Bibliography"/>
      </w:pPr>
      <w:r w:rsidRPr="002A0251">
        <w:t xml:space="preserve">3. </w:t>
      </w:r>
      <w:r w:rsidRPr="002A0251">
        <w:tab/>
        <w:t xml:space="preserve">Dimitrov DT, Troeger C, Halloran ME, Longini IM, Chao DL. Comparative Effectiveness of Different Strategies of Oral Cholera Vaccination in Bangladesh: A Modeling Study. Baker S, editor. PLoS Negl Trop Dis. 2014 Dec 4;8(12):e3343. </w:t>
      </w:r>
    </w:p>
    <w:p w14:paraId="4888384A" w14:textId="77777777" w:rsidR="00492FC8" w:rsidRPr="002A0251" w:rsidRDefault="00492FC8" w:rsidP="00492FC8">
      <w:pPr>
        <w:pStyle w:val="Bibliography"/>
      </w:pPr>
      <w:r w:rsidRPr="002A0251">
        <w:t xml:space="preserve">4. </w:t>
      </w:r>
      <w:r w:rsidRPr="002A0251">
        <w:tab/>
        <w:t xml:space="preserve">Khan AI, Levin A, Chao DL, DeRoeck D, Dimitrov DT, Khan JAM, et al. The impact and cost-effectiveness of controlling cholera through the use of oral cholera vaccines in urban Bangladesh: A disease modeling and economic analysis. Maheu-Giroux M, editor. PLoS Negl Trop Dis. 2018 Oct 9;12(10):e0006652. </w:t>
      </w:r>
    </w:p>
    <w:p w14:paraId="2CE43DDC" w14:textId="77777777" w:rsidR="00492FC8" w:rsidRPr="002A0251" w:rsidRDefault="00492FC8" w:rsidP="00492FC8">
      <w:pPr>
        <w:pStyle w:val="Bibliography"/>
      </w:pPr>
      <w:r w:rsidRPr="002A0251">
        <w:t xml:space="preserve">5. </w:t>
      </w:r>
      <w:r w:rsidRPr="002A0251">
        <w:tab/>
        <w:t xml:space="preserve">Lee EC, Chao DL, Lemaitre JC, Matrajt L, Pasetto D, Perez-Saez J, et al. Achieving coordinated national immunity and cholera elimination in Haiti through vaccination: a modelling study. Lancet Glob Health. 2020 Aug;8(8):e1081–9. </w:t>
      </w:r>
    </w:p>
    <w:p w14:paraId="4B25E5A1" w14:textId="77777777" w:rsidR="00492FC8" w:rsidRPr="002A0251" w:rsidRDefault="00492FC8" w:rsidP="00492FC8">
      <w:pPr>
        <w:pStyle w:val="Bibliography"/>
      </w:pPr>
      <w:r w:rsidRPr="002A0251">
        <w:t xml:space="preserve">6. </w:t>
      </w:r>
      <w:r w:rsidRPr="002A0251">
        <w:tab/>
        <w:t xml:space="preserve">Chao DL, Halloran ME, Longini IM. Vaccination strategies for epidemic cholera in Haiti with implications for the developing world. Proc Natl Acad Sci. 2011 Apr 26;108(17):7081–5. </w:t>
      </w:r>
    </w:p>
    <w:p w14:paraId="07E740FC" w14:textId="77777777" w:rsidR="00492FC8" w:rsidRPr="002A0251" w:rsidRDefault="00492FC8" w:rsidP="00492FC8">
      <w:pPr>
        <w:pStyle w:val="Bibliography"/>
      </w:pPr>
      <w:r w:rsidRPr="002A0251">
        <w:t xml:space="preserve">7. </w:t>
      </w:r>
      <w:r w:rsidRPr="002A0251">
        <w:tab/>
        <w:t xml:space="preserve">Kirpich A, Weppelmann TA, Yang Y, Morris JG, Longini IM. Controlling cholera in the Ouest Department of Haiti using oral vaccines. Coudeville L, editor. PLoS Negl Trop Dis. 2017 Apr 14;11(4):e0005482. </w:t>
      </w:r>
    </w:p>
    <w:p w14:paraId="4DB4C1D0" w14:textId="77777777" w:rsidR="00492FC8" w:rsidRPr="002A0251" w:rsidRDefault="00492FC8" w:rsidP="00492FC8">
      <w:pPr>
        <w:pStyle w:val="Bibliography"/>
      </w:pPr>
      <w:r w:rsidRPr="002A0251">
        <w:lastRenderedPageBreak/>
        <w:t xml:space="preserve">8. </w:t>
      </w:r>
      <w:r w:rsidRPr="002A0251">
        <w:tab/>
        <w:t xml:space="preserve">Havumaki J, Meza R, Phares CR, Date K, Eisenberg MC. Comparing alternative cholera vaccination strategies in Maela refugee camp: using a transmission model in public health practice. BMC Infect Dis. 2019 Dec;19(1):1075. </w:t>
      </w:r>
    </w:p>
    <w:p w14:paraId="2A7C203B" w14:textId="77777777" w:rsidR="00492FC8" w:rsidRPr="002A0251" w:rsidRDefault="00492FC8" w:rsidP="00492FC8">
      <w:pPr>
        <w:pStyle w:val="Bibliography"/>
      </w:pPr>
      <w:r w:rsidRPr="002A0251">
        <w:t xml:space="preserve">9. </w:t>
      </w:r>
      <w:r w:rsidRPr="002A0251">
        <w:tab/>
        <w:t xml:space="preserve">Peak CM, Reilly AL, Azman AS, Buckee CO. Prolonging herd immunity to cholera via vaccination: Accounting for human mobility and waning vaccine effects. Marks F, editor. PLoS Negl Trop Dis. 2018 Feb 28;12(2):e0006257. </w:t>
      </w:r>
    </w:p>
    <w:p w14:paraId="76ED3ED6" w14:textId="77777777" w:rsidR="00492FC8" w:rsidRPr="002A0251" w:rsidRDefault="00492FC8" w:rsidP="00492FC8">
      <w:pPr>
        <w:pStyle w:val="Bibliography"/>
      </w:pPr>
      <w:r w:rsidRPr="002A0251">
        <w:t xml:space="preserve">10. </w:t>
      </w:r>
      <w:r w:rsidRPr="002A0251">
        <w:tab/>
        <w:t xml:space="preserve">Azman AS, Luquero FJ, Rodrigues A, Palma PP, Grais RF, Banga CN, et al. Urban Cholera Transmission Hotspots and Their Implications for Reactive Vaccination: Evidence from Bissau City, Guinea Bissau. Vinetz JM, editor. PLoS Negl Trop Dis. 2012 Nov 8;6(11):e1901. </w:t>
      </w:r>
    </w:p>
    <w:p w14:paraId="06909BEB" w14:textId="77777777" w:rsidR="00492FC8" w:rsidRPr="002A0251" w:rsidRDefault="00492FC8" w:rsidP="00492FC8">
      <w:pPr>
        <w:pStyle w:val="Bibliography"/>
      </w:pPr>
      <w:r w:rsidRPr="002A0251">
        <w:t xml:space="preserve">11. </w:t>
      </w:r>
      <w:r w:rsidRPr="002A0251">
        <w:tab/>
        <w:t xml:space="preserve">Longini IM, Nizam A, Ali M, Yunus M, Shenvi N, Clemens JD. Controlling Endemic Cholera with Oral Vaccines. Von Seidlein L, editor. PLoS Med. 2007 Nov 27;4(11):e336. </w:t>
      </w:r>
    </w:p>
    <w:p w14:paraId="74BA49BB" w14:textId="77777777" w:rsidR="00492FC8" w:rsidRPr="002A0251" w:rsidRDefault="00492FC8" w:rsidP="00492FC8">
      <w:pPr>
        <w:pStyle w:val="Bibliography"/>
      </w:pPr>
      <w:r w:rsidRPr="002A0251">
        <w:t xml:space="preserve">12. </w:t>
      </w:r>
      <w:r w:rsidRPr="002A0251">
        <w:tab/>
        <w:t xml:space="preserve">Smalley HK, Keskinocak P, Swann J, Hinman A. Optimized oral cholera vaccine distribution strategies to minimize disease incidence: A mixed integer programming model and analysis of a Bangladesh scenario. Vaccine. 2015 Nov;33(46):6218–23. </w:t>
      </w:r>
    </w:p>
    <w:p w14:paraId="29AB7017" w14:textId="77777777" w:rsidR="00492FC8" w:rsidRPr="002A0251" w:rsidRDefault="00492FC8" w:rsidP="00492FC8">
      <w:pPr>
        <w:pStyle w:val="Bibliography"/>
      </w:pPr>
      <w:r w:rsidRPr="002A0251">
        <w:t xml:space="preserve">13. </w:t>
      </w:r>
      <w:r w:rsidRPr="002A0251">
        <w:tab/>
        <w:t xml:space="preserve">Azman AS, Lessler J. Reactive vaccination in the presence of disease hotspots. Proc R Soc B Biol Sci. 2015 Jan 7;282(1798):20141341. </w:t>
      </w:r>
    </w:p>
    <w:p w14:paraId="30F7DE39" w14:textId="77777777" w:rsidR="00492FC8" w:rsidRPr="002A0251" w:rsidRDefault="00492FC8" w:rsidP="00492FC8">
      <w:pPr>
        <w:pStyle w:val="Bibliography"/>
      </w:pPr>
      <w:r w:rsidRPr="002A0251">
        <w:t xml:space="preserve">14. </w:t>
      </w:r>
      <w:r w:rsidRPr="002A0251">
        <w:tab/>
        <w:t xml:space="preserve">Leung T, Eaton J, Matrajt L. Optimizing one-dose and two-dose cholera vaccine allocation in outbreak settings: A modeling study. Fleckenstein JM, editor. PLoS Negl Trop Dis. 2022 Apr 20;16(4):e0010358. </w:t>
      </w:r>
    </w:p>
    <w:p w14:paraId="30150F91" w14:textId="77777777" w:rsidR="00492FC8" w:rsidRPr="002A0251" w:rsidRDefault="00492FC8" w:rsidP="00492FC8">
      <w:pPr>
        <w:pStyle w:val="Bibliography"/>
      </w:pPr>
      <w:r w:rsidRPr="002A0251">
        <w:t xml:space="preserve">15. </w:t>
      </w:r>
      <w:r w:rsidRPr="002A0251">
        <w:tab/>
        <w:t xml:space="preserve">Azman AS, Luquero FJ, Ciglenecki I, Grais RF, Sack DA, Lessler J. The Impact of a One-Dose versus Two-Dose Oral Cholera Vaccine Regimen in Outbreak Settings: A Modeling Study. Kretzschmar MEE, editor. PLOS Med. 2015 Aug 25;12(8):e1001867. </w:t>
      </w:r>
    </w:p>
    <w:p w14:paraId="330305DE" w14:textId="77777777" w:rsidR="00492FC8" w:rsidRPr="002A0251" w:rsidRDefault="00492FC8" w:rsidP="00492FC8">
      <w:pPr>
        <w:pStyle w:val="Bibliography"/>
        <w:rPr>
          <w:lang w:val="de-DE"/>
        </w:rPr>
      </w:pPr>
      <w:r w:rsidRPr="002A0251">
        <w:t xml:space="preserve">16. </w:t>
      </w:r>
      <w:r w:rsidRPr="002A0251">
        <w:tab/>
        <w:t xml:space="preserve">Kim JH, Mogasale V, Burgess C, Wierzba TF. Impact of oral cholera vaccines in cholera-endemic countries: A mathematical modeling study. </w:t>
      </w:r>
      <w:r w:rsidRPr="002A0251">
        <w:rPr>
          <w:lang w:val="de-DE"/>
        </w:rPr>
        <w:t xml:space="preserve">Vaccine. 2016 Apr;34(18):2113–20. </w:t>
      </w:r>
    </w:p>
    <w:p w14:paraId="1604E779" w14:textId="77777777" w:rsidR="00492FC8" w:rsidRPr="002A0251" w:rsidRDefault="00492FC8" w:rsidP="00492FC8">
      <w:pPr>
        <w:pStyle w:val="Bibliography"/>
      </w:pPr>
      <w:r w:rsidRPr="002A0251">
        <w:rPr>
          <w:lang w:val="de-DE"/>
        </w:rPr>
        <w:t xml:space="preserve">17. </w:t>
      </w:r>
      <w:r w:rsidRPr="002A0251">
        <w:rPr>
          <w:lang w:val="de-DE"/>
        </w:rPr>
        <w:tab/>
        <w:t xml:space="preserve">Xu H, Zou K, Dent J, Wiens KE, Malembaka EB, Bwire G, et al. </w:t>
      </w:r>
      <w:r w:rsidRPr="002A0251">
        <w:t>Enhanced cholera surveillance to improve vaccination campaign efficiency. Nat Med [Internet]. 2024 Mar 5 [cited 2024 Apr 16]; Available from: https://www.nature.com/articles/s41591-024-02852-8</w:t>
      </w:r>
    </w:p>
    <w:p w14:paraId="5530CDEB" w14:textId="77777777" w:rsidR="00492FC8" w:rsidRPr="002A0251" w:rsidRDefault="00492FC8" w:rsidP="00492FC8">
      <w:pPr>
        <w:pStyle w:val="Bibliography"/>
      </w:pPr>
      <w:r w:rsidRPr="002A0251">
        <w:t xml:space="preserve">18. </w:t>
      </w:r>
      <w:r w:rsidRPr="002A0251">
        <w:tab/>
        <w:t xml:space="preserve">Kaper JB, Morris JG, Levine MM. Cholera. Clin Microbiol Rev. 1995 Jan;8(1):48–86. </w:t>
      </w:r>
    </w:p>
    <w:p w14:paraId="4C589CB8" w14:textId="77777777" w:rsidR="00492FC8" w:rsidRPr="002A0251" w:rsidRDefault="00492FC8" w:rsidP="00492FC8">
      <w:pPr>
        <w:pStyle w:val="Bibliography"/>
      </w:pPr>
      <w:r w:rsidRPr="002A0251">
        <w:t xml:space="preserve">19. </w:t>
      </w:r>
      <w:r w:rsidRPr="002A0251">
        <w:tab/>
        <w:t xml:space="preserve">Sikder M, Deshpande A, Hegde ST, Malembaka EB, Gallandat K, Reiner RC, et al. Water, Sanitation, and Cholera in Sub-Saharan Africa. Environ Sci Technol. 2023 Jul 18;57(28):10185–92. </w:t>
      </w:r>
    </w:p>
    <w:p w14:paraId="7E810B58" w14:textId="77777777" w:rsidR="00492FC8" w:rsidRPr="002A0251" w:rsidRDefault="00492FC8" w:rsidP="00492FC8">
      <w:pPr>
        <w:pStyle w:val="Bibliography"/>
      </w:pPr>
      <w:r w:rsidRPr="002A0251">
        <w:lastRenderedPageBreak/>
        <w:t xml:space="preserve">20. </w:t>
      </w:r>
      <w:r w:rsidRPr="002A0251">
        <w:tab/>
        <w:t xml:space="preserve">Ali M, Nelson AR, Lopez AL, Sack DA. Updated Global Burden of Cholera in Endemic Countries. PLoS Negl Trop Dis. 2015 Jun 4;9(6):e0003832. </w:t>
      </w:r>
    </w:p>
    <w:p w14:paraId="379D1A44" w14:textId="77777777" w:rsidR="00492FC8" w:rsidRPr="002A0251" w:rsidRDefault="00492FC8" w:rsidP="00492FC8">
      <w:pPr>
        <w:pStyle w:val="Bibliography"/>
      </w:pPr>
      <w:r w:rsidRPr="002A0251">
        <w:t xml:space="preserve">21. </w:t>
      </w:r>
      <w:r w:rsidRPr="002A0251">
        <w:tab/>
        <w:t xml:space="preserve">Clemens JD, Nair GB, Ahmed T, Qadri F, Holmgren J. Cholera. Lancet Lond Engl. 2017 Sep 23;390(10101):1539–49. </w:t>
      </w:r>
    </w:p>
    <w:p w14:paraId="210580BE" w14:textId="77777777" w:rsidR="00492FC8" w:rsidRPr="002A0251" w:rsidRDefault="00492FC8" w:rsidP="00492FC8">
      <w:pPr>
        <w:pStyle w:val="Bibliography"/>
      </w:pPr>
      <w:r w:rsidRPr="002A0251">
        <w:t xml:space="preserve">22. </w:t>
      </w:r>
      <w:r w:rsidRPr="002A0251">
        <w:tab/>
        <w:t xml:space="preserve">Lessler J, Moore SM, Luquero FJ, McKay HS, Grais R, Henkens M, et al. Mapping the burden of cholera in sub-Saharan Africa and implications for control: an analysis of data across geographical scales. Lancet Lond Engl. 2018 May 12;391(10133):1908–15. </w:t>
      </w:r>
    </w:p>
    <w:p w14:paraId="6B28AAEC" w14:textId="77777777" w:rsidR="00492FC8" w:rsidRPr="002A0251" w:rsidRDefault="00492FC8" w:rsidP="00492FC8">
      <w:pPr>
        <w:pStyle w:val="Bibliography"/>
      </w:pPr>
      <w:r w:rsidRPr="002A0251">
        <w:t xml:space="preserve">23. </w:t>
      </w:r>
      <w:r w:rsidRPr="002A0251">
        <w:tab/>
        <w:t xml:space="preserve">Zheng Q, Luquero FJ, Ciglenecki I, Wamala JF, Abubakar A, Welo P, et al. Cholera outbreaks in sub-Saharan Africa during 2010-2019: a descriptive analysis. Int J Infect Dis. 2022 Sep 1;122:215–21. </w:t>
      </w:r>
    </w:p>
    <w:p w14:paraId="12321EE4" w14:textId="77777777" w:rsidR="00492FC8" w:rsidRPr="002A0251" w:rsidRDefault="00492FC8" w:rsidP="00492FC8">
      <w:pPr>
        <w:pStyle w:val="Bibliography"/>
      </w:pPr>
      <w:r w:rsidRPr="002A0251">
        <w:t xml:space="preserve">24. </w:t>
      </w:r>
      <w:r w:rsidRPr="002A0251">
        <w:tab/>
        <w:t xml:space="preserve">Yen C, Hyde TB, Costa AJ, Fernandez K, Tam JS, Hugonnet S, et al. The development of global vaccine stockpiles. Lancet Infect Dis. 2015 Mar 1;15(3):340–7. </w:t>
      </w:r>
    </w:p>
    <w:p w14:paraId="27D7CDBF" w14:textId="77777777" w:rsidR="00492FC8" w:rsidRPr="002A0251" w:rsidRDefault="00492FC8" w:rsidP="00492FC8">
      <w:pPr>
        <w:pStyle w:val="Bibliography"/>
      </w:pPr>
      <w:r w:rsidRPr="002A0251">
        <w:t xml:space="preserve">25. </w:t>
      </w:r>
      <w:r w:rsidRPr="002A0251">
        <w:tab/>
        <w:t>Global Task Force on Cholera Control. GTFCC OCV Dashboard [Internet]. Available from: https://apps.epicentre-msf.org/public/app/gtfcc</w:t>
      </w:r>
    </w:p>
    <w:p w14:paraId="1CFCE5B7" w14:textId="77777777" w:rsidR="00492FC8" w:rsidRPr="002A0251" w:rsidRDefault="00492FC8" w:rsidP="00492FC8">
      <w:pPr>
        <w:pStyle w:val="Bibliography"/>
      </w:pPr>
      <w:r w:rsidRPr="002A0251">
        <w:t xml:space="preserve">26. </w:t>
      </w:r>
      <w:r w:rsidRPr="002A0251">
        <w:tab/>
        <w:t xml:space="preserve">Lee EC, Azman AS, Kaminsky J, Moore SM, McKay HS, Lessler J. The projected impact of geographic targeting of oral cholera vaccination in sub-Saharan Africa: A modeling study. PLoS Med. 2019 Dec;16(12):e1003003. </w:t>
      </w:r>
    </w:p>
    <w:p w14:paraId="2D056257" w14:textId="77777777" w:rsidR="00492FC8" w:rsidRPr="002A0251" w:rsidRDefault="00492FC8" w:rsidP="00492FC8">
      <w:pPr>
        <w:pStyle w:val="Bibliography"/>
      </w:pPr>
      <w:r w:rsidRPr="002A0251">
        <w:t xml:space="preserve">27. </w:t>
      </w:r>
      <w:r w:rsidRPr="002A0251">
        <w:tab/>
        <w:t xml:space="preserve">Perez-Saez J, Lessler J, Lee EC, Luquero FJ, Malembaka EB, Finger F, et al. The seasonality of cholera in sub-Saharan Africa: a statistical modelling study. Lancet Glob Health. 2022 Jun 1;10(6):e831–9. </w:t>
      </w:r>
    </w:p>
    <w:p w14:paraId="429A7AAC" w14:textId="77777777" w:rsidR="00492FC8" w:rsidRPr="002A0251" w:rsidRDefault="00492FC8" w:rsidP="00492FC8">
      <w:pPr>
        <w:pStyle w:val="Bibliography"/>
      </w:pPr>
      <w:r w:rsidRPr="002A0251">
        <w:t xml:space="preserve">28. </w:t>
      </w:r>
      <w:r w:rsidRPr="002A0251">
        <w:tab/>
        <w:t xml:space="preserve">Bi Q, Ferreras E, Pezzoli L, Legros D, Ivers LC, Date K, et al. Protection against cholera from killed whole-cell oral cholera vaccines: a systematic review and meta-analysis. Lancet Infect Dis. 2017 Oct 1;17(10):1080–8. </w:t>
      </w:r>
    </w:p>
    <w:p w14:paraId="3B60F4DF" w14:textId="77777777" w:rsidR="00492FC8" w:rsidRPr="002A0251" w:rsidRDefault="00492FC8" w:rsidP="00492FC8">
      <w:pPr>
        <w:pStyle w:val="Bibliography"/>
      </w:pPr>
      <w:r w:rsidRPr="002A0251">
        <w:t xml:space="preserve">29. </w:t>
      </w:r>
      <w:r w:rsidRPr="002A0251">
        <w:tab/>
        <w:t xml:space="preserve">Meredith HR, Giles JR, Perez-Saez J, Mande T, Rinaldo A, Mutembo S, et al. Characterizing human mobility patterns in rural settings of sub-Saharan Africa. eLife. 2021 Sep 17;10:e68441. </w:t>
      </w:r>
    </w:p>
    <w:p w14:paraId="119EE76E" w14:textId="77777777" w:rsidR="00492FC8" w:rsidRPr="002A0251" w:rsidRDefault="00492FC8" w:rsidP="00492FC8">
      <w:pPr>
        <w:pStyle w:val="Bibliography"/>
      </w:pPr>
      <w:r w:rsidRPr="002A0251">
        <w:t xml:space="preserve">30. </w:t>
      </w:r>
      <w:r w:rsidRPr="002A0251">
        <w:tab/>
        <w:t xml:space="preserve">Zheng Q, Lee EC. Cholera outbreak time series in Africa between 2010 and 2023. In preparation; </w:t>
      </w:r>
    </w:p>
    <w:p w14:paraId="18212754" w14:textId="77777777" w:rsidR="00492FC8" w:rsidRPr="002A0251" w:rsidRDefault="00492FC8" w:rsidP="00492FC8">
      <w:pPr>
        <w:pStyle w:val="Bibliography"/>
      </w:pPr>
      <w:r w:rsidRPr="002A0251">
        <w:t xml:space="preserve">31. </w:t>
      </w:r>
      <w:r w:rsidRPr="002A0251">
        <w:tab/>
        <w:t xml:space="preserve">Pezzoli L, Oral Cholera Vaccine Working Group of the Global Task Force on Cholera Control. Global oral cholera vaccine use, 2013-2018. Vaccine. 2020 Feb 29;38 Suppl 1(Suppl 1):A132–40. </w:t>
      </w:r>
    </w:p>
    <w:p w14:paraId="4AEE761D" w14:textId="77777777" w:rsidR="00492FC8" w:rsidRPr="002A0251" w:rsidRDefault="00492FC8" w:rsidP="00492FC8">
      <w:pPr>
        <w:pStyle w:val="Bibliography"/>
      </w:pPr>
      <w:r w:rsidRPr="002A0251">
        <w:t xml:space="preserve">32. </w:t>
      </w:r>
      <w:r w:rsidRPr="002A0251">
        <w:tab/>
        <w:t>Johns Hopkins Cholera Dynamics Team. CholeraTaxonomy [Internet]. [cited 2025 Jan 2]. Available from: https://cholera-taxonomy.middle-distance.com/</w:t>
      </w:r>
    </w:p>
    <w:p w14:paraId="39362402" w14:textId="77777777" w:rsidR="00492FC8" w:rsidRPr="002A0251" w:rsidRDefault="00492FC8" w:rsidP="00492FC8">
      <w:pPr>
        <w:pStyle w:val="Bibliography"/>
      </w:pPr>
      <w:r w:rsidRPr="002A0251">
        <w:lastRenderedPageBreak/>
        <w:t xml:space="preserve">33. </w:t>
      </w:r>
      <w:r w:rsidRPr="002A0251">
        <w:tab/>
        <w:t xml:space="preserve">Zheng Q, DePencier R, Demby MN, Azman AS, Lee EC. Cholera surveillance time series in Africa between 2010 and 2023. VeriXiv. 2025;2(116). </w:t>
      </w:r>
    </w:p>
    <w:p w14:paraId="6D1022A9" w14:textId="77777777" w:rsidR="00492FC8" w:rsidRPr="002A0251" w:rsidRDefault="00492FC8" w:rsidP="00492FC8">
      <w:pPr>
        <w:pStyle w:val="Bibliography"/>
      </w:pPr>
      <w:r w:rsidRPr="002A0251">
        <w:t xml:space="preserve">34. </w:t>
      </w:r>
      <w:r w:rsidRPr="002A0251">
        <w:tab/>
        <w:t>GTFCC OCV Dashboard [Internet]. [cited 2024 Nov 7]. Available from: https://apps.epicentre-msf.org/public/app/gtfcc</w:t>
      </w:r>
    </w:p>
    <w:p w14:paraId="1F0EA79B" w14:textId="77777777" w:rsidR="00492FC8" w:rsidRPr="002A0251" w:rsidRDefault="00492FC8" w:rsidP="00492FC8">
      <w:pPr>
        <w:pStyle w:val="Bibliography"/>
      </w:pPr>
      <w:r w:rsidRPr="002A0251">
        <w:t xml:space="preserve">35. </w:t>
      </w:r>
      <w:r w:rsidRPr="002A0251">
        <w:tab/>
        <w:t>Cholera surveillance time series in Africa between 2010 ... | VeriXiv [Internet]. [cited 2025 Jul 9]. Available from: https://verixiv.org/articles/2-116</w:t>
      </w:r>
    </w:p>
    <w:p w14:paraId="1040A2AE" w14:textId="77777777" w:rsidR="00492FC8" w:rsidRPr="002A0251" w:rsidRDefault="00492FC8" w:rsidP="00492FC8">
      <w:pPr>
        <w:pStyle w:val="Bibliography"/>
        <w:rPr>
          <w:lang w:val="de-DE"/>
        </w:rPr>
      </w:pPr>
      <w:r w:rsidRPr="002A0251">
        <w:t xml:space="preserve">36. </w:t>
      </w:r>
      <w:r w:rsidRPr="002A0251">
        <w:tab/>
        <w:t xml:space="preserve">Halloran ME, Struchiner CJ. Study designs for dependent happenings. </w:t>
      </w:r>
      <w:r w:rsidRPr="002A0251">
        <w:rPr>
          <w:lang w:val="de-DE"/>
        </w:rPr>
        <w:t xml:space="preserve">Epidemiol Camb Mass. 1991 Sep;2(5):331–8. </w:t>
      </w:r>
    </w:p>
    <w:p w14:paraId="1AAD979F" w14:textId="77777777" w:rsidR="00492FC8" w:rsidRPr="002A0251" w:rsidRDefault="00492FC8" w:rsidP="00492FC8">
      <w:pPr>
        <w:pStyle w:val="Bibliography"/>
      </w:pPr>
      <w:r w:rsidRPr="002A0251">
        <w:rPr>
          <w:lang w:val="de-DE"/>
        </w:rPr>
        <w:t xml:space="preserve">37. </w:t>
      </w:r>
      <w:r w:rsidRPr="002A0251">
        <w:rPr>
          <w:lang w:val="de-DE"/>
        </w:rPr>
        <w:tab/>
        <w:t xml:space="preserve">Ali M, Emch M, Von Seidlein L, Yunus M, Sack DA, Rao M, et al. </w:t>
      </w:r>
      <w:r w:rsidRPr="002A0251">
        <w:t xml:space="preserve">Herd immunity conferred by killed oral cholera vaccines in Bangladesh: a reanalysis. The Lancet. 2005 Jul;366(9479):44–9. </w:t>
      </w:r>
    </w:p>
    <w:p w14:paraId="109E8143" w14:textId="77777777" w:rsidR="00492FC8" w:rsidRPr="002A0251" w:rsidRDefault="00492FC8" w:rsidP="00492FC8">
      <w:pPr>
        <w:pStyle w:val="Bibliography"/>
      </w:pPr>
      <w:r w:rsidRPr="002A0251">
        <w:t xml:space="preserve">38. </w:t>
      </w:r>
      <w:r w:rsidRPr="002A0251">
        <w:tab/>
        <w:t xml:space="preserve">Peak CM, Reilly AL, Azman AS, Buckee CO. Prolonging herd immunity to cholera via vaccination: Accounting for human mobility and waning vaccine effects. PLoS Negl Trop Dis. 2018 Feb 28;12(2):e0006257. </w:t>
      </w:r>
    </w:p>
    <w:p w14:paraId="2BD19A4B" w14:textId="77777777" w:rsidR="00492FC8" w:rsidRPr="002A0251" w:rsidRDefault="00492FC8" w:rsidP="00492FC8">
      <w:pPr>
        <w:pStyle w:val="Bibliography"/>
      </w:pPr>
      <w:r w:rsidRPr="002A0251">
        <w:t xml:space="preserve">39. </w:t>
      </w:r>
      <w:r w:rsidRPr="002A0251">
        <w:tab/>
        <w:t>Kim JH. cholera-outbreak-vaccine-impact-modeling [Internet]. 2024. Available from: https://github.com/kimfinale/cholera-outbreak-vaccine-impact-modeling</w:t>
      </w:r>
    </w:p>
    <w:p w14:paraId="2318F681" w14:textId="77777777" w:rsidR="00492FC8" w:rsidRPr="002A0251" w:rsidRDefault="00492FC8" w:rsidP="00492FC8">
      <w:pPr>
        <w:pStyle w:val="Bibliography"/>
      </w:pPr>
      <w:r w:rsidRPr="002A0251">
        <w:t xml:space="preserve">40. </w:t>
      </w:r>
      <w:r w:rsidRPr="002A0251">
        <w:tab/>
        <w:t>Ng Ombe H, Simuyandi M, Mwaba J, Luchen CC, Alabi P, Chilyabanyama ON, et al. Immunogenicity and waning immunity from the oral cholera vaccine (Shanchol</w:t>
      </w:r>
      <w:r w:rsidRPr="002A0251">
        <w:rPr>
          <w:vertAlign w:val="superscript"/>
        </w:rPr>
        <w:t>TM</w:t>
      </w:r>
      <w:r w:rsidRPr="002A0251">
        <w:t xml:space="preserve">) in adults residing in Lukanga Swamps of Zambia. PloS One. 2022;17(1):e0262239. </w:t>
      </w:r>
    </w:p>
    <w:p w14:paraId="0FB582BD" w14:textId="77777777" w:rsidR="00492FC8" w:rsidRPr="002A0251" w:rsidRDefault="00492FC8" w:rsidP="00492FC8">
      <w:pPr>
        <w:pStyle w:val="Bibliography"/>
      </w:pPr>
      <w:r w:rsidRPr="002A0251">
        <w:t xml:space="preserve">41. </w:t>
      </w:r>
      <w:r w:rsidRPr="002A0251">
        <w:tab/>
        <w:t xml:space="preserve">Kanungo S, Paisley A, Lopez AL, Bhattacharya M, Manna B, Kim DR, et al. Immune responses following one and two doses of the reformulated, bivalent, killed, whole-cell, oral cholera vaccine among adults and children in Kolkata, India: a randomized, placebo-controlled trial. Vaccine. 2009 Nov 16;27(49):6887–93. </w:t>
      </w:r>
    </w:p>
    <w:p w14:paraId="41655843" w14:textId="77777777" w:rsidR="00492FC8" w:rsidRPr="002A0251" w:rsidRDefault="00492FC8" w:rsidP="00492FC8">
      <w:pPr>
        <w:pStyle w:val="Bibliography"/>
      </w:pPr>
      <w:r w:rsidRPr="002A0251">
        <w:t xml:space="preserve">42. </w:t>
      </w:r>
      <w:r w:rsidRPr="002A0251">
        <w:tab/>
        <w:t xml:space="preserve">Chowdhury F, Bhuiyan TR, Akter A, Bhuiyan MS, Khan AI, Hossain M, et al. Immunogenicity of a killed bivalent whole cell oral cholera vaccine in forcibly displaced Myanmar nationals in Cox’s Bazar, Bangladesh. PLoS Negl Trop Dis. 2020 Mar;14(3):e0007989. </w:t>
      </w:r>
    </w:p>
    <w:p w14:paraId="67F7E6BE" w14:textId="77777777" w:rsidR="00492FC8" w:rsidRPr="002A0251" w:rsidRDefault="00492FC8" w:rsidP="00492FC8">
      <w:pPr>
        <w:pStyle w:val="Bibliography"/>
      </w:pPr>
      <w:r w:rsidRPr="002A0251">
        <w:t xml:space="preserve">43. </w:t>
      </w:r>
      <w:r w:rsidRPr="002A0251">
        <w:tab/>
        <w:t xml:space="preserve">Raghava Mohan V, Raj S, Dhingra MS, Aloysia D’Cor N, Singh AP, Saluja T, et al. Safety and immunogenicity of a killed bivalent (O1 and O139) whole-cell oral cholera vaccine in adults and children in Vellore, South India. Borrow R, editor. PLOS ONE. 2019 Jun 18;14(6):e0218033. </w:t>
      </w:r>
    </w:p>
    <w:p w14:paraId="2C5BF026" w14:textId="77777777" w:rsidR="00492FC8" w:rsidRPr="002A0251" w:rsidRDefault="00492FC8" w:rsidP="00492FC8">
      <w:pPr>
        <w:pStyle w:val="Bibliography"/>
      </w:pPr>
      <w:r w:rsidRPr="002A0251">
        <w:t xml:space="preserve">44. </w:t>
      </w:r>
      <w:r w:rsidRPr="002A0251">
        <w:tab/>
        <w:t xml:space="preserve">Charles RC, Hilaire IJ, Mayo-Smith LM, Teng JE, Jerome JG, Franke MF, et al. Immunogenicity of a killed bivalent (O1 and O139) whole cell oral cholera vaccine, Shanchol, in Haiti. PLoS Negl Trop Dis. 2014 May;8(5):e2828. </w:t>
      </w:r>
    </w:p>
    <w:p w14:paraId="5E18B593" w14:textId="77777777" w:rsidR="00492FC8" w:rsidRPr="002A0251" w:rsidRDefault="00492FC8" w:rsidP="00492FC8">
      <w:pPr>
        <w:pStyle w:val="Bibliography"/>
      </w:pPr>
      <w:r w:rsidRPr="002A0251">
        <w:lastRenderedPageBreak/>
        <w:t xml:space="preserve">45. </w:t>
      </w:r>
      <w:r w:rsidRPr="002A0251">
        <w:tab/>
        <w:t xml:space="preserve">Chac D, Bhuiyan TR, Saha A, Alam MM, Salma U, Jahan N, et al. Gut Microbiota and Development of Vibrio cholerae-Specific Long-Term Memory B Cells in Adults after Whole-Cell Killed Oral Cholera Vaccine. Infect Immun. 2021 Aug 16;89(9):e0021721. </w:t>
      </w:r>
    </w:p>
    <w:p w14:paraId="74FAA516" w14:textId="77777777" w:rsidR="00492FC8" w:rsidRPr="002A0251" w:rsidRDefault="00492FC8" w:rsidP="00492FC8">
      <w:pPr>
        <w:pStyle w:val="Bibliography"/>
      </w:pPr>
      <w:r w:rsidRPr="002A0251">
        <w:t xml:space="preserve">46. </w:t>
      </w:r>
      <w:r w:rsidRPr="002A0251">
        <w:tab/>
        <w:t xml:space="preserve">McCarty JM, Cassie D, Bedell L, Lock MD, Bennett S. Long-Term Immunogenicity of Live Oral Cholera Vaccine CVD 103-HgR in Adolescents Aged 12-17 Years in the United States. Am J Trop Med Hyg. 2021 Apr 5;104(5):1758–60. </w:t>
      </w:r>
    </w:p>
    <w:p w14:paraId="4E9C3148" w14:textId="77777777" w:rsidR="00492FC8" w:rsidRPr="002A0251" w:rsidRDefault="00492FC8" w:rsidP="00492FC8">
      <w:pPr>
        <w:pStyle w:val="Bibliography"/>
      </w:pPr>
      <w:r w:rsidRPr="002A0251">
        <w:t xml:space="preserve">47. </w:t>
      </w:r>
      <w:r w:rsidRPr="002A0251">
        <w:tab/>
        <w:t xml:space="preserve">McCarty JM, Lock MD, Hunt KM, Simon JK, Gurwith M. Safety and immunogenicity of single-dose live oral cholera vaccine strain CVD 103-HgR in healthy adults age 18–45. Vaccine. 2018 Feb;36(6):833–40. </w:t>
      </w:r>
    </w:p>
    <w:p w14:paraId="591B6D66" w14:textId="77777777" w:rsidR="00492FC8" w:rsidRPr="002A0251" w:rsidRDefault="00492FC8" w:rsidP="00492FC8">
      <w:pPr>
        <w:pStyle w:val="Bibliography"/>
      </w:pPr>
      <w:r w:rsidRPr="002A0251">
        <w:t xml:space="preserve">48. </w:t>
      </w:r>
      <w:r w:rsidRPr="002A0251">
        <w:tab/>
        <w:t xml:space="preserve">Chowdhury F, Ali Syed K, Akter A, Rahman Bhuiyan T, Tauheed I, Khaton F, et al. A phase I/II study to evaluate safety, tolerability and immunogenicity of Hillchol®, an inactivated single Hikojima strain based oral cholera vaccine, in a sequentially age descending population in Bangladesh. Vaccine. 2021 Jul 22;39(32):4450–7. </w:t>
      </w:r>
    </w:p>
    <w:p w14:paraId="0C40BE85" w14:textId="77777777" w:rsidR="00492FC8" w:rsidRPr="002A0251" w:rsidRDefault="00492FC8" w:rsidP="00492FC8">
      <w:pPr>
        <w:pStyle w:val="Bibliography"/>
      </w:pPr>
      <w:r w:rsidRPr="002A0251">
        <w:t xml:space="preserve">49. </w:t>
      </w:r>
      <w:r w:rsidRPr="002A0251">
        <w:tab/>
        <w:t xml:space="preserve">Mbewe N, Imamura T, Sivile S, Sinkala A, Zulu P, Chanda C, et al. Clinical Characteristics of 6578 Adult Patients With Cholera Admitted to Community and Referral Cholera Treatment Centers in Lusaka, Zambia, October 2023 to April 2024. Open Forum Infect Dis. 2025 Jun 1;12(6):ofaf277. </w:t>
      </w:r>
    </w:p>
    <w:p w14:paraId="2AD9AD57" w14:textId="77777777" w:rsidR="00492FC8" w:rsidRPr="002A0251" w:rsidRDefault="00492FC8" w:rsidP="00492FC8">
      <w:pPr>
        <w:pStyle w:val="Bibliography"/>
      </w:pPr>
      <w:r w:rsidRPr="002A0251">
        <w:t xml:space="preserve">50. </w:t>
      </w:r>
      <w:r w:rsidRPr="002A0251">
        <w:tab/>
        <w:t xml:space="preserve">GBD 2017 Disease and Injury Incidence and Prevalence Collaborators. Global, regional, and national incidence, prevalence, and years lived with disability for 354 diseases and injuries for 195 countries and territories, 1990-2017: a systematic analysis for the Global Burden of Disease Study 2017. Lancet Lond Engl. 2018 Nov 10;392(10159):1789–858. </w:t>
      </w:r>
    </w:p>
    <w:p w14:paraId="7BDB9ED8" w14:textId="77777777" w:rsidR="00492FC8" w:rsidRPr="002A0251" w:rsidRDefault="00492FC8" w:rsidP="00492FC8">
      <w:pPr>
        <w:pStyle w:val="Bibliography"/>
      </w:pPr>
      <w:r w:rsidRPr="002A0251">
        <w:t xml:space="preserve">51. </w:t>
      </w:r>
      <w:r w:rsidRPr="002A0251">
        <w:tab/>
        <w:t>UNICEF. Oral cholera vaccine (OCV) price data [Internet]. 2024 Oct. Available from: https://www.unicef.org/supply/media/22781/file/OCV-vaccines-prices-29102024.pdf</w:t>
      </w:r>
    </w:p>
    <w:p w14:paraId="3369C62C" w14:textId="77777777" w:rsidR="00492FC8" w:rsidRPr="002A0251" w:rsidRDefault="00492FC8" w:rsidP="00492FC8">
      <w:pPr>
        <w:pStyle w:val="Bibliography"/>
      </w:pPr>
      <w:r w:rsidRPr="002A0251">
        <w:t xml:space="preserve">52. </w:t>
      </w:r>
      <w:r w:rsidRPr="002A0251">
        <w:tab/>
        <w:t xml:space="preserve">Sarker AR, Khan AI, Islam MT, Chowdhury F, Khanam F, Kang S, et al. Cost of oral cholera vaccine delivery in a mass immunization program for children in urban Bangladesh. Vaccine X. 2022 Dec;12:100247. </w:t>
      </w:r>
    </w:p>
    <w:p w14:paraId="7BE449A4" w14:textId="77777777" w:rsidR="00492FC8" w:rsidRPr="002A0251" w:rsidRDefault="00492FC8" w:rsidP="00492FC8">
      <w:pPr>
        <w:pStyle w:val="Bibliography"/>
      </w:pPr>
      <w:r w:rsidRPr="002A0251">
        <w:t xml:space="preserve">53. </w:t>
      </w:r>
      <w:r w:rsidRPr="002A0251">
        <w:tab/>
        <w:t>UNICEF. Emergency stockpile availability - oral cholera vaccine [Internet]. 2024 Nov. Available from: https://www.unicef.org/supply/media/22091/file/EmergencyStockpileAvailabilityReportOCV11112024.pdf</w:t>
      </w:r>
    </w:p>
    <w:p w14:paraId="7FEA199A" w14:textId="77777777" w:rsidR="00492FC8" w:rsidRPr="002A0251" w:rsidRDefault="00492FC8" w:rsidP="00492FC8">
      <w:pPr>
        <w:pStyle w:val="Bibliography"/>
      </w:pPr>
      <w:r w:rsidRPr="002A0251">
        <w:t xml:space="preserve">54. </w:t>
      </w:r>
      <w:r w:rsidRPr="002A0251">
        <w:tab/>
        <w:t xml:space="preserve">Mogasale V, Ngogoyo SM, Mogasale VV. Model-based estimation of the economic burden of cholera in Africa. BMJ Open. 2021 Mar;11(3):e044615. </w:t>
      </w:r>
    </w:p>
    <w:p w14:paraId="52E5210E" w14:textId="77777777" w:rsidR="00492FC8" w:rsidRPr="002A0251" w:rsidRDefault="00492FC8" w:rsidP="00492FC8">
      <w:pPr>
        <w:pStyle w:val="Bibliography"/>
      </w:pPr>
      <w:r w:rsidRPr="002A0251">
        <w:t xml:space="preserve">55. </w:t>
      </w:r>
      <w:r w:rsidRPr="002A0251">
        <w:tab/>
        <w:t xml:space="preserve">Ilboudo PG, Huang XX, Ngwira B, Mwanyungwe A, Mogasale V, Mengel MA, et al. Cost-of-illness of cholera to households and health facilities in rural Malawi. PloS One. 2017;12(9):e0185041. </w:t>
      </w:r>
    </w:p>
    <w:p w14:paraId="3B31F685" w14:textId="77777777" w:rsidR="00492FC8" w:rsidRPr="002A0251" w:rsidRDefault="00492FC8" w:rsidP="00492FC8">
      <w:pPr>
        <w:pStyle w:val="Bibliography"/>
      </w:pPr>
      <w:r w:rsidRPr="002A0251">
        <w:lastRenderedPageBreak/>
        <w:t xml:space="preserve">56. </w:t>
      </w:r>
      <w:r w:rsidRPr="002A0251">
        <w:tab/>
        <w:t xml:space="preserve">Awalime DK, Davies-Teye BBK, Vanotoo LA, Owoo NS, Nketiah-Amponsah E. Economic evaluation of 2014 cholera outbreak in Ghana: a household cost analysis. Health Econ Rev. 2017 Dec 4;7(1):45. </w:t>
      </w:r>
    </w:p>
    <w:p w14:paraId="06CB1D65" w14:textId="77777777" w:rsidR="00492FC8" w:rsidRPr="002A0251" w:rsidRDefault="00492FC8" w:rsidP="00492FC8">
      <w:pPr>
        <w:pStyle w:val="Bibliography"/>
      </w:pPr>
      <w:r w:rsidRPr="002A0251">
        <w:t xml:space="preserve">57. </w:t>
      </w:r>
      <w:r w:rsidRPr="002A0251">
        <w:tab/>
        <w:t xml:space="preserve">Poulos C, Riewpaiboon A, Stewart JF, Clemens J, Guh S, Agtini M, et al. Costs of Illness Due to Endemic Cholera. Epidemiol Infect. 2012 Mar;140(3):10.1017/S0950268811000513. </w:t>
      </w:r>
    </w:p>
    <w:p w14:paraId="39334D56" w14:textId="77777777" w:rsidR="00492FC8" w:rsidRPr="002A0251" w:rsidRDefault="00492FC8" w:rsidP="00492FC8">
      <w:pPr>
        <w:pStyle w:val="Bibliography"/>
        <w:rPr>
          <w:lang w:val="de-DE"/>
        </w:rPr>
      </w:pPr>
      <w:r w:rsidRPr="002A0251">
        <w:t xml:space="preserve">58. </w:t>
      </w:r>
      <w:r w:rsidRPr="002A0251">
        <w:tab/>
        <w:t xml:space="preserve">Schaetti C, Weiss MG, Ali SM, Chaignat CL, Khatib AM, Reyburn R, et al. Costs of illness due to cholera, costs of immunization and cost-effectiveness of an oral cholera mass vaccination campaign in Zanzibar. </w:t>
      </w:r>
      <w:r w:rsidRPr="002A0251">
        <w:rPr>
          <w:lang w:val="de-DE"/>
        </w:rPr>
        <w:t xml:space="preserve">PLoS Negl Trop Dis. 2012;6(10):e1844. </w:t>
      </w:r>
    </w:p>
    <w:p w14:paraId="002AA514" w14:textId="77777777" w:rsidR="00492FC8" w:rsidRPr="002A0251" w:rsidRDefault="00492FC8" w:rsidP="00492FC8">
      <w:pPr>
        <w:pStyle w:val="Bibliography"/>
      </w:pPr>
      <w:r w:rsidRPr="002A0251">
        <w:rPr>
          <w:lang w:val="de-DE"/>
        </w:rPr>
        <w:t xml:space="preserve">59. </w:t>
      </w:r>
      <w:r w:rsidRPr="002A0251">
        <w:rPr>
          <w:lang w:val="de-DE"/>
        </w:rPr>
        <w:tab/>
        <w:t xml:space="preserve">Ohene-Adjei K, Kenu E, Bandoh DA, Addo PNO, Noora CL, Nortey P, et al. </w:t>
      </w:r>
      <w:r w:rsidRPr="002A0251">
        <w:t xml:space="preserve">Epidemiological link of a major cholera outbreak in Greater Accra region of Ghana, 2014. BMC Public Health. 2017 Oct 11;17(1):801. </w:t>
      </w:r>
    </w:p>
    <w:p w14:paraId="7F0B92A7" w14:textId="77777777" w:rsidR="00492FC8" w:rsidRPr="002A0251" w:rsidRDefault="00492FC8" w:rsidP="00492FC8">
      <w:pPr>
        <w:pStyle w:val="Bibliography"/>
      </w:pPr>
      <w:r w:rsidRPr="002A0251">
        <w:t xml:space="preserve">60. </w:t>
      </w:r>
      <w:r w:rsidRPr="002A0251">
        <w:tab/>
        <w:t xml:space="preserve">Azman AS, Parker LA, Rumunu J, Tadesse F, Grandesso F, Deng LL, et al. Effectiveness of one dose of oral cholera vaccine in response to an outbreak: a case-cohort study. Lancet Glob Health. 2016 Nov 1;4(11):e856–63. </w:t>
      </w:r>
    </w:p>
    <w:p w14:paraId="7A061F2E" w14:textId="77777777" w:rsidR="00492FC8" w:rsidRPr="002A0251" w:rsidRDefault="00492FC8" w:rsidP="00492FC8">
      <w:pPr>
        <w:pStyle w:val="Bibliography"/>
      </w:pPr>
      <w:r w:rsidRPr="002A0251">
        <w:t xml:space="preserve">61. </w:t>
      </w:r>
      <w:r w:rsidRPr="002A0251">
        <w:tab/>
        <w:t xml:space="preserve">Luquero FJ, Grout L, Ciglenecki I, Sakoba K, Traore B, Heile M, et al. Use of Vibrio cholerae Vaccine in an Outbreak in Guinea. N Engl J Med. 2014 May 29;370(22):2111–20. </w:t>
      </w:r>
    </w:p>
    <w:p w14:paraId="57E7225E" w14:textId="77777777" w:rsidR="00492FC8" w:rsidRPr="002A0251" w:rsidRDefault="00492FC8" w:rsidP="00492FC8">
      <w:pPr>
        <w:pStyle w:val="Bibliography"/>
      </w:pPr>
      <w:r w:rsidRPr="002A0251">
        <w:t xml:space="preserve">62. </w:t>
      </w:r>
      <w:r w:rsidRPr="002A0251">
        <w:tab/>
        <w:t xml:space="preserve">Weil AA, Khan AI, Chowdhury F, Larocque RC, Faruque ASG, Ryan ET, et al. Clinical outcomes in household contacts of patients with cholera in Bangladesh. Clin Infect Dis Off Publ Infect Dis Soc Am. 2009 Nov 15;49(10):1473–9. </w:t>
      </w:r>
    </w:p>
    <w:p w14:paraId="591E5753" w14:textId="77777777" w:rsidR="00492FC8" w:rsidRPr="002A0251" w:rsidRDefault="00492FC8" w:rsidP="00492FC8">
      <w:pPr>
        <w:pStyle w:val="Bibliography"/>
      </w:pPr>
      <w:r w:rsidRPr="002A0251">
        <w:t xml:space="preserve">63. </w:t>
      </w:r>
      <w:r w:rsidRPr="002A0251">
        <w:tab/>
        <w:t>United Nations, Department of Economic and Social Affairs, Population Division. World Population Prospects 2024, Online Edition [Internet]. 2024. Available from: https://population.un.org/wpp/Download/Standard/Mortality/</w:t>
      </w:r>
    </w:p>
    <w:p w14:paraId="7C08E98F" w14:textId="77777777" w:rsidR="00492FC8" w:rsidRPr="002A0251" w:rsidRDefault="00492FC8" w:rsidP="00492FC8">
      <w:pPr>
        <w:pStyle w:val="Bibliography"/>
      </w:pPr>
      <w:r w:rsidRPr="002A0251">
        <w:t xml:space="preserve">64. </w:t>
      </w:r>
      <w:r w:rsidRPr="002A0251">
        <w:tab/>
        <w:t>World Bank Group. GDP per capita (current US$) [Internet]. Available from: https://data.worldbank.org/indicator/NY.GDP.PCAP.CD</w:t>
      </w:r>
    </w:p>
    <w:p w14:paraId="7CF50E0E" w14:textId="77777777" w:rsidR="00492FC8" w:rsidRPr="002A0251" w:rsidRDefault="00492FC8" w:rsidP="00492FC8">
      <w:pPr>
        <w:pStyle w:val="Bibliography"/>
      </w:pPr>
      <w:r w:rsidRPr="002A0251">
        <w:t xml:space="preserve">65. </w:t>
      </w:r>
      <w:r w:rsidRPr="002A0251">
        <w:tab/>
        <w:t>World Bank Group. Labor force participation rate, total (% of total population ages 15-64) (modeled ILO estimate) [Internet]. Available from: https://data.worldbank.org/indicator/SL.TLF.ACTI.ZS?end=2023&amp;start=1960</w:t>
      </w:r>
    </w:p>
    <w:p w14:paraId="602919B5" w14:textId="77777777" w:rsidR="00492FC8" w:rsidRPr="002A0251" w:rsidRDefault="00492FC8" w:rsidP="00492FC8">
      <w:pPr>
        <w:pStyle w:val="Bibliography"/>
      </w:pPr>
      <w:r w:rsidRPr="002A0251">
        <w:t xml:space="preserve">66. </w:t>
      </w:r>
      <w:r w:rsidRPr="002A0251">
        <w:tab/>
        <w:t xml:space="preserve">Pezzoli L. Global oral cholera vaccine use, 2013–2018. Vaccine. 2020 Feb;38:A132–40. </w:t>
      </w:r>
    </w:p>
    <w:p w14:paraId="23CC20E1" w14:textId="77777777" w:rsidR="00492FC8" w:rsidRPr="002A0251" w:rsidRDefault="00492FC8" w:rsidP="00492FC8">
      <w:pPr>
        <w:pStyle w:val="Bibliography"/>
      </w:pPr>
      <w:r w:rsidRPr="002A0251">
        <w:t xml:space="preserve">67. </w:t>
      </w:r>
      <w:r w:rsidRPr="002A0251">
        <w:tab/>
        <w:t xml:space="preserve">Edosa M, Jeon Y, Gedefaw A, Hailu D, Mesfin Getachew E, Mogeni OD, et al. Comprehensive Review on the Use of Oral Cholera Vaccine (OCV) in Ethiopia: 2019 to 2023. Clin Infect Dis Off Publ Infect Dis Soc Am. 2024 Jul 12;79(Suppl 1):S20–32. </w:t>
      </w:r>
    </w:p>
    <w:p w14:paraId="69160F55" w14:textId="77777777" w:rsidR="00492FC8" w:rsidRPr="002A0251" w:rsidRDefault="00492FC8" w:rsidP="00492FC8">
      <w:pPr>
        <w:pStyle w:val="Bibliography"/>
      </w:pPr>
      <w:r w:rsidRPr="002A0251">
        <w:rPr>
          <w:lang w:val="de-DE"/>
        </w:rPr>
        <w:lastRenderedPageBreak/>
        <w:t xml:space="preserve">68. </w:t>
      </w:r>
      <w:r w:rsidRPr="002A0251">
        <w:rPr>
          <w:lang w:val="de-DE"/>
        </w:rPr>
        <w:tab/>
        <w:t xml:space="preserve">Mogasale V, Ramani E, Wee H, Kim JH. </w:t>
      </w:r>
      <w:r w:rsidRPr="002A0251">
        <w:t xml:space="preserve">Oral Cholera Vaccination Delivery Cost in Low- and Middle-Income Countries: An Analysis Based on Systematic Review. Ryan ET, editor. PLoS Negl Trop Dis. 2016 Dec 8;10(12):e0005124. </w:t>
      </w:r>
    </w:p>
    <w:p w14:paraId="0E57278B" w14:textId="77777777" w:rsidR="00492FC8" w:rsidRPr="002A0251" w:rsidRDefault="00492FC8" w:rsidP="00492FC8">
      <w:pPr>
        <w:pStyle w:val="Bibliography"/>
      </w:pPr>
      <w:r w:rsidRPr="002A0251">
        <w:t xml:space="preserve">69. </w:t>
      </w:r>
      <w:r w:rsidRPr="002A0251">
        <w:tab/>
        <w:t xml:space="preserve">Turner HC, Lauer JA, Tran BX, Teerawattananon Y, Jit M. Adjusting for Inflation and Currency Changes Within Health Economic Studies. Value Health. 2019 Sep;22(9):1026–32. </w:t>
      </w:r>
    </w:p>
    <w:p w14:paraId="4094B60B" w14:textId="77777777" w:rsidR="00492FC8" w:rsidRPr="002A0251" w:rsidRDefault="00492FC8" w:rsidP="00492FC8">
      <w:pPr>
        <w:pStyle w:val="Bibliography"/>
      </w:pPr>
      <w:r w:rsidRPr="002A0251">
        <w:t xml:space="preserve">70. </w:t>
      </w:r>
      <w:r w:rsidRPr="002A0251">
        <w:tab/>
        <w:t>Bureau of Labor Statistics. Math calculations to better utilize CPI data [Internet]. Bureau of Labor Statistics; Available from: https://www.bls.gov/cpi/factsheets/cpi-math-calculations.pdf</w:t>
      </w:r>
    </w:p>
    <w:p w14:paraId="2418A6D4" w14:textId="77777777" w:rsidR="00492FC8" w:rsidRPr="002A0251" w:rsidRDefault="00492FC8" w:rsidP="00492FC8">
      <w:pPr>
        <w:pStyle w:val="Bibliography"/>
      </w:pPr>
      <w:r w:rsidRPr="002A0251">
        <w:t xml:space="preserve">71. </w:t>
      </w:r>
      <w:r w:rsidRPr="002A0251">
        <w:tab/>
        <w:t xml:space="preserve">Girotto CD, Behzadian K, Musah A, Chen AS, Djordjević S, Nichols G, et al. Analysis of environmental factors influencing endemic cholera risks in sub-Saharan Africa. Sci Total Environ. 2024 May 20;926:171896. </w:t>
      </w:r>
    </w:p>
    <w:p w14:paraId="60C4DCE5" w14:textId="77777777" w:rsidR="00492FC8" w:rsidRPr="002A0251" w:rsidRDefault="00492FC8" w:rsidP="00492FC8">
      <w:pPr>
        <w:pStyle w:val="Bibliography"/>
      </w:pPr>
      <w:r w:rsidRPr="002A0251">
        <w:t xml:space="preserve">72. </w:t>
      </w:r>
      <w:r w:rsidRPr="002A0251">
        <w:tab/>
        <w:t xml:space="preserve">Koepke AA, Longini IM, Halloran ME, Wakefield J, Minin VN. PREDICTIVE MODELING OF CHOLERA OUTBREAKS IN BANGLADESH. Ann Appl Stat. 2016 Jun;10(2):575–95. </w:t>
      </w:r>
    </w:p>
    <w:p w14:paraId="7B5B1AC6" w14:textId="77777777" w:rsidR="00492FC8" w:rsidRPr="002A0251" w:rsidRDefault="00492FC8" w:rsidP="00492FC8">
      <w:pPr>
        <w:pStyle w:val="Bibliography"/>
      </w:pPr>
      <w:r w:rsidRPr="002A0251">
        <w:t xml:space="preserve">73. </w:t>
      </w:r>
      <w:r w:rsidRPr="002A0251">
        <w:tab/>
        <w:t xml:space="preserve">Armando CJ, Rocklöv J, Sidat M, Tozan Y, Mavume AF, Bunker A, et al. Spatial-temporal analysis of climate and socioeconomic conditions on cholera incidence in Mozambique from 2000 to 2018: an ecological longitudinal retrospective study. BMJ Open. 2024 Aug;14(8):e082503. </w:t>
      </w:r>
    </w:p>
    <w:p w14:paraId="711F191C" w14:textId="77777777" w:rsidR="00492FC8" w:rsidRPr="002A0251" w:rsidRDefault="00492FC8" w:rsidP="00492FC8">
      <w:pPr>
        <w:pStyle w:val="Bibliography"/>
      </w:pPr>
      <w:r w:rsidRPr="002A0251">
        <w:t xml:space="preserve">74. </w:t>
      </w:r>
      <w:r w:rsidRPr="002A0251">
        <w:tab/>
        <w:t xml:space="preserve">Ali M, Sen Gupta S, Arora N, Khasnobis P, Venkatesh S, Sur D, et al. Identification of burden hotspots and risk factors for cholera in India: An observational study. Moise IK, editor. PLOS ONE. 2017 Aug 24;12(8):e0183100. </w:t>
      </w:r>
    </w:p>
    <w:p w14:paraId="511338B0" w14:textId="77777777" w:rsidR="00492FC8" w:rsidRPr="002A0251" w:rsidRDefault="00492FC8" w:rsidP="00492FC8">
      <w:pPr>
        <w:pStyle w:val="Bibliography"/>
        <w:rPr>
          <w:lang w:val="de-DE"/>
        </w:rPr>
      </w:pPr>
      <w:r w:rsidRPr="002A0251">
        <w:t xml:space="preserve">75. </w:t>
      </w:r>
      <w:r w:rsidRPr="002A0251">
        <w:tab/>
        <w:t xml:space="preserve">Lee EC, Azman AS, Kaminsky J, Moore SM, McKay HS, Lessler J. The projected impact of geographic targeting of oral cholera vaccination in sub-Saharan Africa: A modeling study. </w:t>
      </w:r>
      <w:r w:rsidRPr="002A0251">
        <w:rPr>
          <w:lang w:val="de-DE"/>
        </w:rPr>
        <w:t xml:space="preserve">Kretzschmar MEE, editor. PLOS Med. 2019 Dec 11;16(12):e1003003. </w:t>
      </w:r>
    </w:p>
    <w:p w14:paraId="697298F8" w14:textId="77777777" w:rsidR="00492FC8" w:rsidRPr="002A0251" w:rsidRDefault="00492FC8" w:rsidP="00492FC8">
      <w:pPr>
        <w:pStyle w:val="Bibliography"/>
      </w:pPr>
      <w:r w:rsidRPr="002A0251">
        <w:rPr>
          <w:lang w:val="de-DE"/>
        </w:rPr>
        <w:t xml:space="preserve">76. </w:t>
      </w:r>
      <w:r w:rsidRPr="002A0251">
        <w:rPr>
          <w:lang w:val="de-DE"/>
        </w:rPr>
        <w:tab/>
        <w:t xml:space="preserve">Delport D, Muellenmeister AM, MacKechnie G, Vaccher S, Mengistu T, Hogan D, et al. </w:t>
      </w:r>
      <w:r w:rsidRPr="002A0251">
        <w:t>Estimating the historical impact of outbreak response immunization programs across 210 outbreaks in LMICs [Internet]. medRxiv; 2024 [cited 2025 Feb 21]. p. 2024.06.02.24308241. Available from: https://www.medrxiv.org/content/10.1101/2024.06.02.24308241v1</w:t>
      </w:r>
    </w:p>
    <w:p w14:paraId="6C63448C" w14:textId="77777777" w:rsidR="00492FC8" w:rsidRPr="002A0251" w:rsidRDefault="00492FC8" w:rsidP="00492FC8">
      <w:pPr>
        <w:pStyle w:val="Bibliography"/>
      </w:pPr>
      <w:r w:rsidRPr="002A0251">
        <w:t xml:space="preserve">77. </w:t>
      </w:r>
      <w:r w:rsidRPr="002A0251">
        <w:tab/>
        <w:t xml:space="preserve">Sikder M, Altare C, Doocy S, Trowbridge D, Kaur G, Kaushal N, et al. Case-area targeted preventive interventions to interrupt cholera transmission: Current implementation practices and lessons learned. PLoS Negl Trop Dis. 2021 Dec;15(12):e0010042. </w:t>
      </w:r>
    </w:p>
    <w:p w14:paraId="3749A2A0" w14:textId="77777777" w:rsidR="00492FC8" w:rsidRPr="002A0251" w:rsidRDefault="00492FC8" w:rsidP="00492FC8">
      <w:pPr>
        <w:pStyle w:val="Bibliography"/>
      </w:pPr>
      <w:r w:rsidRPr="002A0251">
        <w:t xml:space="preserve">78. </w:t>
      </w:r>
      <w:r w:rsidRPr="002A0251">
        <w:tab/>
        <w:t xml:space="preserve">OKeeffe J, Salem-Bango L, Desjardins MR, Lantagne D, Altare C, Kaur G, et al. Case-area targeted interventions during a large-scale cholera epidemic: A prospective cohort study in Northeast Nigeria. PLoS Med. 2024 May;21(5):e1004404. </w:t>
      </w:r>
    </w:p>
    <w:p w14:paraId="1EF0A008" w14:textId="77777777" w:rsidR="00492FC8" w:rsidRPr="002A0251" w:rsidRDefault="00492FC8" w:rsidP="00492FC8">
      <w:pPr>
        <w:pStyle w:val="Bibliography"/>
      </w:pPr>
      <w:r w:rsidRPr="002A0251">
        <w:lastRenderedPageBreak/>
        <w:t xml:space="preserve">79. </w:t>
      </w:r>
      <w:r w:rsidRPr="002A0251">
        <w:tab/>
        <w:t xml:space="preserve">Kaur G, Salem-Bango L, Nery ALMDS, Solomon EC, Ihemezue E, Kelly C, et al. Implementation considerations in case-area targeted interventions to prevent cholera transmission in Northeast Nigeria: A qualitative analysis. PLoS Negl Trop Dis. 2023 Apr;17(4):e0011298. </w:t>
      </w:r>
    </w:p>
    <w:p w14:paraId="10380676" w14:textId="77777777" w:rsidR="00492FC8" w:rsidRPr="002A0251" w:rsidRDefault="00492FC8" w:rsidP="00492FC8">
      <w:pPr>
        <w:pStyle w:val="Bibliography"/>
        <w:rPr>
          <w:lang w:val="de-DE"/>
        </w:rPr>
      </w:pPr>
      <w:r w:rsidRPr="002A0251">
        <w:t xml:space="preserve">80. </w:t>
      </w:r>
      <w:r w:rsidRPr="002A0251">
        <w:tab/>
        <w:t xml:space="preserve">Lessler J, Metcalf CJE, Grais RF, Luquero FJ, Cummings DAT, Grenfell BT. Measuring the Performance of Vaccination Programs Using Cross-Sectional Surveys: A Likelihood Framework and Retrospective Analysis. </w:t>
      </w:r>
      <w:r w:rsidRPr="002A0251">
        <w:rPr>
          <w:lang w:val="de-DE"/>
        </w:rPr>
        <w:t xml:space="preserve">PLOS Med. 2011 25;8(10):e1001110. </w:t>
      </w:r>
    </w:p>
    <w:p w14:paraId="505C8F25" w14:textId="77777777" w:rsidR="00492FC8" w:rsidRPr="002A0251" w:rsidRDefault="00492FC8" w:rsidP="00492FC8">
      <w:pPr>
        <w:pStyle w:val="Bibliography"/>
        <w:rPr>
          <w:lang w:val="de-DE"/>
        </w:rPr>
      </w:pPr>
      <w:r w:rsidRPr="002A0251">
        <w:rPr>
          <w:lang w:val="de-DE"/>
        </w:rPr>
        <w:t xml:space="preserve">81. </w:t>
      </w:r>
      <w:r w:rsidRPr="002A0251">
        <w:rPr>
          <w:lang w:val="de-DE"/>
        </w:rPr>
        <w:tab/>
        <w:t xml:space="preserve">Ali M, Qadri F, Kim DR, Islam T, Im J, Ahmmed F, et al. </w:t>
      </w:r>
      <w:r w:rsidRPr="002A0251">
        <w:t xml:space="preserve">Unmasking herd protection by an oral cholera vaccine in a cluster-randomized trial. </w:t>
      </w:r>
      <w:r w:rsidRPr="002A0251">
        <w:rPr>
          <w:lang w:val="de-DE"/>
        </w:rPr>
        <w:t xml:space="preserve">Int J Epidemiol. 2019 Aug 1;48(4):1252–61. </w:t>
      </w:r>
    </w:p>
    <w:p w14:paraId="09EC53B7" w14:textId="77777777" w:rsidR="00492FC8" w:rsidRPr="002A0251" w:rsidRDefault="00492FC8" w:rsidP="00492FC8">
      <w:pPr>
        <w:pStyle w:val="Bibliography"/>
      </w:pPr>
      <w:r w:rsidRPr="002A0251">
        <w:rPr>
          <w:lang w:val="de-DE"/>
        </w:rPr>
        <w:t xml:space="preserve">82. </w:t>
      </w:r>
      <w:r w:rsidRPr="002A0251">
        <w:rPr>
          <w:lang w:val="de-DE"/>
        </w:rPr>
        <w:tab/>
        <w:t xml:space="preserve">Khatib AM, Ali M, Seidlein L von, Kim DR, Hashim R, Reyburn R, et al. </w:t>
      </w:r>
      <w:r w:rsidRPr="002A0251">
        <w:t xml:space="preserve">Effectiveness of an oral cholera vaccine in Zanzibar: findings from a mass vaccination campaign and observational cohort study. Lancet Infect Dis. 2012 Nov 1;12(11):837–44. </w:t>
      </w:r>
    </w:p>
    <w:p w14:paraId="4A543BB7" w14:textId="77777777" w:rsidR="00492FC8" w:rsidRPr="002A0251" w:rsidRDefault="00492FC8" w:rsidP="00492FC8">
      <w:pPr>
        <w:pStyle w:val="Bibliography"/>
        <w:rPr>
          <w:lang w:val="de-DE"/>
        </w:rPr>
      </w:pPr>
      <w:r w:rsidRPr="002A0251">
        <w:t xml:space="preserve">83. </w:t>
      </w:r>
      <w:r w:rsidRPr="002A0251">
        <w:tab/>
        <w:t xml:space="preserve">Ali M, Sur D, You YA, Kanungo S, Sah B, Manna B, et al. Herd Protection by a Bivalent Killed Whole-Cell Oral Cholera Vaccine in the Slums of Kolkata, India. </w:t>
      </w:r>
      <w:r w:rsidRPr="002A0251">
        <w:rPr>
          <w:lang w:val="de-DE"/>
        </w:rPr>
        <w:t xml:space="preserve">Clin Infect Dis. 2013 Apr 15;56(8):1123–31. </w:t>
      </w:r>
    </w:p>
    <w:p w14:paraId="1C83CA14" w14:textId="77777777" w:rsidR="00492FC8" w:rsidRPr="002A0251" w:rsidRDefault="00492FC8" w:rsidP="00492FC8">
      <w:pPr>
        <w:pStyle w:val="Bibliography"/>
      </w:pPr>
      <w:r w:rsidRPr="002A0251">
        <w:rPr>
          <w:lang w:val="de-DE"/>
        </w:rPr>
        <w:t xml:space="preserve">84. </w:t>
      </w:r>
      <w:r w:rsidRPr="002A0251">
        <w:rPr>
          <w:lang w:val="de-DE"/>
        </w:rPr>
        <w:tab/>
        <w:t xml:space="preserve">Ali M, Emch M, Seidlein L von, Yunus M, Sack DA, Rao M, et al. </w:t>
      </w:r>
      <w:r w:rsidRPr="002A0251">
        <w:t xml:space="preserve">Herd immunity conferred by killed oral cholera vaccines in Bangladesh: a reanalysis. The Lancet. 2005 Jul 2;366(9479):44–9. </w:t>
      </w:r>
    </w:p>
    <w:p w14:paraId="06EC18A4" w14:textId="77777777" w:rsidR="00492FC8" w:rsidRPr="002A0251" w:rsidRDefault="00492FC8" w:rsidP="00492FC8">
      <w:pPr>
        <w:pStyle w:val="Bibliography"/>
      </w:pPr>
      <w:r w:rsidRPr="002A0251">
        <w:t xml:space="preserve">85. </w:t>
      </w:r>
      <w:r w:rsidRPr="002A0251">
        <w:tab/>
        <w:t xml:space="preserve">Wiens KE, Xu H, Zou K, Mwaba J, Lessler J, Malembaka EB, et al. Estimating the proportion of clinically suspected cholera cases that are true Vibrio cholerae infections: A systematic review and meta-analysis. PLoS Med. 2023 Sep;20(9):e1004286. </w:t>
      </w:r>
    </w:p>
    <w:p w14:paraId="2A7A07F9" w14:textId="77777777" w:rsidR="00492FC8" w:rsidRPr="002A0251" w:rsidRDefault="00492FC8" w:rsidP="00492FC8">
      <w:pPr>
        <w:pStyle w:val="Bibliography"/>
      </w:pPr>
      <w:r w:rsidRPr="002A0251">
        <w:t xml:space="preserve">86. </w:t>
      </w:r>
      <w:r w:rsidRPr="002A0251">
        <w:tab/>
        <w:t xml:space="preserve">Wiens KE, Miller MH, Costello DJ, Solomon AP, Hilbert SM, Shipper AG, et al. Care-seeking for diarrheal illness: A systematic review and meta-analysis. PLOS Glob Public Health. 2025 Apr 22;5(4):e0004483. </w:t>
      </w:r>
    </w:p>
    <w:p w14:paraId="42A40EB1" w14:textId="15185DDC" w:rsidR="0091469E" w:rsidRPr="006C2B5B" w:rsidRDefault="0091469E" w:rsidP="00F57F15">
      <w:pPr>
        <w:rPr>
          <w:lang w:val="de-DE"/>
        </w:rPr>
      </w:pPr>
      <w:r w:rsidRPr="002A0251">
        <w:rPr>
          <w:lang w:val="de-DE"/>
        </w:rPr>
        <w:fldChar w:fldCharType="end"/>
      </w:r>
    </w:p>
    <w:sectPr w:rsidR="0091469E" w:rsidRPr="006C2B5B">
      <w:pgSz w:w="12240" w:h="15840"/>
      <w:pgMar w:top="1440" w:right="135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D4856F" w14:textId="77777777" w:rsidR="005B08C6" w:rsidRDefault="005B08C6" w:rsidP="00F57F15">
      <w:r>
        <w:separator/>
      </w:r>
    </w:p>
  </w:endnote>
  <w:endnote w:type="continuationSeparator" w:id="0">
    <w:p w14:paraId="1421ABB7" w14:textId="77777777" w:rsidR="005B08C6" w:rsidRDefault="005B08C6" w:rsidP="00F57F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panose1 w:val="00000000000000000000"/>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A78AF7" w14:textId="77777777" w:rsidR="005B08C6" w:rsidRDefault="005B08C6" w:rsidP="00F57F15">
      <w:r>
        <w:separator/>
      </w:r>
    </w:p>
  </w:footnote>
  <w:footnote w:type="continuationSeparator" w:id="0">
    <w:p w14:paraId="717BACBA" w14:textId="77777777" w:rsidR="005B08C6" w:rsidRDefault="005B08C6" w:rsidP="00F57F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A48CA"/>
    <w:multiLevelType w:val="hybridMultilevel"/>
    <w:tmpl w:val="1FE05C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C2B433B"/>
    <w:multiLevelType w:val="hybridMultilevel"/>
    <w:tmpl w:val="131A2FDA"/>
    <w:lvl w:ilvl="0" w:tplc="1DC452E8">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D07E53"/>
    <w:multiLevelType w:val="multilevel"/>
    <w:tmpl w:val="259C5E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236356A"/>
    <w:multiLevelType w:val="multilevel"/>
    <w:tmpl w:val="B78C2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2E9099E"/>
    <w:multiLevelType w:val="hybridMultilevel"/>
    <w:tmpl w:val="86E0B92E"/>
    <w:lvl w:ilvl="0" w:tplc="D5E402FA">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B181D"/>
    <w:multiLevelType w:val="hybridMultilevel"/>
    <w:tmpl w:val="394C84D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80778D7"/>
    <w:multiLevelType w:val="hybridMultilevel"/>
    <w:tmpl w:val="FD08CC8A"/>
    <w:lvl w:ilvl="0" w:tplc="8A0C8C5A">
      <w:numFmt w:val="bullet"/>
      <w:lvlText w:val=""/>
      <w:lvlJc w:val="left"/>
      <w:pPr>
        <w:ind w:left="720" w:hanging="360"/>
      </w:pPr>
      <w:rPr>
        <w:rFonts w:ascii="Symbol" w:eastAsiaTheme="minorEastAsia"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12F4EC8"/>
    <w:multiLevelType w:val="hybridMultilevel"/>
    <w:tmpl w:val="ACBE8B24"/>
    <w:lvl w:ilvl="0" w:tplc="15D84904">
      <w:numFmt w:val="bullet"/>
      <w:lvlText w:val=""/>
      <w:lvlJc w:val="left"/>
      <w:pPr>
        <w:ind w:left="360" w:hanging="360"/>
      </w:pPr>
      <w:rPr>
        <w:rFonts w:ascii="Symbol" w:eastAsiaTheme="minorEastAsia" w:hAnsi="Symbo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518E7AE1"/>
    <w:multiLevelType w:val="multilevel"/>
    <w:tmpl w:val="B3ECED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53E11695"/>
    <w:multiLevelType w:val="multilevel"/>
    <w:tmpl w:val="ED7EA3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 w15:restartNumberingAfterBreak="0">
    <w:nsid w:val="5D9729BE"/>
    <w:multiLevelType w:val="multilevel"/>
    <w:tmpl w:val="1444CE0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5F3E1DC1"/>
    <w:multiLevelType w:val="multilevel"/>
    <w:tmpl w:val="682CE6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15:restartNumberingAfterBreak="0">
    <w:nsid w:val="61EA27E4"/>
    <w:multiLevelType w:val="hybridMultilevel"/>
    <w:tmpl w:val="865CEC2A"/>
    <w:lvl w:ilvl="0" w:tplc="4A2E18D8">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67950DA9"/>
    <w:multiLevelType w:val="hybridMultilevel"/>
    <w:tmpl w:val="7F6832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A2358A6"/>
    <w:multiLevelType w:val="hybridMultilevel"/>
    <w:tmpl w:val="5E765FE8"/>
    <w:lvl w:ilvl="0" w:tplc="D7AA2784">
      <w:numFmt w:val="bullet"/>
      <w:lvlText w:val="-"/>
      <w:lvlJc w:val="left"/>
      <w:pPr>
        <w:ind w:left="720" w:hanging="360"/>
      </w:pPr>
      <w:rPr>
        <w:rFonts w:ascii="Aptos" w:eastAsiaTheme="minorEastAsia" w:hAnsi="Apto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2390957">
    <w:abstractNumId w:val="9"/>
  </w:num>
  <w:num w:numId="2" w16cid:durableId="1849833219">
    <w:abstractNumId w:val="8"/>
  </w:num>
  <w:num w:numId="3" w16cid:durableId="298729548">
    <w:abstractNumId w:val="11"/>
  </w:num>
  <w:num w:numId="4" w16cid:durableId="1003583786">
    <w:abstractNumId w:val="10"/>
  </w:num>
  <w:num w:numId="5" w16cid:durableId="1532298304">
    <w:abstractNumId w:val="2"/>
  </w:num>
  <w:num w:numId="6" w16cid:durableId="1729299850">
    <w:abstractNumId w:val="12"/>
  </w:num>
  <w:num w:numId="7" w16cid:durableId="1717197053">
    <w:abstractNumId w:val="5"/>
  </w:num>
  <w:num w:numId="8" w16cid:durableId="754012049">
    <w:abstractNumId w:val="6"/>
  </w:num>
  <w:num w:numId="9" w16cid:durableId="593559745">
    <w:abstractNumId w:val="0"/>
  </w:num>
  <w:num w:numId="10" w16cid:durableId="1431730596">
    <w:abstractNumId w:val="13"/>
  </w:num>
  <w:num w:numId="11" w16cid:durableId="1692105660">
    <w:abstractNumId w:val="3"/>
  </w:num>
  <w:num w:numId="12" w16cid:durableId="1975403864">
    <w:abstractNumId w:val="7"/>
  </w:num>
  <w:num w:numId="13" w16cid:durableId="449861837">
    <w:abstractNumId w:val="14"/>
  </w:num>
  <w:num w:numId="14" w16cid:durableId="499781609">
    <w:abstractNumId w:val="1"/>
  </w:num>
  <w:num w:numId="15" w16cid:durableId="2741449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552A"/>
    <w:rsid w:val="00000724"/>
    <w:rsid w:val="00000FB2"/>
    <w:rsid w:val="000010BB"/>
    <w:rsid w:val="00001A62"/>
    <w:rsid w:val="00001FA9"/>
    <w:rsid w:val="0000324B"/>
    <w:rsid w:val="00003973"/>
    <w:rsid w:val="00004374"/>
    <w:rsid w:val="00004AA3"/>
    <w:rsid w:val="00005545"/>
    <w:rsid w:val="00005E29"/>
    <w:rsid w:val="00005F2F"/>
    <w:rsid w:val="00007059"/>
    <w:rsid w:val="00010892"/>
    <w:rsid w:val="00010E50"/>
    <w:rsid w:val="00011160"/>
    <w:rsid w:val="00012CE2"/>
    <w:rsid w:val="0001318D"/>
    <w:rsid w:val="00014662"/>
    <w:rsid w:val="000156F0"/>
    <w:rsid w:val="0001799C"/>
    <w:rsid w:val="00017EEE"/>
    <w:rsid w:val="00020AD1"/>
    <w:rsid w:val="0002170C"/>
    <w:rsid w:val="000218B3"/>
    <w:rsid w:val="00022BDE"/>
    <w:rsid w:val="00022FC0"/>
    <w:rsid w:val="000234E6"/>
    <w:rsid w:val="00023E55"/>
    <w:rsid w:val="00024C43"/>
    <w:rsid w:val="00025C83"/>
    <w:rsid w:val="00027492"/>
    <w:rsid w:val="000275CA"/>
    <w:rsid w:val="00027F63"/>
    <w:rsid w:val="00030182"/>
    <w:rsid w:val="000305FB"/>
    <w:rsid w:val="00031D13"/>
    <w:rsid w:val="000331C4"/>
    <w:rsid w:val="00035690"/>
    <w:rsid w:val="0003631E"/>
    <w:rsid w:val="0003655B"/>
    <w:rsid w:val="0003720E"/>
    <w:rsid w:val="00037AA9"/>
    <w:rsid w:val="000403F9"/>
    <w:rsid w:val="00040BD4"/>
    <w:rsid w:val="00042679"/>
    <w:rsid w:val="00043731"/>
    <w:rsid w:val="00043944"/>
    <w:rsid w:val="000450ED"/>
    <w:rsid w:val="00045F82"/>
    <w:rsid w:val="00046B2E"/>
    <w:rsid w:val="00047646"/>
    <w:rsid w:val="000479E2"/>
    <w:rsid w:val="00047A71"/>
    <w:rsid w:val="0005039D"/>
    <w:rsid w:val="00050D62"/>
    <w:rsid w:val="000519B7"/>
    <w:rsid w:val="00052116"/>
    <w:rsid w:val="0005281F"/>
    <w:rsid w:val="00053C6E"/>
    <w:rsid w:val="00055BEE"/>
    <w:rsid w:val="00055F7A"/>
    <w:rsid w:val="00057845"/>
    <w:rsid w:val="00057A1B"/>
    <w:rsid w:val="000609D7"/>
    <w:rsid w:val="00060ABE"/>
    <w:rsid w:val="0006181A"/>
    <w:rsid w:val="000624FB"/>
    <w:rsid w:val="00062CE1"/>
    <w:rsid w:val="00064F4D"/>
    <w:rsid w:val="00065EB1"/>
    <w:rsid w:val="000661EB"/>
    <w:rsid w:val="00070B6A"/>
    <w:rsid w:val="000710D2"/>
    <w:rsid w:val="000716EF"/>
    <w:rsid w:val="00071795"/>
    <w:rsid w:val="0007207C"/>
    <w:rsid w:val="00072756"/>
    <w:rsid w:val="000728F0"/>
    <w:rsid w:val="00072A95"/>
    <w:rsid w:val="0007373B"/>
    <w:rsid w:val="00074046"/>
    <w:rsid w:val="00074500"/>
    <w:rsid w:val="0007515D"/>
    <w:rsid w:val="000755AF"/>
    <w:rsid w:val="00075E89"/>
    <w:rsid w:val="0007624C"/>
    <w:rsid w:val="000767F9"/>
    <w:rsid w:val="00077FF1"/>
    <w:rsid w:val="000803BB"/>
    <w:rsid w:val="00081747"/>
    <w:rsid w:val="000820C7"/>
    <w:rsid w:val="000825FA"/>
    <w:rsid w:val="000849A1"/>
    <w:rsid w:val="00085539"/>
    <w:rsid w:val="00085FFA"/>
    <w:rsid w:val="00086418"/>
    <w:rsid w:val="000875D9"/>
    <w:rsid w:val="00090679"/>
    <w:rsid w:val="000919B3"/>
    <w:rsid w:val="00093035"/>
    <w:rsid w:val="00093854"/>
    <w:rsid w:val="00094387"/>
    <w:rsid w:val="00094E23"/>
    <w:rsid w:val="00095C04"/>
    <w:rsid w:val="0009602B"/>
    <w:rsid w:val="0009703A"/>
    <w:rsid w:val="00097432"/>
    <w:rsid w:val="000A03AC"/>
    <w:rsid w:val="000A0FAC"/>
    <w:rsid w:val="000A2346"/>
    <w:rsid w:val="000A2E51"/>
    <w:rsid w:val="000A3971"/>
    <w:rsid w:val="000A3B2F"/>
    <w:rsid w:val="000A4527"/>
    <w:rsid w:val="000A4996"/>
    <w:rsid w:val="000A4EDF"/>
    <w:rsid w:val="000A52C9"/>
    <w:rsid w:val="000A5801"/>
    <w:rsid w:val="000A5AD1"/>
    <w:rsid w:val="000A7845"/>
    <w:rsid w:val="000A78DF"/>
    <w:rsid w:val="000A7AD8"/>
    <w:rsid w:val="000A7BEE"/>
    <w:rsid w:val="000B1D35"/>
    <w:rsid w:val="000B24B0"/>
    <w:rsid w:val="000B2C70"/>
    <w:rsid w:val="000B37F2"/>
    <w:rsid w:val="000B3872"/>
    <w:rsid w:val="000B396B"/>
    <w:rsid w:val="000B5A14"/>
    <w:rsid w:val="000B6308"/>
    <w:rsid w:val="000B75AF"/>
    <w:rsid w:val="000C0BD4"/>
    <w:rsid w:val="000C4FE2"/>
    <w:rsid w:val="000C5195"/>
    <w:rsid w:val="000C5397"/>
    <w:rsid w:val="000C5C49"/>
    <w:rsid w:val="000C5DDE"/>
    <w:rsid w:val="000C678D"/>
    <w:rsid w:val="000C7D0B"/>
    <w:rsid w:val="000D043A"/>
    <w:rsid w:val="000D0A1C"/>
    <w:rsid w:val="000D0FFD"/>
    <w:rsid w:val="000D1E3D"/>
    <w:rsid w:val="000D2A12"/>
    <w:rsid w:val="000D2FDB"/>
    <w:rsid w:val="000D35EF"/>
    <w:rsid w:val="000D3CDC"/>
    <w:rsid w:val="000D3E63"/>
    <w:rsid w:val="000D466C"/>
    <w:rsid w:val="000D5217"/>
    <w:rsid w:val="000D65BA"/>
    <w:rsid w:val="000D6FC6"/>
    <w:rsid w:val="000E034B"/>
    <w:rsid w:val="000E0F95"/>
    <w:rsid w:val="000E1399"/>
    <w:rsid w:val="000E2C01"/>
    <w:rsid w:val="000E2CA2"/>
    <w:rsid w:val="000E2F5A"/>
    <w:rsid w:val="000E32B7"/>
    <w:rsid w:val="000E3795"/>
    <w:rsid w:val="000E5B51"/>
    <w:rsid w:val="000E65CD"/>
    <w:rsid w:val="000E6BA5"/>
    <w:rsid w:val="000E730E"/>
    <w:rsid w:val="000E7738"/>
    <w:rsid w:val="000F002E"/>
    <w:rsid w:val="000F04AE"/>
    <w:rsid w:val="000F1A86"/>
    <w:rsid w:val="000F1E7B"/>
    <w:rsid w:val="000F230E"/>
    <w:rsid w:val="000F26E2"/>
    <w:rsid w:val="000F3789"/>
    <w:rsid w:val="000F37C7"/>
    <w:rsid w:val="000F4FE8"/>
    <w:rsid w:val="000F5005"/>
    <w:rsid w:val="000F56BB"/>
    <w:rsid w:val="000F5F59"/>
    <w:rsid w:val="000F7281"/>
    <w:rsid w:val="000F7C2D"/>
    <w:rsid w:val="00100009"/>
    <w:rsid w:val="00100DB0"/>
    <w:rsid w:val="00100FD9"/>
    <w:rsid w:val="00100FEE"/>
    <w:rsid w:val="00101F19"/>
    <w:rsid w:val="00102822"/>
    <w:rsid w:val="0010342D"/>
    <w:rsid w:val="00103C17"/>
    <w:rsid w:val="00103C77"/>
    <w:rsid w:val="00104F1B"/>
    <w:rsid w:val="00106E6B"/>
    <w:rsid w:val="00107572"/>
    <w:rsid w:val="001108E3"/>
    <w:rsid w:val="00110F76"/>
    <w:rsid w:val="001116CD"/>
    <w:rsid w:val="00114033"/>
    <w:rsid w:val="00115C22"/>
    <w:rsid w:val="00115FDE"/>
    <w:rsid w:val="001170DE"/>
    <w:rsid w:val="00117ADF"/>
    <w:rsid w:val="00117F81"/>
    <w:rsid w:val="00120C9F"/>
    <w:rsid w:val="0012237A"/>
    <w:rsid w:val="001224F4"/>
    <w:rsid w:val="001228B8"/>
    <w:rsid w:val="001230D6"/>
    <w:rsid w:val="001234CD"/>
    <w:rsid w:val="0012374A"/>
    <w:rsid w:val="0012429E"/>
    <w:rsid w:val="00124556"/>
    <w:rsid w:val="00124F65"/>
    <w:rsid w:val="001277F5"/>
    <w:rsid w:val="00130379"/>
    <w:rsid w:val="00131310"/>
    <w:rsid w:val="00131323"/>
    <w:rsid w:val="00132EDE"/>
    <w:rsid w:val="001335AA"/>
    <w:rsid w:val="00133C0C"/>
    <w:rsid w:val="00134155"/>
    <w:rsid w:val="00134353"/>
    <w:rsid w:val="0013470C"/>
    <w:rsid w:val="00134978"/>
    <w:rsid w:val="00134B7C"/>
    <w:rsid w:val="00134F8D"/>
    <w:rsid w:val="00136FB6"/>
    <w:rsid w:val="00137A5B"/>
    <w:rsid w:val="001409DB"/>
    <w:rsid w:val="00140B11"/>
    <w:rsid w:val="00141D83"/>
    <w:rsid w:val="001423A7"/>
    <w:rsid w:val="001449D6"/>
    <w:rsid w:val="0014585F"/>
    <w:rsid w:val="00145F73"/>
    <w:rsid w:val="00146AA8"/>
    <w:rsid w:val="0014740B"/>
    <w:rsid w:val="001475F2"/>
    <w:rsid w:val="00147A40"/>
    <w:rsid w:val="00150276"/>
    <w:rsid w:val="001505F0"/>
    <w:rsid w:val="001515E1"/>
    <w:rsid w:val="00152955"/>
    <w:rsid w:val="0015324B"/>
    <w:rsid w:val="00154F88"/>
    <w:rsid w:val="0015506C"/>
    <w:rsid w:val="0015596C"/>
    <w:rsid w:val="0015666A"/>
    <w:rsid w:val="00156E5F"/>
    <w:rsid w:val="00156EEE"/>
    <w:rsid w:val="001571CE"/>
    <w:rsid w:val="001571FC"/>
    <w:rsid w:val="0016071A"/>
    <w:rsid w:val="00160E58"/>
    <w:rsid w:val="00161527"/>
    <w:rsid w:val="00161657"/>
    <w:rsid w:val="001616DF"/>
    <w:rsid w:val="001630A5"/>
    <w:rsid w:val="001634F3"/>
    <w:rsid w:val="001639F0"/>
    <w:rsid w:val="00163B12"/>
    <w:rsid w:val="00164060"/>
    <w:rsid w:val="0016449B"/>
    <w:rsid w:val="00164831"/>
    <w:rsid w:val="001649DA"/>
    <w:rsid w:val="00164F80"/>
    <w:rsid w:val="00165D50"/>
    <w:rsid w:val="001662F3"/>
    <w:rsid w:val="00166ED8"/>
    <w:rsid w:val="0016701D"/>
    <w:rsid w:val="0016732A"/>
    <w:rsid w:val="001674DA"/>
    <w:rsid w:val="0016770F"/>
    <w:rsid w:val="00167CDD"/>
    <w:rsid w:val="00167EB9"/>
    <w:rsid w:val="0017083E"/>
    <w:rsid w:val="00171D5C"/>
    <w:rsid w:val="0017253B"/>
    <w:rsid w:val="00173B6F"/>
    <w:rsid w:val="0017455F"/>
    <w:rsid w:val="00174817"/>
    <w:rsid w:val="00174BB1"/>
    <w:rsid w:val="00174DAC"/>
    <w:rsid w:val="00174EE8"/>
    <w:rsid w:val="00174F30"/>
    <w:rsid w:val="00175A98"/>
    <w:rsid w:val="00176383"/>
    <w:rsid w:val="0017755B"/>
    <w:rsid w:val="001808BC"/>
    <w:rsid w:val="00180BB1"/>
    <w:rsid w:val="001817B1"/>
    <w:rsid w:val="00181EAE"/>
    <w:rsid w:val="00182003"/>
    <w:rsid w:val="00182739"/>
    <w:rsid w:val="00183AE5"/>
    <w:rsid w:val="00184257"/>
    <w:rsid w:val="001852B2"/>
    <w:rsid w:val="001865A9"/>
    <w:rsid w:val="00186FD2"/>
    <w:rsid w:val="001877A8"/>
    <w:rsid w:val="00191FD8"/>
    <w:rsid w:val="001922C4"/>
    <w:rsid w:val="00192996"/>
    <w:rsid w:val="00192BA6"/>
    <w:rsid w:val="0019309B"/>
    <w:rsid w:val="00193B39"/>
    <w:rsid w:val="001946A6"/>
    <w:rsid w:val="00195330"/>
    <w:rsid w:val="001956AD"/>
    <w:rsid w:val="00195CA7"/>
    <w:rsid w:val="0019638F"/>
    <w:rsid w:val="00196645"/>
    <w:rsid w:val="00196699"/>
    <w:rsid w:val="00196E6D"/>
    <w:rsid w:val="001974F8"/>
    <w:rsid w:val="001A0191"/>
    <w:rsid w:val="001A0B1C"/>
    <w:rsid w:val="001A205D"/>
    <w:rsid w:val="001A384C"/>
    <w:rsid w:val="001A4257"/>
    <w:rsid w:val="001A6738"/>
    <w:rsid w:val="001A6CC0"/>
    <w:rsid w:val="001A76C9"/>
    <w:rsid w:val="001A7A89"/>
    <w:rsid w:val="001B04AC"/>
    <w:rsid w:val="001B12D1"/>
    <w:rsid w:val="001B145A"/>
    <w:rsid w:val="001B188C"/>
    <w:rsid w:val="001B1AF1"/>
    <w:rsid w:val="001B2273"/>
    <w:rsid w:val="001B37F0"/>
    <w:rsid w:val="001B3C48"/>
    <w:rsid w:val="001B5238"/>
    <w:rsid w:val="001B6966"/>
    <w:rsid w:val="001B6A9C"/>
    <w:rsid w:val="001B6C05"/>
    <w:rsid w:val="001B6E25"/>
    <w:rsid w:val="001C09B1"/>
    <w:rsid w:val="001C0FB2"/>
    <w:rsid w:val="001C10AC"/>
    <w:rsid w:val="001C35C1"/>
    <w:rsid w:val="001C39C3"/>
    <w:rsid w:val="001C3B6B"/>
    <w:rsid w:val="001C3DD9"/>
    <w:rsid w:val="001C64F9"/>
    <w:rsid w:val="001C6BD0"/>
    <w:rsid w:val="001C7874"/>
    <w:rsid w:val="001D17B5"/>
    <w:rsid w:val="001D2427"/>
    <w:rsid w:val="001D272D"/>
    <w:rsid w:val="001D33D5"/>
    <w:rsid w:val="001D3E8B"/>
    <w:rsid w:val="001E0554"/>
    <w:rsid w:val="001E16B3"/>
    <w:rsid w:val="001E21A7"/>
    <w:rsid w:val="001E22BA"/>
    <w:rsid w:val="001E271A"/>
    <w:rsid w:val="001E299C"/>
    <w:rsid w:val="001E2D3A"/>
    <w:rsid w:val="001E3264"/>
    <w:rsid w:val="001E3E70"/>
    <w:rsid w:val="001E41A9"/>
    <w:rsid w:val="001E504F"/>
    <w:rsid w:val="001E5B2B"/>
    <w:rsid w:val="001E5CDB"/>
    <w:rsid w:val="001E653C"/>
    <w:rsid w:val="001E69BC"/>
    <w:rsid w:val="001E7B18"/>
    <w:rsid w:val="001E7F0C"/>
    <w:rsid w:val="001F0D9E"/>
    <w:rsid w:val="001F1759"/>
    <w:rsid w:val="001F2A6D"/>
    <w:rsid w:val="001F327A"/>
    <w:rsid w:val="001F5079"/>
    <w:rsid w:val="001F5587"/>
    <w:rsid w:val="001F57A9"/>
    <w:rsid w:val="002007F1"/>
    <w:rsid w:val="002024E0"/>
    <w:rsid w:val="002028D0"/>
    <w:rsid w:val="00202AB1"/>
    <w:rsid w:val="00203322"/>
    <w:rsid w:val="0020460F"/>
    <w:rsid w:val="00204854"/>
    <w:rsid w:val="0020523E"/>
    <w:rsid w:val="002063E9"/>
    <w:rsid w:val="002067FA"/>
    <w:rsid w:val="002077D5"/>
    <w:rsid w:val="00207817"/>
    <w:rsid w:val="00210D07"/>
    <w:rsid w:val="002111D9"/>
    <w:rsid w:val="00211686"/>
    <w:rsid w:val="0021189F"/>
    <w:rsid w:val="002120F9"/>
    <w:rsid w:val="00212C31"/>
    <w:rsid w:val="00212CB9"/>
    <w:rsid w:val="00212E4F"/>
    <w:rsid w:val="00214279"/>
    <w:rsid w:val="002146B4"/>
    <w:rsid w:val="00214C1B"/>
    <w:rsid w:val="00214CFE"/>
    <w:rsid w:val="00215147"/>
    <w:rsid w:val="00215D13"/>
    <w:rsid w:val="00215DF6"/>
    <w:rsid w:val="002172B7"/>
    <w:rsid w:val="002173D7"/>
    <w:rsid w:val="00220167"/>
    <w:rsid w:val="00220AC2"/>
    <w:rsid w:val="00220F78"/>
    <w:rsid w:val="00221068"/>
    <w:rsid w:val="00223F81"/>
    <w:rsid w:val="0022547D"/>
    <w:rsid w:val="00225579"/>
    <w:rsid w:val="00226CD4"/>
    <w:rsid w:val="002308AE"/>
    <w:rsid w:val="00232B0D"/>
    <w:rsid w:val="00233249"/>
    <w:rsid w:val="00234AF7"/>
    <w:rsid w:val="00235F5D"/>
    <w:rsid w:val="002360E5"/>
    <w:rsid w:val="002363B7"/>
    <w:rsid w:val="0023703C"/>
    <w:rsid w:val="0023763F"/>
    <w:rsid w:val="002419C3"/>
    <w:rsid w:val="002436FD"/>
    <w:rsid w:val="00243E45"/>
    <w:rsid w:val="002450FE"/>
    <w:rsid w:val="00245E80"/>
    <w:rsid w:val="002463C5"/>
    <w:rsid w:val="00246F91"/>
    <w:rsid w:val="0024702D"/>
    <w:rsid w:val="00247AE3"/>
    <w:rsid w:val="00247AF8"/>
    <w:rsid w:val="00247D51"/>
    <w:rsid w:val="002501A0"/>
    <w:rsid w:val="00251406"/>
    <w:rsid w:val="00251C6C"/>
    <w:rsid w:val="00251C88"/>
    <w:rsid w:val="00252492"/>
    <w:rsid w:val="00253023"/>
    <w:rsid w:val="0025318A"/>
    <w:rsid w:val="00253C84"/>
    <w:rsid w:val="00253ECE"/>
    <w:rsid w:val="00254589"/>
    <w:rsid w:val="0025471D"/>
    <w:rsid w:val="00254DC1"/>
    <w:rsid w:val="0025523E"/>
    <w:rsid w:val="0025538F"/>
    <w:rsid w:val="0025785D"/>
    <w:rsid w:val="0026045A"/>
    <w:rsid w:val="00260A60"/>
    <w:rsid w:val="00260FB8"/>
    <w:rsid w:val="002612A7"/>
    <w:rsid w:val="00261A6A"/>
    <w:rsid w:val="00262CE6"/>
    <w:rsid w:val="0026334F"/>
    <w:rsid w:val="0026353F"/>
    <w:rsid w:val="002639AF"/>
    <w:rsid w:val="00263C80"/>
    <w:rsid w:val="00264BFF"/>
    <w:rsid w:val="00265040"/>
    <w:rsid w:val="002655D6"/>
    <w:rsid w:val="00265B1D"/>
    <w:rsid w:val="00266AD3"/>
    <w:rsid w:val="002701EC"/>
    <w:rsid w:val="00271280"/>
    <w:rsid w:val="00271E11"/>
    <w:rsid w:val="00272A96"/>
    <w:rsid w:val="00273BBB"/>
    <w:rsid w:val="00274651"/>
    <w:rsid w:val="002757A5"/>
    <w:rsid w:val="00275E2A"/>
    <w:rsid w:val="00276DCB"/>
    <w:rsid w:val="00277F78"/>
    <w:rsid w:val="00280018"/>
    <w:rsid w:val="00281BA4"/>
    <w:rsid w:val="002837D3"/>
    <w:rsid w:val="00284065"/>
    <w:rsid w:val="00284399"/>
    <w:rsid w:val="0028464C"/>
    <w:rsid w:val="00284D30"/>
    <w:rsid w:val="00285501"/>
    <w:rsid w:val="00286E84"/>
    <w:rsid w:val="00286EAF"/>
    <w:rsid w:val="00287384"/>
    <w:rsid w:val="00287A3F"/>
    <w:rsid w:val="002903B8"/>
    <w:rsid w:val="002914FA"/>
    <w:rsid w:val="002929F4"/>
    <w:rsid w:val="00293404"/>
    <w:rsid w:val="00294FF7"/>
    <w:rsid w:val="00295B3F"/>
    <w:rsid w:val="00296776"/>
    <w:rsid w:val="0029688A"/>
    <w:rsid w:val="00297A73"/>
    <w:rsid w:val="002A0203"/>
    <w:rsid w:val="002A0251"/>
    <w:rsid w:val="002A0E0B"/>
    <w:rsid w:val="002A15F7"/>
    <w:rsid w:val="002A19C9"/>
    <w:rsid w:val="002A46E4"/>
    <w:rsid w:val="002A5036"/>
    <w:rsid w:val="002A529C"/>
    <w:rsid w:val="002A552A"/>
    <w:rsid w:val="002A59A5"/>
    <w:rsid w:val="002A5F03"/>
    <w:rsid w:val="002B04F2"/>
    <w:rsid w:val="002B1055"/>
    <w:rsid w:val="002B189F"/>
    <w:rsid w:val="002B205D"/>
    <w:rsid w:val="002B3301"/>
    <w:rsid w:val="002B33FC"/>
    <w:rsid w:val="002B35D1"/>
    <w:rsid w:val="002B4315"/>
    <w:rsid w:val="002B71D9"/>
    <w:rsid w:val="002B77C2"/>
    <w:rsid w:val="002C02A8"/>
    <w:rsid w:val="002C1100"/>
    <w:rsid w:val="002C183E"/>
    <w:rsid w:val="002C1FE4"/>
    <w:rsid w:val="002C2B64"/>
    <w:rsid w:val="002C39A5"/>
    <w:rsid w:val="002C52B0"/>
    <w:rsid w:val="002C5A21"/>
    <w:rsid w:val="002C6BF1"/>
    <w:rsid w:val="002C6E6D"/>
    <w:rsid w:val="002C71B2"/>
    <w:rsid w:val="002C7D9B"/>
    <w:rsid w:val="002D0828"/>
    <w:rsid w:val="002D2C53"/>
    <w:rsid w:val="002D36BC"/>
    <w:rsid w:val="002D44D8"/>
    <w:rsid w:val="002D57F4"/>
    <w:rsid w:val="002D642D"/>
    <w:rsid w:val="002D7D1D"/>
    <w:rsid w:val="002E0431"/>
    <w:rsid w:val="002E09E9"/>
    <w:rsid w:val="002E0E83"/>
    <w:rsid w:val="002E0EBE"/>
    <w:rsid w:val="002E16D5"/>
    <w:rsid w:val="002E331B"/>
    <w:rsid w:val="002E4E0D"/>
    <w:rsid w:val="002E54AD"/>
    <w:rsid w:val="002E5B0B"/>
    <w:rsid w:val="002E66E2"/>
    <w:rsid w:val="002E787E"/>
    <w:rsid w:val="002E796C"/>
    <w:rsid w:val="002F0E78"/>
    <w:rsid w:val="002F1047"/>
    <w:rsid w:val="002F154A"/>
    <w:rsid w:val="002F2AFC"/>
    <w:rsid w:val="002F33F3"/>
    <w:rsid w:val="002F34DA"/>
    <w:rsid w:val="002F366D"/>
    <w:rsid w:val="002F4DDC"/>
    <w:rsid w:val="002F4DEA"/>
    <w:rsid w:val="002F5474"/>
    <w:rsid w:val="002F5C26"/>
    <w:rsid w:val="00300523"/>
    <w:rsid w:val="00300539"/>
    <w:rsid w:val="0030297E"/>
    <w:rsid w:val="00302AD4"/>
    <w:rsid w:val="00302AF8"/>
    <w:rsid w:val="0030376B"/>
    <w:rsid w:val="00304010"/>
    <w:rsid w:val="00304335"/>
    <w:rsid w:val="00304BD3"/>
    <w:rsid w:val="0030503D"/>
    <w:rsid w:val="00306905"/>
    <w:rsid w:val="00307055"/>
    <w:rsid w:val="0030720A"/>
    <w:rsid w:val="00310E1A"/>
    <w:rsid w:val="00315337"/>
    <w:rsid w:val="003161D9"/>
    <w:rsid w:val="00320574"/>
    <w:rsid w:val="003221D2"/>
    <w:rsid w:val="0032337A"/>
    <w:rsid w:val="0032574E"/>
    <w:rsid w:val="003266E3"/>
    <w:rsid w:val="0032689C"/>
    <w:rsid w:val="00327B42"/>
    <w:rsid w:val="003307B7"/>
    <w:rsid w:val="003330B0"/>
    <w:rsid w:val="0033445E"/>
    <w:rsid w:val="00334A5E"/>
    <w:rsid w:val="00334EF6"/>
    <w:rsid w:val="00335CC0"/>
    <w:rsid w:val="00335DAD"/>
    <w:rsid w:val="003360F7"/>
    <w:rsid w:val="003363F2"/>
    <w:rsid w:val="00336981"/>
    <w:rsid w:val="00336F2C"/>
    <w:rsid w:val="0033709F"/>
    <w:rsid w:val="0034061A"/>
    <w:rsid w:val="0034118F"/>
    <w:rsid w:val="0034167F"/>
    <w:rsid w:val="00343482"/>
    <w:rsid w:val="00343E90"/>
    <w:rsid w:val="00343F62"/>
    <w:rsid w:val="003440A6"/>
    <w:rsid w:val="00344F4D"/>
    <w:rsid w:val="00345AF1"/>
    <w:rsid w:val="003476FD"/>
    <w:rsid w:val="00347F99"/>
    <w:rsid w:val="00350089"/>
    <w:rsid w:val="00353996"/>
    <w:rsid w:val="00353A49"/>
    <w:rsid w:val="00355255"/>
    <w:rsid w:val="00356B8A"/>
    <w:rsid w:val="00356BCD"/>
    <w:rsid w:val="00360C77"/>
    <w:rsid w:val="00360DA3"/>
    <w:rsid w:val="00360E33"/>
    <w:rsid w:val="00360F50"/>
    <w:rsid w:val="0036194A"/>
    <w:rsid w:val="00361A6D"/>
    <w:rsid w:val="0036255C"/>
    <w:rsid w:val="00362788"/>
    <w:rsid w:val="00362D1D"/>
    <w:rsid w:val="003632A2"/>
    <w:rsid w:val="00363CA5"/>
    <w:rsid w:val="00364F26"/>
    <w:rsid w:val="00364F7C"/>
    <w:rsid w:val="003650D5"/>
    <w:rsid w:val="00365754"/>
    <w:rsid w:val="00367E6B"/>
    <w:rsid w:val="00367F77"/>
    <w:rsid w:val="0037037E"/>
    <w:rsid w:val="0037074F"/>
    <w:rsid w:val="003712A2"/>
    <w:rsid w:val="003715DC"/>
    <w:rsid w:val="00372943"/>
    <w:rsid w:val="003753A3"/>
    <w:rsid w:val="003753C9"/>
    <w:rsid w:val="00375913"/>
    <w:rsid w:val="0037598C"/>
    <w:rsid w:val="003763C0"/>
    <w:rsid w:val="00376562"/>
    <w:rsid w:val="00376D9C"/>
    <w:rsid w:val="003770F2"/>
    <w:rsid w:val="003801F9"/>
    <w:rsid w:val="00380964"/>
    <w:rsid w:val="00380A8A"/>
    <w:rsid w:val="003814DE"/>
    <w:rsid w:val="00381B46"/>
    <w:rsid w:val="00383053"/>
    <w:rsid w:val="0038398C"/>
    <w:rsid w:val="003843EC"/>
    <w:rsid w:val="00385C39"/>
    <w:rsid w:val="00387E8F"/>
    <w:rsid w:val="003904FD"/>
    <w:rsid w:val="00390EF8"/>
    <w:rsid w:val="00390F55"/>
    <w:rsid w:val="00391694"/>
    <w:rsid w:val="003917BF"/>
    <w:rsid w:val="003921A0"/>
    <w:rsid w:val="00392F1E"/>
    <w:rsid w:val="0039389D"/>
    <w:rsid w:val="003938CB"/>
    <w:rsid w:val="00393E26"/>
    <w:rsid w:val="00394EA5"/>
    <w:rsid w:val="0039574C"/>
    <w:rsid w:val="00395BBC"/>
    <w:rsid w:val="003A060A"/>
    <w:rsid w:val="003A111A"/>
    <w:rsid w:val="003A206A"/>
    <w:rsid w:val="003A33CA"/>
    <w:rsid w:val="003A3B5A"/>
    <w:rsid w:val="003A3BDB"/>
    <w:rsid w:val="003A4C48"/>
    <w:rsid w:val="003A5092"/>
    <w:rsid w:val="003A519B"/>
    <w:rsid w:val="003A76F7"/>
    <w:rsid w:val="003B0205"/>
    <w:rsid w:val="003B25CD"/>
    <w:rsid w:val="003B2FC4"/>
    <w:rsid w:val="003B3D47"/>
    <w:rsid w:val="003B42E6"/>
    <w:rsid w:val="003B456C"/>
    <w:rsid w:val="003B4ADA"/>
    <w:rsid w:val="003B5F48"/>
    <w:rsid w:val="003B6F7B"/>
    <w:rsid w:val="003B7D2B"/>
    <w:rsid w:val="003B7F8C"/>
    <w:rsid w:val="003C06DC"/>
    <w:rsid w:val="003C118F"/>
    <w:rsid w:val="003C1AD2"/>
    <w:rsid w:val="003C4802"/>
    <w:rsid w:val="003C5C26"/>
    <w:rsid w:val="003C5D20"/>
    <w:rsid w:val="003C6173"/>
    <w:rsid w:val="003C6A0B"/>
    <w:rsid w:val="003C6E8E"/>
    <w:rsid w:val="003C7356"/>
    <w:rsid w:val="003C7620"/>
    <w:rsid w:val="003D01F6"/>
    <w:rsid w:val="003D1037"/>
    <w:rsid w:val="003D2996"/>
    <w:rsid w:val="003D2A90"/>
    <w:rsid w:val="003D2B3E"/>
    <w:rsid w:val="003D2CBE"/>
    <w:rsid w:val="003D31FB"/>
    <w:rsid w:val="003D3210"/>
    <w:rsid w:val="003D43AD"/>
    <w:rsid w:val="003D5658"/>
    <w:rsid w:val="003D5D81"/>
    <w:rsid w:val="003D620F"/>
    <w:rsid w:val="003D74EE"/>
    <w:rsid w:val="003D795F"/>
    <w:rsid w:val="003D7D41"/>
    <w:rsid w:val="003E0CDD"/>
    <w:rsid w:val="003E10F0"/>
    <w:rsid w:val="003E19A6"/>
    <w:rsid w:val="003E2188"/>
    <w:rsid w:val="003E6DE1"/>
    <w:rsid w:val="003E7E81"/>
    <w:rsid w:val="003F138B"/>
    <w:rsid w:val="003F23D9"/>
    <w:rsid w:val="003F3A8F"/>
    <w:rsid w:val="003F4FDB"/>
    <w:rsid w:val="003F51CF"/>
    <w:rsid w:val="003F557D"/>
    <w:rsid w:val="003F5E6F"/>
    <w:rsid w:val="003F6F31"/>
    <w:rsid w:val="003F7330"/>
    <w:rsid w:val="003F7829"/>
    <w:rsid w:val="003F788D"/>
    <w:rsid w:val="0040123F"/>
    <w:rsid w:val="00401EA8"/>
    <w:rsid w:val="00402F66"/>
    <w:rsid w:val="0040353F"/>
    <w:rsid w:val="00403583"/>
    <w:rsid w:val="00403E1C"/>
    <w:rsid w:val="00405799"/>
    <w:rsid w:val="00407BAF"/>
    <w:rsid w:val="00407FC9"/>
    <w:rsid w:val="0041282D"/>
    <w:rsid w:val="00412CDE"/>
    <w:rsid w:val="00413F0C"/>
    <w:rsid w:val="00414133"/>
    <w:rsid w:val="00414FC2"/>
    <w:rsid w:val="00415060"/>
    <w:rsid w:val="00415280"/>
    <w:rsid w:val="004167C8"/>
    <w:rsid w:val="00416D80"/>
    <w:rsid w:val="00417190"/>
    <w:rsid w:val="00417331"/>
    <w:rsid w:val="00420814"/>
    <w:rsid w:val="00422D17"/>
    <w:rsid w:val="004238F7"/>
    <w:rsid w:val="0042420C"/>
    <w:rsid w:val="00425265"/>
    <w:rsid w:val="004257A0"/>
    <w:rsid w:val="00426996"/>
    <w:rsid w:val="00426D3F"/>
    <w:rsid w:val="00427562"/>
    <w:rsid w:val="00427B7F"/>
    <w:rsid w:val="00427DD4"/>
    <w:rsid w:val="00427FB4"/>
    <w:rsid w:val="0043069E"/>
    <w:rsid w:val="00431AA5"/>
    <w:rsid w:val="00431BC7"/>
    <w:rsid w:val="0043231C"/>
    <w:rsid w:val="0043279A"/>
    <w:rsid w:val="004327BB"/>
    <w:rsid w:val="004346B5"/>
    <w:rsid w:val="0043475A"/>
    <w:rsid w:val="00435373"/>
    <w:rsid w:val="004363E6"/>
    <w:rsid w:val="00436509"/>
    <w:rsid w:val="00436A92"/>
    <w:rsid w:val="00436F2C"/>
    <w:rsid w:val="0043769E"/>
    <w:rsid w:val="00437C4D"/>
    <w:rsid w:val="00440E95"/>
    <w:rsid w:val="0044305B"/>
    <w:rsid w:val="0044376F"/>
    <w:rsid w:val="0044382C"/>
    <w:rsid w:val="00443A82"/>
    <w:rsid w:val="00445A45"/>
    <w:rsid w:val="00451FBD"/>
    <w:rsid w:val="004529C0"/>
    <w:rsid w:val="004529D0"/>
    <w:rsid w:val="00452A8F"/>
    <w:rsid w:val="004558D7"/>
    <w:rsid w:val="00455A13"/>
    <w:rsid w:val="00457285"/>
    <w:rsid w:val="0046036A"/>
    <w:rsid w:val="004615E8"/>
    <w:rsid w:val="00461F83"/>
    <w:rsid w:val="004632B6"/>
    <w:rsid w:val="004647EB"/>
    <w:rsid w:val="004649A2"/>
    <w:rsid w:val="00465F25"/>
    <w:rsid w:val="004669B4"/>
    <w:rsid w:val="0046747F"/>
    <w:rsid w:val="004677E4"/>
    <w:rsid w:val="00470261"/>
    <w:rsid w:val="00470B92"/>
    <w:rsid w:val="00470F26"/>
    <w:rsid w:val="00473939"/>
    <w:rsid w:val="00473C76"/>
    <w:rsid w:val="00475DE8"/>
    <w:rsid w:val="0047607C"/>
    <w:rsid w:val="0047646C"/>
    <w:rsid w:val="004775B5"/>
    <w:rsid w:val="0048022B"/>
    <w:rsid w:val="004812B4"/>
    <w:rsid w:val="00483443"/>
    <w:rsid w:val="004848E4"/>
    <w:rsid w:val="00486F7E"/>
    <w:rsid w:val="004870F7"/>
    <w:rsid w:val="00487D19"/>
    <w:rsid w:val="0049047A"/>
    <w:rsid w:val="00492617"/>
    <w:rsid w:val="0049285E"/>
    <w:rsid w:val="00492A30"/>
    <w:rsid w:val="00492FC8"/>
    <w:rsid w:val="00494D92"/>
    <w:rsid w:val="00494EF3"/>
    <w:rsid w:val="00495335"/>
    <w:rsid w:val="0049571F"/>
    <w:rsid w:val="00495C19"/>
    <w:rsid w:val="0049683A"/>
    <w:rsid w:val="004972B9"/>
    <w:rsid w:val="00497ECC"/>
    <w:rsid w:val="004A0798"/>
    <w:rsid w:val="004A1600"/>
    <w:rsid w:val="004A1E65"/>
    <w:rsid w:val="004A3985"/>
    <w:rsid w:val="004A3E69"/>
    <w:rsid w:val="004A6BCD"/>
    <w:rsid w:val="004A6DA7"/>
    <w:rsid w:val="004B1084"/>
    <w:rsid w:val="004B10F8"/>
    <w:rsid w:val="004B3898"/>
    <w:rsid w:val="004B548D"/>
    <w:rsid w:val="004B551A"/>
    <w:rsid w:val="004B5AC7"/>
    <w:rsid w:val="004B675D"/>
    <w:rsid w:val="004C001F"/>
    <w:rsid w:val="004C26F5"/>
    <w:rsid w:val="004C3874"/>
    <w:rsid w:val="004C3BF3"/>
    <w:rsid w:val="004C4C27"/>
    <w:rsid w:val="004C522D"/>
    <w:rsid w:val="004C5274"/>
    <w:rsid w:val="004C56B5"/>
    <w:rsid w:val="004C58B7"/>
    <w:rsid w:val="004C5C36"/>
    <w:rsid w:val="004C5DC0"/>
    <w:rsid w:val="004C638A"/>
    <w:rsid w:val="004C6E24"/>
    <w:rsid w:val="004C7423"/>
    <w:rsid w:val="004C77B8"/>
    <w:rsid w:val="004D0E10"/>
    <w:rsid w:val="004D119E"/>
    <w:rsid w:val="004D1257"/>
    <w:rsid w:val="004D13A7"/>
    <w:rsid w:val="004D16A0"/>
    <w:rsid w:val="004D28B5"/>
    <w:rsid w:val="004D28B6"/>
    <w:rsid w:val="004D3BB4"/>
    <w:rsid w:val="004D45DB"/>
    <w:rsid w:val="004D461B"/>
    <w:rsid w:val="004D4BFD"/>
    <w:rsid w:val="004D4FF7"/>
    <w:rsid w:val="004D5D19"/>
    <w:rsid w:val="004D644F"/>
    <w:rsid w:val="004D7362"/>
    <w:rsid w:val="004D77EE"/>
    <w:rsid w:val="004E0F2B"/>
    <w:rsid w:val="004E18AF"/>
    <w:rsid w:val="004E1BF2"/>
    <w:rsid w:val="004E2610"/>
    <w:rsid w:val="004E37E2"/>
    <w:rsid w:val="004E3B20"/>
    <w:rsid w:val="004E483E"/>
    <w:rsid w:val="004E4ED3"/>
    <w:rsid w:val="004E5977"/>
    <w:rsid w:val="004E5C8A"/>
    <w:rsid w:val="004E5D91"/>
    <w:rsid w:val="004E631B"/>
    <w:rsid w:val="004E6512"/>
    <w:rsid w:val="004E79E3"/>
    <w:rsid w:val="004E7CA8"/>
    <w:rsid w:val="004F0994"/>
    <w:rsid w:val="004F1918"/>
    <w:rsid w:val="004F1BC8"/>
    <w:rsid w:val="004F22DA"/>
    <w:rsid w:val="004F3041"/>
    <w:rsid w:val="004F4187"/>
    <w:rsid w:val="004F43D6"/>
    <w:rsid w:val="004F5322"/>
    <w:rsid w:val="004F5DCD"/>
    <w:rsid w:val="004F5EC8"/>
    <w:rsid w:val="004F6579"/>
    <w:rsid w:val="004F7F79"/>
    <w:rsid w:val="004F7FEF"/>
    <w:rsid w:val="005014F9"/>
    <w:rsid w:val="00501B6A"/>
    <w:rsid w:val="00501BBD"/>
    <w:rsid w:val="00502700"/>
    <w:rsid w:val="00502DBB"/>
    <w:rsid w:val="00503102"/>
    <w:rsid w:val="00504935"/>
    <w:rsid w:val="0050673E"/>
    <w:rsid w:val="0050775B"/>
    <w:rsid w:val="005107E2"/>
    <w:rsid w:val="00510853"/>
    <w:rsid w:val="00510EE6"/>
    <w:rsid w:val="0051308E"/>
    <w:rsid w:val="00513813"/>
    <w:rsid w:val="00513AF0"/>
    <w:rsid w:val="005154CA"/>
    <w:rsid w:val="00515997"/>
    <w:rsid w:val="005162F7"/>
    <w:rsid w:val="00516652"/>
    <w:rsid w:val="00516690"/>
    <w:rsid w:val="00516E7C"/>
    <w:rsid w:val="00520F3D"/>
    <w:rsid w:val="00521BB7"/>
    <w:rsid w:val="005225FD"/>
    <w:rsid w:val="00523683"/>
    <w:rsid w:val="005237CA"/>
    <w:rsid w:val="00523E62"/>
    <w:rsid w:val="00523FF8"/>
    <w:rsid w:val="005246E0"/>
    <w:rsid w:val="0052511A"/>
    <w:rsid w:val="00525C84"/>
    <w:rsid w:val="00525D17"/>
    <w:rsid w:val="00526533"/>
    <w:rsid w:val="00526A9F"/>
    <w:rsid w:val="00526AE9"/>
    <w:rsid w:val="00526DD5"/>
    <w:rsid w:val="00530F5F"/>
    <w:rsid w:val="00531631"/>
    <w:rsid w:val="00532282"/>
    <w:rsid w:val="005346B5"/>
    <w:rsid w:val="00534B1A"/>
    <w:rsid w:val="0053626E"/>
    <w:rsid w:val="0053636D"/>
    <w:rsid w:val="005377FB"/>
    <w:rsid w:val="00540E73"/>
    <w:rsid w:val="00541763"/>
    <w:rsid w:val="00541E9C"/>
    <w:rsid w:val="00542CA3"/>
    <w:rsid w:val="00543F35"/>
    <w:rsid w:val="005445F0"/>
    <w:rsid w:val="00544F4F"/>
    <w:rsid w:val="005453D4"/>
    <w:rsid w:val="005456BB"/>
    <w:rsid w:val="00547AA0"/>
    <w:rsid w:val="00547B10"/>
    <w:rsid w:val="00550A09"/>
    <w:rsid w:val="00551288"/>
    <w:rsid w:val="00551838"/>
    <w:rsid w:val="00554F75"/>
    <w:rsid w:val="00555116"/>
    <w:rsid w:val="005558E5"/>
    <w:rsid w:val="005560B3"/>
    <w:rsid w:val="00556411"/>
    <w:rsid w:val="00556E18"/>
    <w:rsid w:val="00556FEA"/>
    <w:rsid w:val="005578C4"/>
    <w:rsid w:val="00557A0F"/>
    <w:rsid w:val="00560048"/>
    <w:rsid w:val="005601C2"/>
    <w:rsid w:val="00561A48"/>
    <w:rsid w:val="005623EE"/>
    <w:rsid w:val="005627AF"/>
    <w:rsid w:val="00563192"/>
    <w:rsid w:val="00563D63"/>
    <w:rsid w:val="00564106"/>
    <w:rsid w:val="005651E0"/>
    <w:rsid w:val="0056522C"/>
    <w:rsid w:val="005654E3"/>
    <w:rsid w:val="00565DAF"/>
    <w:rsid w:val="00566B40"/>
    <w:rsid w:val="005706E9"/>
    <w:rsid w:val="00573D44"/>
    <w:rsid w:val="005749EB"/>
    <w:rsid w:val="00576A40"/>
    <w:rsid w:val="005770C1"/>
    <w:rsid w:val="00577CB6"/>
    <w:rsid w:val="00577FFA"/>
    <w:rsid w:val="00580173"/>
    <w:rsid w:val="00581CC7"/>
    <w:rsid w:val="00582148"/>
    <w:rsid w:val="005822E0"/>
    <w:rsid w:val="00583485"/>
    <w:rsid w:val="00583882"/>
    <w:rsid w:val="005878EC"/>
    <w:rsid w:val="0059032A"/>
    <w:rsid w:val="00590500"/>
    <w:rsid w:val="00590AF1"/>
    <w:rsid w:val="00592F3F"/>
    <w:rsid w:val="005935D8"/>
    <w:rsid w:val="00593F9A"/>
    <w:rsid w:val="00594785"/>
    <w:rsid w:val="005950F9"/>
    <w:rsid w:val="005961C4"/>
    <w:rsid w:val="00597188"/>
    <w:rsid w:val="00597762"/>
    <w:rsid w:val="00597A6C"/>
    <w:rsid w:val="00597CA1"/>
    <w:rsid w:val="005A20BB"/>
    <w:rsid w:val="005A383E"/>
    <w:rsid w:val="005A5E2C"/>
    <w:rsid w:val="005A687E"/>
    <w:rsid w:val="005A6991"/>
    <w:rsid w:val="005A7B66"/>
    <w:rsid w:val="005B080D"/>
    <w:rsid w:val="005B08C6"/>
    <w:rsid w:val="005B0AFB"/>
    <w:rsid w:val="005B0C0A"/>
    <w:rsid w:val="005B0FA2"/>
    <w:rsid w:val="005B1401"/>
    <w:rsid w:val="005B2CA9"/>
    <w:rsid w:val="005B32F8"/>
    <w:rsid w:val="005B3A97"/>
    <w:rsid w:val="005B4DD7"/>
    <w:rsid w:val="005B5F6B"/>
    <w:rsid w:val="005B6CCE"/>
    <w:rsid w:val="005B6E32"/>
    <w:rsid w:val="005B721E"/>
    <w:rsid w:val="005C014B"/>
    <w:rsid w:val="005C0D50"/>
    <w:rsid w:val="005C0E72"/>
    <w:rsid w:val="005C12D6"/>
    <w:rsid w:val="005C14F9"/>
    <w:rsid w:val="005C18BB"/>
    <w:rsid w:val="005C235E"/>
    <w:rsid w:val="005C2A44"/>
    <w:rsid w:val="005C40AB"/>
    <w:rsid w:val="005C48FE"/>
    <w:rsid w:val="005C501B"/>
    <w:rsid w:val="005C521F"/>
    <w:rsid w:val="005C5CC6"/>
    <w:rsid w:val="005C72C7"/>
    <w:rsid w:val="005C75E1"/>
    <w:rsid w:val="005C7DE2"/>
    <w:rsid w:val="005C7F58"/>
    <w:rsid w:val="005D05AD"/>
    <w:rsid w:val="005D2178"/>
    <w:rsid w:val="005D27BE"/>
    <w:rsid w:val="005D2A01"/>
    <w:rsid w:val="005D2F56"/>
    <w:rsid w:val="005D39E2"/>
    <w:rsid w:val="005D44F1"/>
    <w:rsid w:val="005D51E6"/>
    <w:rsid w:val="005D6407"/>
    <w:rsid w:val="005D6997"/>
    <w:rsid w:val="005D6D25"/>
    <w:rsid w:val="005D7F75"/>
    <w:rsid w:val="005E025B"/>
    <w:rsid w:val="005E04D5"/>
    <w:rsid w:val="005E0A44"/>
    <w:rsid w:val="005E1823"/>
    <w:rsid w:val="005E30F2"/>
    <w:rsid w:val="005E4336"/>
    <w:rsid w:val="005E4B3F"/>
    <w:rsid w:val="005E5483"/>
    <w:rsid w:val="005E6186"/>
    <w:rsid w:val="005E780F"/>
    <w:rsid w:val="005E788D"/>
    <w:rsid w:val="005F0490"/>
    <w:rsid w:val="005F14F6"/>
    <w:rsid w:val="005F32E9"/>
    <w:rsid w:val="005F3D69"/>
    <w:rsid w:val="005F41B6"/>
    <w:rsid w:val="005F437C"/>
    <w:rsid w:val="005F48B6"/>
    <w:rsid w:val="005F4D12"/>
    <w:rsid w:val="005F4D63"/>
    <w:rsid w:val="005F544E"/>
    <w:rsid w:val="005F67E5"/>
    <w:rsid w:val="005F6B03"/>
    <w:rsid w:val="005F6C9D"/>
    <w:rsid w:val="005F7CED"/>
    <w:rsid w:val="0060045E"/>
    <w:rsid w:val="0060105D"/>
    <w:rsid w:val="006017DB"/>
    <w:rsid w:val="00605DB4"/>
    <w:rsid w:val="00606A65"/>
    <w:rsid w:val="0060756B"/>
    <w:rsid w:val="00607693"/>
    <w:rsid w:val="00610043"/>
    <w:rsid w:val="00610BC6"/>
    <w:rsid w:val="00610E2C"/>
    <w:rsid w:val="00611D33"/>
    <w:rsid w:val="006121D6"/>
    <w:rsid w:val="0061228B"/>
    <w:rsid w:val="00612C4F"/>
    <w:rsid w:val="006146FD"/>
    <w:rsid w:val="00614B7C"/>
    <w:rsid w:val="00614BCB"/>
    <w:rsid w:val="0061649D"/>
    <w:rsid w:val="006170AF"/>
    <w:rsid w:val="00617251"/>
    <w:rsid w:val="0062200F"/>
    <w:rsid w:val="00622AB3"/>
    <w:rsid w:val="00622DF2"/>
    <w:rsid w:val="00622EE4"/>
    <w:rsid w:val="006238F7"/>
    <w:rsid w:val="006250D7"/>
    <w:rsid w:val="00627D21"/>
    <w:rsid w:val="006305BB"/>
    <w:rsid w:val="0063066D"/>
    <w:rsid w:val="00630780"/>
    <w:rsid w:val="0063195B"/>
    <w:rsid w:val="0063258E"/>
    <w:rsid w:val="00633E03"/>
    <w:rsid w:val="00634B58"/>
    <w:rsid w:val="006351F2"/>
    <w:rsid w:val="006351FF"/>
    <w:rsid w:val="0063589F"/>
    <w:rsid w:val="00635928"/>
    <w:rsid w:val="00635C39"/>
    <w:rsid w:val="00636064"/>
    <w:rsid w:val="00637815"/>
    <w:rsid w:val="00640800"/>
    <w:rsid w:val="00640D7D"/>
    <w:rsid w:val="006421B6"/>
    <w:rsid w:val="00642B1A"/>
    <w:rsid w:val="00643E8A"/>
    <w:rsid w:val="00644520"/>
    <w:rsid w:val="00644B8B"/>
    <w:rsid w:val="00644BF3"/>
    <w:rsid w:val="00644DBF"/>
    <w:rsid w:val="00644F9E"/>
    <w:rsid w:val="006462DA"/>
    <w:rsid w:val="0064639A"/>
    <w:rsid w:val="006464F7"/>
    <w:rsid w:val="006503FE"/>
    <w:rsid w:val="00650B81"/>
    <w:rsid w:val="00650F08"/>
    <w:rsid w:val="00650FAB"/>
    <w:rsid w:val="0065170D"/>
    <w:rsid w:val="00651B92"/>
    <w:rsid w:val="006535F4"/>
    <w:rsid w:val="00653DFF"/>
    <w:rsid w:val="006544DC"/>
    <w:rsid w:val="006547A9"/>
    <w:rsid w:val="006547CC"/>
    <w:rsid w:val="00654F2B"/>
    <w:rsid w:val="00655268"/>
    <w:rsid w:val="006561BC"/>
    <w:rsid w:val="0065678B"/>
    <w:rsid w:val="00657355"/>
    <w:rsid w:val="00657BB0"/>
    <w:rsid w:val="00657ED6"/>
    <w:rsid w:val="00657FBE"/>
    <w:rsid w:val="00660236"/>
    <w:rsid w:val="0066025E"/>
    <w:rsid w:val="00662D4B"/>
    <w:rsid w:val="00663D76"/>
    <w:rsid w:val="00664188"/>
    <w:rsid w:val="00665C9F"/>
    <w:rsid w:val="006666CF"/>
    <w:rsid w:val="006677A0"/>
    <w:rsid w:val="00670389"/>
    <w:rsid w:val="00670DA5"/>
    <w:rsid w:val="0067127D"/>
    <w:rsid w:val="00671DB2"/>
    <w:rsid w:val="006724E2"/>
    <w:rsid w:val="006746EF"/>
    <w:rsid w:val="00674FC2"/>
    <w:rsid w:val="00675466"/>
    <w:rsid w:val="006759DA"/>
    <w:rsid w:val="00676EFF"/>
    <w:rsid w:val="0067774C"/>
    <w:rsid w:val="00677C95"/>
    <w:rsid w:val="006808EE"/>
    <w:rsid w:val="00680FD7"/>
    <w:rsid w:val="00681122"/>
    <w:rsid w:val="006822E6"/>
    <w:rsid w:val="00683BD9"/>
    <w:rsid w:val="00683C83"/>
    <w:rsid w:val="00683CD6"/>
    <w:rsid w:val="00684ECB"/>
    <w:rsid w:val="00685FA9"/>
    <w:rsid w:val="00686704"/>
    <w:rsid w:val="00686B3F"/>
    <w:rsid w:val="00686B8A"/>
    <w:rsid w:val="0069085D"/>
    <w:rsid w:val="00691A83"/>
    <w:rsid w:val="00692446"/>
    <w:rsid w:val="0069256A"/>
    <w:rsid w:val="00692E77"/>
    <w:rsid w:val="00693B22"/>
    <w:rsid w:val="00693DCD"/>
    <w:rsid w:val="00693E37"/>
    <w:rsid w:val="00694A5F"/>
    <w:rsid w:val="00694EBF"/>
    <w:rsid w:val="006951DB"/>
    <w:rsid w:val="006957AB"/>
    <w:rsid w:val="00697264"/>
    <w:rsid w:val="006A0C9F"/>
    <w:rsid w:val="006A1317"/>
    <w:rsid w:val="006A1BF9"/>
    <w:rsid w:val="006A1CDE"/>
    <w:rsid w:val="006A23A3"/>
    <w:rsid w:val="006A31BF"/>
    <w:rsid w:val="006A3A4B"/>
    <w:rsid w:val="006A3BB1"/>
    <w:rsid w:val="006A4F83"/>
    <w:rsid w:val="006A5A05"/>
    <w:rsid w:val="006B0AB1"/>
    <w:rsid w:val="006B137E"/>
    <w:rsid w:val="006B138A"/>
    <w:rsid w:val="006B235C"/>
    <w:rsid w:val="006B31C6"/>
    <w:rsid w:val="006B37FA"/>
    <w:rsid w:val="006B4939"/>
    <w:rsid w:val="006B5475"/>
    <w:rsid w:val="006B5542"/>
    <w:rsid w:val="006B5EFA"/>
    <w:rsid w:val="006B6D3C"/>
    <w:rsid w:val="006B7E4E"/>
    <w:rsid w:val="006C006F"/>
    <w:rsid w:val="006C03E6"/>
    <w:rsid w:val="006C129D"/>
    <w:rsid w:val="006C1A24"/>
    <w:rsid w:val="006C2B5B"/>
    <w:rsid w:val="006C2FA1"/>
    <w:rsid w:val="006C3069"/>
    <w:rsid w:val="006C3AD4"/>
    <w:rsid w:val="006C7944"/>
    <w:rsid w:val="006D2707"/>
    <w:rsid w:val="006D36A7"/>
    <w:rsid w:val="006D41EA"/>
    <w:rsid w:val="006D4479"/>
    <w:rsid w:val="006D5007"/>
    <w:rsid w:val="006D5DC4"/>
    <w:rsid w:val="006D7A70"/>
    <w:rsid w:val="006D7E85"/>
    <w:rsid w:val="006E14E2"/>
    <w:rsid w:val="006E397E"/>
    <w:rsid w:val="006E435E"/>
    <w:rsid w:val="006E625A"/>
    <w:rsid w:val="006E72B6"/>
    <w:rsid w:val="006F0F7A"/>
    <w:rsid w:val="006F2B82"/>
    <w:rsid w:val="006F3AEC"/>
    <w:rsid w:val="006F4981"/>
    <w:rsid w:val="006F5365"/>
    <w:rsid w:val="006F6BD8"/>
    <w:rsid w:val="006F6E47"/>
    <w:rsid w:val="007000E4"/>
    <w:rsid w:val="00700354"/>
    <w:rsid w:val="00702707"/>
    <w:rsid w:val="007033FE"/>
    <w:rsid w:val="00703B27"/>
    <w:rsid w:val="00704994"/>
    <w:rsid w:val="00704C8D"/>
    <w:rsid w:val="00705409"/>
    <w:rsid w:val="00707E3B"/>
    <w:rsid w:val="00707FAB"/>
    <w:rsid w:val="00710544"/>
    <w:rsid w:val="007109E7"/>
    <w:rsid w:val="00710A79"/>
    <w:rsid w:val="00711088"/>
    <w:rsid w:val="00711225"/>
    <w:rsid w:val="00712379"/>
    <w:rsid w:val="0071284E"/>
    <w:rsid w:val="0071338D"/>
    <w:rsid w:val="007157B6"/>
    <w:rsid w:val="00716BC2"/>
    <w:rsid w:val="0071722A"/>
    <w:rsid w:val="00717498"/>
    <w:rsid w:val="00717944"/>
    <w:rsid w:val="0072014A"/>
    <w:rsid w:val="00720527"/>
    <w:rsid w:val="007206D9"/>
    <w:rsid w:val="0072084B"/>
    <w:rsid w:val="00721A2F"/>
    <w:rsid w:val="00721DD7"/>
    <w:rsid w:val="00722A38"/>
    <w:rsid w:val="00722B3A"/>
    <w:rsid w:val="00722F43"/>
    <w:rsid w:val="00723A45"/>
    <w:rsid w:val="007242C1"/>
    <w:rsid w:val="00724A4D"/>
    <w:rsid w:val="007257B4"/>
    <w:rsid w:val="00726454"/>
    <w:rsid w:val="007268BF"/>
    <w:rsid w:val="00727E34"/>
    <w:rsid w:val="00727E5A"/>
    <w:rsid w:val="007310C5"/>
    <w:rsid w:val="00731BD9"/>
    <w:rsid w:val="00732C7F"/>
    <w:rsid w:val="00733D88"/>
    <w:rsid w:val="00734B2E"/>
    <w:rsid w:val="0073569F"/>
    <w:rsid w:val="00735FBA"/>
    <w:rsid w:val="00736E5F"/>
    <w:rsid w:val="007371F1"/>
    <w:rsid w:val="0074003F"/>
    <w:rsid w:val="007400C0"/>
    <w:rsid w:val="00743174"/>
    <w:rsid w:val="00743304"/>
    <w:rsid w:val="00745821"/>
    <w:rsid w:val="00747E9A"/>
    <w:rsid w:val="00750E0E"/>
    <w:rsid w:val="007514E5"/>
    <w:rsid w:val="00751877"/>
    <w:rsid w:val="00752912"/>
    <w:rsid w:val="00753BB6"/>
    <w:rsid w:val="00753CA1"/>
    <w:rsid w:val="00753FBC"/>
    <w:rsid w:val="00757124"/>
    <w:rsid w:val="00757400"/>
    <w:rsid w:val="007604A7"/>
    <w:rsid w:val="0076133F"/>
    <w:rsid w:val="00761601"/>
    <w:rsid w:val="0076172F"/>
    <w:rsid w:val="00761A58"/>
    <w:rsid w:val="00762EC7"/>
    <w:rsid w:val="00763002"/>
    <w:rsid w:val="00763376"/>
    <w:rsid w:val="00764C2E"/>
    <w:rsid w:val="007657AF"/>
    <w:rsid w:val="007658FC"/>
    <w:rsid w:val="00766F99"/>
    <w:rsid w:val="00767773"/>
    <w:rsid w:val="00767FF7"/>
    <w:rsid w:val="007714CD"/>
    <w:rsid w:val="007717CF"/>
    <w:rsid w:val="007731A2"/>
    <w:rsid w:val="00773EF3"/>
    <w:rsid w:val="007753A1"/>
    <w:rsid w:val="00775459"/>
    <w:rsid w:val="00775C97"/>
    <w:rsid w:val="007761E0"/>
    <w:rsid w:val="007779AF"/>
    <w:rsid w:val="0078031F"/>
    <w:rsid w:val="00780814"/>
    <w:rsid w:val="00780C0F"/>
    <w:rsid w:val="0078144B"/>
    <w:rsid w:val="00783587"/>
    <w:rsid w:val="00783716"/>
    <w:rsid w:val="00783F42"/>
    <w:rsid w:val="00784A5D"/>
    <w:rsid w:val="007854A5"/>
    <w:rsid w:val="00786EB6"/>
    <w:rsid w:val="007904DD"/>
    <w:rsid w:val="00792768"/>
    <w:rsid w:val="0079286C"/>
    <w:rsid w:val="00792A8E"/>
    <w:rsid w:val="00793D57"/>
    <w:rsid w:val="00794181"/>
    <w:rsid w:val="0079436F"/>
    <w:rsid w:val="00795B95"/>
    <w:rsid w:val="007965C2"/>
    <w:rsid w:val="00797A47"/>
    <w:rsid w:val="007A0548"/>
    <w:rsid w:val="007A159C"/>
    <w:rsid w:val="007A2457"/>
    <w:rsid w:val="007A2DCC"/>
    <w:rsid w:val="007A2F1C"/>
    <w:rsid w:val="007A3518"/>
    <w:rsid w:val="007A5971"/>
    <w:rsid w:val="007B060D"/>
    <w:rsid w:val="007B06A9"/>
    <w:rsid w:val="007B0E65"/>
    <w:rsid w:val="007B1232"/>
    <w:rsid w:val="007B1479"/>
    <w:rsid w:val="007B25E7"/>
    <w:rsid w:val="007B63E9"/>
    <w:rsid w:val="007B6AC6"/>
    <w:rsid w:val="007B7BA8"/>
    <w:rsid w:val="007B7FB8"/>
    <w:rsid w:val="007C0DC0"/>
    <w:rsid w:val="007C1682"/>
    <w:rsid w:val="007C178B"/>
    <w:rsid w:val="007C19A5"/>
    <w:rsid w:val="007C23AB"/>
    <w:rsid w:val="007C27A9"/>
    <w:rsid w:val="007C2D89"/>
    <w:rsid w:val="007C345C"/>
    <w:rsid w:val="007C37CD"/>
    <w:rsid w:val="007C3BBC"/>
    <w:rsid w:val="007C5A4E"/>
    <w:rsid w:val="007C6AF1"/>
    <w:rsid w:val="007C6C12"/>
    <w:rsid w:val="007C6DF4"/>
    <w:rsid w:val="007C72AD"/>
    <w:rsid w:val="007C7957"/>
    <w:rsid w:val="007C7BDE"/>
    <w:rsid w:val="007D1C75"/>
    <w:rsid w:val="007D27C4"/>
    <w:rsid w:val="007D30D2"/>
    <w:rsid w:val="007D33FE"/>
    <w:rsid w:val="007D38E6"/>
    <w:rsid w:val="007D3F7F"/>
    <w:rsid w:val="007D4AF8"/>
    <w:rsid w:val="007D4FB6"/>
    <w:rsid w:val="007D5760"/>
    <w:rsid w:val="007D5BF9"/>
    <w:rsid w:val="007D7444"/>
    <w:rsid w:val="007D7E07"/>
    <w:rsid w:val="007E0610"/>
    <w:rsid w:val="007E0D7C"/>
    <w:rsid w:val="007E0DA9"/>
    <w:rsid w:val="007E18A8"/>
    <w:rsid w:val="007E1D34"/>
    <w:rsid w:val="007E1F7D"/>
    <w:rsid w:val="007E2CE8"/>
    <w:rsid w:val="007E3F1F"/>
    <w:rsid w:val="007E6A75"/>
    <w:rsid w:val="007E7344"/>
    <w:rsid w:val="007F0437"/>
    <w:rsid w:val="007F1402"/>
    <w:rsid w:val="007F20C7"/>
    <w:rsid w:val="007F23B9"/>
    <w:rsid w:val="007F3880"/>
    <w:rsid w:val="007F3F8F"/>
    <w:rsid w:val="007F47FE"/>
    <w:rsid w:val="007F52ED"/>
    <w:rsid w:val="008031A2"/>
    <w:rsid w:val="00803889"/>
    <w:rsid w:val="00804684"/>
    <w:rsid w:val="008048F5"/>
    <w:rsid w:val="008049EF"/>
    <w:rsid w:val="00804E7E"/>
    <w:rsid w:val="00805578"/>
    <w:rsid w:val="0080565D"/>
    <w:rsid w:val="008058F7"/>
    <w:rsid w:val="00805BB5"/>
    <w:rsid w:val="0080780D"/>
    <w:rsid w:val="00807D15"/>
    <w:rsid w:val="0081024F"/>
    <w:rsid w:val="0081188F"/>
    <w:rsid w:val="00814494"/>
    <w:rsid w:val="008161F4"/>
    <w:rsid w:val="0081795B"/>
    <w:rsid w:val="008205AF"/>
    <w:rsid w:val="008214EF"/>
    <w:rsid w:val="00823573"/>
    <w:rsid w:val="00824A16"/>
    <w:rsid w:val="00824B21"/>
    <w:rsid w:val="00825644"/>
    <w:rsid w:val="00825CAF"/>
    <w:rsid w:val="008264B2"/>
    <w:rsid w:val="00827307"/>
    <w:rsid w:val="00827C24"/>
    <w:rsid w:val="008305CB"/>
    <w:rsid w:val="00830728"/>
    <w:rsid w:val="008308DA"/>
    <w:rsid w:val="00832669"/>
    <w:rsid w:val="0083367B"/>
    <w:rsid w:val="008336BE"/>
    <w:rsid w:val="00833DCC"/>
    <w:rsid w:val="008345C3"/>
    <w:rsid w:val="008355E4"/>
    <w:rsid w:val="00835FBC"/>
    <w:rsid w:val="00836062"/>
    <w:rsid w:val="0083696B"/>
    <w:rsid w:val="00840073"/>
    <w:rsid w:val="00840303"/>
    <w:rsid w:val="008412EE"/>
    <w:rsid w:val="008438CF"/>
    <w:rsid w:val="00844022"/>
    <w:rsid w:val="0084661A"/>
    <w:rsid w:val="00846DA1"/>
    <w:rsid w:val="00850333"/>
    <w:rsid w:val="0085164D"/>
    <w:rsid w:val="008517D7"/>
    <w:rsid w:val="008523E5"/>
    <w:rsid w:val="008531D1"/>
    <w:rsid w:val="008537D2"/>
    <w:rsid w:val="008546B3"/>
    <w:rsid w:val="00854CF0"/>
    <w:rsid w:val="00855012"/>
    <w:rsid w:val="0085544E"/>
    <w:rsid w:val="00856B6B"/>
    <w:rsid w:val="00857FC1"/>
    <w:rsid w:val="00860369"/>
    <w:rsid w:val="00860F0A"/>
    <w:rsid w:val="0086147D"/>
    <w:rsid w:val="00861587"/>
    <w:rsid w:val="0086324F"/>
    <w:rsid w:val="008635DC"/>
    <w:rsid w:val="00863A1A"/>
    <w:rsid w:val="00863A7D"/>
    <w:rsid w:val="00865025"/>
    <w:rsid w:val="008650D7"/>
    <w:rsid w:val="00865BF4"/>
    <w:rsid w:val="00870E92"/>
    <w:rsid w:val="00871047"/>
    <w:rsid w:val="0087279B"/>
    <w:rsid w:val="008737BE"/>
    <w:rsid w:val="00874092"/>
    <w:rsid w:val="0087657B"/>
    <w:rsid w:val="00876E0E"/>
    <w:rsid w:val="008771FC"/>
    <w:rsid w:val="008772A3"/>
    <w:rsid w:val="0088044A"/>
    <w:rsid w:val="0088048C"/>
    <w:rsid w:val="0088056E"/>
    <w:rsid w:val="00882B9E"/>
    <w:rsid w:val="00882FA9"/>
    <w:rsid w:val="00884077"/>
    <w:rsid w:val="0088440C"/>
    <w:rsid w:val="00884B9E"/>
    <w:rsid w:val="00884DE5"/>
    <w:rsid w:val="00885336"/>
    <w:rsid w:val="008867D4"/>
    <w:rsid w:val="00890273"/>
    <w:rsid w:val="00890297"/>
    <w:rsid w:val="008904B1"/>
    <w:rsid w:val="008911D2"/>
    <w:rsid w:val="00891966"/>
    <w:rsid w:val="00891A53"/>
    <w:rsid w:val="00893069"/>
    <w:rsid w:val="00893E04"/>
    <w:rsid w:val="008941AF"/>
    <w:rsid w:val="008946DF"/>
    <w:rsid w:val="00895260"/>
    <w:rsid w:val="00895DF6"/>
    <w:rsid w:val="00896562"/>
    <w:rsid w:val="00896F4C"/>
    <w:rsid w:val="008A1FE1"/>
    <w:rsid w:val="008A2A00"/>
    <w:rsid w:val="008A3037"/>
    <w:rsid w:val="008A31CC"/>
    <w:rsid w:val="008A5A18"/>
    <w:rsid w:val="008A5C38"/>
    <w:rsid w:val="008A65A3"/>
    <w:rsid w:val="008B0A52"/>
    <w:rsid w:val="008B12D6"/>
    <w:rsid w:val="008B1CAE"/>
    <w:rsid w:val="008B57A5"/>
    <w:rsid w:val="008B57DF"/>
    <w:rsid w:val="008B5DCB"/>
    <w:rsid w:val="008B7FA6"/>
    <w:rsid w:val="008C015D"/>
    <w:rsid w:val="008C1320"/>
    <w:rsid w:val="008C1F6C"/>
    <w:rsid w:val="008C29C4"/>
    <w:rsid w:val="008C2E66"/>
    <w:rsid w:val="008C3536"/>
    <w:rsid w:val="008C5352"/>
    <w:rsid w:val="008C6A54"/>
    <w:rsid w:val="008C6AC4"/>
    <w:rsid w:val="008D181F"/>
    <w:rsid w:val="008D2EC7"/>
    <w:rsid w:val="008D339A"/>
    <w:rsid w:val="008D3D7E"/>
    <w:rsid w:val="008D3F74"/>
    <w:rsid w:val="008D3FFF"/>
    <w:rsid w:val="008D41B5"/>
    <w:rsid w:val="008D4899"/>
    <w:rsid w:val="008D4CA8"/>
    <w:rsid w:val="008D6FBC"/>
    <w:rsid w:val="008E067B"/>
    <w:rsid w:val="008E19DF"/>
    <w:rsid w:val="008E1B3D"/>
    <w:rsid w:val="008E20EC"/>
    <w:rsid w:val="008E2EC7"/>
    <w:rsid w:val="008E3E5C"/>
    <w:rsid w:val="008E4AD4"/>
    <w:rsid w:val="008E6CC1"/>
    <w:rsid w:val="008E6CE0"/>
    <w:rsid w:val="008E7059"/>
    <w:rsid w:val="008E7A11"/>
    <w:rsid w:val="008E7EF3"/>
    <w:rsid w:val="008F01B2"/>
    <w:rsid w:val="008F0BFD"/>
    <w:rsid w:val="008F0DD3"/>
    <w:rsid w:val="008F12BF"/>
    <w:rsid w:val="008F176F"/>
    <w:rsid w:val="008F214D"/>
    <w:rsid w:val="008F2A29"/>
    <w:rsid w:val="008F2C37"/>
    <w:rsid w:val="008F3133"/>
    <w:rsid w:val="008F364B"/>
    <w:rsid w:val="008F41FC"/>
    <w:rsid w:val="008F429E"/>
    <w:rsid w:val="008F51CE"/>
    <w:rsid w:val="008F5A35"/>
    <w:rsid w:val="008F5F97"/>
    <w:rsid w:val="008F6DE3"/>
    <w:rsid w:val="008F78FF"/>
    <w:rsid w:val="008F7A93"/>
    <w:rsid w:val="00900974"/>
    <w:rsid w:val="00900C32"/>
    <w:rsid w:val="0090109F"/>
    <w:rsid w:val="00901167"/>
    <w:rsid w:val="00901232"/>
    <w:rsid w:val="00901F39"/>
    <w:rsid w:val="00902FC3"/>
    <w:rsid w:val="009048F0"/>
    <w:rsid w:val="00904CBE"/>
    <w:rsid w:val="00905B37"/>
    <w:rsid w:val="00907091"/>
    <w:rsid w:val="00907FB8"/>
    <w:rsid w:val="0091006A"/>
    <w:rsid w:val="00910563"/>
    <w:rsid w:val="009114F9"/>
    <w:rsid w:val="00912C8E"/>
    <w:rsid w:val="00912F23"/>
    <w:rsid w:val="009130AF"/>
    <w:rsid w:val="0091383D"/>
    <w:rsid w:val="009140DE"/>
    <w:rsid w:val="00914618"/>
    <w:rsid w:val="0091469E"/>
    <w:rsid w:val="00915D6F"/>
    <w:rsid w:val="0091605D"/>
    <w:rsid w:val="00916660"/>
    <w:rsid w:val="00917E57"/>
    <w:rsid w:val="009206B5"/>
    <w:rsid w:val="00921978"/>
    <w:rsid w:val="00922420"/>
    <w:rsid w:val="00922F81"/>
    <w:rsid w:val="0092577D"/>
    <w:rsid w:val="009259E6"/>
    <w:rsid w:val="00925A7F"/>
    <w:rsid w:val="00925CB3"/>
    <w:rsid w:val="00926006"/>
    <w:rsid w:val="00926438"/>
    <w:rsid w:val="00927E8D"/>
    <w:rsid w:val="00927F7B"/>
    <w:rsid w:val="00930310"/>
    <w:rsid w:val="009320D2"/>
    <w:rsid w:val="009321DB"/>
    <w:rsid w:val="0093335D"/>
    <w:rsid w:val="00933DED"/>
    <w:rsid w:val="00934718"/>
    <w:rsid w:val="0093489E"/>
    <w:rsid w:val="00934C26"/>
    <w:rsid w:val="00937DEB"/>
    <w:rsid w:val="00937E0E"/>
    <w:rsid w:val="0094039C"/>
    <w:rsid w:val="00940913"/>
    <w:rsid w:val="00941C5B"/>
    <w:rsid w:val="009422AF"/>
    <w:rsid w:val="009424FB"/>
    <w:rsid w:val="00942A52"/>
    <w:rsid w:val="0094369C"/>
    <w:rsid w:val="00943796"/>
    <w:rsid w:val="00945BB2"/>
    <w:rsid w:val="00945BB8"/>
    <w:rsid w:val="00945BE6"/>
    <w:rsid w:val="00946B6A"/>
    <w:rsid w:val="009505A3"/>
    <w:rsid w:val="00950834"/>
    <w:rsid w:val="00952B50"/>
    <w:rsid w:val="00952EC8"/>
    <w:rsid w:val="009531CC"/>
    <w:rsid w:val="00953A0E"/>
    <w:rsid w:val="00953F08"/>
    <w:rsid w:val="00955EDE"/>
    <w:rsid w:val="009568FA"/>
    <w:rsid w:val="00956B63"/>
    <w:rsid w:val="00956B9C"/>
    <w:rsid w:val="00957115"/>
    <w:rsid w:val="009572ED"/>
    <w:rsid w:val="00957C30"/>
    <w:rsid w:val="009606D4"/>
    <w:rsid w:val="00960E66"/>
    <w:rsid w:val="00961EB1"/>
    <w:rsid w:val="0096259E"/>
    <w:rsid w:val="00962B07"/>
    <w:rsid w:val="0096332D"/>
    <w:rsid w:val="00963504"/>
    <w:rsid w:val="009646A8"/>
    <w:rsid w:val="00965468"/>
    <w:rsid w:val="00965599"/>
    <w:rsid w:val="00965916"/>
    <w:rsid w:val="009704F7"/>
    <w:rsid w:val="00970F23"/>
    <w:rsid w:val="00971346"/>
    <w:rsid w:val="00972DD3"/>
    <w:rsid w:val="009732D8"/>
    <w:rsid w:val="009737C9"/>
    <w:rsid w:val="009743B9"/>
    <w:rsid w:val="00974607"/>
    <w:rsid w:val="00977519"/>
    <w:rsid w:val="00980C71"/>
    <w:rsid w:val="009810DC"/>
    <w:rsid w:val="009818F3"/>
    <w:rsid w:val="00981963"/>
    <w:rsid w:val="0098208C"/>
    <w:rsid w:val="0098397A"/>
    <w:rsid w:val="00983CB3"/>
    <w:rsid w:val="00984293"/>
    <w:rsid w:val="00984495"/>
    <w:rsid w:val="00984D37"/>
    <w:rsid w:val="0098538C"/>
    <w:rsid w:val="0098549E"/>
    <w:rsid w:val="00985B59"/>
    <w:rsid w:val="0098615F"/>
    <w:rsid w:val="00986407"/>
    <w:rsid w:val="009872A0"/>
    <w:rsid w:val="00990662"/>
    <w:rsid w:val="00993780"/>
    <w:rsid w:val="00993C2D"/>
    <w:rsid w:val="009943A9"/>
    <w:rsid w:val="00994CA3"/>
    <w:rsid w:val="0099516B"/>
    <w:rsid w:val="00996781"/>
    <w:rsid w:val="009974B0"/>
    <w:rsid w:val="009A13E7"/>
    <w:rsid w:val="009A2A2E"/>
    <w:rsid w:val="009A2C69"/>
    <w:rsid w:val="009A343B"/>
    <w:rsid w:val="009A3699"/>
    <w:rsid w:val="009A3BBB"/>
    <w:rsid w:val="009A55FC"/>
    <w:rsid w:val="009A5D40"/>
    <w:rsid w:val="009A7E65"/>
    <w:rsid w:val="009B0441"/>
    <w:rsid w:val="009B16D5"/>
    <w:rsid w:val="009B2A12"/>
    <w:rsid w:val="009B2D78"/>
    <w:rsid w:val="009B4EE0"/>
    <w:rsid w:val="009B72F5"/>
    <w:rsid w:val="009B7ECF"/>
    <w:rsid w:val="009C1E5E"/>
    <w:rsid w:val="009C2B9B"/>
    <w:rsid w:val="009C2F95"/>
    <w:rsid w:val="009C342D"/>
    <w:rsid w:val="009C449A"/>
    <w:rsid w:val="009C4EA9"/>
    <w:rsid w:val="009C5607"/>
    <w:rsid w:val="009C5F1E"/>
    <w:rsid w:val="009C5F9C"/>
    <w:rsid w:val="009C62F6"/>
    <w:rsid w:val="009C634C"/>
    <w:rsid w:val="009C63EF"/>
    <w:rsid w:val="009C669B"/>
    <w:rsid w:val="009C6CEB"/>
    <w:rsid w:val="009C7087"/>
    <w:rsid w:val="009C735C"/>
    <w:rsid w:val="009D026B"/>
    <w:rsid w:val="009D05E8"/>
    <w:rsid w:val="009D068A"/>
    <w:rsid w:val="009D0896"/>
    <w:rsid w:val="009D0D16"/>
    <w:rsid w:val="009D10E9"/>
    <w:rsid w:val="009D1CE2"/>
    <w:rsid w:val="009D25F0"/>
    <w:rsid w:val="009D2ADA"/>
    <w:rsid w:val="009D3FE3"/>
    <w:rsid w:val="009D4203"/>
    <w:rsid w:val="009D4E76"/>
    <w:rsid w:val="009D585C"/>
    <w:rsid w:val="009D5CA1"/>
    <w:rsid w:val="009D6A39"/>
    <w:rsid w:val="009E0353"/>
    <w:rsid w:val="009E0F60"/>
    <w:rsid w:val="009E1BFE"/>
    <w:rsid w:val="009E2375"/>
    <w:rsid w:val="009E2A1A"/>
    <w:rsid w:val="009E3304"/>
    <w:rsid w:val="009E4022"/>
    <w:rsid w:val="009E531F"/>
    <w:rsid w:val="009E5DCA"/>
    <w:rsid w:val="009E65F4"/>
    <w:rsid w:val="009E73A2"/>
    <w:rsid w:val="009E7D9D"/>
    <w:rsid w:val="009F01DB"/>
    <w:rsid w:val="009F0610"/>
    <w:rsid w:val="009F11B0"/>
    <w:rsid w:val="009F23B6"/>
    <w:rsid w:val="009F23FF"/>
    <w:rsid w:val="009F27C8"/>
    <w:rsid w:val="009F4F71"/>
    <w:rsid w:val="009F5645"/>
    <w:rsid w:val="009F5BDE"/>
    <w:rsid w:val="009F5DF3"/>
    <w:rsid w:val="009F63C0"/>
    <w:rsid w:val="009F6690"/>
    <w:rsid w:val="009F6D75"/>
    <w:rsid w:val="009F7A71"/>
    <w:rsid w:val="009F7B66"/>
    <w:rsid w:val="009F7FCC"/>
    <w:rsid w:val="00A01387"/>
    <w:rsid w:val="00A013A2"/>
    <w:rsid w:val="00A01429"/>
    <w:rsid w:val="00A020A3"/>
    <w:rsid w:val="00A020EF"/>
    <w:rsid w:val="00A0210A"/>
    <w:rsid w:val="00A04D26"/>
    <w:rsid w:val="00A05CED"/>
    <w:rsid w:val="00A068BD"/>
    <w:rsid w:val="00A069E2"/>
    <w:rsid w:val="00A06A2E"/>
    <w:rsid w:val="00A075D2"/>
    <w:rsid w:val="00A07832"/>
    <w:rsid w:val="00A07B98"/>
    <w:rsid w:val="00A10060"/>
    <w:rsid w:val="00A134B5"/>
    <w:rsid w:val="00A136DB"/>
    <w:rsid w:val="00A1373E"/>
    <w:rsid w:val="00A137EB"/>
    <w:rsid w:val="00A13C43"/>
    <w:rsid w:val="00A145EE"/>
    <w:rsid w:val="00A156ED"/>
    <w:rsid w:val="00A15E05"/>
    <w:rsid w:val="00A16201"/>
    <w:rsid w:val="00A16D9B"/>
    <w:rsid w:val="00A16F4C"/>
    <w:rsid w:val="00A1728C"/>
    <w:rsid w:val="00A173E2"/>
    <w:rsid w:val="00A17A01"/>
    <w:rsid w:val="00A21D3A"/>
    <w:rsid w:val="00A22AAC"/>
    <w:rsid w:val="00A25110"/>
    <w:rsid w:val="00A25B4D"/>
    <w:rsid w:val="00A26232"/>
    <w:rsid w:val="00A27F6F"/>
    <w:rsid w:val="00A300BB"/>
    <w:rsid w:val="00A30B32"/>
    <w:rsid w:val="00A30C7A"/>
    <w:rsid w:val="00A3110C"/>
    <w:rsid w:val="00A316A4"/>
    <w:rsid w:val="00A32C2E"/>
    <w:rsid w:val="00A33B64"/>
    <w:rsid w:val="00A33E08"/>
    <w:rsid w:val="00A34407"/>
    <w:rsid w:val="00A348E8"/>
    <w:rsid w:val="00A35438"/>
    <w:rsid w:val="00A3623C"/>
    <w:rsid w:val="00A3640F"/>
    <w:rsid w:val="00A40187"/>
    <w:rsid w:val="00A41E52"/>
    <w:rsid w:val="00A421DB"/>
    <w:rsid w:val="00A42D57"/>
    <w:rsid w:val="00A43F14"/>
    <w:rsid w:val="00A44904"/>
    <w:rsid w:val="00A45F33"/>
    <w:rsid w:val="00A46471"/>
    <w:rsid w:val="00A46621"/>
    <w:rsid w:val="00A47560"/>
    <w:rsid w:val="00A47C0D"/>
    <w:rsid w:val="00A47D3A"/>
    <w:rsid w:val="00A50E46"/>
    <w:rsid w:val="00A510AD"/>
    <w:rsid w:val="00A51574"/>
    <w:rsid w:val="00A516CF"/>
    <w:rsid w:val="00A518A8"/>
    <w:rsid w:val="00A51D17"/>
    <w:rsid w:val="00A524AD"/>
    <w:rsid w:val="00A52AA2"/>
    <w:rsid w:val="00A541CD"/>
    <w:rsid w:val="00A546D1"/>
    <w:rsid w:val="00A55D66"/>
    <w:rsid w:val="00A5601D"/>
    <w:rsid w:val="00A5707C"/>
    <w:rsid w:val="00A57D1C"/>
    <w:rsid w:val="00A627A2"/>
    <w:rsid w:val="00A62993"/>
    <w:rsid w:val="00A6350B"/>
    <w:rsid w:val="00A63942"/>
    <w:rsid w:val="00A64508"/>
    <w:rsid w:val="00A65834"/>
    <w:rsid w:val="00A65A3C"/>
    <w:rsid w:val="00A669C2"/>
    <w:rsid w:val="00A66B7D"/>
    <w:rsid w:val="00A66E69"/>
    <w:rsid w:val="00A67D4C"/>
    <w:rsid w:val="00A70040"/>
    <w:rsid w:val="00A70737"/>
    <w:rsid w:val="00A718D0"/>
    <w:rsid w:val="00A71E67"/>
    <w:rsid w:val="00A72191"/>
    <w:rsid w:val="00A7300B"/>
    <w:rsid w:val="00A7352C"/>
    <w:rsid w:val="00A73AF4"/>
    <w:rsid w:val="00A73F6E"/>
    <w:rsid w:val="00A75792"/>
    <w:rsid w:val="00A75DA3"/>
    <w:rsid w:val="00A76AE5"/>
    <w:rsid w:val="00A77C95"/>
    <w:rsid w:val="00A80FF7"/>
    <w:rsid w:val="00A81382"/>
    <w:rsid w:val="00A81AF7"/>
    <w:rsid w:val="00A841D8"/>
    <w:rsid w:val="00A842BD"/>
    <w:rsid w:val="00A86B67"/>
    <w:rsid w:val="00A933DB"/>
    <w:rsid w:val="00A93FC1"/>
    <w:rsid w:val="00A9429E"/>
    <w:rsid w:val="00A94D32"/>
    <w:rsid w:val="00A953C5"/>
    <w:rsid w:val="00A95DDA"/>
    <w:rsid w:val="00A96292"/>
    <w:rsid w:val="00A963CB"/>
    <w:rsid w:val="00A96758"/>
    <w:rsid w:val="00A969F9"/>
    <w:rsid w:val="00A97CBF"/>
    <w:rsid w:val="00A97DD0"/>
    <w:rsid w:val="00AA1111"/>
    <w:rsid w:val="00AA1687"/>
    <w:rsid w:val="00AA18DA"/>
    <w:rsid w:val="00AA489D"/>
    <w:rsid w:val="00AA5ECC"/>
    <w:rsid w:val="00AA621F"/>
    <w:rsid w:val="00AA718A"/>
    <w:rsid w:val="00AA77F6"/>
    <w:rsid w:val="00AB0EE1"/>
    <w:rsid w:val="00AB10E3"/>
    <w:rsid w:val="00AB1163"/>
    <w:rsid w:val="00AB1280"/>
    <w:rsid w:val="00AB19A4"/>
    <w:rsid w:val="00AB4CD7"/>
    <w:rsid w:val="00AB50F2"/>
    <w:rsid w:val="00AB5195"/>
    <w:rsid w:val="00AB5904"/>
    <w:rsid w:val="00AB5C84"/>
    <w:rsid w:val="00AB5E20"/>
    <w:rsid w:val="00AB6733"/>
    <w:rsid w:val="00AB72A1"/>
    <w:rsid w:val="00AB76E9"/>
    <w:rsid w:val="00AC0086"/>
    <w:rsid w:val="00AC0570"/>
    <w:rsid w:val="00AC0611"/>
    <w:rsid w:val="00AC062E"/>
    <w:rsid w:val="00AC11C8"/>
    <w:rsid w:val="00AC25F3"/>
    <w:rsid w:val="00AC30C4"/>
    <w:rsid w:val="00AC4336"/>
    <w:rsid w:val="00AC5777"/>
    <w:rsid w:val="00AC5B8D"/>
    <w:rsid w:val="00AC5DEB"/>
    <w:rsid w:val="00AC6405"/>
    <w:rsid w:val="00AC65FA"/>
    <w:rsid w:val="00AD031C"/>
    <w:rsid w:val="00AD0339"/>
    <w:rsid w:val="00AD04D5"/>
    <w:rsid w:val="00AD127C"/>
    <w:rsid w:val="00AD22C2"/>
    <w:rsid w:val="00AD23BB"/>
    <w:rsid w:val="00AD3B10"/>
    <w:rsid w:val="00AD5879"/>
    <w:rsid w:val="00AD6766"/>
    <w:rsid w:val="00AD6CFE"/>
    <w:rsid w:val="00AE499B"/>
    <w:rsid w:val="00AE4CCE"/>
    <w:rsid w:val="00AE66C5"/>
    <w:rsid w:val="00AE6C87"/>
    <w:rsid w:val="00AF0B27"/>
    <w:rsid w:val="00AF0EAC"/>
    <w:rsid w:val="00AF153F"/>
    <w:rsid w:val="00AF1FA1"/>
    <w:rsid w:val="00AF2DF7"/>
    <w:rsid w:val="00AF30D0"/>
    <w:rsid w:val="00AF4F95"/>
    <w:rsid w:val="00AF5B49"/>
    <w:rsid w:val="00AF729B"/>
    <w:rsid w:val="00B00CA7"/>
    <w:rsid w:val="00B02A33"/>
    <w:rsid w:val="00B03E6A"/>
    <w:rsid w:val="00B04768"/>
    <w:rsid w:val="00B04C24"/>
    <w:rsid w:val="00B1098B"/>
    <w:rsid w:val="00B10DCC"/>
    <w:rsid w:val="00B112A9"/>
    <w:rsid w:val="00B1216A"/>
    <w:rsid w:val="00B12ECB"/>
    <w:rsid w:val="00B132CF"/>
    <w:rsid w:val="00B1341B"/>
    <w:rsid w:val="00B13DD3"/>
    <w:rsid w:val="00B13F8C"/>
    <w:rsid w:val="00B14798"/>
    <w:rsid w:val="00B1501B"/>
    <w:rsid w:val="00B15051"/>
    <w:rsid w:val="00B15849"/>
    <w:rsid w:val="00B16CCA"/>
    <w:rsid w:val="00B177C0"/>
    <w:rsid w:val="00B20827"/>
    <w:rsid w:val="00B20969"/>
    <w:rsid w:val="00B21384"/>
    <w:rsid w:val="00B2189F"/>
    <w:rsid w:val="00B221A0"/>
    <w:rsid w:val="00B226C2"/>
    <w:rsid w:val="00B228E9"/>
    <w:rsid w:val="00B22EE6"/>
    <w:rsid w:val="00B2340C"/>
    <w:rsid w:val="00B239A5"/>
    <w:rsid w:val="00B23CAC"/>
    <w:rsid w:val="00B23EF2"/>
    <w:rsid w:val="00B241A1"/>
    <w:rsid w:val="00B2462B"/>
    <w:rsid w:val="00B26ABE"/>
    <w:rsid w:val="00B26B46"/>
    <w:rsid w:val="00B30966"/>
    <w:rsid w:val="00B32D8B"/>
    <w:rsid w:val="00B33801"/>
    <w:rsid w:val="00B340C5"/>
    <w:rsid w:val="00B34674"/>
    <w:rsid w:val="00B34B31"/>
    <w:rsid w:val="00B35D4A"/>
    <w:rsid w:val="00B36DAD"/>
    <w:rsid w:val="00B41538"/>
    <w:rsid w:val="00B41541"/>
    <w:rsid w:val="00B42B4E"/>
    <w:rsid w:val="00B44701"/>
    <w:rsid w:val="00B44D39"/>
    <w:rsid w:val="00B458D5"/>
    <w:rsid w:val="00B47B0E"/>
    <w:rsid w:val="00B50459"/>
    <w:rsid w:val="00B50BF4"/>
    <w:rsid w:val="00B52CFD"/>
    <w:rsid w:val="00B53357"/>
    <w:rsid w:val="00B53C0F"/>
    <w:rsid w:val="00B55B58"/>
    <w:rsid w:val="00B55BAF"/>
    <w:rsid w:val="00B56227"/>
    <w:rsid w:val="00B566BF"/>
    <w:rsid w:val="00B57589"/>
    <w:rsid w:val="00B57CC1"/>
    <w:rsid w:val="00B6041F"/>
    <w:rsid w:val="00B60FAD"/>
    <w:rsid w:val="00B61451"/>
    <w:rsid w:val="00B61FF5"/>
    <w:rsid w:val="00B62880"/>
    <w:rsid w:val="00B62AD4"/>
    <w:rsid w:val="00B6364D"/>
    <w:rsid w:val="00B66B68"/>
    <w:rsid w:val="00B672A3"/>
    <w:rsid w:val="00B67AF4"/>
    <w:rsid w:val="00B7207E"/>
    <w:rsid w:val="00B7250E"/>
    <w:rsid w:val="00B72C4A"/>
    <w:rsid w:val="00B72D9A"/>
    <w:rsid w:val="00B73CF7"/>
    <w:rsid w:val="00B749B8"/>
    <w:rsid w:val="00B752FA"/>
    <w:rsid w:val="00B767C9"/>
    <w:rsid w:val="00B76E17"/>
    <w:rsid w:val="00B774B7"/>
    <w:rsid w:val="00B803B4"/>
    <w:rsid w:val="00B8058D"/>
    <w:rsid w:val="00B811DD"/>
    <w:rsid w:val="00B81AA4"/>
    <w:rsid w:val="00B81BE2"/>
    <w:rsid w:val="00B82050"/>
    <w:rsid w:val="00B83072"/>
    <w:rsid w:val="00B83464"/>
    <w:rsid w:val="00B83DCC"/>
    <w:rsid w:val="00B84684"/>
    <w:rsid w:val="00B84ED6"/>
    <w:rsid w:val="00B8614D"/>
    <w:rsid w:val="00B8655D"/>
    <w:rsid w:val="00B906C9"/>
    <w:rsid w:val="00B9071F"/>
    <w:rsid w:val="00B910FF"/>
    <w:rsid w:val="00B931D7"/>
    <w:rsid w:val="00B933BB"/>
    <w:rsid w:val="00B9349E"/>
    <w:rsid w:val="00B93FF7"/>
    <w:rsid w:val="00B94A51"/>
    <w:rsid w:val="00B9598A"/>
    <w:rsid w:val="00B96003"/>
    <w:rsid w:val="00BA1D6C"/>
    <w:rsid w:val="00BA1EE7"/>
    <w:rsid w:val="00BA2434"/>
    <w:rsid w:val="00BA2A77"/>
    <w:rsid w:val="00BA2E36"/>
    <w:rsid w:val="00BA3519"/>
    <w:rsid w:val="00BA3BEB"/>
    <w:rsid w:val="00BA3F63"/>
    <w:rsid w:val="00BA3F6F"/>
    <w:rsid w:val="00BA543A"/>
    <w:rsid w:val="00BA5EA7"/>
    <w:rsid w:val="00BA66F3"/>
    <w:rsid w:val="00BA69CB"/>
    <w:rsid w:val="00BA75C2"/>
    <w:rsid w:val="00BB052F"/>
    <w:rsid w:val="00BB0DF0"/>
    <w:rsid w:val="00BB237F"/>
    <w:rsid w:val="00BB2AA9"/>
    <w:rsid w:val="00BB2EA4"/>
    <w:rsid w:val="00BB369F"/>
    <w:rsid w:val="00BB40AB"/>
    <w:rsid w:val="00BB42EB"/>
    <w:rsid w:val="00BB46E1"/>
    <w:rsid w:val="00BB5345"/>
    <w:rsid w:val="00BB694A"/>
    <w:rsid w:val="00BC0045"/>
    <w:rsid w:val="00BC0217"/>
    <w:rsid w:val="00BC0A62"/>
    <w:rsid w:val="00BC0BB4"/>
    <w:rsid w:val="00BC1FA0"/>
    <w:rsid w:val="00BC2CC4"/>
    <w:rsid w:val="00BC2FA4"/>
    <w:rsid w:val="00BC3017"/>
    <w:rsid w:val="00BC3054"/>
    <w:rsid w:val="00BC30A7"/>
    <w:rsid w:val="00BC331E"/>
    <w:rsid w:val="00BC342F"/>
    <w:rsid w:val="00BC36FD"/>
    <w:rsid w:val="00BC3907"/>
    <w:rsid w:val="00BC4A59"/>
    <w:rsid w:val="00BC5153"/>
    <w:rsid w:val="00BC7C63"/>
    <w:rsid w:val="00BD0568"/>
    <w:rsid w:val="00BD0DEB"/>
    <w:rsid w:val="00BD1BDF"/>
    <w:rsid w:val="00BD2B74"/>
    <w:rsid w:val="00BD46C8"/>
    <w:rsid w:val="00BD56DE"/>
    <w:rsid w:val="00BD5E15"/>
    <w:rsid w:val="00BD5EA2"/>
    <w:rsid w:val="00BD6493"/>
    <w:rsid w:val="00BD769A"/>
    <w:rsid w:val="00BE083F"/>
    <w:rsid w:val="00BE2880"/>
    <w:rsid w:val="00BE2DE0"/>
    <w:rsid w:val="00BE3322"/>
    <w:rsid w:val="00BE530F"/>
    <w:rsid w:val="00BE5461"/>
    <w:rsid w:val="00BE54ED"/>
    <w:rsid w:val="00BE56E5"/>
    <w:rsid w:val="00BE66D1"/>
    <w:rsid w:val="00BE6BA0"/>
    <w:rsid w:val="00BE7348"/>
    <w:rsid w:val="00BE73EC"/>
    <w:rsid w:val="00BE7684"/>
    <w:rsid w:val="00BF02C5"/>
    <w:rsid w:val="00BF080F"/>
    <w:rsid w:val="00BF0842"/>
    <w:rsid w:val="00BF09D1"/>
    <w:rsid w:val="00BF0ED8"/>
    <w:rsid w:val="00BF1528"/>
    <w:rsid w:val="00BF23EA"/>
    <w:rsid w:val="00BF38CD"/>
    <w:rsid w:val="00BF3A43"/>
    <w:rsid w:val="00BF629D"/>
    <w:rsid w:val="00C01DBD"/>
    <w:rsid w:val="00C02519"/>
    <w:rsid w:val="00C0403E"/>
    <w:rsid w:val="00C04E49"/>
    <w:rsid w:val="00C057C7"/>
    <w:rsid w:val="00C064B8"/>
    <w:rsid w:val="00C06B4A"/>
    <w:rsid w:val="00C07FA1"/>
    <w:rsid w:val="00C10FD6"/>
    <w:rsid w:val="00C11B09"/>
    <w:rsid w:val="00C12094"/>
    <w:rsid w:val="00C13DB7"/>
    <w:rsid w:val="00C158C1"/>
    <w:rsid w:val="00C15ACE"/>
    <w:rsid w:val="00C176B7"/>
    <w:rsid w:val="00C17E87"/>
    <w:rsid w:val="00C20A95"/>
    <w:rsid w:val="00C20B98"/>
    <w:rsid w:val="00C215C5"/>
    <w:rsid w:val="00C22E9E"/>
    <w:rsid w:val="00C22F7F"/>
    <w:rsid w:val="00C23933"/>
    <w:rsid w:val="00C245C5"/>
    <w:rsid w:val="00C248E5"/>
    <w:rsid w:val="00C24930"/>
    <w:rsid w:val="00C24B99"/>
    <w:rsid w:val="00C24D7F"/>
    <w:rsid w:val="00C300E5"/>
    <w:rsid w:val="00C30494"/>
    <w:rsid w:val="00C30BE2"/>
    <w:rsid w:val="00C31012"/>
    <w:rsid w:val="00C3123F"/>
    <w:rsid w:val="00C3213E"/>
    <w:rsid w:val="00C33744"/>
    <w:rsid w:val="00C338AF"/>
    <w:rsid w:val="00C33FD0"/>
    <w:rsid w:val="00C34272"/>
    <w:rsid w:val="00C343DC"/>
    <w:rsid w:val="00C370F0"/>
    <w:rsid w:val="00C40358"/>
    <w:rsid w:val="00C4131C"/>
    <w:rsid w:val="00C4280A"/>
    <w:rsid w:val="00C42B1B"/>
    <w:rsid w:val="00C42F09"/>
    <w:rsid w:val="00C431BA"/>
    <w:rsid w:val="00C435FD"/>
    <w:rsid w:val="00C44566"/>
    <w:rsid w:val="00C44680"/>
    <w:rsid w:val="00C45263"/>
    <w:rsid w:val="00C45EE6"/>
    <w:rsid w:val="00C47082"/>
    <w:rsid w:val="00C47ADD"/>
    <w:rsid w:val="00C50353"/>
    <w:rsid w:val="00C51CA7"/>
    <w:rsid w:val="00C53E41"/>
    <w:rsid w:val="00C55768"/>
    <w:rsid w:val="00C56397"/>
    <w:rsid w:val="00C568D4"/>
    <w:rsid w:val="00C57E2D"/>
    <w:rsid w:val="00C603BF"/>
    <w:rsid w:val="00C6056F"/>
    <w:rsid w:val="00C61E15"/>
    <w:rsid w:val="00C623BA"/>
    <w:rsid w:val="00C63DC5"/>
    <w:rsid w:val="00C6483E"/>
    <w:rsid w:val="00C66A61"/>
    <w:rsid w:val="00C66DAC"/>
    <w:rsid w:val="00C67A29"/>
    <w:rsid w:val="00C7032B"/>
    <w:rsid w:val="00C70795"/>
    <w:rsid w:val="00C710B1"/>
    <w:rsid w:val="00C72093"/>
    <w:rsid w:val="00C721EA"/>
    <w:rsid w:val="00C7223F"/>
    <w:rsid w:val="00C722DF"/>
    <w:rsid w:val="00C73859"/>
    <w:rsid w:val="00C73A13"/>
    <w:rsid w:val="00C73AD4"/>
    <w:rsid w:val="00C73BE3"/>
    <w:rsid w:val="00C73E77"/>
    <w:rsid w:val="00C74579"/>
    <w:rsid w:val="00C755C2"/>
    <w:rsid w:val="00C75641"/>
    <w:rsid w:val="00C75D55"/>
    <w:rsid w:val="00C7610B"/>
    <w:rsid w:val="00C77EF5"/>
    <w:rsid w:val="00C80535"/>
    <w:rsid w:val="00C807CF"/>
    <w:rsid w:val="00C80B24"/>
    <w:rsid w:val="00C80E7E"/>
    <w:rsid w:val="00C8267A"/>
    <w:rsid w:val="00C832C5"/>
    <w:rsid w:val="00C83427"/>
    <w:rsid w:val="00C83BF5"/>
    <w:rsid w:val="00C83DF6"/>
    <w:rsid w:val="00C840BE"/>
    <w:rsid w:val="00C87A45"/>
    <w:rsid w:val="00C87BAA"/>
    <w:rsid w:val="00C90959"/>
    <w:rsid w:val="00C90DA8"/>
    <w:rsid w:val="00C91102"/>
    <w:rsid w:val="00C91CA5"/>
    <w:rsid w:val="00C9313A"/>
    <w:rsid w:val="00C93375"/>
    <w:rsid w:val="00C93740"/>
    <w:rsid w:val="00C941FB"/>
    <w:rsid w:val="00C94BA6"/>
    <w:rsid w:val="00C94D30"/>
    <w:rsid w:val="00C95493"/>
    <w:rsid w:val="00C95B63"/>
    <w:rsid w:val="00C95D26"/>
    <w:rsid w:val="00C96541"/>
    <w:rsid w:val="00C9665C"/>
    <w:rsid w:val="00C973CC"/>
    <w:rsid w:val="00CA1EA8"/>
    <w:rsid w:val="00CA233C"/>
    <w:rsid w:val="00CA259D"/>
    <w:rsid w:val="00CA304B"/>
    <w:rsid w:val="00CA31C5"/>
    <w:rsid w:val="00CA387D"/>
    <w:rsid w:val="00CA480A"/>
    <w:rsid w:val="00CA5068"/>
    <w:rsid w:val="00CA5694"/>
    <w:rsid w:val="00CA5BEE"/>
    <w:rsid w:val="00CA7059"/>
    <w:rsid w:val="00CA7613"/>
    <w:rsid w:val="00CA7AE1"/>
    <w:rsid w:val="00CA7B48"/>
    <w:rsid w:val="00CA7FB2"/>
    <w:rsid w:val="00CB0425"/>
    <w:rsid w:val="00CB0E04"/>
    <w:rsid w:val="00CB0EC5"/>
    <w:rsid w:val="00CB25D1"/>
    <w:rsid w:val="00CB3517"/>
    <w:rsid w:val="00CB3F33"/>
    <w:rsid w:val="00CB4955"/>
    <w:rsid w:val="00CB4BFE"/>
    <w:rsid w:val="00CB593D"/>
    <w:rsid w:val="00CB72F0"/>
    <w:rsid w:val="00CB75D7"/>
    <w:rsid w:val="00CB766C"/>
    <w:rsid w:val="00CC075B"/>
    <w:rsid w:val="00CC0B26"/>
    <w:rsid w:val="00CC0C77"/>
    <w:rsid w:val="00CC1654"/>
    <w:rsid w:val="00CC190B"/>
    <w:rsid w:val="00CC2462"/>
    <w:rsid w:val="00CC2FA7"/>
    <w:rsid w:val="00CC3DD4"/>
    <w:rsid w:val="00CC549A"/>
    <w:rsid w:val="00CC6ACA"/>
    <w:rsid w:val="00CC77B9"/>
    <w:rsid w:val="00CD05F9"/>
    <w:rsid w:val="00CD0A6C"/>
    <w:rsid w:val="00CD16CA"/>
    <w:rsid w:val="00CD36B6"/>
    <w:rsid w:val="00CD3EAC"/>
    <w:rsid w:val="00CD448F"/>
    <w:rsid w:val="00CD560F"/>
    <w:rsid w:val="00CD6C24"/>
    <w:rsid w:val="00CD7508"/>
    <w:rsid w:val="00CE0E44"/>
    <w:rsid w:val="00CE0EC1"/>
    <w:rsid w:val="00CE1011"/>
    <w:rsid w:val="00CE1623"/>
    <w:rsid w:val="00CE2959"/>
    <w:rsid w:val="00CE2AE7"/>
    <w:rsid w:val="00CE3F17"/>
    <w:rsid w:val="00CE5622"/>
    <w:rsid w:val="00CE6E71"/>
    <w:rsid w:val="00CE75ED"/>
    <w:rsid w:val="00CE7787"/>
    <w:rsid w:val="00CE7CD1"/>
    <w:rsid w:val="00CF02F5"/>
    <w:rsid w:val="00CF051D"/>
    <w:rsid w:val="00CF1AE9"/>
    <w:rsid w:val="00CF1D2D"/>
    <w:rsid w:val="00CF2402"/>
    <w:rsid w:val="00CF63C2"/>
    <w:rsid w:val="00CF66FE"/>
    <w:rsid w:val="00D003CC"/>
    <w:rsid w:val="00D004E2"/>
    <w:rsid w:val="00D00F48"/>
    <w:rsid w:val="00D01E9B"/>
    <w:rsid w:val="00D026DF"/>
    <w:rsid w:val="00D0371D"/>
    <w:rsid w:val="00D038B7"/>
    <w:rsid w:val="00D0536F"/>
    <w:rsid w:val="00D06980"/>
    <w:rsid w:val="00D10C70"/>
    <w:rsid w:val="00D1126A"/>
    <w:rsid w:val="00D115BA"/>
    <w:rsid w:val="00D119BC"/>
    <w:rsid w:val="00D11BBE"/>
    <w:rsid w:val="00D139ED"/>
    <w:rsid w:val="00D1438D"/>
    <w:rsid w:val="00D158B8"/>
    <w:rsid w:val="00D16F23"/>
    <w:rsid w:val="00D175DE"/>
    <w:rsid w:val="00D17C84"/>
    <w:rsid w:val="00D21B6D"/>
    <w:rsid w:val="00D21C69"/>
    <w:rsid w:val="00D2343E"/>
    <w:rsid w:val="00D258AA"/>
    <w:rsid w:val="00D27099"/>
    <w:rsid w:val="00D313CF"/>
    <w:rsid w:val="00D32155"/>
    <w:rsid w:val="00D33850"/>
    <w:rsid w:val="00D34652"/>
    <w:rsid w:val="00D34928"/>
    <w:rsid w:val="00D34BFB"/>
    <w:rsid w:val="00D34E0C"/>
    <w:rsid w:val="00D379F2"/>
    <w:rsid w:val="00D4066F"/>
    <w:rsid w:val="00D40A8C"/>
    <w:rsid w:val="00D41361"/>
    <w:rsid w:val="00D41B55"/>
    <w:rsid w:val="00D41E5F"/>
    <w:rsid w:val="00D4284E"/>
    <w:rsid w:val="00D4398F"/>
    <w:rsid w:val="00D44C3B"/>
    <w:rsid w:val="00D45226"/>
    <w:rsid w:val="00D453AA"/>
    <w:rsid w:val="00D45E30"/>
    <w:rsid w:val="00D50FA0"/>
    <w:rsid w:val="00D511BF"/>
    <w:rsid w:val="00D51C6F"/>
    <w:rsid w:val="00D5366A"/>
    <w:rsid w:val="00D5402D"/>
    <w:rsid w:val="00D54CA8"/>
    <w:rsid w:val="00D553EC"/>
    <w:rsid w:val="00D55E04"/>
    <w:rsid w:val="00D55E1D"/>
    <w:rsid w:val="00D563E4"/>
    <w:rsid w:val="00D5640F"/>
    <w:rsid w:val="00D56829"/>
    <w:rsid w:val="00D56E65"/>
    <w:rsid w:val="00D5775D"/>
    <w:rsid w:val="00D577F6"/>
    <w:rsid w:val="00D57872"/>
    <w:rsid w:val="00D60C54"/>
    <w:rsid w:val="00D63D27"/>
    <w:rsid w:val="00D64905"/>
    <w:rsid w:val="00D64BE1"/>
    <w:rsid w:val="00D64F4C"/>
    <w:rsid w:val="00D656BC"/>
    <w:rsid w:val="00D66D20"/>
    <w:rsid w:val="00D678D1"/>
    <w:rsid w:val="00D67E8B"/>
    <w:rsid w:val="00D7029B"/>
    <w:rsid w:val="00D70A3D"/>
    <w:rsid w:val="00D71105"/>
    <w:rsid w:val="00D714AB"/>
    <w:rsid w:val="00D71B88"/>
    <w:rsid w:val="00D71BC9"/>
    <w:rsid w:val="00D71F2F"/>
    <w:rsid w:val="00D721A0"/>
    <w:rsid w:val="00D73E44"/>
    <w:rsid w:val="00D761FB"/>
    <w:rsid w:val="00D76340"/>
    <w:rsid w:val="00D76513"/>
    <w:rsid w:val="00D77D11"/>
    <w:rsid w:val="00D80970"/>
    <w:rsid w:val="00D80C66"/>
    <w:rsid w:val="00D8120F"/>
    <w:rsid w:val="00D81424"/>
    <w:rsid w:val="00D81FC3"/>
    <w:rsid w:val="00D826ED"/>
    <w:rsid w:val="00D833DF"/>
    <w:rsid w:val="00D83EDC"/>
    <w:rsid w:val="00D84393"/>
    <w:rsid w:val="00D84815"/>
    <w:rsid w:val="00D859AD"/>
    <w:rsid w:val="00D860CE"/>
    <w:rsid w:val="00D86693"/>
    <w:rsid w:val="00D869F5"/>
    <w:rsid w:val="00D876A2"/>
    <w:rsid w:val="00D87BD1"/>
    <w:rsid w:val="00D87BE8"/>
    <w:rsid w:val="00D87D9D"/>
    <w:rsid w:val="00D902BA"/>
    <w:rsid w:val="00D90A9B"/>
    <w:rsid w:val="00D90ECF"/>
    <w:rsid w:val="00D915A6"/>
    <w:rsid w:val="00D91DB4"/>
    <w:rsid w:val="00D92215"/>
    <w:rsid w:val="00D9253E"/>
    <w:rsid w:val="00D9363C"/>
    <w:rsid w:val="00D937AF"/>
    <w:rsid w:val="00D93E07"/>
    <w:rsid w:val="00D951EA"/>
    <w:rsid w:val="00D95409"/>
    <w:rsid w:val="00D95BA4"/>
    <w:rsid w:val="00D9609E"/>
    <w:rsid w:val="00D9669B"/>
    <w:rsid w:val="00D97C76"/>
    <w:rsid w:val="00DA03EC"/>
    <w:rsid w:val="00DA1AEF"/>
    <w:rsid w:val="00DA1BF6"/>
    <w:rsid w:val="00DA1E77"/>
    <w:rsid w:val="00DA27F2"/>
    <w:rsid w:val="00DA37AB"/>
    <w:rsid w:val="00DA38FB"/>
    <w:rsid w:val="00DA3A5A"/>
    <w:rsid w:val="00DA4F85"/>
    <w:rsid w:val="00DA5032"/>
    <w:rsid w:val="00DA5891"/>
    <w:rsid w:val="00DA7088"/>
    <w:rsid w:val="00DA7488"/>
    <w:rsid w:val="00DB19D6"/>
    <w:rsid w:val="00DB29C4"/>
    <w:rsid w:val="00DB46F1"/>
    <w:rsid w:val="00DB4817"/>
    <w:rsid w:val="00DB4D04"/>
    <w:rsid w:val="00DB50F7"/>
    <w:rsid w:val="00DB51A7"/>
    <w:rsid w:val="00DB6385"/>
    <w:rsid w:val="00DB6486"/>
    <w:rsid w:val="00DB6B03"/>
    <w:rsid w:val="00DC0B27"/>
    <w:rsid w:val="00DC1082"/>
    <w:rsid w:val="00DC12D8"/>
    <w:rsid w:val="00DC1597"/>
    <w:rsid w:val="00DC2444"/>
    <w:rsid w:val="00DC2783"/>
    <w:rsid w:val="00DC360A"/>
    <w:rsid w:val="00DC3B94"/>
    <w:rsid w:val="00DC550B"/>
    <w:rsid w:val="00DC5959"/>
    <w:rsid w:val="00DC614B"/>
    <w:rsid w:val="00DC6A60"/>
    <w:rsid w:val="00DC7502"/>
    <w:rsid w:val="00DC7542"/>
    <w:rsid w:val="00DD05BD"/>
    <w:rsid w:val="00DD0B5F"/>
    <w:rsid w:val="00DD1536"/>
    <w:rsid w:val="00DD1B3B"/>
    <w:rsid w:val="00DD1BC9"/>
    <w:rsid w:val="00DD3634"/>
    <w:rsid w:val="00DD366D"/>
    <w:rsid w:val="00DD462A"/>
    <w:rsid w:val="00DD486F"/>
    <w:rsid w:val="00DD5526"/>
    <w:rsid w:val="00DD5AD5"/>
    <w:rsid w:val="00DD5B7B"/>
    <w:rsid w:val="00DD611A"/>
    <w:rsid w:val="00DD664D"/>
    <w:rsid w:val="00DD772E"/>
    <w:rsid w:val="00DD7E8C"/>
    <w:rsid w:val="00DE1707"/>
    <w:rsid w:val="00DE1BA6"/>
    <w:rsid w:val="00DE2D3A"/>
    <w:rsid w:val="00DE3388"/>
    <w:rsid w:val="00DE33D3"/>
    <w:rsid w:val="00DE3642"/>
    <w:rsid w:val="00DE37C6"/>
    <w:rsid w:val="00DE4A52"/>
    <w:rsid w:val="00DE4AD0"/>
    <w:rsid w:val="00DE5989"/>
    <w:rsid w:val="00DE6430"/>
    <w:rsid w:val="00DE6BB0"/>
    <w:rsid w:val="00DE6C2B"/>
    <w:rsid w:val="00DF1828"/>
    <w:rsid w:val="00DF32BF"/>
    <w:rsid w:val="00DF3326"/>
    <w:rsid w:val="00DF36E6"/>
    <w:rsid w:val="00DF5E3A"/>
    <w:rsid w:val="00DF7166"/>
    <w:rsid w:val="00E01758"/>
    <w:rsid w:val="00E01854"/>
    <w:rsid w:val="00E04908"/>
    <w:rsid w:val="00E04E78"/>
    <w:rsid w:val="00E05F67"/>
    <w:rsid w:val="00E06651"/>
    <w:rsid w:val="00E07CB0"/>
    <w:rsid w:val="00E112FB"/>
    <w:rsid w:val="00E1133B"/>
    <w:rsid w:val="00E125B2"/>
    <w:rsid w:val="00E13DBA"/>
    <w:rsid w:val="00E14B07"/>
    <w:rsid w:val="00E14F38"/>
    <w:rsid w:val="00E1583D"/>
    <w:rsid w:val="00E15ACE"/>
    <w:rsid w:val="00E162F5"/>
    <w:rsid w:val="00E165A5"/>
    <w:rsid w:val="00E16C05"/>
    <w:rsid w:val="00E203EA"/>
    <w:rsid w:val="00E21BFD"/>
    <w:rsid w:val="00E22867"/>
    <w:rsid w:val="00E232A3"/>
    <w:rsid w:val="00E2389A"/>
    <w:rsid w:val="00E23CEA"/>
    <w:rsid w:val="00E24047"/>
    <w:rsid w:val="00E24149"/>
    <w:rsid w:val="00E241D0"/>
    <w:rsid w:val="00E24C74"/>
    <w:rsid w:val="00E2580A"/>
    <w:rsid w:val="00E2622D"/>
    <w:rsid w:val="00E27257"/>
    <w:rsid w:val="00E27A36"/>
    <w:rsid w:val="00E27D56"/>
    <w:rsid w:val="00E30642"/>
    <w:rsid w:val="00E3283A"/>
    <w:rsid w:val="00E334EE"/>
    <w:rsid w:val="00E337B7"/>
    <w:rsid w:val="00E353D8"/>
    <w:rsid w:val="00E3578D"/>
    <w:rsid w:val="00E361C2"/>
    <w:rsid w:val="00E37EB3"/>
    <w:rsid w:val="00E404C3"/>
    <w:rsid w:val="00E4085D"/>
    <w:rsid w:val="00E439CB"/>
    <w:rsid w:val="00E440B8"/>
    <w:rsid w:val="00E44547"/>
    <w:rsid w:val="00E45B2C"/>
    <w:rsid w:val="00E501CE"/>
    <w:rsid w:val="00E509C7"/>
    <w:rsid w:val="00E50E5A"/>
    <w:rsid w:val="00E51396"/>
    <w:rsid w:val="00E526B6"/>
    <w:rsid w:val="00E52704"/>
    <w:rsid w:val="00E531D4"/>
    <w:rsid w:val="00E55B65"/>
    <w:rsid w:val="00E561E7"/>
    <w:rsid w:val="00E562B5"/>
    <w:rsid w:val="00E56F29"/>
    <w:rsid w:val="00E5702B"/>
    <w:rsid w:val="00E6070B"/>
    <w:rsid w:val="00E60A03"/>
    <w:rsid w:val="00E628D7"/>
    <w:rsid w:val="00E63F70"/>
    <w:rsid w:val="00E6457E"/>
    <w:rsid w:val="00E64C3F"/>
    <w:rsid w:val="00E65159"/>
    <w:rsid w:val="00E651E4"/>
    <w:rsid w:val="00E66B68"/>
    <w:rsid w:val="00E6759A"/>
    <w:rsid w:val="00E7130C"/>
    <w:rsid w:val="00E71768"/>
    <w:rsid w:val="00E717BF"/>
    <w:rsid w:val="00E71AF3"/>
    <w:rsid w:val="00E71B90"/>
    <w:rsid w:val="00E72FAE"/>
    <w:rsid w:val="00E7342B"/>
    <w:rsid w:val="00E7552A"/>
    <w:rsid w:val="00E759EC"/>
    <w:rsid w:val="00E75D3B"/>
    <w:rsid w:val="00E76AF1"/>
    <w:rsid w:val="00E77DDC"/>
    <w:rsid w:val="00E80805"/>
    <w:rsid w:val="00E81B88"/>
    <w:rsid w:val="00E827F7"/>
    <w:rsid w:val="00E83E20"/>
    <w:rsid w:val="00E847BC"/>
    <w:rsid w:val="00E84E4D"/>
    <w:rsid w:val="00E85B7A"/>
    <w:rsid w:val="00E877B9"/>
    <w:rsid w:val="00E908CA"/>
    <w:rsid w:val="00E91EDC"/>
    <w:rsid w:val="00E92455"/>
    <w:rsid w:val="00E93F4D"/>
    <w:rsid w:val="00E95312"/>
    <w:rsid w:val="00E9543F"/>
    <w:rsid w:val="00E955AA"/>
    <w:rsid w:val="00E958A6"/>
    <w:rsid w:val="00E960E6"/>
    <w:rsid w:val="00E966AD"/>
    <w:rsid w:val="00E966BA"/>
    <w:rsid w:val="00E96B78"/>
    <w:rsid w:val="00E96EB3"/>
    <w:rsid w:val="00EA097B"/>
    <w:rsid w:val="00EA15D0"/>
    <w:rsid w:val="00EA2066"/>
    <w:rsid w:val="00EA20CD"/>
    <w:rsid w:val="00EA4528"/>
    <w:rsid w:val="00EA5ACA"/>
    <w:rsid w:val="00EA5BEC"/>
    <w:rsid w:val="00EA6122"/>
    <w:rsid w:val="00EA6F89"/>
    <w:rsid w:val="00EA7B2D"/>
    <w:rsid w:val="00EB1900"/>
    <w:rsid w:val="00EB1A80"/>
    <w:rsid w:val="00EB268B"/>
    <w:rsid w:val="00EB3097"/>
    <w:rsid w:val="00EB360C"/>
    <w:rsid w:val="00EB3C62"/>
    <w:rsid w:val="00EB423B"/>
    <w:rsid w:val="00EB48E6"/>
    <w:rsid w:val="00EB4D9D"/>
    <w:rsid w:val="00EB5387"/>
    <w:rsid w:val="00EB65FF"/>
    <w:rsid w:val="00EB700F"/>
    <w:rsid w:val="00EB7971"/>
    <w:rsid w:val="00EC2380"/>
    <w:rsid w:val="00EC2890"/>
    <w:rsid w:val="00EC505D"/>
    <w:rsid w:val="00EC58FA"/>
    <w:rsid w:val="00EC6240"/>
    <w:rsid w:val="00EC7551"/>
    <w:rsid w:val="00EC7772"/>
    <w:rsid w:val="00ED0128"/>
    <w:rsid w:val="00ED0368"/>
    <w:rsid w:val="00ED03A0"/>
    <w:rsid w:val="00ED09BD"/>
    <w:rsid w:val="00ED17E0"/>
    <w:rsid w:val="00ED2F12"/>
    <w:rsid w:val="00ED2FDA"/>
    <w:rsid w:val="00ED3D7D"/>
    <w:rsid w:val="00ED4B27"/>
    <w:rsid w:val="00ED51B3"/>
    <w:rsid w:val="00ED617E"/>
    <w:rsid w:val="00ED687A"/>
    <w:rsid w:val="00ED6E2B"/>
    <w:rsid w:val="00ED7D5C"/>
    <w:rsid w:val="00EE0BD4"/>
    <w:rsid w:val="00EE0C61"/>
    <w:rsid w:val="00EE154C"/>
    <w:rsid w:val="00EE1A16"/>
    <w:rsid w:val="00EE21FD"/>
    <w:rsid w:val="00EE2E59"/>
    <w:rsid w:val="00EE3838"/>
    <w:rsid w:val="00EE4949"/>
    <w:rsid w:val="00EE5782"/>
    <w:rsid w:val="00EE6867"/>
    <w:rsid w:val="00EE7476"/>
    <w:rsid w:val="00EF105D"/>
    <w:rsid w:val="00EF1ACB"/>
    <w:rsid w:val="00EF1E8B"/>
    <w:rsid w:val="00EF4266"/>
    <w:rsid w:val="00EF7569"/>
    <w:rsid w:val="00EF7AB3"/>
    <w:rsid w:val="00EF7E82"/>
    <w:rsid w:val="00F00D13"/>
    <w:rsid w:val="00F00D59"/>
    <w:rsid w:val="00F00EE0"/>
    <w:rsid w:val="00F01AF5"/>
    <w:rsid w:val="00F02A58"/>
    <w:rsid w:val="00F031EA"/>
    <w:rsid w:val="00F039BC"/>
    <w:rsid w:val="00F050E8"/>
    <w:rsid w:val="00F05279"/>
    <w:rsid w:val="00F06969"/>
    <w:rsid w:val="00F06C9C"/>
    <w:rsid w:val="00F072B9"/>
    <w:rsid w:val="00F07ABA"/>
    <w:rsid w:val="00F07FAF"/>
    <w:rsid w:val="00F10E2A"/>
    <w:rsid w:val="00F10EBE"/>
    <w:rsid w:val="00F11DAE"/>
    <w:rsid w:val="00F120D1"/>
    <w:rsid w:val="00F1241A"/>
    <w:rsid w:val="00F12995"/>
    <w:rsid w:val="00F133C7"/>
    <w:rsid w:val="00F13E5F"/>
    <w:rsid w:val="00F1464A"/>
    <w:rsid w:val="00F14D0A"/>
    <w:rsid w:val="00F14E40"/>
    <w:rsid w:val="00F15B34"/>
    <w:rsid w:val="00F15FC9"/>
    <w:rsid w:val="00F162F6"/>
    <w:rsid w:val="00F20009"/>
    <w:rsid w:val="00F20099"/>
    <w:rsid w:val="00F20F19"/>
    <w:rsid w:val="00F235F5"/>
    <w:rsid w:val="00F238F5"/>
    <w:rsid w:val="00F258A6"/>
    <w:rsid w:val="00F26151"/>
    <w:rsid w:val="00F264A5"/>
    <w:rsid w:val="00F265DA"/>
    <w:rsid w:val="00F27B2F"/>
    <w:rsid w:val="00F27E91"/>
    <w:rsid w:val="00F3055F"/>
    <w:rsid w:val="00F30C8E"/>
    <w:rsid w:val="00F30D38"/>
    <w:rsid w:val="00F30DBD"/>
    <w:rsid w:val="00F31227"/>
    <w:rsid w:val="00F333D1"/>
    <w:rsid w:val="00F34BA5"/>
    <w:rsid w:val="00F3627C"/>
    <w:rsid w:val="00F371B0"/>
    <w:rsid w:val="00F37B11"/>
    <w:rsid w:val="00F37D19"/>
    <w:rsid w:val="00F40085"/>
    <w:rsid w:val="00F40337"/>
    <w:rsid w:val="00F4059C"/>
    <w:rsid w:val="00F40A45"/>
    <w:rsid w:val="00F41F06"/>
    <w:rsid w:val="00F42582"/>
    <w:rsid w:val="00F42A50"/>
    <w:rsid w:val="00F42ECF"/>
    <w:rsid w:val="00F43032"/>
    <w:rsid w:val="00F445DA"/>
    <w:rsid w:val="00F456C1"/>
    <w:rsid w:val="00F45873"/>
    <w:rsid w:val="00F475AB"/>
    <w:rsid w:val="00F47722"/>
    <w:rsid w:val="00F4775E"/>
    <w:rsid w:val="00F50900"/>
    <w:rsid w:val="00F50CD2"/>
    <w:rsid w:val="00F515B5"/>
    <w:rsid w:val="00F51751"/>
    <w:rsid w:val="00F51B40"/>
    <w:rsid w:val="00F51E31"/>
    <w:rsid w:val="00F52612"/>
    <w:rsid w:val="00F53EBD"/>
    <w:rsid w:val="00F53F2E"/>
    <w:rsid w:val="00F5505A"/>
    <w:rsid w:val="00F55B0A"/>
    <w:rsid w:val="00F55F56"/>
    <w:rsid w:val="00F57AD3"/>
    <w:rsid w:val="00F57F15"/>
    <w:rsid w:val="00F602D6"/>
    <w:rsid w:val="00F604A7"/>
    <w:rsid w:val="00F60A7A"/>
    <w:rsid w:val="00F61142"/>
    <w:rsid w:val="00F61815"/>
    <w:rsid w:val="00F61F17"/>
    <w:rsid w:val="00F638A6"/>
    <w:rsid w:val="00F63B91"/>
    <w:rsid w:val="00F666B7"/>
    <w:rsid w:val="00F70971"/>
    <w:rsid w:val="00F716E5"/>
    <w:rsid w:val="00F71CA7"/>
    <w:rsid w:val="00F71EA7"/>
    <w:rsid w:val="00F73E92"/>
    <w:rsid w:val="00F7634B"/>
    <w:rsid w:val="00F76672"/>
    <w:rsid w:val="00F804C8"/>
    <w:rsid w:val="00F8141C"/>
    <w:rsid w:val="00F81871"/>
    <w:rsid w:val="00F81FA2"/>
    <w:rsid w:val="00F82F62"/>
    <w:rsid w:val="00F83838"/>
    <w:rsid w:val="00F83B53"/>
    <w:rsid w:val="00F83BFE"/>
    <w:rsid w:val="00F849B9"/>
    <w:rsid w:val="00F84E65"/>
    <w:rsid w:val="00F85D9D"/>
    <w:rsid w:val="00F86166"/>
    <w:rsid w:val="00F87CFD"/>
    <w:rsid w:val="00F903D5"/>
    <w:rsid w:val="00F90836"/>
    <w:rsid w:val="00F90DBB"/>
    <w:rsid w:val="00F90F77"/>
    <w:rsid w:val="00F912E1"/>
    <w:rsid w:val="00F9192B"/>
    <w:rsid w:val="00F91B5E"/>
    <w:rsid w:val="00F91CEE"/>
    <w:rsid w:val="00F91E3E"/>
    <w:rsid w:val="00F924A6"/>
    <w:rsid w:val="00F955AB"/>
    <w:rsid w:val="00F95618"/>
    <w:rsid w:val="00F964E3"/>
    <w:rsid w:val="00F96D1C"/>
    <w:rsid w:val="00F97ADD"/>
    <w:rsid w:val="00FA02DE"/>
    <w:rsid w:val="00FA1F7C"/>
    <w:rsid w:val="00FA20AB"/>
    <w:rsid w:val="00FA29D7"/>
    <w:rsid w:val="00FA34C6"/>
    <w:rsid w:val="00FA371C"/>
    <w:rsid w:val="00FA3AD1"/>
    <w:rsid w:val="00FA3FF9"/>
    <w:rsid w:val="00FA575E"/>
    <w:rsid w:val="00FA57D7"/>
    <w:rsid w:val="00FA7C7C"/>
    <w:rsid w:val="00FB0351"/>
    <w:rsid w:val="00FB03C4"/>
    <w:rsid w:val="00FB0583"/>
    <w:rsid w:val="00FB0CE5"/>
    <w:rsid w:val="00FB159F"/>
    <w:rsid w:val="00FB15CE"/>
    <w:rsid w:val="00FB1BFC"/>
    <w:rsid w:val="00FB219B"/>
    <w:rsid w:val="00FB2F0F"/>
    <w:rsid w:val="00FB487E"/>
    <w:rsid w:val="00FB6729"/>
    <w:rsid w:val="00FB71DC"/>
    <w:rsid w:val="00FB734E"/>
    <w:rsid w:val="00FC073F"/>
    <w:rsid w:val="00FC0DFD"/>
    <w:rsid w:val="00FC1312"/>
    <w:rsid w:val="00FC1D36"/>
    <w:rsid w:val="00FC1FB6"/>
    <w:rsid w:val="00FC2CC5"/>
    <w:rsid w:val="00FC392E"/>
    <w:rsid w:val="00FC3D58"/>
    <w:rsid w:val="00FC5183"/>
    <w:rsid w:val="00FC5766"/>
    <w:rsid w:val="00FC7D3B"/>
    <w:rsid w:val="00FD0125"/>
    <w:rsid w:val="00FD09BD"/>
    <w:rsid w:val="00FD0A1C"/>
    <w:rsid w:val="00FD2750"/>
    <w:rsid w:val="00FD2AFA"/>
    <w:rsid w:val="00FD2F63"/>
    <w:rsid w:val="00FD3462"/>
    <w:rsid w:val="00FD48FA"/>
    <w:rsid w:val="00FD5775"/>
    <w:rsid w:val="00FD6B99"/>
    <w:rsid w:val="00FD6CE8"/>
    <w:rsid w:val="00FE127C"/>
    <w:rsid w:val="00FE1B10"/>
    <w:rsid w:val="00FE52A5"/>
    <w:rsid w:val="00FE5AA4"/>
    <w:rsid w:val="00FE63DC"/>
    <w:rsid w:val="00FE65CE"/>
    <w:rsid w:val="00FE6C0E"/>
    <w:rsid w:val="00FE7037"/>
    <w:rsid w:val="00FE7B6A"/>
    <w:rsid w:val="00FF21C1"/>
    <w:rsid w:val="00FF26EF"/>
    <w:rsid w:val="00FF65F8"/>
    <w:rsid w:val="00FF7402"/>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049228"/>
  <w15:docId w15:val="{E1163DE5-2910-469F-B267-128D46CADB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 w:eastAsia="ko-K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4E6"/>
    <w:pPr>
      <w:spacing w:line="360" w:lineRule="auto"/>
    </w:pPr>
    <w:rPr>
      <w:rFonts w:ascii="Aptos" w:hAnsi="Aptos"/>
      <w:color w:val="000000" w:themeColor="text1"/>
      <w:sz w:val="24"/>
      <w:szCs w:val="24"/>
    </w:rPr>
  </w:style>
  <w:style w:type="paragraph" w:styleId="Heading1">
    <w:name w:val="heading 1"/>
    <w:basedOn w:val="Heading2"/>
    <w:next w:val="Normal"/>
    <w:link w:val="Heading1Char"/>
    <w:uiPriority w:val="9"/>
    <w:qFormat/>
    <w:rsid w:val="00F57F15"/>
    <w:pPr>
      <w:outlineLvl w:val="0"/>
    </w:pPr>
  </w:style>
  <w:style w:type="paragraph" w:styleId="Heading2">
    <w:name w:val="heading 2"/>
    <w:basedOn w:val="Normal"/>
    <w:next w:val="Normal"/>
    <w:link w:val="Heading2Char"/>
    <w:uiPriority w:val="9"/>
    <w:unhideWhenUsed/>
    <w:qFormat/>
    <w:rsid w:val="00F57F15"/>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10">
    <w:name w:val="10"/>
    <w:basedOn w:val="TableNormal"/>
    <w:tblPr>
      <w:tblStyleRowBandSize w:val="1"/>
      <w:tblStyleColBandSize w:val="1"/>
      <w:tblCellMar>
        <w:top w:w="100" w:type="dxa"/>
        <w:left w:w="100" w:type="dxa"/>
        <w:bottom w:w="100" w:type="dxa"/>
        <w:right w:w="100" w:type="dxa"/>
      </w:tblCellMar>
    </w:tblPr>
  </w:style>
  <w:style w:type="table" w:customStyle="1" w:styleId="9">
    <w:name w:val="9"/>
    <w:basedOn w:val="TableNormal"/>
    <w:tblPr>
      <w:tblStyleRowBandSize w:val="1"/>
      <w:tblStyleColBandSize w:val="1"/>
      <w:tblCellMar>
        <w:top w:w="100" w:type="dxa"/>
        <w:left w:w="100" w:type="dxa"/>
        <w:bottom w:w="100" w:type="dxa"/>
        <w:right w:w="100" w:type="dxa"/>
      </w:tblCellMar>
    </w:tblPr>
  </w:style>
  <w:style w:type="table" w:customStyle="1" w:styleId="8">
    <w:name w:val="8"/>
    <w:basedOn w:val="TableNormal"/>
    <w:tblPr>
      <w:tblStyleRowBandSize w:val="1"/>
      <w:tblStyleColBandSize w:val="1"/>
      <w:tblCellMar>
        <w:top w:w="100" w:type="dxa"/>
        <w:left w:w="100" w:type="dxa"/>
        <w:bottom w:w="100" w:type="dxa"/>
        <w:right w:w="100" w:type="dxa"/>
      </w:tblCellMar>
    </w:tblPr>
  </w:style>
  <w:style w:type="table" w:customStyle="1" w:styleId="7">
    <w:name w:val="7"/>
    <w:basedOn w:val="TableNormal"/>
    <w:tblPr>
      <w:tblStyleRowBandSize w:val="1"/>
      <w:tblStyleColBandSize w:val="1"/>
      <w:tblCellMar>
        <w:top w:w="100" w:type="dxa"/>
        <w:left w:w="100" w:type="dxa"/>
        <w:bottom w:w="100" w:type="dxa"/>
        <w:right w:w="100" w:type="dxa"/>
      </w:tblCellMar>
    </w:tblPr>
  </w:style>
  <w:style w:type="table" w:customStyle="1" w:styleId="6">
    <w:name w:val="6"/>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character" w:styleId="PlaceholderText">
    <w:name w:val="Placeholder Text"/>
    <w:basedOn w:val="DefaultParagraphFont"/>
    <w:uiPriority w:val="99"/>
    <w:semiHidden/>
    <w:rsid w:val="005127E5"/>
    <w:rPr>
      <w:color w:val="666666"/>
    </w:rPr>
  </w:style>
  <w:style w:type="paragraph" w:styleId="Header">
    <w:name w:val="header"/>
    <w:basedOn w:val="Normal"/>
    <w:link w:val="HeaderChar"/>
    <w:uiPriority w:val="99"/>
    <w:unhideWhenUsed/>
    <w:rsid w:val="005455C2"/>
    <w:pPr>
      <w:tabs>
        <w:tab w:val="center" w:pos="4680"/>
        <w:tab w:val="right" w:pos="9360"/>
      </w:tabs>
      <w:spacing w:line="240" w:lineRule="auto"/>
    </w:pPr>
  </w:style>
  <w:style w:type="character" w:customStyle="1" w:styleId="HeaderChar">
    <w:name w:val="Header Char"/>
    <w:basedOn w:val="DefaultParagraphFont"/>
    <w:link w:val="Header"/>
    <w:uiPriority w:val="99"/>
    <w:rsid w:val="005455C2"/>
  </w:style>
  <w:style w:type="paragraph" w:styleId="Footer">
    <w:name w:val="footer"/>
    <w:basedOn w:val="Normal"/>
    <w:link w:val="FooterChar"/>
    <w:uiPriority w:val="99"/>
    <w:unhideWhenUsed/>
    <w:rsid w:val="005455C2"/>
    <w:pPr>
      <w:tabs>
        <w:tab w:val="center" w:pos="4680"/>
        <w:tab w:val="right" w:pos="9360"/>
      </w:tabs>
      <w:spacing w:line="240" w:lineRule="auto"/>
    </w:pPr>
  </w:style>
  <w:style w:type="character" w:customStyle="1" w:styleId="FooterChar">
    <w:name w:val="Footer Char"/>
    <w:basedOn w:val="DefaultParagraphFont"/>
    <w:link w:val="Footer"/>
    <w:uiPriority w:val="99"/>
    <w:rsid w:val="005455C2"/>
  </w:style>
  <w:style w:type="paragraph" w:styleId="Bibliography">
    <w:name w:val="Bibliography"/>
    <w:basedOn w:val="Normal"/>
    <w:next w:val="Normal"/>
    <w:uiPriority w:val="37"/>
    <w:unhideWhenUsed/>
    <w:rsid w:val="00765344"/>
    <w:pPr>
      <w:tabs>
        <w:tab w:val="left" w:pos="260"/>
        <w:tab w:val="left" w:pos="380"/>
        <w:tab w:val="left" w:pos="504"/>
      </w:tabs>
      <w:spacing w:after="240" w:line="240" w:lineRule="auto"/>
      <w:ind w:left="384" w:hanging="384"/>
    </w:p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tblPr>
      <w:tblStyleRowBandSize w:val="1"/>
      <w:tblStyleColBandSize w:val="1"/>
      <w:tblCellMar>
        <w:top w:w="100" w:type="dxa"/>
        <w:left w:w="100" w:type="dxa"/>
        <w:bottom w:w="100" w:type="dxa"/>
        <w:right w:w="100" w:type="dxa"/>
      </w:tblCellMar>
    </w:tblPr>
  </w:style>
  <w:style w:type="table" w:customStyle="1" w:styleId="1">
    <w:name w:val="1"/>
    <w:basedOn w:val="TableNormal"/>
    <w:tblPr>
      <w:tblStyleRowBandSize w:val="1"/>
      <w:tblStyleColBandSize w:val="1"/>
      <w:tblCellMar>
        <w:top w:w="100" w:type="dxa"/>
        <w:left w:w="100" w:type="dxa"/>
        <w:bottom w:w="100" w:type="dxa"/>
        <w:right w:w="100" w:type="dxa"/>
      </w:tblCellMar>
    </w:tblPr>
  </w:style>
  <w:style w:type="character" w:customStyle="1" w:styleId="Heading3Char">
    <w:name w:val="Heading 3 Char"/>
    <w:basedOn w:val="DefaultParagraphFont"/>
    <w:link w:val="Heading3"/>
    <w:uiPriority w:val="9"/>
    <w:rsid w:val="00AB0EE1"/>
    <w:rPr>
      <w:color w:val="434343"/>
      <w:sz w:val="28"/>
      <w:szCs w:val="28"/>
    </w:rPr>
  </w:style>
  <w:style w:type="paragraph" w:styleId="ListParagraph">
    <w:name w:val="List Paragraph"/>
    <w:basedOn w:val="Normal"/>
    <w:uiPriority w:val="34"/>
    <w:qFormat/>
    <w:rsid w:val="0043475A"/>
    <w:pPr>
      <w:ind w:left="720"/>
      <w:contextualSpacing/>
    </w:pPr>
  </w:style>
  <w:style w:type="paragraph" w:styleId="CommentSubject">
    <w:name w:val="annotation subject"/>
    <w:basedOn w:val="CommentText"/>
    <w:next w:val="CommentText"/>
    <w:link w:val="CommentSubjectChar"/>
    <w:uiPriority w:val="99"/>
    <w:semiHidden/>
    <w:unhideWhenUsed/>
    <w:rsid w:val="00914618"/>
    <w:rPr>
      <w:b/>
      <w:bCs/>
    </w:rPr>
  </w:style>
  <w:style w:type="character" w:customStyle="1" w:styleId="CommentSubjectChar">
    <w:name w:val="Comment Subject Char"/>
    <w:basedOn w:val="CommentTextChar"/>
    <w:link w:val="CommentSubject"/>
    <w:uiPriority w:val="99"/>
    <w:semiHidden/>
    <w:rsid w:val="00914618"/>
    <w:rPr>
      <w:b/>
      <w:bCs/>
      <w:sz w:val="20"/>
      <w:szCs w:val="20"/>
    </w:rPr>
  </w:style>
  <w:style w:type="character" w:customStyle="1" w:styleId="Heading1Char">
    <w:name w:val="Heading 1 Char"/>
    <w:basedOn w:val="DefaultParagraphFont"/>
    <w:link w:val="Heading1"/>
    <w:uiPriority w:val="9"/>
    <w:rsid w:val="00F57F15"/>
    <w:rPr>
      <w:rFonts w:ascii="Aptos" w:hAnsi="Aptos"/>
      <w:sz w:val="32"/>
      <w:szCs w:val="32"/>
    </w:rPr>
  </w:style>
  <w:style w:type="character" w:styleId="Hyperlink">
    <w:name w:val="Hyperlink"/>
    <w:basedOn w:val="DefaultParagraphFont"/>
    <w:uiPriority w:val="99"/>
    <w:unhideWhenUsed/>
    <w:rsid w:val="00840073"/>
    <w:rPr>
      <w:color w:val="0000FF" w:themeColor="hyperlink"/>
      <w:u w:val="single"/>
    </w:rPr>
  </w:style>
  <w:style w:type="character" w:styleId="UnresolvedMention">
    <w:name w:val="Unresolved Mention"/>
    <w:basedOn w:val="DefaultParagraphFont"/>
    <w:uiPriority w:val="99"/>
    <w:semiHidden/>
    <w:unhideWhenUsed/>
    <w:rsid w:val="00840073"/>
    <w:rPr>
      <w:color w:val="605E5C"/>
      <w:shd w:val="clear" w:color="auto" w:fill="E1DFDD"/>
    </w:rPr>
  </w:style>
  <w:style w:type="paragraph" w:styleId="Revision">
    <w:name w:val="Revision"/>
    <w:hidden/>
    <w:uiPriority w:val="99"/>
    <w:semiHidden/>
    <w:rsid w:val="00D951EA"/>
    <w:pPr>
      <w:spacing w:line="240" w:lineRule="auto"/>
    </w:pPr>
  </w:style>
  <w:style w:type="character" w:customStyle="1" w:styleId="Heading2Char">
    <w:name w:val="Heading 2 Char"/>
    <w:basedOn w:val="DefaultParagraphFont"/>
    <w:link w:val="Heading2"/>
    <w:uiPriority w:val="9"/>
    <w:rsid w:val="00F57F15"/>
    <w:rPr>
      <w:rFonts w:ascii="Aptos" w:hAnsi="Aptos"/>
      <w:sz w:val="32"/>
      <w:szCs w:val="32"/>
    </w:rPr>
  </w:style>
  <w:style w:type="table" w:styleId="TableGrid">
    <w:name w:val="Table Grid"/>
    <w:basedOn w:val="TableNormal"/>
    <w:uiPriority w:val="39"/>
    <w:rsid w:val="00E531D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DA7488"/>
    <w:rPr>
      <w:color w:val="800080" w:themeColor="followedHyperlink"/>
      <w:u w:val="single"/>
    </w:rPr>
  </w:style>
  <w:style w:type="paragraph" w:styleId="HTMLPreformatted">
    <w:name w:val="HTML Preformatted"/>
    <w:basedOn w:val="Normal"/>
    <w:link w:val="HTMLPreformattedChar"/>
    <w:uiPriority w:val="99"/>
    <w:semiHidden/>
    <w:unhideWhenUsed/>
    <w:rsid w:val="00F90836"/>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90836"/>
    <w:rPr>
      <w:rFonts w:ascii="Consolas" w:hAnsi="Consolas"/>
      <w:sz w:val="20"/>
      <w:szCs w:val="20"/>
    </w:rPr>
  </w:style>
  <w:style w:type="paragraph" w:styleId="TOCHeading">
    <w:name w:val="TOC Heading"/>
    <w:basedOn w:val="Heading1"/>
    <w:next w:val="Normal"/>
    <w:uiPriority w:val="39"/>
    <w:unhideWhenUsed/>
    <w:qFormat/>
    <w:rsid w:val="00885336"/>
    <w:pPr>
      <w:spacing w:before="480" w:after="0"/>
      <w:outlineLvl w:val="9"/>
    </w:pPr>
    <w:rPr>
      <w:rFonts w:asciiTheme="majorHAnsi" w:eastAsiaTheme="majorEastAsia" w:hAnsiTheme="majorHAnsi" w:cstheme="majorBidi"/>
      <w:b/>
      <w:bCs/>
      <w:color w:val="365F91" w:themeColor="accent1" w:themeShade="BF"/>
      <w:sz w:val="28"/>
      <w:szCs w:val="28"/>
      <w:lang w:val="en-US" w:eastAsia="en-US"/>
    </w:rPr>
  </w:style>
  <w:style w:type="paragraph" w:styleId="TOC2">
    <w:name w:val="toc 2"/>
    <w:basedOn w:val="Normal"/>
    <w:next w:val="Normal"/>
    <w:autoRedefine/>
    <w:uiPriority w:val="39"/>
    <w:unhideWhenUsed/>
    <w:rsid w:val="00885336"/>
    <w:pPr>
      <w:spacing w:before="120"/>
      <w:ind w:left="220"/>
    </w:pPr>
    <w:rPr>
      <w:rFonts w:asciiTheme="minorHAnsi" w:hAnsiTheme="minorHAnsi" w:cs="Times New Roman"/>
      <w:b/>
      <w:bCs/>
      <w:szCs w:val="26"/>
    </w:rPr>
  </w:style>
  <w:style w:type="paragraph" w:styleId="TOC3">
    <w:name w:val="toc 3"/>
    <w:basedOn w:val="Normal"/>
    <w:next w:val="Normal"/>
    <w:autoRedefine/>
    <w:uiPriority w:val="39"/>
    <w:unhideWhenUsed/>
    <w:rsid w:val="00885336"/>
    <w:pPr>
      <w:ind w:left="440"/>
    </w:pPr>
    <w:rPr>
      <w:rFonts w:asciiTheme="minorHAnsi" w:hAnsiTheme="minorHAnsi" w:cs="Times New Roman"/>
      <w:sz w:val="20"/>
    </w:rPr>
  </w:style>
  <w:style w:type="paragraph" w:styleId="TOC1">
    <w:name w:val="toc 1"/>
    <w:basedOn w:val="Normal"/>
    <w:next w:val="Normal"/>
    <w:autoRedefine/>
    <w:uiPriority w:val="39"/>
    <w:unhideWhenUsed/>
    <w:rsid w:val="00885336"/>
    <w:pPr>
      <w:spacing w:before="120"/>
    </w:pPr>
    <w:rPr>
      <w:rFonts w:asciiTheme="minorHAnsi" w:hAnsiTheme="minorHAnsi" w:cs="Times New Roman"/>
      <w:b/>
      <w:bCs/>
      <w:i/>
      <w:iCs/>
      <w:szCs w:val="28"/>
    </w:rPr>
  </w:style>
  <w:style w:type="paragraph" w:styleId="TOC4">
    <w:name w:val="toc 4"/>
    <w:basedOn w:val="Normal"/>
    <w:next w:val="Normal"/>
    <w:autoRedefine/>
    <w:uiPriority w:val="39"/>
    <w:semiHidden/>
    <w:unhideWhenUsed/>
    <w:rsid w:val="00885336"/>
    <w:pPr>
      <w:ind w:left="660"/>
    </w:pPr>
    <w:rPr>
      <w:rFonts w:asciiTheme="minorHAnsi" w:hAnsiTheme="minorHAnsi" w:cs="Times New Roman"/>
      <w:sz w:val="20"/>
    </w:rPr>
  </w:style>
  <w:style w:type="paragraph" w:styleId="TOC5">
    <w:name w:val="toc 5"/>
    <w:basedOn w:val="Normal"/>
    <w:next w:val="Normal"/>
    <w:autoRedefine/>
    <w:uiPriority w:val="39"/>
    <w:semiHidden/>
    <w:unhideWhenUsed/>
    <w:rsid w:val="00885336"/>
    <w:pPr>
      <w:ind w:left="880"/>
    </w:pPr>
    <w:rPr>
      <w:rFonts w:asciiTheme="minorHAnsi" w:hAnsiTheme="minorHAnsi" w:cs="Times New Roman"/>
      <w:sz w:val="20"/>
    </w:rPr>
  </w:style>
  <w:style w:type="paragraph" w:styleId="TOC6">
    <w:name w:val="toc 6"/>
    <w:basedOn w:val="Normal"/>
    <w:next w:val="Normal"/>
    <w:autoRedefine/>
    <w:uiPriority w:val="39"/>
    <w:semiHidden/>
    <w:unhideWhenUsed/>
    <w:rsid w:val="00885336"/>
    <w:pPr>
      <w:ind w:left="1100"/>
    </w:pPr>
    <w:rPr>
      <w:rFonts w:asciiTheme="minorHAnsi" w:hAnsiTheme="minorHAnsi" w:cs="Times New Roman"/>
      <w:sz w:val="20"/>
    </w:rPr>
  </w:style>
  <w:style w:type="paragraph" w:styleId="TOC7">
    <w:name w:val="toc 7"/>
    <w:basedOn w:val="Normal"/>
    <w:next w:val="Normal"/>
    <w:autoRedefine/>
    <w:uiPriority w:val="39"/>
    <w:semiHidden/>
    <w:unhideWhenUsed/>
    <w:rsid w:val="00885336"/>
    <w:pPr>
      <w:ind w:left="1320"/>
    </w:pPr>
    <w:rPr>
      <w:rFonts w:asciiTheme="minorHAnsi" w:hAnsiTheme="minorHAnsi" w:cs="Times New Roman"/>
      <w:sz w:val="20"/>
    </w:rPr>
  </w:style>
  <w:style w:type="paragraph" w:styleId="TOC8">
    <w:name w:val="toc 8"/>
    <w:basedOn w:val="Normal"/>
    <w:next w:val="Normal"/>
    <w:autoRedefine/>
    <w:uiPriority w:val="39"/>
    <w:semiHidden/>
    <w:unhideWhenUsed/>
    <w:rsid w:val="00885336"/>
    <w:pPr>
      <w:ind w:left="1540"/>
    </w:pPr>
    <w:rPr>
      <w:rFonts w:asciiTheme="minorHAnsi" w:hAnsiTheme="minorHAnsi" w:cs="Times New Roman"/>
      <w:sz w:val="20"/>
    </w:rPr>
  </w:style>
  <w:style w:type="paragraph" w:styleId="TOC9">
    <w:name w:val="toc 9"/>
    <w:basedOn w:val="Normal"/>
    <w:next w:val="Normal"/>
    <w:autoRedefine/>
    <w:uiPriority w:val="39"/>
    <w:semiHidden/>
    <w:unhideWhenUsed/>
    <w:rsid w:val="00885336"/>
    <w:pPr>
      <w:ind w:left="1760"/>
    </w:pPr>
    <w:rPr>
      <w:rFonts w:asciiTheme="minorHAnsi" w:hAnsiTheme="minorHAnsi" w:cs="Times New Roman"/>
      <w:sz w:val="20"/>
    </w:rPr>
  </w:style>
  <w:style w:type="character" w:customStyle="1" w:styleId="Heading4Char">
    <w:name w:val="Heading 4 Char"/>
    <w:basedOn w:val="DefaultParagraphFont"/>
    <w:link w:val="Heading4"/>
    <w:uiPriority w:val="9"/>
    <w:rsid w:val="005F544E"/>
    <w:rPr>
      <w:rFonts w:ascii="Aptos" w:hAnsi="Aptos"/>
      <w:color w:val="666666"/>
      <w:sz w:val="24"/>
      <w:szCs w:val="24"/>
    </w:rPr>
  </w:style>
  <w:style w:type="paragraph" w:styleId="NormalWeb">
    <w:name w:val="Normal (Web)"/>
    <w:basedOn w:val="Normal"/>
    <w:uiPriority w:val="99"/>
    <w:semiHidden/>
    <w:unhideWhenUsed/>
    <w:rsid w:val="007206D9"/>
    <w:rPr>
      <w:rFonts w:ascii="Times New Roman" w:hAnsi="Times New Roman" w:cs="Times New Roman"/>
    </w:rPr>
  </w:style>
  <w:style w:type="character" w:customStyle="1" w:styleId="fontstyle01">
    <w:name w:val="fontstyle01"/>
    <w:basedOn w:val="DefaultParagraphFont"/>
    <w:rsid w:val="002C1FE4"/>
    <w:rPr>
      <w:rFonts w:ascii="TimesNewRomanPSMT" w:hAnsi="TimesNewRomanPSMT" w:hint="default"/>
      <w:b w:val="0"/>
      <w:bCs w:val="0"/>
      <w:i w:val="0"/>
      <w:iCs w:val="0"/>
      <w:color w:val="000000"/>
      <w:sz w:val="12"/>
      <w:szCs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05940">
      <w:bodyDiv w:val="1"/>
      <w:marLeft w:val="0"/>
      <w:marRight w:val="0"/>
      <w:marTop w:val="0"/>
      <w:marBottom w:val="0"/>
      <w:divBdr>
        <w:top w:val="none" w:sz="0" w:space="0" w:color="auto"/>
        <w:left w:val="none" w:sz="0" w:space="0" w:color="auto"/>
        <w:bottom w:val="none" w:sz="0" w:space="0" w:color="auto"/>
        <w:right w:val="none" w:sz="0" w:space="0" w:color="auto"/>
      </w:divBdr>
    </w:div>
    <w:div w:id="14700749">
      <w:bodyDiv w:val="1"/>
      <w:marLeft w:val="0"/>
      <w:marRight w:val="0"/>
      <w:marTop w:val="0"/>
      <w:marBottom w:val="0"/>
      <w:divBdr>
        <w:top w:val="none" w:sz="0" w:space="0" w:color="auto"/>
        <w:left w:val="none" w:sz="0" w:space="0" w:color="auto"/>
        <w:bottom w:val="none" w:sz="0" w:space="0" w:color="auto"/>
        <w:right w:val="none" w:sz="0" w:space="0" w:color="auto"/>
      </w:divBdr>
    </w:div>
    <w:div w:id="49353197">
      <w:bodyDiv w:val="1"/>
      <w:marLeft w:val="0"/>
      <w:marRight w:val="0"/>
      <w:marTop w:val="0"/>
      <w:marBottom w:val="0"/>
      <w:divBdr>
        <w:top w:val="none" w:sz="0" w:space="0" w:color="auto"/>
        <w:left w:val="none" w:sz="0" w:space="0" w:color="auto"/>
        <w:bottom w:val="none" w:sz="0" w:space="0" w:color="auto"/>
        <w:right w:val="none" w:sz="0" w:space="0" w:color="auto"/>
      </w:divBdr>
    </w:div>
    <w:div w:id="64032235">
      <w:bodyDiv w:val="1"/>
      <w:marLeft w:val="0"/>
      <w:marRight w:val="0"/>
      <w:marTop w:val="0"/>
      <w:marBottom w:val="0"/>
      <w:divBdr>
        <w:top w:val="none" w:sz="0" w:space="0" w:color="auto"/>
        <w:left w:val="none" w:sz="0" w:space="0" w:color="auto"/>
        <w:bottom w:val="none" w:sz="0" w:space="0" w:color="auto"/>
        <w:right w:val="none" w:sz="0" w:space="0" w:color="auto"/>
      </w:divBdr>
    </w:div>
    <w:div w:id="78643720">
      <w:bodyDiv w:val="1"/>
      <w:marLeft w:val="0"/>
      <w:marRight w:val="0"/>
      <w:marTop w:val="0"/>
      <w:marBottom w:val="0"/>
      <w:divBdr>
        <w:top w:val="none" w:sz="0" w:space="0" w:color="auto"/>
        <w:left w:val="none" w:sz="0" w:space="0" w:color="auto"/>
        <w:bottom w:val="none" w:sz="0" w:space="0" w:color="auto"/>
        <w:right w:val="none" w:sz="0" w:space="0" w:color="auto"/>
      </w:divBdr>
    </w:div>
    <w:div w:id="94597410">
      <w:bodyDiv w:val="1"/>
      <w:marLeft w:val="0"/>
      <w:marRight w:val="0"/>
      <w:marTop w:val="0"/>
      <w:marBottom w:val="0"/>
      <w:divBdr>
        <w:top w:val="none" w:sz="0" w:space="0" w:color="auto"/>
        <w:left w:val="none" w:sz="0" w:space="0" w:color="auto"/>
        <w:bottom w:val="none" w:sz="0" w:space="0" w:color="auto"/>
        <w:right w:val="none" w:sz="0" w:space="0" w:color="auto"/>
      </w:divBdr>
    </w:div>
    <w:div w:id="113257005">
      <w:bodyDiv w:val="1"/>
      <w:marLeft w:val="0"/>
      <w:marRight w:val="0"/>
      <w:marTop w:val="0"/>
      <w:marBottom w:val="0"/>
      <w:divBdr>
        <w:top w:val="none" w:sz="0" w:space="0" w:color="auto"/>
        <w:left w:val="none" w:sz="0" w:space="0" w:color="auto"/>
        <w:bottom w:val="none" w:sz="0" w:space="0" w:color="auto"/>
        <w:right w:val="none" w:sz="0" w:space="0" w:color="auto"/>
      </w:divBdr>
    </w:div>
    <w:div w:id="121311862">
      <w:bodyDiv w:val="1"/>
      <w:marLeft w:val="0"/>
      <w:marRight w:val="0"/>
      <w:marTop w:val="0"/>
      <w:marBottom w:val="0"/>
      <w:divBdr>
        <w:top w:val="none" w:sz="0" w:space="0" w:color="auto"/>
        <w:left w:val="none" w:sz="0" w:space="0" w:color="auto"/>
        <w:bottom w:val="none" w:sz="0" w:space="0" w:color="auto"/>
        <w:right w:val="none" w:sz="0" w:space="0" w:color="auto"/>
      </w:divBdr>
    </w:div>
    <w:div w:id="168371286">
      <w:bodyDiv w:val="1"/>
      <w:marLeft w:val="0"/>
      <w:marRight w:val="0"/>
      <w:marTop w:val="0"/>
      <w:marBottom w:val="0"/>
      <w:divBdr>
        <w:top w:val="none" w:sz="0" w:space="0" w:color="auto"/>
        <w:left w:val="none" w:sz="0" w:space="0" w:color="auto"/>
        <w:bottom w:val="none" w:sz="0" w:space="0" w:color="auto"/>
        <w:right w:val="none" w:sz="0" w:space="0" w:color="auto"/>
      </w:divBdr>
    </w:div>
    <w:div w:id="169031594">
      <w:bodyDiv w:val="1"/>
      <w:marLeft w:val="0"/>
      <w:marRight w:val="0"/>
      <w:marTop w:val="0"/>
      <w:marBottom w:val="0"/>
      <w:divBdr>
        <w:top w:val="none" w:sz="0" w:space="0" w:color="auto"/>
        <w:left w:val="none" w:sz="0" w:space="0" w:color="auto"/>
        <w:bottom w:val="none" w:sz="0" w:space="0" w:color="auto"/>
        <w:right w:val="none" w:sz="0" w:space="0" w:color="auto"/>
      </w:divBdr>
    </w:div>
    <w:div w:id="194579912">
      <w:bodyDiv w:val="1"/>
      <w:marLeft w:val="0"/>
      <w:marRight w:val="0"/>
      <w:marTop w:val="0"/>
      <w:marBottom w:val="0"/>
      <w:divBdr>
        <w:top w:val="none" w:sz="0" w:space="0" w:color="auto"/>
        <w:left w:val="none" w:sz="0" w:space="0" w:color="auto"/>
        <w:bottom w:val="none" w:sz="0" w:space="0" w:color="auto"/>
        <w:right w:val="none" w:sz="0" w:space="0" w:color="auto"/>
      </w:divBdr>
    </w:div>
    <w:div w:id="203174280">
      <w:bodyDiv w:val="1"/>
      <w:marLeft w:val="0"/>
      <w:marRight w:val="0"/>
      <w:marTop w:val="0"/>
      <w:marBottom w:val="0"/>
      <w:divBdr>
        <w:top w:val="none" w:sz="0" w:space="0" w:color="auto"/>
        <w:left w:val="none" w:sz="0" w:space="0" w:color="auto"/>
        <w:bottom w:val="none" w:sz="0" w:space="0" w:color="auto"/>
        <w:right w:val="none" w:sz="0" w:space="0" w:color="auto"/>
      </w:divBdr>
    </w:div>
    <w:div w:id="205146527">
      <w:bodyDiv w:val="1"/>
      <w:marLeft w:val="0"/>
      <w:marRight w:val="0"/>
      <w:marTop w:val="0"/>
      <w:marBottom w:val="0"/>
      <w:divBdr>
        <w:top w:val="none" w:sz="0" w:space="0" w:color="auto"/>
        <w:left w:val="none" w:sz="0" w:space="0" w:color="auto"/>
        <w:bottom w:val="none" w:sz="0" w:space="0" w:color="auto"/>
        <w:right w:val="none" w:sz="0" w:space="0" w:color="auto"/>
      </w:divBdr>
    </w:div>
    <w:div w:id="219905714">
      <w:bodyDiv w:val="1"/>
      <w:marLeft w:val="0"/>
      <w:marRight w:val="0"/>
      <w:marTop w:val="0"/>
      <w:marBottom w:val="0"/>
      <w:divBdr>
        <w:top w:val="none" w:sz="0" w:space="0" w:color="auto"/>
        <w:left w:val="none" w:sz="0" w:space="0" w:color="auto"/>
        <w:bottom w:val="none" w:sz="0" w:space="0" w:color="auto"/>
        <w:right w:val="none" w:sz="0" w:space="0" w:color="auto"/>
      </w:divBdr>
    </w:div>
    <w:div w:id="227885905">
      <w:bodyDiv w:val="1"/>
      <w:marLeft w:val="0"/>
      <w:marRight w:val="0"/>
      <w:marTop w:val="0"/>
      <w:marBottom w:val="0"/>
      <w:divBdr>
        <w:top w:val="none" w:sz="0" w:space="0" w:color="auto"/>
        <w:left w:val="none" w:sz="0" w:space="0" w:color="auto"/>
        <w:bottom w:val="none" w:sz="0" w:space="0" w:color="auto"/>
        <w:right w:val="none" w:sz="0" w:space="0" w:color="auto"/>
      </w:divBdr>
      <w:divsChild>
        <w:div w:id="1401828573">
          <w:marLeft w:val="0"/>
          <w:marRight w:val="0"/>
          <w:marTop w:val="0"/>
          <w:marBottom w:val="0"/>
          <w:divBdr>
            <w:top w:val="none" w:sz="0" w:space="0" w:color="auto"/>
            <w:left w:val="none" w:sz="0" w:space="0" w:color="auto"/>
            <w:bottom w:val="none" w:sz="0" w:space="0" w:color="auto"/>
            <w:right w:val="none" w:sz="0" w:space="0" w:color="auto"/>
          </w:divBdr>
        </w:div>
      </w:divsChild>
    </w:div>
    <w:div w:id="273170164">
      <w:bodyDiv w:val="1"/>
      <w:marLeft w:val="0"/>
      <w:marRight w:val="0"/>
      <w:marTop w:val="0"/>
      <w:marBottom w:val="0"/>
      <w:divBdr>
        <w:top w:val="none" w:sz="0" w:space="0" w:color="auto"/>
        <w:left w:val="none" w:sz="0" w:space="0" w:color="auto"/>
        <w:bottom w:val="none" w:sz="0" w:space="0" w:color="auto"/>
        <w:right w:val="none" w:sz="0" w:space="0" w:color="auto"/>
      </w:divBdr>
    </w:div>
    <w:div w:id="288824447">
      <w:bodyDiv w:val="1"/>
      <w:marLeft w:val="0"/>
      <w:marRight w:val="0"/>
      <w:marTop w:val="0"/>
      <w:marBottom w:val="0"/>
      <w:divBdr>
        <w:top w:val="none" w:sz="0" w:space="0" w:color="auto"/>
        <w:left w:val="none" w:sz="0" w:space="0" w:color="auto"/>
        <w:bottom w:val="none" w:sz="0" w:space="0" w:color="auto"/>
        <w:right w:val="none" w:sz="0" w:space="0" w:color="auto"/>
      </w:divBdr>
    </w:div>
    <w:div w:id="294066803">
      <w:bodyDiv w:val="1"/>
      <w:marLeft w:val="0"/>
      <w:marRight w:val="0"/>
      <w:marTop w:val="0"/>
      <w:marBottom w:val="0"/>
      <w:divBdr>
        <w:top w:val="none" w:sz="0" w:space="0" w:color="auto"/>
        <w:left w:val="none" w:sz="0" w:space="0" w:color="auto"/>
        <w:bottom w:val="none" w:sz="0" w:space="0" w:color="auto"/>
        <w:right w:val="none" w:sz="0" w:space="0" w:color="auto"/>
      </w:divBdr>
    </w:div>
    <w:div w:id="342247919">
      <w:bodyDiv w:val="1"/>
      <w:marLeft w:val="0"/>
      <w:marRight w:val="0"/>
      <w:marTop w:val="0"/>
      <w:marBottom w:val="0"/>
      <w:divBdr>
        <w:top w:val="none" w:sz="0" w:space="0" w:color="auto"/>
        <w:left w:val="none" w:sz="0" w:space="0" w:color="auto"/>
        <w:bottom w:val="none" w:sz="0" w:space="0" w:color="auto"/>
        <w:right w:val="none" w:sz="0" w:space="0" w:color="auto"/>
      </w:divBdr>
    </w:div>
    <w:div w:id="354620067">
      <w:bodyDiv w:val="1"/>
      <w:marLeft w:val="0"/>
      <w:marRight w:val="0"/>
      <w:marTop w:val="0"/>
      <w:marBottom w:val="0"/>
      <w:divBdr>
        <w:top w:val="none" w:sz="0" w:space="0" w:color="auto"/>
        <w:left w:val="none" w:sz="0" w:space="0" w:color="auto"/>
        <w:bottom w:val="none" w:sz="0" w:space="0" w:color="auto"/>
        <w:right w:val="none" w:sz="0" w:space="0" w:color="auto"/>
      </w:divBdr>
      <w:divsChild>
        <w:div w:id="252208739">
          <w:marLeft w:val="0"/>
          <w:marRight w:val="0"/>
          <w:marTop w:val="0"/>
          <w:marBottom w:val="0"/>
          <w:divBdr>
            <w:top w:val="none" w:sz="0" w:space="0" w:color="auto"/>
            <w:left w:val="none" w:sz="0" w:space="0" w:color="auto"/>
            <w:bottom w:val="none" w:sz="0" w:space="0" w:color="auto"/>
            <w:right w:val="none" w:sz="0" w:space="0" w:color="auto"/>
          </w:divBdr>
          <w:divsChild>
            <w:div w:id="98187655">
              <w:marLeft w:val="0"/>
              <w:marRight w:val="0"/>
              <w:marTop w:val="0"/>
              <w:marBottom w:val="0"/>
              <w:divBdr>
                <w:top w:val="none" w:sz="0" w:space="0" w:color="auto"/>
                <w:left w:val="none" w:sz="0" w:space="0" w:color="auto"/>
                <w:bottom w:val="none" w:sz="0" w:space="0" w:color="auto"/>
                <w:right w:val="none" w:sz="0" w:space="0" w:color="auto"/>
              </w:divBdr>
            </w:div>
          </w:divsChild>
        </w:div>
        <w:div w:id="1191459010">
          <w:marLeft w:val="-225"/>
          <w:marRight w:val="-225"/>
          <w:marTop w:val="0"/>
          <w:marBottom w:val="0"/>
          <w:divBdr>
            <w:top w:val="none" w:sz="0" w:space="0" w:color="auto"/>
            <w:left w:val="none" w:sz="0" w:space="0" w:color="auto"/>
            <w:bottom w:val="none" w:sz="0" w:space="0" w:color="auto"/>
            <w:right w:val="none" w:sz="0" w:space="0" w:color="auto"/>
          </w:divBdr>
          <w:divsChild>
            <w:div w:id="2029987104">
              <w:marLeft w:val="0"/>
              <w:marRight w:val="0"/>
              <w:marTop w:val="0"/>
              <w:marBottom w:val="0"/>
              <w:divBdr>
                <w:top w:val="none" w:sz="0" w:space="0" w:color="auto"/>
                <w:left w:val="none" w:sz="0" w:space="0" w:color="auto"/>
                <w:bottom w:val="none" w:sz="0" w:space="0" w:color="auto"/>
                <w:right w:val="none" w:sz="0" w:space="0" w:color="auto"/>
              </w:divBdr>
              <w:divsChild>
                <w:div w:id="603197721">
                  <w:marLeft w:val="0"/>
                  <w:marRight w:val="0"/>
                  <w:marTop w:val="0"/>
                  <w:marBottom w:val="0"/>
                  <w:divBdr>
                    <w:top w:val="none" w:sz="0" w:space="0" w:color="auto"/>
                    <w:left w:val="none" w:sz="0" w:space="0" w:color="auto"/>
                    <w:bottom w:val="none" w:sz="0" w:space="0" w:color="auto"/>
                    <w:right w:val="none" w:sz="0" w:space="0" w:color="auto"/>
                  </w:divBdr>
                  <w:divsChild>
                    <w:div w:id="602029471">
                      <w:marLeft w:val="-225"/>
                      <w:marRight w:val="-225"/>
                      <w:marTop w:val="0"/>
                      <w:marBottom w:val="0"/>
                      <w:divBdr>
                        <w:top w:val="none" w:sz="0" w:space="0" w:color="auto"/>
                        <w:left w:val="none" w:sz="0" w:space="0" w:color="auto"/>
                        <w:bottom w:val="none" w:sz="0" w:space="0" w:color="auto"/>
                        <w:right w:val="none" w:sz="0" w:space="0" w:color="auto"/>
                      </w:divBdr>
                      <w:divsChild>
                        <w:div w:id="1534735184">
                          <w:marLeft w:val="0"/>
                          <w:marRight w:val="0"/>
                          <w:marTop w:val="0"/>
                          <w:marBottom w:val="0"/>
                          <w:divBdr>
                            <w:top w:val="none" w:sz="0" w:space="0" w:color="auto"/>
                            <w:left w:val="none" w:sz="0" w:space="0" w:color="auto"/>
                            <w:bottom w:val="none" w:sz="0" w:space="0" w:color="auto"/>
                            <w:right w:val="none" w:sz="0" w:space="0" w:color="auto"/>
                          </w:divBdr>
                          <w:divsChild>
                            <w:div w:id="984236358">
                              <w:marLeft w:val="-225"/>
                              <w:marRight w:val="-225"/>
                              <w:marTop w:val="0"/>
                              <w:marBottom w:val="0"/>
                              <w:divBdr>
                                <w:top w:val="none" w:sz="0" w:space="0" w:color="auto"/>
                                <w:left w:val="none" w:sz="0" w:space="0" w:color="auto"/>
                                <w:bottom w:val="none" w:sz="0" w:space="0" w:color="auto"/>
                                <w:right w:val="none" w:sz="0" w:space="0" w:color="auto"/>
                              </w:divBdr>
                              <w:divsChild>
                                <w:div w:id="1563638563">
                                  <w:marLeft w:val="0"/>
                                  <w:marRight w:val="0"/>
                                  <w:marTop w:val="0"/>
                                  <w:marBottom w:val="0"/>
                                  <w:divBdr>
                                    <w:top w:val="none" w:sz="0" w:space="0" w:color="auto"/>
                                    <w:left w:val="none" w:sz="0" w:space="0" w:color="auto"/>
                                    <w:bottom w:val="none" w:sz="0" w:space="0" w:color="auto"/>
                                    <w:right w:val="none" w:sz="0" w:space="0" w:color="auto"/>
                                  </w:divBdr>
                                  <w:divsChild>
                                    <w:div w:id="373165106">
                                      <w:marLeft w:val="0"/>
                                      <w:marRight w:val="0"/>
                                      <w:marTop w:val="0"/>
                                      <w:marBottom w:val="0"/>
                                      <w:divBdr>
                                        <w:top w:val="none" w:sz="0" w:space="0" w:color="auto"/>
                                        <w:left w:val="none" w:sz="0" w:space="0" w:color="auto"/>
                                        <w:bottom w:val="none" w:sz="0" w:space="0" w:color="auto"/>
                                        <w:right w:val="none" w:sz="0" w:space="0" w:color="auto"/>
                                      </w:divBdr>
                                      <w:divsChild>
                                        <w:div w:id="176118897">
                                          <w:marLeft w:val="0"/>
                                          <w:marRight w:val="180"/>
                                          <w:marTop w:val="90"/>
                                          <w:marBottom w:val="90"/>
                                          <w:divBdr>
                                            <w:top w:val="single" w:sz="12" w:space="0" w:color="00205C"/>
                                            <w:left w:val="single" w:sz="12" w:space="0" w:color="00205C"/>
                                            <w:bottom w:val="single" w:sz="12" w:space="0" w:color="00205C"/>
                                            <w:right w:val="single" w:sz="12" w:space="0" w:color="00205C"/>
                                          </w:divBdr>
                                        </w:div>
                                        <w:div w:id="234778707">
                                          <w:marLeft w:val="0"/>
                                          <w:marRight w:val="180"/>
                                          <w:marTop w:val="90"/>
                                          <w:marBottom w:val="90"/>
                                          <w:divBdr>
                                            <w:top w:val="single" w:sz="12" w:space="0" w:color="00205C"/>
                                            <w:left w:val="single" w:sz="12" w:space="0" w:color="00205C"/>
                                            <w:bottom w:val="single" w:sz="12" w:space="0" w:color="00205C"/>
                                            <w:right w:val="single" w:sz="12" w:space="0" w:color="00205C"/>
                                          </w:divBdr>
                                        </w:div>
                                        <w:div w:id="292097729">
                                          <w:marLeft w:val="0"/>
                                          <w:marRight w:val="180"/>
                                          <w:marTop w:val="90"/>
                                          <w:marBottom w:val="90"/>
                                          <w:divBdr>
                                            <w:top w:val="single" w:sz="12" w:space="0" w:color="00205C"/>
                                            <w:left w:val="single" w:sz="12" w:space="0" w:color="00205C"/>
                                            <w:bottom w:val="single" w:sz="12" w:space="0" w:color="00205C"/>
                                            <w:right w:val="single" w:sz="12" w:space="0" w:color="00205C"/>
                                          </w:divBdr>
                                        </w:div>
                                        <w:div w:id="479230264">
                                          <w:marLeft w:val="0"/>
                                          <w:marRight w:val="180"/>
                                          <w:marTop w:val="90"/>
                                          <w:marBottom w:val="90"/>
                                          <w:divBdr>
                                            <w:top w:val="single" w:sz="12" w:space="0" w:color="00205C"/>
                                            <w:left w:val="single" w:sz="12" w:space="0" w:color="00205C"/>
                                            <w:bottom w:val="single" w:sz="12" w:space="0" w:color="00205C"/>
                                            <w:right w:val="single" w:sz="12" w:space="0" w:color="00205C"/>
                                          </w:divBdr>
                                        </w:div>
                                        <w:div w:id="1402220154">
                                          <w:marLeft w:val="0"/>
                                          <w:marRight w:val="180"/>
                                          <w:marTop w:val="90"/>
                                          <w:marBottom w:val="90"/>
                                          <w:divBdr>
                                            <w:top w:val="single" w:sz="12" w:space="0" w:color="00205C"/>
                                            <w:left w:val="single" w:sz="12" w:space="0" w:color="00205C"/>
                                            <w:bottom w:val="single" w:sz="12" w:space="0" w:color="00205C"/>
                                            <w:right w:val="single" w:sz="12" w:space="0" w:color="00205C"/>
                                          </w:divBdr>
                                        </w:div>
                                      </w:divsChild>
                                    </w:div>
                                  </w:divsChild>
                                </w:div>
                                <w:div w:id="1835025673">
                                  <w:marLeft w:val="0"/>
                                  <w:marRight w:val="0"/>
                                  <w:marTop w:val="0"/>
                                  <w:marBottom w:val="0"/>
                                  <w:divBdr>
                                    <w:top w:val="none" w:sz="0" w:space="0" w:color="auto"/>
                                    <w:left w:val="none" w:sz="0" w:space="0" w:color="auto"/>
                                    <w:bottom w:val="none" w:sz="0" w:space="0" w:color="auto"/>
                                    <w:right w:val="none" w:sz="0" w:space="0" w:color="auto"/>
                                  </w:divBdr>
                                  <w:divsChild>
                                    <w:div w:id="69544108">
                                      <w:marLeft w:val="0"/>
                                      <w:marRight w:val="0"/>
                                      <w:marTop w:val="0"/>
                                      <w:marBottom w:val="0"/>
                                      <w:divBdr>
                                        <w:top w:val="none" w:sz="0" w:space="0" w:color="auto"/>
                                        <w:left w:val="none" w:sz="0" w:space="0" w:color="auto"/>
                                        <w:bottom w:val="single" w:sz="12" w:space="4" w:color="F5F5F5"/>
                                        <w:right w:val="none" w:sz="0" w:space="0" w:color="auto"/>
                                      </w:divBdr>
                                      <w:divsChild>
                                        <w:div w:id="64303594">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2051413740">
                              <w:marLeft w:val="-225"/>
                              <w:marRight w:val="-225"/>
                              <w:marTop w:val="0"/>
                              <w:marBottom w:val="0"/>
                              <w:divBdr>
                                <w:top w:val="none" w:sz="0" w:space="0" w:color="auto"/>
                                <w:left w:val="none" w:sz="0" w:space="0" w:color="auto"/>
                                <w:bottom w:val="none" w:sz="0" w:space="0" w:color="auto"/>
                                <w:right w:val="none" w:sz="0" w:space="0" w:color="auto"/>
                              </w:divBdr>
                              <w:divsChild>
                                <w:div w:id="956444775">
                                  <w:marLeft w:val="0"/>
                                  <w:marRight w:val="0"/>
                                  <w:marTop w:val="0"/>
                                  <w:marBottom w:val="0"/>
                                  <w:divBdr>
                                    <w:top w:val="none" w:sz="0" w:space="0" w:color="auto"/>
                                    <w:left w:val="none" w:sz="0" w:space="0" w:color="auto"/>
                                    <w:bottom w:val="none" w:sz="0" w:space="0" w:color="auto"/>
                                    <w:right w:val="none" w:sz="0" w:space="0" w:color="auto"/>
                                  </w:divBdr>
                                  <w:divsChild>
                                    <w:div w:id="239678536">
                                      <w:marLeft w:val="0"/>
                                      <w:marRight w:val="0"/>
                                      <w:marTop w:val="0"/>
                                      <w:marBottom w:val="600"/>
                                      <w:divBdr>
                                        <w:top w:val="none" w:sz="0" w:space="0" w:color="auto"/>
                                        <w:left w:val="none" w:sz="0" w:space="0" w:color="auto"/>
                                        <w:bottom w:val="none" w:sz="0" w:space="0" w:color="auto"/>
                                        <w:right w:val="none" w:sz="0" w:space="0" w:color="auto"/>
                                      </w:divBdr>
                                      <w:divsChild>
                                        <w:div w:id="24186217">
                                          <w:marLeft w:val="0"/>
                                          <w:marRight w:val="0"/>
                                          <w:marTop w:val="0"/>
                                          <w:marBottom w:val="0"/>
                                          <w:divBdr>
                                            <w:top w:val="none" w:sz="0" w:space="0" w:color="auto"/>
                                            <w:left w:val="none" w:sz="0" w:space="0" w:color="auto"/>
                                            <w:bottom w:val="none" w:sz="0" w:space="0" w:color="auto"/>
                                            <w:right w:val="none" w:sz="0" w:space="0" w:color="auto"/>
                                          </w:divBdr>
                                        </w:div>
                                        <w:div w:id="306782703">
                                          <w:marLeft w:val="0"/>
                                          <w:marRight w:val="0"/>
                                          <w:marTop w:val="0"/>
                                          <w:marBottom w:val="0"/>
                                          <w:divBdr>
                                            <w:top w:val="none" w:sz="0" w:space="0" w:color="auto"/>
                                            <w:left w:val="none" w:sz="0" w:space="0" w:color="auto"/>
                                            <w:bottom w:val="none" w:sz="0" w:space="0" w:color="auto"/>
                                            <w:right w:val="none" w:sz="0" w:space="0" w:color="auto"/>
                                          </w:divBdr>
                                        </w:div>
                                        <w:div w:id="826630898">
                                          <w:marLeft w:val="0"/>
                                          <w:marRight w:val="0"/>
                                          <w:marTop w:val="0"/>
                                          <w:marBottom w:val="0"/>
                                          <w:divBdr>
                                            <w:top w:val="none" w:sz="0" w:space="0" w:color="auto"/>
                                            <w:left w:val="none" w:sz="0" w:space="0" w:color="auto"/>
                                            <w:bottom w:val="none" w:sz="0" w:space="0" w:color="auto"/>
                                            <w:right w:val="none" w:sz="0" w:space="0" w:color="auto"/>
                                          </w:divBdr>
                                        </w:div>
                                        <w:div w:id="202867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5370962">
          <w:marLeft w:val="0"/>
          <w:marRight w:val="0"/>
          <w:marTop w:val="0"/>
          <w:marBottom w:val="0"/>
          <w:divBdr>
            <w:top w:val="none" w:sz="0" w:space="0" w:color="auto"/>
            <w:left w:val="none" w:sz="0" w:space="0" w:color="auto"/>
            <w:bottom w:val="none" w:sz="0" w:space="0" w:color="auto"/>
            <w:right w:val="none" w:sz="0" w:space="0" w:color="auto"/>
          </w:divBdr>
          <w:divsChild>
            <w:div w:id="328559667">
              <w:marLeft w:val="0"/>
              <w:marRight w:val="0"/>
              <w:marTop w:val="0"/>
              <w:marBottom w:val="0"/>
              <w:divBdr>
                <w:top w:val="none" w:sz="0" w:space="0" w:color="auto"/>
                <w:left w:val="none" w:sz="0" w:space="0" w:color="auto"/>
                <w:bottom w:val="none" w:sz="0" w:space="0" w:color="auto"/>
                <w:right w:val="none" w:sz="0" w:space="0" w:color="auto"/>
              </w:divBdr>
              <w:divsChild>
                <w:div w:id="904878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1507745">
      <w:bodyDiv w:val="1"/>
      <w:marLeft w:val="0"/>
      <w:marRight w:val="0"/>
      <w:marTop w:val="0"/>
      <w:marBottom w:val="0"/>
      <w:divBdr>
        <w:top w:val="none" w:sz="0" w:space="0" w:color="auto"/>
        <w:left w:val="none" w:sz="0" w:space="0" w:color="auto"/>
        <w:bottom w:val="none" w:sz="0" w:space="0" w:color="auto"/>
        <w:right w:val="none" w:sz="0" w:space="0" w:color="auto"/>
      </w:divBdr>
    </w:div>
    <w:div w:id="470295360">
      <w:bodyDiv w:val="1"/>
      <w:marLeft w:val="0"/>
      <w:marRight w:val="0"/>
      <w:marTop w:val="0"/>
      <w:marBottom w:val="0"/>
      <w:divBdr>
        <w:top w:val="none" w:sz="0" w:space="0" w:color="auto"/>
        <w:left w:val="none" w:sz="0" w:space="0" w:color="auto"/>
        <w:bottom w:val="none" w:sz="0" w:space="0" w:color="auto"/>
        <w:right w:val="none" w:sz="0" w:space="0" w:color="auto"/>
      </w:divBdr>
      <w:divsChild>
        <w:div w:id="839659994">
          <w:marLeft w:val="0"/>
          <w:marRight w:val="0"/>
          <w:marTop w:val="0"/>
          <w:marBottom w:val="0"/>
          <w:divBdr>
            <w:top w:val="none" w:sz="0" w:space="0" w:color="auto"/>
            <w:left w:val="none" w:sz="0" w:space="0" w:color="auto"/>
            <w:bottom w:val="none" w:sz="0" w:space="0" w:color="auto"/>
            <w:right w:val="none" w:sz="0" w:space="0" w:color="auto"/>
          </w:divBdr>
        </w:div>
      </w:divsChild>
    </w:div>
    <w:div w:id="470951065">
      <w:bodyDiv w:val="1"/>
      <w:marLeft w:val="0"/>
      <w:marRight w:val="0"/>
      <w:marTop w:val="0"/>
      <w:marBottom w:val="0"/>
      <w:divBdr>
        <w:top w:val="none" w:sz="0" w:space="0" w:color="auto"/>
        <w:left w:val="none" w:sz="0" w:space="0" w:color="auto"/>
        <w:bottom w:val="none" w:sz="0" w:space="0" w:color="auto"/>
        <w:right w:val="none" w:sz="0" w:space="0" w:color="auto"/>
      </w:divBdr>
    </w:div>
    <w:div w:id="485511552">
      <w:bodyDiv w:val="1"/>
      <w:marLeft w:val="0"/>
      <w:marRight w:val="0"/>
      <w:marTop w:val="0"/>
      <w:marBottom w:val="0"/>
      <w:divBdr>
        <w:top w:val="none" w:sz="0" w:space="0" w:color="auto"/>
        <w:left w:val="none" w:sz="0" w:space="0" w:color="auto"/>
        <w:bottom w:val="none" w:sz="0" w:space="0" w:color="auto"/>
        <w:right w:val="none" w:sz="0" w:space="0" w:color="auto"/>
      </w:divBdr>
    </w:div>
    <w:div w:id="488324489">
      <w:bodyDiv w:val="1"/>
      <w:marLeft w:val="0"/>
      <w:marRight w:val="0"/>
      <w:marTop w:val="0"/>
      <w:marBottom w:val="0"/>
      <w:divBdr>
        <w:top w:val="none" w:sz="0" w:space="0" w:color="auto"/>
        <w:left w:val="none" w:sz="0" w:space="0" w:color="auto"/>
        <w:bottom w:val="none" w:sz="0" w:space="0" w:color="auto"/>
        <w:right w:val="none" w:sz="0" w:space="0" w:color="auto"/>
      </w:divBdr>
    </w:div>
    <w:div w:id="490217999">
      <w:bodyDiv w:val="1"/>
      <w:marLeft w:val="0"/>
      <w:marRight w:val="0"/>
      <w:marTop w:val="0"/>
      <w:marBottom w:val="0"/>
      <w:divBdr>
        <w:top w:val="none" w:sz="0" w:space="0" w:color="auto"/>
        <w:left w:val="none" w:sz="0" w:space="0" w:color="auto"/>
        <w:bottom w:val="none" w:sz="0" w:space="0" w:color="auto"/>
        <w:right w:val="none" w:sz="0" w:space="0" w:color="auto"/>
      </w:divBdr>
    </w:div>
    <w:div w:id="503668040">
      <w:bodyDiv w:val="1"/>
      <w:marLeft w:val="0"/>
      <w:marRight w:val="0"/>
      <w:marTop w:val="0"/>
      <w:marBottom w:val="0"/>
      <w:divBdr>
        <w:top w:val="none" w:sz="0" w:space="0" w:color="auto"/>
        <w:left w:val="none" w:sz="0" w:space="0" w:color="auto"/>
        <w:bottom w:val="none" w:sz="0" w:space="0" w:color="auto"/>
        <w:right w:val="none" w:sz="0" w:space="0" w:color="auto"/>
      </w:divBdr>
    </w:div>
    <w:div w:id="516777340">
      <w:bodyDiv w:val="1"/>
      <w:marLeft w:val="0"/>
      <w:marRight w:val="0"/>
      <w:marTop w:val="0"/>
      <w:marBottom w:val="0"/>
      <w:divBdr>
        <w:top w:val="none" w:sz="0" w:space="0" w:color="auto"/>
        <w:left w:val="none" w:sz="0" w:space="0" w:color="auto"/>
        <w:bottom w:val="none" w:sz="0" w:space="0" w:color="auto"/>
        <w:right w:val="none" w:sz="0" w:space="0" w:color="auto"/>
      </w:divBdr>
    </w:div>
    <w:div w:id="619385025">
      <w:bodyDiv w:val="1"/>
      <w:marLeft w:val="0"/>
      <w:marRight w:val="0"/>
      <w:marTop w:val="0"/>
      <w:marBottom w:val="0"/>
      <w:divBdr>
        <w:top w:val="none" w:sz="0" w:space="0" w:color="auto"/>
        <w:left w:val="none" w:sz="0" w:space="0" w:color="auto"/>
        <w:bottom w:val="none" w:sz="0" w:space="0" w:color="auto"/>
        <w:right w:val="none" w:sz="0" w:space="0" w:color="auto"/>
      </w:divBdr>
    </w:div>
    <w:div w:id="650907384">
      <w:bodyDiv w:val="1"/>
      <w:marLeft w:val="0"/>
      <w:marRight w:val="0"/>
      <w:marTop w:val="0"/>
      <w:marBottom w:val="0"/>
      <w:divBdr>
        <w:top w:val="none" w:sz="0" w:space="0" w:color="auto"/>
        <w:left w:val="none" w:sz="0" w:space="0" w:color="auto"/>
        <w:bottom w:val="none" w:sz="0" w:space="0" w:color="auto"/>
        <w:right w:val="none" w:sz="0" w:space="0" w:color="auto"/>
      </w:divBdr>
    </w:div>
    <w:div w:id="656958250">
      <w:bodyDiv w:val="1"/>
      <w:marLeft w:val="0"/>
      <w:marRight w:val="0"/>
      <w:marTop w:val="0"/>
      <w:marBottom w:val="0"/>
      <w:divBdr>
        <w:top w:val="none" w:sz="0" w:space="0" w:color="auto"/>
        <w:left w:val="none" w:sz="0" w:space="0" w:color="auto"/>
        <w:bottom w:val="none" w:sz="0" w:space="0" w:color="auto"/>
        <w:right w:val="none" w:sz="0" w:space="0" w:color="auto"/>
      </w:divBdr>
    </w:div>
    <w:div w:id="661470701">
      <w:bodyDiv w:val="1"/>
      <w:marLeft w:val="0"/>
      <w:marRight w:val="0"/>
      <w:marTop w:val="0"/>
      <w:marBottom w:val="0"/>
      <w:divBdr>
        <w:top w:val="none" w:sz="0" w:space="0" w:color="auto"/>
        <w:left w:val="none" w:sz="0" w:space="0" w:color="auto"/>
        <w:bottom w:val="none" w:sz="0" w:space="0" w:color="auto"/>
        <w:right w:val="none" w:sz="0" w:space="0" w:color="auto"/>
      </w:divBdr>
    </w:div>
    <w:div w:id="683946353">
      <w:bodyDiv w:val="1"/>
      <w:marLeft w:val="0"/>
      <w:marRight w:val="0"/>
      <w:marTop w:val="0"/>
      <w:marBottom w:val="0"/>
      <w:divBdr>
        <w:top w:val="none" w:sz="0" w:space="0" w:color="auto"/>
        <w:left w:val="none" w:sz="0" w:space="0" w:color="auto"/>
        <w:bottom w:val="none" w:sz="0" w:space="0" w:color="auto"/>
        <w:right w:val="none" w:sz="0" w:space="0" w:color="auto"/>
      </w:divBdr>
    </w:div>
    <w:div w:id="724640968">
      <w:bodyDiv w:val="1"/>
      <w:marLeft w:val="0"/>
      <w:marRight w:val="0"/>
      <w:marTop w:val="0"/>
      <w:marBottom w:val="0"/>
      <w:divBdr>
        <w:top w:val="none" w:sz="0" w:space="0" w:color="auto"/>
        <w:left w:val="none" w:sz="0" w:space="0" w:color="auto"/>
        <w:bottom w:val="none" w:sz="0" w:space="0" w:color="auto"/>
        <w:right w:val="none" w:sz="0" w:space="0" w:color="auto"/>
      </w:divBdr>
    </w:div>
    <w:div w:id="737556862">
      <w:bodyDiv w:val="1"/>
      <w:marLeft w:val="0"/>
      <w:marRight w:val="0"/>
      <w:marTop w:val="0"/>
      <w:marBottom w:val="0"/>
      <w:divBdr>
        <w:top w:val="none" w:sz="0" w:space="0" w:color="auto"/>
        <w:left w:val="none" w:sz="0" w:space="0" w:color="auto"/>
        <w:bottom w:val="none" w:sz="0" w:space="0" w:color="auto"/>
        <w:right w:val="none" w:sz="0" w:space="0" w:color="auto"/>
      </w:divBdr>
    </w:div>
    <w:div w:id="777870963">
      <w:bodyDiv w:val="1"/>
      <w:marLeft w:val="0"/>
      <w:marRight w:val="0"/>
      <w:marTop w:val="0"/>
      <w:marBottom w:val="0"/>
      <w:divBdr>
        <w:top w:val="none" w:sz="0" w:space="0" w:color="auto"/>
        <w:left w:val="none" w:sz="0" w:space="0" w:color="auto"/>
        <w:bottom w:val="none" w:sz="0" w:space="0" w:color="auto"/>
        <w:right w:val="none" w:sz="0" w:space="0" w:color="auto"/>
      </w:divBdr>
    </w:div>
    <w:div w:id="789856825">
      <w:bodyDiv w:val="1"/>
      <w:marLeft w:val="0"/>
      <w:marRight w:val="0"/>
      <w:marTop w:val="0"/>
      <w:marBottom w:val="0"/>
      <w:divBdr>
        <w:top w:val="none" w:sz="0" w:space="0" w:color="auto"/>
        <w:left w:val="none" w:sz="0" w:space="0" w:color="auto"/>
        <w:bottom w:val="none" w:sz="0" w:space="0" w:color="auto"/>
        <w:right w:val="none" w:sz="0" w:space="0" w:color="auto"/>
      </w:divBdr>
    </w:div>
    <w:div w:id="809593022">
      <w:bodyDiv w:val="1"/>
      <w:marLeft w:val="0"/>
      <w:marRight w:val="0"/>
      <w:marTop w:val="0"/>
      <w:marBottom w:val="0"/>
      <w:divBdr>
        <w:top w:val="none" w:sz="0" w:space="0" w:color="auto"/>
        <w:left w:val="none" w:sz="0" w:space="0" w:color="auto"/>
        <w:bottom w:val="none" w:sz="0" w:space="0" w:color="auto"/>
        <w:right w:val="none" w:sz="0" w:space="0" w:color="auto"/>
      </w:divBdr>
    </w:div>
    <w:div w:id="842012473">
      <w:bodyDiv w:val="1"/>
      <w:marLeft w:val="0"/>
      <w:marRight w:val="0"/>
      <w:marTop w:val="0"/>
      <w:marBottom w:val="0"/>
      <w:divBdr>
        <w:top w:val="none" w:sz="0" w:space="0" w:color="auto"/>
        <w:left w:val="none" w:sz="0" w:space="0" w:color="auto"/>
        <w:bottom w:val="none" w:sz="0" w:space="0" w:color="auto"/>
        <w:right w:val="none" w:sz="0" w:space="0" w:color="auto"/>
      </w:divBdr>
    </w:div>
    <w:div w:id="896278278">
      <w:bodyDiv w:val="1"/>
      <w:marLeft w:val="0"/>
      <w:marRight w:val="0"/>
      <w:marTop w:val="0"/>
      <w:marBottom w:val="0"/>
      <w:divBdr>
        <w:top w:val="none" w:sz="0" w:space="0" w:color="auto"/>
        <w:left w:val="none" w:sz="0" w:space="0" w:color="auto"/>
        <w:bottom w:val="none" w:sz="0" w:space="0" w:color="auto"/>
        <w:right w:val="none" w:sz="0" w:space="0" w:color="auto"/>
      </w:divBdr>
    </w:div>
    <w:div w:id="940843846">
      <w:bodyDiv w:val="1"/>
      <w:marLeft w:val="0"/>
      <w:marRight w:val="0"/>
      <w:marTop w:val="0"/>
      <w:marBottom w:val="0"/>
      <w:divBdr>
        <w:top w:val="none" w:sz="0" w:space="0" w:color="auto"/>
        <w:left w:val="none" w:sz="0" w:space="0" w:color="auto"/>
        <w:bottom w:val="none" w:sz="0" w:space="0" w:color="auto"/>
        <w:right w:val="none" w:sz="0" w:space="0" w:color="auto"/>
      </w:divBdr>
    </w:div>
    <w:div w:id="955257795">
      <w:bodyDiv w:val="1"/>
      <w:marLeft w:val="0"/>
      <w:marRight w:val="0"/>
      <w:marTop w:val="0"/>
      <w:marBottom w:val="0"/>
      <w:divBdr>
        <w:top w:val="none" w:sz="0" w:space="0" w:color="auto"/>
        <w:left w:val="none" w:sz="0" w:space="0" w:color="auto"/>
        <w:bottom w:val="none" w:sz="0" w:space="0" w:color="auto"/>
        <w:right w:val="none" w:sz="0" w:space="0" w:color="auto"/>
      </w:divBdr>
    </w:div>
    <w:div w:id="1053239303">
      <w:bodyDiv w:val="1"/>
      <w:marLeft w:val="0"/>
      <w:marRight w:val="0"/>
      <w:marTop w:val="0"/>
      <w:marBottom w:val="0"/>
      <w:divBdr>
        <w:top w:val="none" w:sz="0" w:space="0" w:color="auto"/>
        <w:left w:val="none" w:sz="0" w:space="0" w:color="auto"/>
        <w:bottom w:val="none" w:sz="0" w:space="0" w:color="auto"/>
        <w:right w:val="none" w:sz="0" w:space="0" w:color="auto"/>
      </w:divBdr>
    </w:div>
    <w:div w:id="1057165922">
      <w:bodyDiv w:val="1"/>
      <w:marLeft w:val="0"/>
      <w:marRight w:val="0"/>
      <w:marTop w:val="0"/>
      <w:marBottom w:val="0"/>
      <w:divBdr>
        <w:top w:val="none" w:sz="0" w:space="0" w:color="auto"/>
        <w:left w:val="none" w:sz="0" w:space="0" w:color="auto"/>
        <w:bottom w:val="none" w:sz="0" w:space="0" w:color="auto"/>
        <w:right w:val="none" w:sz="0" w:space="0" w:color="auto"/>
      </w:divBdr>
    </w:div>
    <w:div w:id="1067993711">
      <w:bodyDiv w:val="1"/>
      <w:marLeft w:val="0"/>
      <w:marRight w:val="0"/>
      <w:marTop w:val="0"/>
      <w:marBottom w:val="0"/>
      <w:divBdr>
        <w:top w:val="none" w:sz="0" w:space="0" w:color="auto"/>
        <w:left w:val="none" w:sz="0" w:space="0" w:color="auto"/>
        <w:bottom w:val="none" w:sz="0" w:space="0" w:color="auto"/>
        <w:right w:val="none" w:sz="0" w:space="0" w:color="auto"/>
      </w:divBdr>
    </w:div>
    <w:div w:id="1079398899">
      <w:bodyDiv w:val="1"/>
      <w:marLeft w:val="0"/>
      <w:marRight w:val="0"/>
      <w:marTop w:val="0"/>
      <w:marBottom w:val="0"/>
      <w:divBdr>
        <w:top w:val="none" w:sz="0" w:space="0" w:color="auto"/>
        <w:left w:val="none" w:sz="0" w:space="0" w:color="auto"/>
        <w:bottom w:val="none" w:sz="0" w:space="0" w:color="auto"/>
        <w:right w:val="none" w:sz="0" w:space="0" w:color="auto"/>
      </w:divBdr>
    </w:div>
    <w:div w:id="1107504615">
      <w:bodyDiv w:val="1"/>
      <w:marLeft w:val="0"/>
      <w:marRight w:val="0"/>
      <w:marTop w:val="0"/>
      <w:marBottom w:val="0"/>
      <w:divBdr>
        <w:top w:val="none" w:sz="0" w:space="0" w:color="auto"/>
        <w:left w:val="none" w:sz="0" w:space="0" w:color="auto"/>
        <w:bottom w:val="none" w:sz="0" w:space="0" w:color="auto"/>
        <w:right w:val="none" w:sz="0" w:space="0" w:color="auto"/>
      </w:divBdr>
    </w:div>
    <w:div w:id="1136525932">
      <w:bodyDiv w:val="1"/>
      <w:marLeft w:val="0"/>
      <w:marRight w:val="0"/>
      <w:marTop w:val="0"/>
      <w:marBottom w:val="0"/>
      <w:divBdr>
        <w:top w:val="none" w:sz="0" w:space="0" w:color="auto"/>
        <w:left w:val="none" w:sz="0" w:space="0" w:color="auto"/>
        <w:bottom w:val="none" w:sz="0" w:space="0" w:color="auto"/>
        <w:right w:val="none" w:sz="0" w:space="0" w:color="auto"/>
      </w:divBdr>
    </w:div>
    <w:div w:id="1145390757">
      <w:bodyDiv w:val="1"/>
      <w:marLeft w:val="0"/>
      <w:marRight w:val="0"/>
      <w:marTop w:val="0"/>
      <w:marBottom w:val="0"/>
      <w:divBdr>
        <w:top w:val="none" w:sz="0" w:space="0" w:color="auto"/>
        <w:left w:val="none" w:sz="0" w:space="0" w:color="auto"/>
        <w:bottom w:val="none" w:sz="0" w:space="0" w:color="auto"/>
        <w:right w:val="none" w:sz="0" w:space="0" w:color="auto"/>
      </w:divBdr>
    </w:div>
    <w:div w:id="1155755953">
      <w:bodyDiv w:val="1"/>
      <w:marLeft w:val="0"/>
      <w:marRight w:val="0"/>
      <w:marTop w:val="0"/>
      <w:marBottom w:val="0"/>
      <w:divBdr>
        <w:top w:val="none" w:sz="0" w:space="0" w:color="auto"/>
        <w:left w:val="none" w:sz="0" w:space="0" w:color="auto"/>
        <w:bottom w:val="none" w:sz="0" w:space="0" w:color="auto"/>
        <w:right w:val="none" w:sz="0" w:space="0" w:color="auto"/>
      </w:divBdr>
    </w:div>
    <w:div w:id="1164736423">
      <w:bodyDiv w:val="1"/>
      <w:marLeft w:val="0"/>
      <w:marRight w:val="0"/>
      <w:marTop w:val="0"/>
      <w:marBottom w:val="0"/>
      <w:divBdr>
        <w:top w:val="none" w:sz="0" w:space="0" w:color="auto"/>
        <w:left w:val="none" w:sz="0" w:space="0" w:color="auto"/>
        <w:bottom w:val="none" w:sz="0" w:space="0" w:color="auto"/>
        <w:right w:val="none" w:sz="0" w:space="0" w:color="auto"/>
      </w:divBdr>
    </w:div>
    <w:div w:id="1167862000">
      <w:bodyDiv w:val="1"/>
      <w:marLeft w:val="0"/>
      <w:marRight w:val="0"/>
      <w:marTop w:val="0"/>
      <w:marBottom w:val="0"/>
      <w:divBdr>
        <w:top w:val="none" w:sz="0" w:space="0" w:color="auto"/>
        <w:left w:val="none" w:sz="0" w:space="0" w:color="auto"/>
        <w:bottom w:val="none" w:sz="0" w:space="0" w:color="auto"/>
        <w:right w:val="none" w:sz="0" w:space="0" w:color="auto"/>
      </w:divBdr>
    </w:div>
    <w:div w:id="1181746667">
      <w:bodyDiv w:val="1"/>
      <w:marLeft w:val="0"/>
      <w:marRight w:val="0"/>
      <w:marTop w:val="0"/>
      <w:marBottom w:val="0"/>
      <w:divBdr>
        <w:top w:val="none" w:sz="0" w:space="0" w:color="auto"/>
        <w:left w:val="none" w:sz="0" w:space="0" w:color="auto"/>
        <w:bottom w:val="none" w:sz="0" w:space="0" w:color="auto"/>
        <w:right w:val="none" w:sz="0" w:space="0" w:color="auto"/>
      </w:divBdr>
    </w:div>
    <w:div w:id="1187720674">
      <w:bodyDiv w:val="1"/>
      <w:marLeft w:val="0"/>
      <w:marRight w:val="0"/>
      <w:marTop w:val="0"/>
      <w:marBottom w:val="0"/>
      <w:divBdr>
        <w:top w:val="none" w:sz="0" w:space="0" w:color="auto"/>
        <w:left w:val="none" w:sz="0" w:space="0" w:color="auto"/>
        <w:bottom w:val="none" w:sz="0" w:space="0" w:color="auto"/>
        <w:right w:val="none" w:sz="0" w:space="0" w:color="auto"/>
      </w:divBdr>
    </w:div>
    <w:div w:id="1249077308">
      <w:bodyDiv w:val="1"/>
      <w:marLeft w:val="0"/>
      <w:marRight w:val="0"/>
      <w:marTop w:val="0"/>
      <w:marBottom w:val="0"/>
      <w:divBdr>
        <w:top w:val="none" w:sz="0" w:space="0" w:color="auto"/>
        <w:left w:val="none" w:sz="0" w:space="0" w:color="auto"/>
        <w:bottom w:val="none" w:sz="0" w:space="0" w:color="auto"/>
        <w:right w:val="none" w:sz="0" w:space="0" w:color="auto"/>
      </w:divBdr>
    </w:div>
    <w:div w:id="1259682333">
      <w:bodyDiv w:val="1"/>
      <w:marLeft w:val="0"/>
      <w:marRight w:val="0"/>
      <w:marTop w:val="0"/>
      <w:marBottom w:val="0"/>
      <w:divBdr>
        <w:top w:val="none" w:sz="0" w:space="0" w:color="auto"/>
        <w:left w:val="none" w:sz="0" w:space="0" w:color="auto"/>
        <w:bottom w:val="none" w:sz="0" w:space="0" w:color="auto"/>
        <w:right w:val="none" w:sz="0" w:space="0" w:color="auto"/>
      </w:divBdr>
      <w:divsChild>
        <w:div w:id="1359696080">
          <w:marLeft w:val="0"/>
          <w:marRight w:val="0"/>
          <w:marTop w:val="0"/>
          <w:marBottom w:val="0"/>
          <w:divBdr>
            <w:top w:val="none" w:sz="0" w:space="0" w:color="auto"/>
            <w:left w:val="none" w:sz="0" w:space="0" w:color="auto"/>
            <w:bottom w:val="none" w:sz="0" w:space="0" w:color="auto"/>
            <w:right w:val="none" w:sz="0" w:space="0" w:color="auto"/>
          </w:divBdr>
        </w:div>
      </w:divsChild>
    </w:div>
    <w:div w:id="1272858939">
      <w:bodyDiv w:val="1"/>
      <w:marLeft w:val="0"/>
      <w:marRight w:val="0"/>
      <w:marTop w:val="0"/>
      <w:marBottom w:val="0"/>
      <w:divBdr>
        <w:top w:val="none" w:sz="0" w:space="0" w:color="auto"/>
        <w:left w:val="none" w:sz="0" w:space="0" w:color="auto"/>
        <w:bottom w:val="none" w:sz="0" w:space="0" w:color="auto"/>
        <w:right w:val="none" w:sz="0" w:space="0" w:color="auto"/>
      </w:divBdr>
    </w:div>
    <w:div w:id="1304045042">
      <w:bodyDiv w:val="1"/>
      <w:marLeft w:val="0"/>
      <w:marRight w:val="0"/>
      <w:marTop w:val="0"/>
      <w:marBottom w:val="0"/>
      <w:divBdr>
        <w:top w:val="none" w:sz="0" w:space="0" w:color="auto"/>
        <w:left w:val="none" w:sz="0" w:space="0" w:color="auto"/>
        <w:bottom w:val="none" w:sz="0" w:space="0" w:color="auto"/>
        <w:right w:val="none" w:sz="0" w:space="0" w:color="auto"/>
      </w:divBdr>
    </w:div>
    <w:div w:id="1422098278">
      <w:bodyDiv w:val="1"/>
      <w:marLeft w:val="0"/>
      <w:marRight w:val="0"/>
      <w:marTop w:val="0"/>
      <w:marBottom w:val="0"/>
      <w:divBdr>
        <w:top w:val="none" w:sz="0" w:space="0" w:color="auto"/>
        <w:left w:val="none" w:sz="0" w:space="0" w:color="auto"/>
        <w:bottom w:val="none" w:sz="0" w:space="0" w:color="auto"/>
        <w:right w:val="none" w:sz="0" w:space="0" w:color="auto"/>
      </w:divBdr>
    </w:div>
    <w:div w:id="1431851573">
      <w:bodyDiv w:val="1"/>
      <w:marLeft w:val="0"/>
      <w:marRight w:val="0"/>
      <w:marTop w:val="0"/>
      <w:marBottom w:val="0"/>
      <w:divBdr>
        <w:top w:val="none" w:sz="0" w:space="0" w:color="auto"/>
        <w:left w:val="none" w:sz="0" w:space="0" w:color="auto"/>
        <w:bottom w:val="none" w:sz="0" w:space="0" w:color="auto"/>
        <w:right w:val="none" w:sz="0" w:space="0" w:color="auto"/>
      </w:divBdr>
    </w:div>
    <w:div w:id="1470131307">
      <w:bodyDiv w:val="1"/>
      <w:marLeft w:val="0"/>
      <w:marRight w:val="0"/>
      <w:marTop w:val="0"/>
      <w:marBottom w:val="0"/>
      <w:divBdr>
        <w:top w:val="none" w:sz="0" w:space="0" w:color="auto"/>
        <w:left w:val="none" w:sz="0" w:space="0" w:color="auto"/>
        <w:bottom w:val="none" w:sz="0" w:space="0" w:color="auto"/>
        <w:right w:val="none" w:sz="0" w:space="0" w:color="auto"/>
      </w:divBdr>
    </w:div>
    <w:div w:id="1482385359">
      <w:bodyDiv w:val="1"/>
      <w:marLeft w:val="0"/>
      <w:marRight w:val="0"/>
      <w:marTop w:val="0"/>
      <w:marBottom w:val="0"/>
      <w:divBdr>
        <w:top w:val="none" w:sz="0" w:space="0" w:color="auto"/>
        <w:left w:val="none" w:sz="0" w:space="0" w:color="auto"/>
        <w:bottom w:val="none" w:sz="0" w:space="0" w:color="auto"/>
        <w:right w:val="none" w:sz="0" w:space="0" w:color="auto"/>
      </w:divBdr>
    </w:div>
    <w:div w:id="1511724091">
      <w:bodyDiv w:val="1"/>
      <w:marLeft w:val="0"/>
      <w:marRight w:val="0"/>
      <w:marTop w:val="0"/>
      <w:marBottom w:val="0"/>
      <w:divBdr>
        <w:top w:val="none" w:sz="0" w:space="0" w:color="auto"/>
        <w:left w:val="none" w:sz="0" w:space="0" w:color="auto"/>
        <w:bottom w:val="none" w:sz="0" w:space="0" w:color="auto"/>
        <w:right w:val="none" w:sz="0" w:space="0" w:color="auto"/>
      </w:divBdr>
    </w:div>
    <w:div w:id="1527601882">
      <w:bodyDiv w:val="1"/>
      <w:marLeft w:val="0"/>
      <w:marRight w:val="0"/>
      <w:marTop w:val="0"/>
      <w:marBottom w:val="0"/>
      <w:divBdr>
        <w:top w:val="none" w:sz="0" w:space="0" w:color="auto"/>
        <w:left w:val="none" w:sz="0" w:space="0" w:color="auto"/>
        <w:bottom w:val="none" w:sz="0" w:space="0" w:color="auto"/>
        <w:right w:val="none" w:sz="0" w:space="0" w:color="auto"/>
      </w:divBdr>
    </w:div>
    <w:div w:id="1536776286">
      <w:bodyDiv w:val="1"/>
      <w:marLeft w:val="0"/>
      <w:marRight w:val="0"/>
      <w:marTop w:val="0"/>
      <w:marBottom w:val="0"/>
      <w:divBdr>
        <w:top w:val="none" w:sz="0" w:space="0" w:color="auto"/>
        <w:left w:val="none" w:sz="0" w:space="0" w:color="auto"/>
        <w:bottom w:val="none" w:sz="0" w:space="0" w:color="auto"/>
        <w:right w:val="none" w:sz="0" w:space="0" w:color="auto"/>
      </w:divBdr>
    </w:div>
    <w:div w:id="1549680694">
      <w:bodyDiv w:val="1"/>
      <w:marLeft w:val="0"/>
      <w:marRight w:val="0"/>
      <w:marTop w:val="0"/>
      <w:marBottom w:val="0"/>
      <w:divBdr>
        <w:top w:val="none" w:sz="0" w:space="0" w:color="auto"/>
        <w:left w:val="none" w:sz="0" w:space="0" w:color="auto"/>
        <w:bottom w:val="none" w:sz="0" w:space="0" w:color="auto"/>
        <w:right w:val="none" w:sz="0" w:space="0" w:color="auto"/>
      </w:divBdr>
    </w:div>
    <w:div w:id="1590313083">
      <w:bodyDiv w:val="1"/>
      <w:marLeft w:val="0"/>
      <w:marRight w:val="0"/>
      <w:marTop w:val="0"/>
      <w:marBottom w:val="0"/>
      <w:divBdr>
        <w:top w:val="none" w:sz="0" w:space="0" w:color="auto"/>
        <w:left w:val="none" w:sz="0" w:space="0" w:color="auto"/>
        <w:bottom w:val="none" w:sz="0" w:space="0" w:color="auto"/>
        <w:right w:val="none" w:sz="0" w:space="0" w:color="auto"/>
      </w:divBdr>
    </w:div>
    <w:div w:id="1633972857">
      <w:bodyDiv w:val="1"/>
      <w:marLeft w:val="0"/>
      <w:marRight w:val="0"/>
      <w:marTop w:val="0"/>
      <w:marBottom w:val="0"/>
      <w:divBdr>
        <w:top w:val="none" w:sz="0" w:space="0" w:color="auto"/>
        <w:left w:val="none" w:sz="0" w:space="0" w:color="auto"/>
        <w:bottom w:val="none" w:sz="0" w:space="0" w:color="auto"/>
        <w:right w:val="none" w:sz="0" w:space="0" w:color="auto"/>
      </w:divBdr>
    </w:div>
    <w:div w:id="1644039284">
      <w:bodyDiv w:val="1"/>
      <w:marLeft w:val="0"/>
      <w:marRight w:val="0"/>
      <w:marTop w:val="0"/>
      <w:marBottom w:val="0"/>
      <w:divBdr>
        <w:top w:val="none" w:sz="0" w:space="0" w:color="auto"/>
        <w:left w:val="none" w:sz="0" w:space="0" w:color="auto"/>
        <w:bottom w:val="none" w:sz="0" w:space="0" w:color="auto"/>
        <w:right w:val="none" w:sz="0" w:space="0" w:color="auto"/>
      </w:divBdr>
    </w:div>
    <w:div w:id="1648322467">
      <w:bodyDiv w:val="1"/>
      <w:marLeft w:val="0"/>
      <w:marRight w:val="0"/>
      <w:marTop w:val="0"/>
      <w:marBottom w:val="0"/>
      <w:divBdr>
        <w:top w:val="none" w:sz="0" w:space="0" w:color="auto"/>
        <w:left w:val="none" w:sz="0" w:space="0" w:color="auto"/>
        <w:bottom w:val="none" w:sz="0" w:space="0" w:color="auto"/>
        <w:right w:val="none" w:sz="0" w:space="0" w:color="auto"/>
      </w:divBdr>
    </w:div>
    <w:div w:id="1756827955">
      <w:bodyDiv w:val="1"/>
      <w:marLeft w:val="0"/>
      <w:marRight w:val="0"/>
      <w:marTop w:val="0"/>
      <w:marBottom w:val="0"/>
      <w:divBdr>
        <w:top w:val="none" w:sz="0" w:space="0" w:color="auto"/>
        <w:left w:val="none" w:sz="0" w:space="0" w:color="auto"/>
        <w:bottom w:val="none" w:sz="0" w:space="0" w:color="auto"/>
        <w:right w:val="none" w:sz="0" w:space="0" w:color="auto"/>
      </w:divBdr>
    </w:div>
    <w:div w:id="1788768213">
      <w:bodyDiv w:val="1"/>
      <w:marLeft w:val="0"/>
      <w:marRight w:val="0"/>
      <w:marTop w:val="0"/>
      <w:marBottom w:val="0"/>
      <w:divBdr>
        <w:top w:val="none" w:sz="0" w:space="0" w:color="auto"/>
        <w:left w:val="none" w:sz="0" w:space="0" w:color="auto"/>
        <w:bottom w:val="none" w:sz="0" w:space="0" w:color="auto"/>
        <w:right w:val="none" w:sz="0" w:space="0" w:color="auto"/>
      </w:divBdr>
    </w:div>
    <w:div w:id="1855414771">
      <w:bodyDiv w:val="1"/>
      <w:marLeft w:val="0"/>
      <w:marRight w:val="0"/>
      <w:marTop w:val="0"/>
      <w:marBottom w:val="0"/>
      <w:divBdr>
        <w:top w:val="none" w:sz="0" w:space="0" w:color="auto"/>
        <w:left w:val="none" w:sz="0" w:space="0" w:color="auto"/>
        <w:bottom w:val="none" w:sz="0" w:space="0" w:color="auto"/>
        <w:right w:val="none" w:sz="0" w:space="0" w:color="auto"/>
      </w:divBdr>
    </w:div>
    <w:div w:id="1879539014">
      <w:bodyDiv w:val="1"/>
      <w:marLeft w:val="0"/>
      <w:marRight w:val="0"/>
      <w:marTop w:val="0"/>
      <w:marBottom w:val="0"/>
      <w:divBdr>
        <w:top w:val="none" w:sz="0" w:space="0" w:color="auto"/>
        <w:left w:val="none" w:sz="0" w:space="0" w:color="auto"/>
        <w:bottom w:val="none" w:sz="0" w:space="0" w:color="auto"/>
        <w:right w:val="none" w:sz="0" w:space="0" w:color="auto"/>
      </w:divBdr>
    </w:div>
    <w:div w:id="1898543961">
      <w:bodyDiv w:val="1"/>
      <w:marLeft w:val="0"/>
      <w:marRight w:val="0"/>
      <w:marTop w:val="0"/>
      <w:marBottom w:val="0"/>
      <w:divBdr>
        <w:top w:val="none" w:sz="0" w:space="0" w:color="auto"/>
        <w:left w:val="none" w:sz="0" w:space="0" w:color="auto"/>
        <w:bottom w:val="none" w:sz="0" w:space="0" w:color="auto"/>
        <w:right w:val="none" w:sz="0" w:space="0" w:color="auto"/>
      </w:divBdr>
    </w:div>
    <w:div w:id="1923296738">
      <w:bodyDiv w:val="1"/>
      <w:marLeft w:val="0"/>
      <w:marRight w:val="0"/>
      <w:marTop w:val="0"/>
      <w:marBottom w:val="0"/>
      <w:divBdr>
        <w:top w:val="none" w:sz="0" w:space="0" w:color="auto"/>
        <w:left w:val="none" w:sz="0" w:space="0" w:color="auto"/>
        <w:bottom w:val="none" w:sz="0" w:space="0" w:color="auto"/>
        <w:right w:val="none" w:sz="0" w:space="0" w:color="auto"/>
      </w:divBdr>
    </w:div>
    <w:div w:id="1926645698">
      <w:bodyDiv w:val="1"/>
      <w:marLeft w:val="0"/>
      <w:marRight w:val="0"/>
      <w:marTop w:val="0"/>
      <w:marBottom w:val="0"/>
      <w:divBdr>
        <w:top w:val="none" w:sz="0" w:space="0" w:color="auto"/>
        <w:left w:val="none" w:sz="0" w:space="0" w:color="auto"/>
        <w:bottom w:val="none" w:sz="0" w:space="0" w:color="auto"/>
        <w:right w:val="none" w:sz="0" w:space="0" w:color="auto"/>
      </w:divBdr>
    </w:div>
    <w:div w:id="1945577498">
      <w:bodyDiv w:val="1"/>
      <w:marLeft w:val="0"/>
      <w:marRight w:val="0"/>
      <w:marTop w:val="0"/>
      <w:marBottom w:val="0"/>
      <w:divBdr>
        <w:top w:val="none" w:sz="0" w:space="0" w:color="auto"/>
        <w:left w:val="none" w:sz="0" w:space="0" w:color="auto"/>
        <w:bottom w:val="none" w:sz="0" w:space="0" w:color="auto"/>
        <w:right w:val="none" w:sz="0" w:space="0" w:color="auto"/>
      </w:divBdr>
    </w:div>
    <w:div w:id="1957759313">
      <w:bodyDiv w:val="1"/>
      <w:marLeft w:val="0"/>
      <w:marRight w:val="0"/>
      <w:marTop w:val="0"/>
      <w:marBottom w:val="0"/>
      <w:divBdr>
        <w:top w:val="none" w:sz="0" w:space="0" w:color="auto"/>
        <w:left w:val="none" w:sz="0" w:space="0" w:color="auto"/>
        <w:bottom w:val="none" w:sz="0" w:space="0" w:color="auto"/>
        <w:right w:val="none" w:sz="0" w:space="0" w:color="auto"/>
      </w:divBdr>
      <w:divsChild>
        <w:div w:id="1160460121">
          <w:marLeft w:val="0"/>
          <w:marRight w:val="0"/>
          <w:marTop w:val="0"/>
          <w:marBottom w:val="0"/>
          <w:divBdr>
            <w:top w:val="none" w:sz="0" w:space="0" w:color="auto"/>
            <w:left w:val="none" w:sz="0" w:space="0" w:color="auto"/>
            <w:bottom w:val="none" w:sz="0" w:space="0" w:color="auto"/>
            <w:right w:val="none" w:sz="0" w:space="0" w:color="auto"/>
          </w:divBdr>
        </w:div>
      </w:divsChild>
    </w:div>
    <w:div w:id="2018386316">
      <w:bodyDiv w:val="1"/>
      <w:marLeft w:val="0"/>
      <w:marRight w:val="0"/>
      <w:marTop w:val="0"/>
      <w:marBottom w:val="0"/>
      <w:divBdr>
        <w:top w:val="none" w:sz="0" w:space="0" w:color="auto"/>
        <w:left w:val="none" w:sz="0" w:space="0" w:color="auto"/>
        <w:bottom w:val="none" w:sz="0" w:space="0" w:color="auto"/>
        <w:right w:val="none" w:sz="0" w:space="0" w:color="auto"/>
      </w:divBdr>
    </w:div>
    <w:div w:id="2041203136">
      <w:bodyDiv w:val="1"/>
      <w:marLeft w:val="0"/>
      <w:marRight w:val="0"/>
      <w:marTop w:val="0"/>
      <w:marBottom w:val="0"/>
      <w:divBdr>
        <w:top w:val="none" w:sz="0" w:space="0" w:color="auto"/>
        <w:left w:val="none" w:sz="0" w:space="0" w:color="auto"/>
        <w:bottom w:val="none" w:sz="0" w:space="0" w:color="auto"/>
        <w:right w:val="none" w:sz="0" w:space="0" w:color="auto"/>
      </w:divBdr>
      <w:divsChild>
        <w:div w:id="1191842627">
          <w:marLeft w:val="0"/>
          <w:marRight w:val="0"/>
          <w:marTop w:val="0"/>
          <w:marBottom w:val="0"/>
          <w:divBdr>
            <w:top w:val="none" w:sz="0" w:space="0" w:color="auto"/>
            <w:left w:val="none" w:sz="0" w:space="0" w:color="auto"/>
            <w:bottom w:val="none" w:sz="0" w:space="0" w:color="auto"/>
            <w:right w:val="none" w:sz="0" w:space="0" w:color="auto"/>
          </w:divBdr>
        </w:div>
      </w:divsChild>
    </w:div>
    <w:div w:id="2086101607">
      <w:bodyDiv w:val="1"/>
      <w:marLeft w:val="0"/>
      <w:marRight w:val="0"/>
      <w:marTop w:val="0"/>
      <w:marBottom w:val="0"/>
      <w:divBdr>
        <w:top w:val="none" w:sz="0" w:space="0" w:color="auto"/>
        <w:left w:val="none" w:sz="0" w:space="0" w:color="auto"/>
        <w:bottom w:val="none" w:sz="0" w:space="0" w:color="auto"/>
        <w:right w:val="none" w:sz="0" w:space="0" w:color="auto"/>
      </w:divBdr>
    </w:div>
    <w:div w:id="2093355471">
      <w:bodyDiv w:val="1"/>
      <w:marLeft w:val="0"/>
      <w:marRight w:val="0"/>
      <w:marTop w:val="0"/>
      <w:marBottom w:val="0"/>
      <w:divBdr>
        <w:top w:val="none" w:sz="0" w:space="0" w:color="auto"/>
        <w:left w:val="none" w:sz="0" w:space="0" w:color="auto"/>
        <w:bottom w:val="none" w:sz="0" w:space="0" w:color="auto"/>
        <w:right w:val="none" w:sz="0" w:space="0" w:color="auto"/>
      </w:divBdr>
    </w:div>
    <w:div w:id="2102330392">
      <w:bodyDiv w:val="1"/>
      <w:marLeft w:val="0"/>
      <w:marRight w:val="0"/>
      <w:marTop w:val="0"/>
      <w:marBottom w:val="0"/>
      <w:divBdr>
        <w:top w:val="none" w:sz="0" w:space="0" w:color="auto"/>
        <w:left w:val="none" w:sz="0" w:space="0" w:color="auto"/>
        <w:bottom w:val="none" w:sz="0" w:space="0" w:color="auto"/>
        <w:right w:val="none" w:sz="0" w:space="0" w:color="auto"/>
      </w:divBdr>
    </w:div>
    <w:div w:id="2117283814">
      <w:bodyDiv w:val="1"/>
      <w:marLeft w:val="0"/>
      <w:marRight w:val="0"/>
      <w:marTop w:val="0"/>
      <w:marBottom w:val="0"/>
      <w:divBdr>
        <w:top w:val="none" w:sz="0" w:space="0" w:color="auto"/>
        <w:left w:val="none" w:sz="0" w:space="0" w:color="auto"/>
        <w:bottom w:val="none" w:sz="0" w:space="0" w:color="auto"/>
        <w:right w:val="none" w:sz="0" w:space="0" w:color="auto"/>
      </w:divBdr>
    </w:div>
    <w:div w:id="214284319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2E3680EE573554D94035A4421814AE7" ma:contentTypeVersion="17" ma:contentTypeDescription="Create a new document." ma:contentTypeScope="" ma:versionID="677f1e42a8347fa1a33a1e5bd082a6f0">
  <xsd:schema xmlns:xsd="http://www.w3.org/2001/XMLSchema" xmlns:xs="http://www.w3.org/2001/XMLSchema" xmlns:p="http://schemas.microsoft.com/office/2006/metadata/properties" xmlns:ns3="00f5eb7a-3f09-4ccb-9a17-2c4fa8202c3e" xmlns:ns4="534d57da-ff16-4cef-a6f3-6603b923fb9d" targetNamespace="http://schemas.microsoft.com/office/2006/metadata/properties" ma:root="true" ma:fieldsID="3152a6d693dc4f03211544ef130251e4" ns3:_="" ns4:_="">
    <xsd:import namespace="00f5eb7a-3f09-4ccb-9a17-2c4fa8202c3e"/>
    <xsd:import namespace="534d57da-ff16-4cef-a6f3-6603b923fb9d"/>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MediaLengthInSeconds" minOccurs="0"/>
                <xsd:element ref="ns3:_activity" minOccurs="0"/>
                <xsd:element ref="ns3:MediaServiceObjectDetectorVersions" minOccurs="0"/>
                <xsd:element ref="ns4:SharedWithUsers" minOccurs="0"/>
                <xsd:element ref="ns4:SharedWithDetails" minOccurs="0"/>
                <xsd:element ref="ns4:SharingHintHash"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f5eb7a-3f09-4ccb-9a17-2c4fa8202c3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34d57da-ff16-4cef-a6f3-6603b923fb9d" elementFormDefault="qualified">
    <xsd:import namespace="http://schemas.microsoft.com/office/2006/documentManagement/types"/>
    <xsd:import namespace="http://schemas.microsoft.com/office/infopath/2007/PartnerControls"/>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element name="SharingHintHash" ma:index="2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dndu53wYGt6HnkXDpKDmMCu/43A==">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</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_activity xmlns="00f5eb7a-3f09-4ccb-9a17-2c4fa8202c3e"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C8490E-D3BA-4C03-B8F3-1DA315608BF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f5eb7a-3f09-4ccb-9a17-2c4fa8202c3e"/>
    <ds:schemaRef ds:uri="534d57da-ff16-4cef-a6f3-6603b923fb9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C00E788-F0BC-46FB-A07D-C58627BA0AFE}">
  <ds:schemaRefs>
    <ds:schemaRef ds:uri="http://schemas.microsoft.com/office/2006/metadata/properties"/>
    <ds:schemaRef ds:uri="http://schemas.microsoft.com/office/infopath/2007/PartnerControls"/>
    <ds:schemaRef ds:uri="00f5eb7a-3f09-4ccb-9a17-2c4fa8202c3e"/>
  </ds:schemaRefs>
</ds:datastoreItem>
</file>

<file path=customXml/itemProps4.xml><?xml version="1.0" encoding="utf-8"?>
<ds:datastoreItem xmlns:ds="http://schemas.openxmlformats.org/officeDocument/2006/customXml" ds:itemID="{337A23CE-E10A-4043-BC60-ADD821B08A35}">
  <ds:schemaRefs>
    <ds:schemaRef ds:uri="http://schemas.microsoft.com/sharepoint/v3/contenttype/forms"/>
  </ds:schemaRefs>
</ds:datastoreItem>
</file>

<file path=customXml/itemProps5.xml><?xml version="1.0" encoding="utf-8"?>
<ds:datastoreItem xmlns:ds="http://schemas.openxmlformats.org/officeDocument/2006/customXml" ds:itemID="{DF6F51F4-5859-44B7-B20A-7EB4E41618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1246</TotalTime>
  <Pages>31</Pages>
  <Words>67137</Words>
  <Characters>283319</Characters>
  <Application>Microsoft Office Word</Application>
  <DocSecurity>0</DocSecurity>
  <Lines>47219</Lines>
  <Paragraphs>23363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Jong-Hoon Kim</dc:creator>
  <cp:keywords/>
  <dc:description/>
  <cp:lastModifiedBy>Jong-Hoon Kim</cp:lastModifiedBy>
  <cp:revision>46</cp:revision>
  <cp:lastPrinted>2025-10-31T08:08:00Z</cp:lastPrinted>
  <dcterms:created xsi:type="dcterms:W3CDTF">2025-10-30T02:57:00Z</dcterms:created>
  <dcterms:modified xsi:type="dcterms:W3CDTF">2025-10-31T22:40:00Z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zotero-version="7.0.16"&gt;&lt;session id="ybNQHeeS"/&gt;&lt;style id="http://www.zotero.org/styles/vancouver-superscript" locale="en-CA" hasBibliography="1" bibliographyStyleHasBeenSet="1"/&gt;&lt;prefs&gt;&lt;pref name="fieldType" value="Field"/&gt;&lt;pref na</vt:lpwstr>
  </property>
  <property fmtid="{D5CDD505-2E9C-101B-9397-08002B2CF9AE}" pid="3" name="ZOTERO_PREF_2">
    <vt:lpwstr>me="automaticJournalAbbreviations" value="true"/&gt;&lt;/prefs&gt;&lt;/data&gt;</vt:lpwstr>
  </property>
  <property fmtid="{D5CDD505-2E9C-101B-9397-08002B2CF9AE}" pid="4" name="ContentTypeId">
    <vt:lpwstr>0x010100A2E3680EE573554D94035A4421814AE7</vt:lpwstr>
  </property>
  <property fmtid="{D5CDD505-2E9C-101B-9397-08002B2CF9AE}" pid="5" name="_activity">
    <vt:lpwstr/>
  </property>
</Properties>
</file>