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w:t>
      </w:r>
      <w:r w:rsidR="00CF1AE9">
        <w:t>hen</w:t>
      </w:r>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5CB4C517"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492FC8">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492FC8">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492FC8">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492FC8">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492FC8">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(WaSH),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40CF5897" w:rsidR="003A111A" w:rsidRPr="00097432" w:rsidRDefault="003A111A" w:rsidP="00F57F15">
      <w:r w:rsidRPr="00097432">
        <w:t>Sustainable access to adequate WaSH,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492FC8">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9EF71CB"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492FC8">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492FC8">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492FC8">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1A3FF534"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492FC8">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492FC8">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492FC8">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lang w:val="en-US"/>
        </w:rPr>
        <w:instrText> </w:instrText>
      </w:r>
      <w:r w:rsidR="00492FC8">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492FC8">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492FC8">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10D187AF"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492FC8" w:rsidRPr="00492FC8">
        <w:rPr>
          <w:highlight w:val="yellow"/>
        </w:rPr>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Pr>
          <w:highlight w:val="yellow"/>
        </w:rPr>
        <w:fldChar w:fldCharType="begin"/>
      </w:r>
      <w:r w:rsidR="00492FC8">
        <w:rPr>
          <w:highlight w:val="yellow"/>
        </w:rPr>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Pr>
          <w:highlight w:val="yellow"/>
        </w:rPr>
        <w:fldChar w:fldCharType="separate"/>
      </w:r>
      <w:r w:rsidR="00492FC8" w:rsidRPr="00492FC8">
        <w:rPr>
          <w:rFonts w:cs="Times New Roman"/>
          <w:vertAlign w:val="superscript"/>
        </w:rPr>
        <w:t>35</w:t>
      </w:r>
      <w:r w:rsidR="00492FC8">
        <w:rPr>
          <w:highlight w:val="yellow"/>
        </w:rPr>
        <w:fldChar w:fldCharType="end"/>
      </w:r>
      <w:r w:rsidR="00492FC8" w:rsidRPr="00492FC8">
        <w:rPr>
          <w:highlight w:val="yellow"/>
        </w:rPr>
        <w:t xml:space="preserve"> The sensitivity of this assumption was subsequently assessed.</w:t>
      </w:r>
      <w:r w:rsidR="00492FC8">
        <w:rPr>
          <w:rFonts w:hint="eastAsia"/>
        </w:rPr>
        <w:t xml:space="preserve"> </w:t>
      </w:r>
      <w:r w:rsidR="00B83072">
        <w:rPr>
          <w:rFonts w:hint="eastAsia"/>
        </w:rPr>
        <w:t xml:space="preserve">ORIs </w:t>
      </w:r>
      <w:r w:rsidR="008E6CE0" w:rsidRPr="00097432">
        <w:rPr>
          <w:rFonts w:hint="eastAsia"/>
        </w:rPr>
        <w:t>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ended</w:t>
      </w:r>
      <w:r w:rsidR="003A519B" w:rsidRPr="00097432">
        <w:rPr>
          <w:rFonts w:hint="eastAsia"/>
        </w:rPr>
        <w:t>, ye</w:t>
      </w:r>
      <w:r w:rsidR="008E4AD4" w:rsidRPr="00097432">
        <w:rPr>
          <w:rFonts w:hint="eastAsia"/>
        </w:rPr>
        <w:t>t</w:t>
      </w:r>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14EC658A"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492FC8">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492FC8" w:rsidRPr="00492FC8">
        <w:rPr>
          <w:rFonts w:cs="Times New Roman"/>
          <w:vertAlign w:val="superscript"/>
        </w:rPr>
        <w:t>36</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67D8A87B"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492FC8">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492FC8" w:rsidRPr="00492FC8">
        <w:rPr>
          <w:rFonts w:cs="Times New Roman"/>
          <w:vertAlign w:val="superscript"/>
        </w:rPr>
        <w:t>11,37</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w:t>
      </w:r>
      <w:r w:rsidR="007B6AC6" w:rsidRPr="00097432">
        <w:lastRenderedPageBreak/>
        <w:t xml:space="preserve">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723407B4"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492FC8">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492FC8" w:rsidRPr="00492FC8">
        <w:rPr>
          <w:rFonts w:cs="Times New Roman"/>
          <w:vertAlign w:val="superscript"/>
        </w:rPr>
        <w:t>38</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492FC8">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492FC8" w:rsidRPr="00492FC8">
        <w:rPr>
          <w:rFonts w:cs="Times New Roman"/>
          <w:vertAlign w:val="superscript"/>
        </w:rPr>
        <w:t>39</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097432" w:rsidRDefault="009E0F60" w:rsidP="002914FA">
            <w:pPr>
              <w:spacing w:line="240" w:lineRule="auto"/>
            </w:pPr>
            <w:r w:rsidRPr="00097432">
              <w:fldChar w:fldCharType="begin"/>
            </w:r>
            <w:r w:rsidR="00492FC8">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rPr>
              <w:instrText> </w:instrText>
            </w:r>
            <w:r w:rsidR="00492FC8">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097432" w:rsidRDefault="00095C04" w:rsidP="002914FA">
            <w:pPr>
              <w:spacing w:line="240" w:lineRule="auto"/>
            </w:pPr>
            <w:r w:rsidRPr="00097432">
              <w:fldChar w:fldCharType="begin"/>
            </w:r>
            <w:r w:rsidR="00492FC8">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rPr>
              <w:instrText>≥</w:instrText>
            </w:r>
            <w:r w:rsidR="00492FC8">
              <w:rPr>
                <w:rFonts w:hint="eastAsia"/>
              </w:rPr>
              <w:instrText>80) for both Inaba (p = 0.02) and Ogawa (p</w:instrText>
            </w:r>
            <w:r w:rsidR="00492FC8">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rPr>
              <w:instrText>une responses after administration of Shanchol, in 25 adults, 51 older children (6-17 years), and 47 younger children (1-5 years) in Haiti, where cholera was introduced in 2010. A</w:instrText>
            </w:r>
            <w:r w:rsidR="00492FC8">
              <w:rPr>
                <w:rFonts w:hint="eastAsia"/>
              </w:rPr>
              <w:instrText>≥</w:instrText>
            </w:r>
            <w:r w:rsidR="00492FC8">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rPr>
              <w:instrText>≥</w:instrText>
            </w:r>
            <w:r w:rsidR="00492FC8">
              <w:rPr>
                <w:rFonts w:hint="eastAsia"/>
              </w:rPr>
              <w:instrText>2-fold increase in serum O-antigen specific polysaccharide IgA antibody levels aga</w:instrText>
            </w:r>
            <w:r w:rsidR="00492FC8">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rPr>
              <w:instrText>iority, age-descending clinical trial of OCV (Hillchol vs. Shanchol) in the Mirpur area of Dhaka city from July 2016 to May 2017. This study was carried out in three different age cohorts (1-&lt;5, 5-17 and </w:instrText>
            </w:r>
            <w:r w:rsidR="00492FC8">
              <w:rPr>
                <w:rFonts w:hint="eastAsia"/>
              </w:rPr>
              <w:instrText>≥</w:instrText>
            </w:r>
            <w:r w:rsidR="00492FC8">
              <w:rPr>
                <w:rFonts w:hint="eastAsia"/>
              </w:rPr>
              <w:instrText xml:space="preserve">18 years old). Two doses of vaccine were given at </w:instrText>
            </w:r>
            <w:r w:rsidR="00492FC8">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492FC8" w:rsidRPr="00492FC8">
              <w:rPr>
                <w:rFonts w:cs="Times New Roman"/>
                <w:vertAlign w:val="superscript"/>
              </w:rPr>
              <w:t>40–48</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lastRenderedPageBreak/>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097432" w:rsidRDefault="00A137EB" w:rsidP="002914FA">
            <w:pPr>
              <w:spacing w:line="240" w:lineRule="auto"/>
            </w:pPr>
            <w:r w:rsidRPr="00097432">
              <w:fldChar w:fldCharType="begin"/>
            </w:r>
            <w:r w:rsidR="00492FC8">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492FC8" w:rsidRPr="00492FC8">
              <w:rPr>
                <w:rFonts w:cs="Times New Roman"/>
                <w:vertAlign w:val="superscript"/>
              </w:rPr>
              <w:t>49</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097432" w:rsidRDefault="009E0F60" w:rsidP="002914FA">
            <w:pPr>
              <w:spacing w:line="240" w:lineRule="auto"/>
              <w:rPr>
                <w:b/>
              </w:rPr>
            </w:pPr>
            <w:r w:rsidRPr="00097432">
              <w:fldChar w:fldCharType="begin"/>
            </w:r>
            <w:r w:rsidR="00492FC8">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Pr>
                <w:rFonts w:ascii="Arial" w:hAnsi="Arial"/>
              </w:rPr>
              <w:instrText> </w:instrText>
            </w:r>
            <w:r w:rsidR="00492FC8">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Pr>
                <w:rFonts w:ascii="Arial" w:hAnsi="Arial"/>
              </w:rPr>
              <w:instrText> </w:instrText>
            </w:r>
            <w:r w:rsidR="00492FC8">
              <w:instrText>000 in males vs s1400 [1279-1524] per 100</w:instrText>
            </w:r>
            <w:r w:rsidR="00492FC8">
              <w:rPr>
                <w:rFonts w:ascii="Arial" w:hAnsi="Arial"/>
              </w:rPr>
              <w:instrText> </w:instrText>
            </w:r>
            <w:r w:rsidR="00492FC8">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492FC8" w:rsidRPr="00492FC8">
              <w:rPr>
                <w:rFonts w:cs="Times New Roman"/>
                <w:vertAlign w:val="superscript"/>
              </w:rPr>
              <w:t>50</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097432" w:rsidRDefault="009E0F60" w:rsidP="002914FA">
            <w:pPr>
              <w:spacing w:line="240" w:lineRule="auto"/>
            </w:pPr>
            <w:r w:rsidRPr="00097432">
              <w:fldChar w:fldCharType="begin"/>
            </w:r>
            <w:r w:rsidR="00492FC8">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492FC8" w:rsidRPr="00492FC8">
              <w:rPr>
                <w:rFonts w:cs="Times New Roman"/>
                <w:vertAlign w:val="superscript"/>
              </w:rPr>
              <w:t>51</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097432" w:rsidRDefault="009E0F60" w:rsidP="002914FA">
            <w:pPr>
              <w:spacing w:line="240" w:lineRule="auto"/>
            </w:pPr>
            <w:r w:rsidRPr="00097432">
              <w:fldChar w:fldCharType="begin"/>
            </w:r>
            <w:r w:rsidR="00492FC8">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492FC8" w:rsidRPr="00492FC8">
              <w:rPr>
                <w:rFonts w:cs="Times New Roman"/>
                <w:vertAlign w:val="superscript"/>
              </w:rPr>
              <w:t>52</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097432" w:rsidRDefault="009E0F60" w:rsidP="002914FA">
            <w:pPr>
              <w:spacing w:line="240" w:lineRule="auto"/>
            </w:pPr>
            <w:r w:rsidRPr="00097432">
              <w:fldChar w:fldCharType="begin"/>
            </w:r>
            <w:r w:rsidR="00492FC8">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492FC8" w:rsidRPr="00492FC8">
              <w:rPr>
                <w:rFonts w:cs="Times New Roman"/>
                <w:vertAlign w:val="superscript"/>
              </w:rPr>
              <w:t>53</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097432" w:rsidRDefault="009E0F60" w:rsidP="002914FA">
            <w:pPr>
              <w:spacing w:line="240" w:lineRule="auto"/>
            </w:pPr>
            <w:r w:rsidRPr="00097432">
              <w:fldChar w:fldCharType="begin"/>
            </w:r>
            <w:r w:rsidR="00492FC8">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097432" w:rsidRDefault="009E0F60" w:rsidP="002914FA">
            <w:pPr>
              <w:spacing w:line="240" w:lineRule="auto"/>
            </w:pPr>
            <w:r w:rsidRPr="00097432">
              <w:fldChar w:fldCharType="begin"/>
            </w:r>
            <w:r w:rsidR="00492FC8">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097432" w:rsidRDefault="00426D3F" w:rsidP="002914FA">
            <w:pPr>
              <w:spacing w:line="240" w:lineRule="auto"/>
            </w:pPr>
            <w:r w:rsidRPr="00097432">
              <w:fldChar w:fldCharType="begin"/>
            </w:r>
            <w:r w:rsidR="00492FC8">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492FC8" w:rsidRPr="00492FC8">
              <w:rPr>
                <w:rFonts w:cs="Times New Roman"/>
                <w:vertAlign w:val="superscript"/>
              </w:rPr>
              <w:t>55–58</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097432" w:rsidRDefault="00435373" w:rsidP="002914FA">
            <w:pPr>
              <w:spacing w:line="240" w:lineRule="auto"/>
            </w:pPr>
            <w:r w:rsidRPr="00097432">
              <w:fldChar w:fldCharType="begin"/>
            </w:r>
            <w:r w:rsidR="00492FC8">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492FC8" w:rsidRPr="00492FC8">
              <w:rPr>
                <w:rFonts w:cs="Times New Roman"/>
                <w:vertAlign w:val="superscript"/>
              </w:rPr>
              <w:t>59–61</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097432" w:rsidRDefault="006B138A" w:rsidP="002914FA">
            <w:pPr>
              <w:spacing w:line="240" w:lineRule="auto"/>
              <w:rPr>
                <w:lang w:val="en-US"/>
              </w:rPr>
            </w:pPr>
            <w:r w:rsidRPr="00097432">
              <w:rPr>
                <w:lang w:val="en-US"/>
              </w:rPr>
              <w:fldChar w:fldCharType="begin"/>
            </w:r>
            <w:r w:rsidR="00492FC8">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492FC8" w:rsidRPr="00492FC8">
              <w:rPr>
                <w:rFonts w:cs="Times New Roman"/>
                <w:vertAlign w:val="superscript"/>
              </w:rPr>
              <w:t>62</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097432" w:rsidRDefault="009E0F60" w:rsidP="002914FA">
            <w:pPr>
              <w:spacing w:line="240" w:lineRule="auto"/>
            </w:pPr>
            <w:r w:rsidRPr="00097432">
              <w:fldChar w:fldCharType="begin"/>
            </w:r>
            <w:r w:rsidR="00492FC8">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097432" w:rsidRDefault="009E0F60" w:rsidP="002914FA">
            <w:pPr>
              <w:spacing w:line="240" w:lineRule="auto"/>
            </w:pPr>
            <w:r w:rsidRPr="00097432">
              <w:fldChar w:fldCharType="begin"/>
            </w:r>
            <w:r w:rsidR="00492FC8">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097432" w:rsidRDefault="009E0F60" w:rsidP="002914FA">
            <w:pPr>
              <w:spacing w:line="240" w:lineRule="auto"/>
            </w:pPr>
            <w:r w:rsidRPr="00097432">
              <w:fldChar w:fldCharType="begin"/>
            </w:r>
            <w:r w:rsidR="00492FC8">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492FC8" w:rsidRPr="00492FC8">
              <w:rPr>
                <w:rFonts w:cs="Times New Roman"/>
                <w:vertAlign w:val="superscript"/>
              </w:rPr>
              <w:t>64</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097432" w:rsidRDefault="009E0F60" w:rsidP="002914FA">
            <w:pPr>
              <w:spacing w:line="240" w:lineRule="auto"/>
            </w:pPr>
            <w:r w:rsidRPr="00097432">
              <w:fldChar w:fldCharType="begin"/>
            </w:r>
            <w:r w:rsidR="00492FC8">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492FC8" w:rsidRPr="00492FC8">
              <w:rPr>
                <w:rFonts w:cs="Times New Roman"/>
                <w:vertAlign w:val="superscript"/>
              </w:rPr>
              <w:t>65</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lastRenderedPageBreak/>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r w:rsidR="00EB360C" w:rsidRPr="00097432">
        <w:rPr>
          <w:rFonts w:hint="eastAsia"/>
        </w:rPr>
        <w:t xml:space="preserve">in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7E406806"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492FC8">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492FC8" w:rsidRPr="00492FC8">
        <w:rPr>
          <w:rFonts w:cs="Times New Roman"/>
          <w:vertAlign w:val="superscript"/>
        </w:rPr>
        <w:t>66</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492FC8">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492FC8" w:rsidRPr="00492FC8">
        <w:rPr>
          <w:rFonts w:cs="Times New Roman"/>
          <w:vertAlign w:val="superscript"/>
        </w:rPr>
        <w:t>67</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492FC8">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w:instrText>
      </w:r>
      <w:r w:rsidR="00492FC8">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vertAlign w:val="superscript"/>
        </w:rPr>
        <w:instrText>une responses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w:instrText>
      </w:r>
      <w:r w:rsidR="00492FC8">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Pr>
          <w:rFonts w:hint="eastAsia"/>
          <w:vertAlign w:val="superscript"/>
        </w:rPr>
        <w:instrText>≥</w:instrText>
      </w:r>
      <w:r w:rsidR="00492FC8">
        <w:rPr>
          <w:rFonts w:hint="eastAsia"/>
          <w:vertAlign w:val="superscript"/>
        </w:rPr>
        <w:instrText xml:space="preserve">18 years old). Two doses of vaccine were given at </w:instrText>
      </w:r>
      <w:r w:rsidR="00492FC8">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40–48</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492FC8">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Pr>
          <w:rFonts w:hint="eastAsia"/>
          <w:vertAlign w:val="superscript"/>
        </w:rPr>
        <w:instrText xml:space="preserve">)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(p&lt;0.0001). From a baseline of 13.58, anti-Ogawa GMT increased to 21.95 after th</w:instrText>
      </w:r>
      <w:r w:rsidR="00492FC8">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Pr>
          <w:rFonts w:hint="eastAsia"/>
          <w:vertAlign w:val="superscript"/>
        </w:rPr>
        <w:instrText>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against V.</w:instrText>
      </w:r>
      <w:r w:rsidR="00492FC8">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40,42–45</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Targeted the entire population of the affected administrative area. Coverage ranged from 60% to 90% in 5% increments. Main text presents results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lastRenderedPageBreak/>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 xml:space="preserve">(i)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1–20 week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3B012C35"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492FC8">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492FC8" w:rsidRPr="00492FC8">
        <w:rPr>
          <w:rFonts w:cs="Times New Roman"/>
          <w:vertAlign w:val="superscript"/>
        </w:rPr>
        <w:t>68–70</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lastRenderedPageBreak/>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r w:rsidR="002837D3">
        <w:rPr>
          <w:rFonts w:hint="eastAsia"/>
        </w:rPr>
        <w:t xml:space="preserve">in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05BAEF00"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By week 9, these medians fell to 26, 28, and 30, and the median percent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0B1D35">
        <w:rPr>
          <w:rFonts w:hint="eastAsia"/>
          <w:highlight w:val="yellow"/>
          <w:lang w:val="en-US"/>
        </w:rPr>
        <w:t xml:space="preserve">i.e., median reduction rate of </w:t>
      </w:r>
      <w:r w:rsidR="000B1D35" w:rsidRPr="000B1D35">
        <w:rPr>
          <w:lang w:val="en-US"/>
        </w:rPr>
        <w:t>0.193</w:t>
      </w:r>
      <w:r w:rsidR="000B1D35">
        <w:rPr>
          <w:rFonts w:hint="eastAsia"/>
          <w:lang w:val="en-US"/>
        </w:rPr>
        <w:t xml:space="preserve"> </w:t>
      </w:r>
      <w:r w:rsidR="000B1D35">
        <w:rPr>
          <w:rFonts w:hint="eastAsia"/>
          <w:highlight w:val="yellow"/>
          <w:lang w:val="en-US"/>
        </w:rPr>
        <w:t>compared to 0.166 per week)</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 xml:space="preserve">Delay also causes some outbreaks to be missed </w:t>
      </w:r>
      <w:r w:rsidR="00BB369F" w:rsidRPr="00BB369F">
        <w:rPr>
          <w:highlight w:val="yellow"/>
          <w:lang w:val="en-US"/>
        </w:rPr>
        <w:lastRenderedPageBreak/>
        <w:t>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5.4% of outbreaks were missed per week of delay; by week 9, ~26.6% of potential ORIs would be missed.</w:t>
      </w:r>
      <w:r w:rsidR="00807D15">
        <w:rPr>
          <w:lang w:val="en-US"/>
        </w:rPr>
        <w:t xml:space="preserve"> </w:t>
      </w:r>
      <w:r w:rsidR="000B1D35">
        <w:rPr>
          <w:rFonts w:hint="eastAsia"/>
          <w:lang w:val="en-US"/>
        </w:rPr>
        <w:t xml:space="preserve"> </w:t>
      </w:r>
    </w:p>
    <w:p w14:paraId="1731E32B" w14:textId="77777777" w:rsidR="00C840BE" w:rsidRDefault="00C840BE" w:rsidP="00F97ADD">
      <w:pPr>
        <w:rPr>
          <w:lang w:val="en-US"/>
        </w:rPr>
      </w:pPr>
    </w:p>
    <w:p w14:paraId="7710AE1C" w14:textId="5859388E" w:rsidR="000B1D35" w:rsidRDefault="00D06980" w:rsidP="000275CA">
      <w:pPr>
        <w:rPr>
          <w:highlight w:val="yellow"/>
        </w:rPr>
      </w:pPr>
      <w:r w:rsidRPr="000B1D35">
        <w:rPr>
          <w:rFonts w:hint="eastAsia"/>
          <w:highlight w:val="yellow"/>
        </w:rPr>
        <w:t>Impact of vaccine vari</w:t>
      </w:r>
      <w:r w:rsidR="00807D15" w:rsidRPr="000B1D35">
        <w:rPr>
          <w:highlight w:val="yellow"/>
        </w:rPr>
        <w:t>ed</w:t>
      </w:r>
      <w:r w:rsidRPr="000B1D35">
        <w:rPr>
          <w:rFonts w:hint="eastAsia"/>
          <w:highlight w:val="yellow"/>
        </w:rPr>
        <w:t xml:space="preserve"> by epidemiological characteristics of outbreaks</w:t>
      </w:r>
      <w:r w:rsidR="00807D15" w:rsidRPr="000B1D35">
        <w:rPr>
          <w:highlight w:val="yellow"/>
        </w:rPr>
        <w:t xml:space="preserve"> and different metrics were influenced to different extents. </w:t>
      </w:r>
      <w:r w:rsidR="00360C77" w:rsidRPr="000B1D35">
        <w:rPr>
          <w:highlight w:val="yellow"/>
        </w:rPr>
        <w:t>Prioritizing larger outbreaks produced the largest gains in t</w:t>
      </w:r>
      <w:r w:rsidR="00807D15" w:rsidRPr="000B1D35">
        <w:rPr>
          <w:highlight w:val="yellow"/>
        </w:rPr>
        <w:t>he number of c</w:t>
      </w:r>
      <w:r w:rsidRPr="000B1D35">
        <w:rPr>
          <w:rFonts w:hint="eastAsia"/>
          <w:highlight w:val="yellow"/>
        </w:rPr>
        <w:t xml:space="preserve">ases averted per ORI </w:t>
      </w:r>
      <w:r w:rsidR="00807D15" w:rsidRPr="000B1D35">
        <w:rPr>
          <w:highlight w:val="yellow"/>
        </w:rPr>
        <w:t>(</w:t>
      </w:r>
      <w:r w:rsidR="00807D15" w:rsidRPr="000B1D35">
        <w:rPr>
          <w:b/>
          <w:bCs/>
          <w:highlight w:val="yellow"/>
        </w:rPr>
        <w:t>Figure 3D; Figure S</w:t>
      </w:r>
      <w:r w:rsidR="000B1D35" w:rsidRPr="000B1D35">
        <w:rPr>
          <w:rFonts w:hint="eastAsia"/>
          <w:b/>
          <w:bCs/>
          <w:highlight w:val="yellow"/>
        </w:rPr>
        <w:t>3</w:t>
      </w:r>
      <w:r w:rsidR="00807D15" w:rsidRPr="000B1D35">
        <w:rPr>
          <w:b/>
          <w:bCs/>
          <w:highlight w:val="yellow"/>
        </w:rPr>
        <w:t xml:space="preserve"> </w:t>
      </w:r>
      <w:r w:rsidR="00807D15" w:rsidRPr="000B1D35">
        <w:rPr>
          <w:highlight w:val="yellow"/>
        </w:rPr>
        <w:t xml:space="preserve">in the </w:t>
      </w:r>
      <w:r w:rsidR="00807D15" w:rsidRPr="000B1D35">
        <w:rPr>
          <w:b/>
          <w:bCs/>
          <w:highlight w:val="yellow"/>
        </w:rPr>
        <w:t>Supplement</w:t>
      </w:r>
      <w:r w:rsidR="00807D15" w:rsidRPr="000B1D35">
        <w:rPr>
          <w:highlight w:val="yellow"/>
        </w:rPr>
        <w:t>)</w:t>
      </w:r>
      <w:r w:rsidR="00360C77" w:rsidRPr="000B1D35">
        <w:rPr>
          <w:highlight w:val="yellow"/>
        </w:rPr>
        <w:t xml:space="preserve"> whereas prioritizing high attack rate outbreaks </w:t>
      </w:r>
      <w:r w:rsidR="00606A65" w:rsidRPr="000B1D35">
        <w:rPr>
          <w:highlight w:val="yellow"/>
        </w:rPr>
        <w:t>produced the largest gains in v</w:t>
      </w:r>
      <w:r w:rsidR="003C5C26" w:rsidRPr="000B1D35">
        <w:rPr>
          <w:highlight w:val="yellow"/>
        </w:rPr>
        <w:t>accine efficiency—measured as cases</w:t>
      </w:r>
      <w:r w:rsidR="00807D15" w:rsidRPr="000B1D35">
        <w:rPr>
          <w:highlight w:val="yellow"/>
        </w:rPr>
        <w:t xml:space="preserve"> or DALYs</w:t>
      </w:r>
      <w:r w:rsidR="003C5C26" w:rsidRPr="000B1D35">
        <w:rPr>
          <w:highlight w:val="yellow"/>
        </w:rPr>
        <w:t xml:space="preserve"> averted per 1,000 OCV dose</w:t>
      </w:r>
      <w:r w:rsidR="00606A65" w:rsidRPr="000B1D35">
        <w:rPr>
          <w:highlight w:val="yellow"/>
        </w:rPr>
        <w:t>s</w:t>
      </w:r>
      <w:r w:rsidR="008E19DF">
        <w:rPr>
          <w:rFonts w:hint="eastAsia"/>
          <w:highlight w:val="yellow"/>
        </w:rPr>
        <w:t xml:space="preserve"> or people as a single-dose regimen</w:t>
      </w:r>
      <w:r w:rsidR="00807D15" w:rsidRPr="000B1D35">
        <w:rPr>
          <w:highlight w:val="yellow"/>
        </w:rPr>
        <w:t xml:space="preserve"> </w:t>
      </w:r>
      <w:r w:rsidR="003C5C26" w:rsidRPr="000B1D35">
        <w:rPr>
          <w:highlight w:val="yellow"/>
        </w:rPr>
        <w:t>(</w:t>
      </w:r>
      <w:r w:rsidR="003C5C26" w:rsidRPr="000B1D35">
        <w:rPr>
          <w:b/>
          <w:bCs/>
          <w:highlight w:val="yellow"/>
        </w:rPr>
        <w:t>Figure</w:t>
      </w:r>
      <w:r w:rsidR="003C5C26" w:rsidRPr="000B1D35">
        <w:rPr>
          <w:rFonts w:hint="eastAsia"/>
          <w:b/>
          <w:bCs/>
          <w:highlight w:val="yellow"/>
        </w:rPr>
        <w:t>s</w:t>
      </w:r>
      <w:r w:rsidR="003C5C26" w:rsidRPr="000B1D35">
        <w:rPr>
          <w:b/>
          <w:bCs/>
          <w:highlight w:val="yellow"/>
        </w:rPr>
        <w:t xml:space="preserve"> 3</w:t>
      </w:r>
      <w:r w:rsidR="00807D15" w:rsidRPr="000B1D35">
        <w:rPr>
          <w:b/>
          <w:bCs/>
          <w:highlight w:val="yellow"/>
        </w:rPr>
        <w:t>E</w:t>
      </w:r>
      <w:r w:rsidR="003C5C26" w:rsidRPr="000B1D35">
        <w:rPr>
          <w:b/>
          <w:bCs/>
          <w:highlight w:val="yellow"/>
        </w:rPr>
        <w:t>–F</w:t>
      </w:r>
      <w:r w:rsidR="003C5C26" w:rsidRPr="000B1D35">
        <w:rPr>
          <w:highlight w:val="yellow"/>
        </w:rPr>
        <w:t>).</w:t>
      </w:r>
      <w:r w:rsidR="00606A65" w:rsidRPr="000B1D35">
        <w:rPr>
          <w:highlight w:val="yellow"/>
        </w:rPr>
        <w:t xml:space="preserve"> </w:t>
      </w:r>
      <w:r w:rsidR="00606A65">
        <w:rPr>
          <w:highlight w:val="yellow"/>
        </w:rPr>
        <w:t>Targeting</w:t>
      </w:r>
      <w:r w:rsidR="008E19DF">
        <w:rPr>
          <w:rFonts w:hint="eastAsia"/>
          <w:highlight w:val="yellow"/>
        </w:rPr>
        <w:t xml:space="preserve"> </w:t>
      </w:r>
      <w:r w:rsidR="00606A65">
        <w:rPr>
          <w:highlight w:val="yellow"/>
        </w:rPr>
        <w:t>top 10% of outbreaks</w:t>
      </w:r>
      <w:r w:rsidR="008E19DF">
        <w:rPr>
          <w:rFonts w:hint="eastAsia"/>
          <w:highlight w:val="yellow"/>
        </w:rPr>
        <w:t xml:space="preserve"> by outbreak size increased the median to </w:t>
      </w:r>
      <w:r w:rsidR="008E19DF">
        <w:rPr>
          <w:rFonts w:hint="eastAsia"/>
          <w:highlight w:val="yellow"/>
          <w:lang w:val="en-US"/>
        </w:rPr>
        <w:t xml:space="preserve">691 case </w:t>
      </w:r>
      <w:r w:rsidR="008E19DF">
        <w:rPr>
          <w:highlight w:val="yellow"/>
          <w:lang w:val="en-US"/>
        </w:rPr>
        <w:t>compared</w:t>
      </w:r>
      <w:r w:rsidR="008E19DF">
        <w:rPr>
          <w:rFonts w:hint="eastAsia"/>
          <w:highlight w:val="yellow"/>
          <w:lang w:val="en-US"/>
        </w:rPr>
        <w:t xml:space="preserve"> to </w:t>
      </w:r>
      <w:r w:rsidR="008E19DF" w:rsidRPr="008E19DF">
        <w:rPr>
          <w:highlight w:val="yellow"/>
          <w:lang w:val="en-US"/>
        </w:rPr>
        <w:t>21.8</w:t>
      </w:r>
      <w:r w:rsidR="008E19DF">
        <w:rPr>
          <w:rFonts w:hint="eastAsia"/>
          <w:highlight w:val="yellow"/>
          <w:lang w:val="en-US"/>
        </w:rPr>
        <w:t xml:space="preserve"> cases when randomly </w:t>
      </w:r>
      <w:r w:rsidR="008E19DF">
        <w:rPr>
          <w:highlight w:val="yellow"/>
          <w:lang w:val="en-US"/>
        </w:rPr>
        <w:t>targeted</w:t>
      </w:r>
      <w:r w:rsidR="008E19DF">
        <w:rPr>
          <w:rFonts w:hint="eastAsia"/>
          <w:highlight w:val="yellow"/>
          <w:lang w:val="en-US"/>
        </w:rPr>
        <w:t xml:space="preserve"> with 9 week delay in ORI implementation. This value increases to</w:t>
      </w:r>
      <w:r w:rsidR="008E19DF" w:rsidRPr="008E19DF">
        <w:rPr>
          <w:rFonts w:hint="eastAsia"/>
          <w:highlight w:val="yellow"/>
          <w:lang w:val="en-US"/>
        </w:rPr>
        <w:t xml:space="preserve"> </w:t>
      </w:r>
      <w:r w:rsidR="008E19DF" w:rsidRPr="008E19DF">
        <w:rPr>
          <w:highlight w:val="yellow"/>
          <w:lang w:val="en-US"/>
        </w:rPr>
        <w:t>1</w:t>
      </w:r>
      <w:r w:rsidR="008E19DF" w:rsidRPr="008E19DF">
        <w:rPr>
          <w:rFonts w:hint="eastAsia"/>
          <w:highlight w:val="yellow"/>
          <w:lang w:val="en-US"/>
        </w:rPr>
        <w:t>,</w:t>
      </w:r>
      <w:r w:rsidR="008E19DF" w:rsidRPr="008E19DF">
        <w:rPr>
          <w:highlight w:val="yellow"/>
          <w:lang w:val="en-US"/>
        </w:rPr>
        <w:t>725</w:t>
      </w:r>
      <w:r w:rsidR="008E19DF" w:rsidRPr="008E19DF">
        <w:rPr>
          <w:rFonts w:hint="eastAsia"/>
          <w:highlight w:val="yellow"/>
          <w:lang w:val="en-US"/>
        </w:rPr>
        <w:t xml:space="preserve"> cases if ORI could be implemented in the first week.</w:t>
      </w:r>
      <w:r w:rsidR="008E19DF">
        <w:rPr>
          <w:rFonts w:hint="eastAsia"/>
          <w:lang w:val="en-US"/>
        </w:rPr>
        <w:t xml:space="preserve"> </w:t>
      </w:r>
      <w:r w:rsidR="003C5C26" w:rsidRPr="003C5C26">
        <w:rPr>
          <w:highlight w:val="yellow"/>
        </w:rPr>
        <w:t xml:space="preserve">Prioritizing </w:t>
      </w:r>
      <w:r w:rsidR="000B1D35">
        <w:rPr>
          <w:rFonts w:hint="eastAsia"/>
          <w:highlight w:val="yellow"/>
        </w:rPr>
        <w:t xml:space="preserve">top 10 % of outbreak regarding </w:t>
      </w:r>
      <w:r w:rsidR="003C5C26" w:rsidRPr="003C5C26">
        <w:rPr>
          <w:highlight w:val="yellow"/>
        </w:rPr>
        <w:t>attack</w:t>
      </w:r>
      <w:r w:rsidR="000B1D35">
        <w:rPr>
          <w:rFonts w:hint="eastAsia"/>
          <w:highlight w:val="yellow"/>
        </w:rPr>
        <w:t xml:space="preserve"> </w:t>
      </w:r>
      <w:r w:rsidR="003C5C26" w:rsidRPr="003C5C26">
        <w:rPr>
          <w:highlight w:val="yellow"/>
        </w:rPr>
        <w:t xml:space="preserve">rate </w:t>
      </w:r>
      <w:r w:rsidR="008E19DF">
        <w:rPr>
          <w:rFonts w:hint="eastAsia"/>
          <w:highlight w:val="yellow"/>
        </w:rPr>
        <w:t xml:space="preserve">increased </w:t>
      </w:r>
      <w:r w:rsidR="000B1D35">
        <w:rPr>
          <w:rFonts w:hint="eastAsia"/>
          <w:highlight w:val="yellow"/>
        </w:rPr>
        <w:t xml:space="preserve">the vaccination efficiency close to </w:t>
      </w:r>
      <w:r w:rsidR="008E19DF">
        <w:rPr>
          <w:rFonts w:hint="eastAsia"/>
          <w:highlight w:val="yellow"/>
        </w:rPr>
        <w:t>0.112</w:t>
      </w:r>
      <w:r w:rsidR="003C5C26" w:rsidRPr="003C5C26">
        <w:rPr>
          <w:highlight w:val="yellow"/>
        </w:rPr>
        <w:t xml:space="preserve"> cases averted per 1,000 doses (</w:t>
      </w:r>
      <w:r w:rsidR="003C5C26" w:rsidRPr="003C5C26">
        <w:rPr>
          <w:b/>
          <w:bCs/>
          <w:highlight w:val="yellow"/>
        </w:rPr>
        <w:t>Figure 3</w:t>
      </w:r>
      <w:r w:rsidR="00606A65">
        <w:rPr>
          <w:b/>
          <w:bCs/>
          <w:highlight w:val="yellow"/>
        </w:rPr>
        <w:t>E</w:t>
      </w:r>
      <w:r w:rsidR="003C5C26" w:rsidRPr="003C5C26">
        <w:rPr>
          <w:highlight w:val="yellow"/>
        </w:rPr>
        <w:t xml:space="preserve">). </w:t>
      </w:r>
    </w:p>
    <w:p w14:paraId="18B48652" w14:textId="77777777" w:rsidR="000B1D35" w:rsidRDefault="000B1D35" w:rsidP="000275CA">
      <w:pPr>
        <w:rPr>
          <w:highlight w:val="yellow"/>
        </w:rPr>
      </w:pPr>
    </w:p>
    <w:p w14:paraId="535513FB" w14:textId="77777777" w:rsidR="000B1D35" w:rsidRDefault="000B1D35" w:rsidP="000275CA">
      <w:pPr>
        <w:rPr>
          <w:highlight w:val="yellow"/>
        </w:rPr>
      </w:pPr>
    </w:p>
    <w:p w14:paraId="6580AB19" w14:textId="77777777" w:rsidR="000B1D35" w:rsidRDefault="000B1D35" w:rsidP="000275CA">
      <w:pPr>
        <w:rPr>
          <w:highlight w:val="yellow"/>
        </w:rPr>
      </w:pPr>
    </w:p>
    <w:p w14:paraId="462809C4" w14:textId="01EC68E4" w:rsidR="003C5C26" w:rsidRDefault="003C5C26" w:rsidP="000275CA">
      <w:r w:rsidRPr="003C5C26">
        <w:rPr>
          <w:highlight w:val="yellow"/>
        </w:rPr>
        <w:t>Targeting by size or duration also improved efficiency, although gains were smaller than targeting by attack rate (</w:t>
      </w:r>
      <w:r w:rsidRPr="003C5C26">
        <w:rPr>
          <w:b/>
          <w:bCs/>
          <w:highlight w:val="yellow"/>
        </w:rPr>
        <w:t>Figures 3E–F</w:t>
      </w:r>
      <w:r w:rsidRPr="003C5C26">
        <w:rPr>
          <w:highlight w:val="yellow"/>
        </w:rPr>
        <w:t>). In contrast, the percent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53271DB"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w:t>
      </w:r>
      <w:r w:rsidR="00A842BD" w:rsidRPr="00565DAF">
        <w:rPr>
          <w:highlight w:val="yellow"/>
        </w:rPr>
        <w:lastRenderedPageBreak/>
        <w:t>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492FC8">
        <w:rPr>
          <w:rFonts w:eastAsia="Aptos"/>
          <w:highlight w:val="yellow"/>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492FC8" w:rsidRPr="00492FC8">
        <w:rPr>
          <w:rFonts w:cs="Times New Roman"/>
          <w:vertAlign w:val="superscript"/>
        </w:rPr>
        <w:t>64</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05D00AAB" w:rsidR="00F666B7" w:rsidRPr="00097432" w:rsidRDefault="00F666B7" w:rsidP="00F666B7">
      <w:pPr>
        <w:pStyle w:val="Heading4"/>
      </w:pPr>
      <w:r w:rsidRPr="00097432">
        <w:rPr>
          <w:rFonts w:hint="eastAsia"/>
        </w:rPr>
        <w:t>Impact of ORIs across campaign timing and coverage levels</w:t>
      </w:r>
    </w:p>
    <w:p w14:paraId="3D6246B4" w14:textId="2CE3F558" w:rsidR="004D4BFD" w:rsidRDefault="007604A7" w:rsidP="00B12ECB">
      <w:r w:rsidRPr="007604A7">
        <w:t>Assuming 100,000 to 200 million OCV doses, the number of outbreaks eligible for ORI ranged from 1 to &gt;530 when targeted at random. Because outbreaks differ in population affected, the number of outbreaks targeted decreased when prioritizing larger outbreaks (approximately 480 outbreaks) and increased when prioritizing high-attack-rate (AR) outbreaks (≈ 800 outbreaks)</w:t>
      </w:r>
      <w:r>
        <w:rPr>
          <w:rFonts w:hint="eastAsia"/>
        </w:rPr>
        <w:t xml:space="preserve">, which are usually smaller </w:t>
      </w:r>
      <w:r w:rsidR="00C13DB7">
        <w:rPr>
          <w:rFonts w:hint="eastAsia"/>
        </w:rPr>
        <w:t>(</w:t>
      </w:r>
      <w:r w:rsidR="00C13DB7" w:rsidRPr="00C13DB7">
        <w:rPr>
          <w:rFonts w:hint="eastAsia"/>
          <w:b/>
          <w:bCs/>
        </w:rPr>
        <w:t>Figure 4A</w:t>
      </w:r>
      <w:r w:rsidR="00C13DB7">
        <w:rPr>
          <w:rFonts w:hint="eastAsia"/>
        </w:rPr>
        <w:t xml:space="preserve">). </w:t>
      </w:r>
      <w:r>
        <w:rPr>
          <w:rFonts w:hint="eastAsia"/>
        </w:rPr>
        <w:t xml:space="preserve"> </w:t>
      </w:r>
      <w:r w:rsidRPr="007604A7">
        <w:t>Total cases averted increased with both the number of doses deployed and the prioritization criteria (</w:t>
      </w:r>
      <w:r w:rsidRPr="007604A7">
        <w:rPr>
          <w:b/>
          <w:bCs/>
        </w:rPr>
        <w:t>Figure 4B</w:t>
      </w:r>
      <w:r w:rsidRPr="007604A7">
        <w:t>). With a 9-week delay in ORI implementation, the median number of cases averted reached 68,000 [IQR</w:t>
      </w:r>
      <w:r>
        <w:rPr>
          <w:rFonts w:hint="eastAsia"/>
        </w:rPr>
        <w:t>:</w:t>
      </w:r>
      <w:r w:rsidRPr="007604A7">
        <w:t xml:space="preserve"> 65,900–75,800] under random targeting, compared with 87,000 [78,100–95,700], 97,000 [89,900–103,800], and 156,000 [154,100–158,300] when </w:t>
      </w:r>
      <w:r w:rsidRPr="007604A7">
        <w:lastRenderedPageBreak/>
        <w:t>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Pr>
          <w:rFonts w:hint="eastAsia"/>
        </w:rPr>
        <w:t xml:space="preserve"> </w:t>
      </w:r>
    </w:p>
    <w:p w14:paraId="7E3F32B1" w14:textId="77777777" w:rsidR="004D4BFD" w:rsidRPr="00097432" w:rsidRDefault="004D4BFD" w:rsidP="004D4BFD">
      <w:pPr>
        <w:pStyle w:val="Heading4"/>
      </w:pPr>
      <w:r w:rsidRPr="00097432">
        <w:t>Efficiency and cost</w:t>
      </w:r>
      <w:r>
        <w:rPr>
          <w:rFonts w:hint="eastAsia"/>
        </w:rPr>
        <w:t xml:space="preserve"> effectiveness</w:t>
      </w:r>
    </w:p>
    <w:p w14:paraId="5D4D7E69" w14:textId="255DC9AF" w:rsidR="007604A7" w:rsidRPr="007604A7" w:rsidRDefault="007604A7" w:rsidP="007604A7">
      <w:pPr>
        <w:rPr>
          <w:lang w:val="en-US"/>
        </w:rPr>
      </w:pPr>
      <w:r w:rsidRPr="007604A7">
        <w:rPr>
          <w:rFonts w:hint="eastAsia"/>
        </w:rPr>
        <w:t>Efficiency</w:t>
      </w:r>
      <w:r>
        <w:t>—</w:t>
      </w:r>
      <w:r>
        <w:rPr>
          <w:rFonts w:hint="eastAsia"/>
        </w:rPr>
        <w:t>m</w:t>
      </w:r>
      <w:r w:rsidRPr="007604A7">
        <w:rPr>
          <w:rFonts w:hint="eastAsia"/>
        </w:rPr>
        <w:t>easured as cases averted per</w:t>
      </w:r>
      <w:r w:rsidR="004D4BFD">
        <w:rPr>
          <w:rFonts w:hint="eastAsia"/>
        </w:rPr>
        <w:t xml:space="preserve"> </w:t>
      </w:r>
      <w:r w:rsidRPr="007604A7">
        <w:rPr>
          <w:rFonts w:hint="eastAsia"/>
        </w:rPr>
        <w:t>1,000 OCV doses</w:t>
      </w:r>
      <w:r>
        <w:t>—</w:t>
      </w:r>
      <w:r>
        <w:rPr>
          <w:rFonts w:hint="eastAsia"/>
        </w:rPr>
        <w:t>s</w:t>
      </w:r>
      <w:r w:rsidRPr="007604A7">
        <w:rPr>
          <w:rFonts w:hint="eastAsia"/>
        </w:rPr>
        <w:t>howed large variability at low vaccine supply (</w:t>
      </w:r>
      <w:r>
        <w:rPr>
          <w:rFonts w:hint="eastAsia"/>
        </w:rPr>
        <w:t xml:space="preserve">100,000 and </w:t>
      </w:r>
      <w:r w:rsidRPr="007604A7">
        <w:rPr>
          <w:rFonts w:hint="eastAsia"/>
        </w:rPr>
        <w:t>200,000 doses) but converged at higher coverage (</w:t>
      </w:r>
      <w:r w:rsidRPr="007604A7">
        <w:rPr>
          <w:rFonts w:hint="eastAsia"/>
          <w:b/>
          <w:bCs/>
        </w:rPr>
        <w:t>Figure 4C</w:t>
      </w:r>
      <w:r w:rsidRPr="007604A7">
        <w:rPr>
          <w:rFonts w:hint="eastAsia"/>
        </w:rPr>
        <w:t xml:space="preserve">). As the number of doses increased, targeting high-AR outbreaks consistently produced the </w:t>
      </w:r>
      <w:r w:rsidRPr="007604A7">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7604A7">
        <w:rPr>
          <w:b/>
          <w:bCs/>
        </w:rPr>
        <w:t>Figure 4D</w:t>
      </w:r>
      <w:r w:rsidRPr="007604A7">
        <w:t>).</w:t>
      </w:r>
      <w:r>
        <w:rPr>
          <w:rFonts w:hint="eastAsia"/>
        </w:rPr>
        <w:t xml:space="preserve"> </w:t>
      </w:r>
      <w:r w:rsidRPr="007604A7">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7604A7">
        <w:rPr>
          <w:b/>
          <w:bCs/>
          <w:lang w:val="en-US"/>
        </w:rPr>
        <w:t>Figure 4E</w:t>
      </w:r>
      <w:r w:rsidRPr="007604A7">
        <w:rPr>
          <w:lang w:val="en-US"/>
        </w:rPr>
        <w:t>). Similarly, cost per DALY averted decreased from US$31,248 [28,347–36,212] to US$16,621 [16,279–16,812] with a 9-week delay, and from US$10,997 [10,253–11,610] to US$4,695 [4,602–4,753] with a 1-week delay (</w:t>
      </w:r>
      <w:r w:rsidRPr="007604A7">
        <w:rPr>
          <w:b/>
          <w:bCs/>
          <w:lang w:val="en-US"/>
        </w:rPr>
        <w:t>Figure 4F</w:t>
      </w:r>
      <w:r w:rsidRPr="007604A7">
        <w:rPr>
          <w:lang w:val="en-US"/>
        </w:rPr>
        <w:t>).</w:t>
      </w:r>
      <w:r>
        <w:rPr>
          <w:rFonts w:hint="eastAsia"/>
          <w:lang w:val="en-US"/>
        </w:rPr>
        <w:t xml:space="preserve"> </w:t>
      </w:r>
      <w:r w:rsidRPr="007604A7">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Default="007604A7" w:rsidP="00B12ECB">
      <w:pPr>
        <w:rPr>
          <w:rFonts w:hint="eastAsia"/>
        </w:rPr>
      </w:pPr>
    </w:p>
    <w:p w14:paraId="2BF97C3F" w14:textId="77777777" w:rsidR="007604A7" w:rsidRDefault="007604A7" w:rsidP="00B12ECB"/>
    <w:p w14:paraId="16038545" w14:textId="0883994C" w:rsidR="00A3640F" w:rsidRPr="00097432" w:rsidRDefault="0073569F" w:rsidP="009810DC">
      <w:r w:rsidRPr="004D4BFD">
        <w:rPr>
          <w:highlight w:val="lightGray"/>
        </w:rPr>
        <w:t>When the impact</w:t>
      </w:r>
      <w:r w:rsidR="00A46471" w:rsidRPr="004D4BFD">
        <w:rPr>
          <w:rFonts w:hint="eastAsia"/>
          <w:highlight w:val="lightGray"/>
        </w:rPr>
        <w:t xml:space="preserve"> and efficiency</w:t>
      </w:r>
      <w:r w:rsidRPr="004D4BFD">
        <w:rPr>
          <w:highlight w:val="lightGray"/>
        </w:rPr>
        <w:t xml:space="preserve"> of ORI campaigns with 75% vaccine coverage was evaluated across aggregated sets of outbreaks</w:t>
      </w:r>
      <w:r w:rsidR="00B1216A" w:rsidRPr="004D4BFD">
        <w:rPr>
          <w:rFonts w:hint="eastAsia"/>
          <w:highlight w:val="lightGray"/>
        </w:rPr>
        <w:t>,</w:t>
      </w:r>
      <w:r w:rsidRPr="004D4BFD">
        <w:rPr>
          <w:highlight w:val="lightGray"/>
        </w:rPr>
        <w:t xml:space="preserve"> median effectiveness</w:t>
      </w:r>
      <w:r w:rsidR="00A46471" w:rsidRPr="004D4BFD">
        <w:rPr>
          <w:rFonts w:hint="eastAsia"/>
          <w:highlight w:val="lightGray"/>
        </w:rPr>
        <w:t xml:space="preserve"> and efficiency</w:t>
      </w:r>
      <w:r w:rsidRPr="004D4BFD">
        <w:rPr>
          <w:highlight w:val="lightGray"/>
        </w:rPr>
        <w:t xml:space="preserve"> increased with the number of outbreaks included in the sample </w:t>
      </w:r>
      <w:r w:rsidR="00711225" w:rsidRPr="004D4BFD">
        <w:rPr>
          <w:highlight w:val="lightGray"/>
        </w:rPr>
        <w:t>(</w:t>
      </w:r>
      <w:r w:rsidR="00251C88" w:rsidRPr="004D4BFD">
        <w:rPr>
          <w:rFonts w:hint="eastAsia"/>
          <w:b/>
          <w:bCs/>
          <w:highlight w:val="lightGray"/>
        </w:rPr>
        <w:t xml:space="preserve">Figure </w:t>
      </w:r>
      <w:r w:rsidR="00A46471" w:rsidRPr="004D4BFD">
        <w:rPr>
          <w:rFonts w:hint="eastAsia"/>
          <w:b/>
          <w:bCs/>
          <w:highlight w:val="lightGray"/>
        </w:rPr>
        <w:t>S4</w:t>
      </w:r>
      <w:r w:rsidR="001E69BC" w:rsidRPr="004D4BFD">
        <w:rPr>
          <w:highlight w:val="lightGray"/>
        </w:rPr>
        <w:t>)</w:t>
      </w:r>
      <w:r w:rsidR="00DB6385" w:rsidRPr="004D4BFD">
        <w:rPr>
          <w:highlight w:val="lightGray"/>
        </w:rPr>
        <w:t>.</w:t>
      </w:r>
      <w:r w:rsidR="001116CD" w:rsidRPr="004D4BFD">
        <w:rPr>
          <w:rFonts w:hint="eastAsia"/>
          <w:highlight w:val="lightGray"/>
        </w:rPr>
        <w:t xml:space="preserve"> </w:t>
      </w:r>
      <w:bookmarkStart w:id="30" w:name="_Hlk203670219"/>
      <w:r w:rsidR="002F5474" w:rsidRPr="004D4BFD">
        <w:rPr>
          <w:rFonts w:hint="eastAsia"/>
          <w:highlight w:val="lightGray"/>
        </w:rPr>
        <w:t>As such s</w:t>
      </w:r>
      <w:r w:rsidR="00E334EE" w:rsidRPr="004D4BFD">
        <w:rPr>
          <w:rFonts w:hint="eastAsia"/>
          <w:highlight w:val="lightGray"/>
        </w:rPr>
        <w:t>ubstantial impact w</w:t>
      </w:r>
      <w:r w:rsidR="00260A60" w:rsidRPr="004D4BFD">
        <w:rPr>
          <w:rFonts w:hint="eastAsia"/>
          <w:highlight w:val="lightGray"/>
        </w:rPr>
        <w:t>as</w:t>
      </w:r>
      <w:r w:rsidR="00E334EE" w:rsidRPr="004D4BFD">
        <w:rPr>
          <w:rFonts w:hint="eastAsia"/>
          <w:highlight w:val="lightGray"/>
        </w:rPr>
        <w:t xml:space="preserve"> observed when the outbreaks were </w:t>
      </w:r>
      <w:r w:rsidR="002146B4" w:rsidRPr="004D4BFD">
        <w:rPr>
          <w:rFonts w:hint="eastAsia"/>
          <w:highlight w:val="lightGray"/>
        </w:rPr>
        <w:t>aggregated</w:t>
      </w:r>
      <w:r w:rsidR="00E334EE" w:rsidRPr="004D4BFD">
        <w:rPr>
          <w:rFonts w:hint="eastAsia"/>
          <w:highlight w:val="lightGray"/>
        </w:rPr>
        <w:t xml:space="preserve"> </w:t>
      </w:r>
      <w:r w:rsidR="002146B4" w:rsidRPr="004D4BFD">
        <w:rPr>
          <w:rFonts w:hint="eastAsia"/>
          <w:highlight w:val="lightGray"/>
        </w:rPr>
        <w:t xml:space="preserve">to reflect </w:t>
      </w:r>
      <w:r w:rsidR="00E334EE" w:rsidRPr="004D4BFD">
        <w:rPr>
          <w:rFonts w:hint="eastAsia"/>
          <w:highlight w:val="lightGray"/>
        </w:rPr>
        <w:t xml:space="preserve">the </w:t>
      </w:r>
      <w:r w:rsidR="00260A60" w:rsidRPr="004D4BFD">
        <w:rPr>
          <w:rFonts w:hint="eastAsia"/>
          <w:highlight w:val="lightGray"/>
        </w:rPr>
        <w:t xml:space="preserve">volume </w:t>
      </w:r>
      <w:r w:rsidR="00E334EE" w:rsidRPr="004D4BFD">
        <w:rPr>
          <w:rFonts w:hint="eastAsia"/>
          <w:highlight w:val="lightGray"/>
        </w:rPr>
        <w:lastRenderedPageBreak/>
        <w:t xml:space="preserve">of OCVs deployed </w:t>
      </w:r>
      <w:r w:rsidR="00260A60" w:rsidRPr="004D4BFD">
        <w:rPr>
          <w:rFonts w:hint="eastAsia"/>
          <w:highlight w:val="lightGray"/>
        </w:rPr>
        <w:t>t</w:t>
      </w:r>
      <w:r w:rsidR="00E334EE" w:rsidRPr="004D4BFD">
        <w:rPr>
          <w:rFonts w:hint="eastAsia"/>
          <w:highlight w:val="lightGray"/>
        </w:rPr>
        <w:t xml:space="preserve">hrough the global stockpile </w:t>
      </w:r>
      <w:bookmarkEnd w:id="30"/>
      <w:r w:rsidR="00E334EE" w:rsidRPr="004D4BFD">
        <w:rPr>
          <w:rFonts w:hint="eastAsia"/>
          <w:highlight w:val="lightGray"/>
        </w:rPr>
        <w:t>(</w:t>
      </w:r>
      <w:r w:rsidR="00E334EE" w:rsidRPr="004D4BFD">
        <w:rPr>
          <w:rFonts w:hint="eastAsia"/>
          <w:b/>
          <w:bCs/>
          <w:highlight w:val="lightGray"/>
        </w:rPr>
        <w:t xml:space="preserve">Figure </w:t>
      </w:r>
      <w:r w:rsidR="00BE2DE0" w:rsidRPr="004D4BFD">
        <w:rPr>
          <w:rFonts w:hint="eastAsia"/>
          <w:b/>
          <w:bCs/>
          <w:highlight w:val="lightGray"/>
        </w:rPr>
        <w:t>4</w:t>
      </w:r>
      <w:r w:rsidR="00C20B98" w:rsidRPr="004D4BFD">
        <w:rPr>
          <w:rFonts w:hint="eastAsia"/>
          <w:b/>
          <w:bCs/>
          <w:highlight w:val="lightGray"/>
        </w:rPr>
        <w:t>;</w:t>
      </w:r>
      <w:r w:rsidR="00C20B98" w:rsidRPr="004D4BFD">
        <w:rPr>
          <w:rFonts w:hint="eastAsia"/>
          <w:highlight w:val="lightGray"/>
        </w:rPr>
        <w:t xml:space="preserve"> more details in </w:t>
      </w:r>
      <w:r w:rsidR="00C20B98" w:rsidRPr="004D4BFD">
        <w:rPr>
          <w:rFonts w:hint="eastAsia"/>
          <w:b/>
          <w:bCs/>
          <w:highlight w:val="lightGray"/>
        </w:rPr>
        <w:t>Table S3</w:t>
      </w:r>
      <w:r w:rsidR="00E334EE" w:rsidRPr="004D4BFD">
        <w:rPr>
          <w:rFonts w:hint="eastAsia"/>
          <w:highlight w:val="lightGray"/>
        </w:rPr>
        <w:t>). Over time</w:t>
      </w:r>
      <w:r w:rsidR="00711225" w:rsidRPr="004D4BFD">
        <w:rPr>
          <w:rFonts w:hint="eastAsia"/>
          <w:highlight w:val="lightGray"/>
        </w:rPr>
        <w:t xml:space="preserve">, </w:t>
      </w:r>
      <w:r w:rsidR="00711225" w:rsidRPr="004D4BFD">
        <w:rPr>
          <w:highlight w:val="lightGray"/>
        </w:rPr>
        <w:t>the</w:t>
      </w:r>
      <w:r w:rsidR="00711225" w:rsidRPr="004D4BFD">
        <w:rPr>
          <w:rFonts w:hint="eastAsia"/>
          <w:highlight w:val="lightGray"/>
        </w:rPr>
        <w:t xml:space="preserve"> </w:t>
      </w:r>
      <w:r w:rsidR="004647EB" w:rsidRPr="004D4BFD">
        <w:rPr>
          <w:rFonts w:hint="eastAsia"/>
          <w:highlight w:val="lightGray"/>
        </w:rPr>
        <w:t xml:space="preserve">aggregated </w:t>
      </w:r>
      <w:r w:rsidR="00711225" w:rsidRPr="004D4BFD">
        <w:rPr>
          <w:rFonts w:hint="eastAsia"/>
          <w:highlight w:val="lightGray"/>
        </w:rPr>
        <w:t xml:space="preserve">number of </w:t>
      </w:r>
      <w:r w:rsidR="001649DA" w:rsidRPr="004D4BFD">
        <w:rPr>
          <w:rFonts w:hint="eastAsia"/>
          <w:highlight w:val="lightGray"/>
        </w:rPr>
        <w:t>case</w:t>
      </w:r>
      <w:r w:rsidR="004257A0" w:rsidRPr="004D4BFD">
        <w:rPr>
          <w:rFonts w:hint="eastAsia"/>
          <w:highlight w:val="lightGray"/>
        </w:rPr>
        <w:t>s</w:t>
      </w:r>
      <w:r w:rsidR="00711225" w:rsidRPr="004D4BFD">
        <w:rPr>
          <w:rFonts w:hint="eastAsia"/>
          <w:highlight w:val="lightGray"/>
        </w:rPr>
        <w:t xml:space="preserve"> a</w:t>
      </w:r>
      <w:r w:rsidR="00711225" w:rsidRPr="004D4BFD">
        <w:rPr>
          <w:highlight w:val="lightGray"/>
        </w:rPr>
        <w:t>verted by these campaigns increased</w:t>
      </w:r>
      <w:r w:rsidR="00260A60" w:rsidRPr="004D4BFD">
        <w:rPr>
          <w:rFonts w:hint="eastAsia"/>
          <w:highlight w:val="lightGray"/>
        </w:rPr>
        <w:t>,</w:t>
      </w:r>
      <w:r w:rsidR="001649DA" w:rsidRPr="004D4BFD">
        <w:rPr>
          <w:rFonts w:hint="eastAsia"/>
          <w:highlight w:val="lightGray"/>
        </w:rPr>
        <w:t xml:space="preserve"> </w:t>
      </w:r>
      <w:r w:rsidR="001E653C" w:rsidRPr="004D4BFD">
        <w:rPr>
          <w:highlight w:val="lightGray"/>
        </w:rPr>
        <w:t>reach</w:t>
      </w:r>
      <w:r w:rsidR="00711225" w:rsidRPr="004D4BFD">
        <w:rPr>
          <w:rFonts w:hint="eastAsia"/>
          <w:highlight w:val="lightGray"/>
        </w:rPr>
        <w:t>ing</w:t>
      </w:r>
      <w:r w:rsidR="001E653C" w:rsidRPr="004D4BFD">
        <w:rPr>
          <w:highlight w:val="lightGray"/>
        </w:rPr>
        <w:t xml:space="preserve"> </w:t>
      </w:r>
      <w:r w:rsidR="007A5971" w:rsidRPr="004D4BFD">
        <w:rPr>
          <w:rFonts w:hint="eastAsia"/>
          <w:highlight w:val="lightGray"/>
        </w:rPr>
        <w:t>4,028</w:t>
      </w:r>
      <w:r w:rsidR="004F5322" w:rsidRPr="004D4BFD">
        <w:rPr>
          <w:highlight w:val="lightGray"/>
          <w:lang w:val="en-US"/>
        </w:rPr>
        <w:t xml:space="preserve"> [IQR: </w:t>
      </w:r>
      <w:r w:rsidR="007A5971" w:rsidRPr="004D4BFD">
        <w:rPr>
          <w:rFonts w:hint="eastAsia"/>
          <w:highlight w:val="lightGray"/>
          <w:lang w:val="en-US"/>
        </w:rPr>
        <w:t>3</w:t>
      </w:r>
      <w:r w:rsidR="004F5322" w:rsidRPr="004D4BFD">
        <w:rPr>
          <w:highlight w:val="lightGray"/>
          <w:lang w:val="en-US"/>
        </w:rPr>
        <w:t>,</w:t>
      </w:r>
      <w:r w:rsidR="007A5971" w:rsidRPr="004D4BFD">
        <w:rPr>
          <w:rFonts w:hint="eastAsia"/>
          <w:highlight w:val="lightGray"/>
          <w:lang w:val="en-US"/>
        </w:rPr>
        <w:t>679</w:t>
      </w:r>
      <w:r w:rsidR="004F5322" w:rsidRPr="004D4BFD">
        <w:rPr>
          <w:highlight w:val="lightGray"/>
          <w:lang w:val="en-US"/>
        </w:rPr>
        <w:t xml:space="preserve"> - </w:t>
      </w:r>
      <w:r w:rsidR="007A5971" w:rsidRPr="004D4BFD">
        <w:rPr>
          <w:rFonts w:hint="eastAsia"/>
          <w:highlight w:val="lightGray"/>
          <w:lang w:val="en-US"/>
        </w:rPr>
        <w:t>4</w:t>
      </w:r>
      <w:r w:rsidR="004F5322" w:rsidRPr="004D4BFD">
        <w:rPr>
          <w:highlight w:val="lightGray"/>
          <w:lang w:val="en-US"/>
        </w:rPr>
        <w:t>,</w:t>
      </w:r>
      <w:r w:rsidR="007A5971" w:rsidRPr="004D4BFD">
        <w:rPr>
          <w:rFonts w:hint="eastAsia"/>
          <w:highlight w:val="lightGray"/>
          <w:lang w:val="en-US"/>
        </w:rPr>
        <w:t>376</w:t>
      </w:r>
      <w:r w:rsidR="004F5322" w:rsidRPr="004D4BFD">
        <w:rPr>
          <w:highlight w:val="lightGray"/>
          <w:lang w:val="en-US"/>
        </w:rPr>
        <w:t>]</w:t>
      </w:r>
      <w:r w:rsidR="00C20B98" w:rsidRPr="004D4BFD">
        <w:rPr>
          <w:rFonts w:hint="eastAsia"/>
          <w:highlight w:val="lightGray"/>
          <w:lang w:val="en-US"/>
        </w:rPr>
        <w:t xml:space="preserve"> </w:t>
      </w:r>
      <w:r w:rsidR="00260A60" w:rsidRPr="004D4BFD">
        <w:rPr>
          <w:rFonts w:hint="eastAsia"/>
          <w:highlight w:val="lightGray"/>
        </w:rPr>
        <w:t>by</w:t>
      </w:r>
      <w:r w:rsidR="004257A0" w:rsidRPr="004D4BFD">
        <w:rPr>
          <w:rFonts w:hint="eastAsia"/>
          <w:highlight w:val="lightGray"/>
        </w:rPr>
        <w:t xml:space="preserve"> 202</w:t>
      </w:r>
      <w:r w:rsidR="00093854" w:rsidRPr="004D4BFD">
        <w:rPr>
          <w:rFonts w:hint="eastAsia"/>
          <w:highlight w:val="lightGray"/>
        </w:rPr>
        <w:t>0</w:t>
      </w:r>
      <w:r w:rsidR="00DD5AD5" w:rsidRPr="004D4BFD">
        <w:rPr>
          <w:rFonts w:hint="eastAsia"/>
          <w:highlight w:val="lightGray"/>
        </w:rPr>
        <w:t>.</w:t>
      </w:r>
      <w:r w:rsidR="007A5971" w:rsidRPr="004D4BFD">
        <w:rPr>
          <w:rFonts w:hint="eastAsia"/>
          <w:highlight w:val="lightGray"/>
        </w:rPr>
        <w:t xml:space="preserve"> </w:t>
      </w:r>
      <w:r w:rsidR="00B32D8B" w:rsidRPr="004D4BFD">
        <w:rPr>
          <w:highlight w:val="lightGray"/>
        </w:rPr>
        <w:t>The percent</w:t>
      </w:r>
      <w:r w:rsidR="00E334EE" w:rsidRPr="004D4BFD">
        <w:rPr>
          <w:rFonts w:hint="eastAsia"/>
          <w:highlight w:val="lightGray"/>
        </w:rPr>
        <w:t>age</w:t>
      </w:r>
      <w:r w:rsidR="0041282D" w:rsidRPr="004D4BFD">
        <w:rPr>
          <w:rFonts w:hint="eastAsia"/>
          <w:highlight w:val="lightGray"/>
        </w:rPr>
        <w:t xml:space="preserve"> </w:t>
      </w:r>
      <w:r w:rsidR="00260A60" w:rsidRPr="004D4BFD">
        <w:rPr>
          <w:rFonts w:hint="eastAsia"/>
          <w:highlight w:val="lightGray"/>
        </w:rPr>
        <w:t>cases averted also rose steadily</w:t>
      </w:r>
      <w:r w:rsidR="00EB4D9D" w:rsidRPr="004D4BFD">
        <w:rPr>
          <w:rFonts w:hint="eastAsia"/>
          <w:highlight w:val="lightGray"/>
        </w:rPr>
        <w:t xml:space="preserve"> to</w:t>
      </w:r>
      <w:r w:rsidR="0041282D" w:rsidRPr="004D4BFD">
        <w:rPr>
          <w:rFonts w:hint="eastAsia"/>
          <w:highlight w:val="lightGray"/>
        </w:rPr>
        <w:t xml:space="preserve"> </w:t>
      </w:r>
      <w:r w:rsidR="007A5971" w:rsidRPr="004D4BFD">
        <w:rPr>
          <w:rFonts w:hint="eastAsia"/>
          <w:highlight w:val="lightGray"/>
        </w:rPr>
        <w:t>32.3</w:t>
      </w:r>
      <w:r w:rsidR="006B235C" w:rsidRPr="004D4BFD">
        <w:rPr>
          <w:rFonts w:hint="eastAsia"/>
          <w:highlight w:val="lightGray"/>
          <w:lang w:val="en-US"/>
        </w:rPr>
        <w:t>%</w:t>
      </w:r>
      <w:r w:rsidR="006B235C" w:rsidRPr="004D4BFD">
        <w:rPr>
          <w:highlight w:val="lightGray"/>
          <w:lang w:val="en-US"/>
        </w:rPr>
        <w:t xml:space="preserve"> [IQR: </w:t>
      </w:r>
      <w:r w:rsidR="007A5971" w:rsidRPr="004D4BFD">
        <w:rPr>
          <w:rFonts w:hint="eastAsia"/>
          <w:highlight w:val="lightGray"/>
          <w:lang w:val="en-US"/>
        </w:rPr>
        <w:t xml:space="preserve">29.1 - </w:t>
      </w:r>
      <w:r w:rsidR="006B235C" w:rsidRPr="004D4BFD">
        <w:rPr>
          <w:highlight w:val="lightGray"/>
          <w:lang w:val="en-US"/>
        </w:rPr>
        <w:t>3</w:t>
      </w:r>
      <w:r w:rsidR="007A5971" w:rsidRPr="004D4BFD">
        <w:rPr>
          <w:rFonts w:hint="eastAsia"/>
          <w:highlight w:val="lightGray"/>
          <w:lang w:val="en-US"/>
        </w:rPr>
        <w:t>5.2</w:t>
      </w:r>
      <w:r w:rsidR="006B235C" w:rsidRPr="004D4BFD">
        <w:rPr>
          <w:highlight w:val="lightGray"/>
          <w:lang w:val="en-US"/>
        </w:rPr>
        <w:t>]</w:t>
      </w:r>
      <w:r w:rsidR="0049285E" w:rsidRPr="004D4BFD">
        <w:rPr>
          <w:rFonts w:hint="eastAsia"/>
          <w:highlight w:val="lightGray"/>
          <w:lang w:val="en-US"/>
        </w:rPr>
        <w:t xml:space="preserve"> </w:t>
      </w:r>
      <w:r w:rsidR="0041282D" w:rsidRPr="004D4BFD">
        <w:rPr>
          <w:rFonts w:hint="eastAsia"/>
          <w:highlight w:val="lightGray"/>
        </w:rPr>
        <w:t>in 202</w:t>
      </w:r>
      <w:r w:rsidR="00EB4D9D" w:rsidRPr="004D4BFD">
        <w:rPr>
          <w:rFonts w:hint="eastAsia"/>
          <w:highlight w:val="lightGray"/>
        </w:rPr>
        <w:t>0</w:t>
      </w:r>
      <w:r w:rsidR="00BE2DE0" w:rsidRPr="004D4BFD">
        <w:rPr>
          <w:rFonts w:hint="eastAsia"/>
          <w:highlight w:val="lightGray"/>
        </w:rPr>
        <w:t>, assuming a 9-week delay in ORI implementation</w:t>
      </w:r>
      <w:r w:rsidR="007A5971" w:rsidRPr="004D4BFD">
        <w:rPr>
          <w:rFonts w:hint="eastAsia"/>
          <w:highlight w:val="lightGray"/>
        </w:rPr>
        <w:t xml:space="preserve"> with 75% coverage</w:t>
      </w:r>
      <w:r w:rsidR="00260A60" w:rsidRPr="004D4BFD">
        <w:rPr>
          <w:rFonts w:hint="eastAsia"/>
          <w:highlight w:val="lightGray"/>
        </w:rPr>
        <w:t>.</w:t>
      </w:r>
      <w:r w:rsidR="00C20B98" w:rsidRPr="004D4BFD">
        <w:rPr>
          <w:rFonts w:hint="eastAsia"/>
          <w:highlight w:val="lightGray"/>
        </w:rPr>
        <w:t xml:space="preserve"> These values increase further if ORIs are prioritized to longer outbreaks. If outbreaks are targeted to top 25% of outbreaks by duration, case averted increased to </w:t>
      </w:r>
      <w:r w:rsidR="00C20B98" w:rsidRPr="004D4BFD">
        <w:rPr>
          <w:highlight w:val="lightGray"/>
        </w:rPr>
        <w:t xml:space="preserve">7,805 </w:t>
      </w:r>
      <w:r w:rsidR="00C20B98" w:rsidRPr="004D4BFD">
        <w:rPr>
          <w:rFonts w:hint="eastAsia"/>
          <w:highlight w:val="lightGray"/>
        </w:rPr>
        <w:t xml:space="preserve">[IQR: </w:t>
      </w:r>
      <w:r w:rsidR="00C20B98" w:rsidRPr="004D4BFD">
        <w:rPr>
          <w:highlight w:val="lightGray"/>
        </w:rPr>
        <w:t>7,126 - 8,438</w:t>
      </w:r>
      <w:r w:rsidR="00C20B98" w:rsidRPr="004D4BFD">
        <w:rPr>
          <w:rFonts w:hint="eastAsia"/>
          <w:highlight w:val="lightGray"/>
        </w:rPr>
        <w:t xml:space="preserve">], corresponding to </w:t>
      </w:r>
      <w:r w:rsidR="00C20B98" w:rsidRPr="004D4BFD">
        <w:rPr>
          <w:highlight w:val="lightGray"/>
        </w:rPr>
        <w:t>41.3</w:t>
      </w:r>
      <w:r w:rsidR="00C20B98" w:rsidRPr="004D4BFD">
        <w:rPr>
          <w:rFonts w:hint="eastAsia"/>
          <w:highlight w:val="lightGray"/>
        </w:rPr>
        <w:t>%</w:t>
      </w:r>
      <w:r w:rsidR="00C20B98" w:rsidRPr="004D4BFD">
        <w:rPr>
          <w:highlight w:val="lightGray"/>
        </w:rPr>
        <w:t xml:space="preserve"> </w:t>
      </w:r>
      <w:r w:rsidR="00C20B98" w:rsidRPr="004D4BFD">
        <w:rPr>
          <w:rFonts w:hint="eastAsia"/>
          <w:highlight w:val="lightGray"/>
        </w:rPr>
        <w:t xml:space="preserve">[IQR: </w:t>
      </w:r>
      <w:r w:rsidR="00C20B98" w:rsidRPr="004D4BFD">
        <w:rPr>
          <w:highlight w:val="lightGray"/>
        </w:rPr>
        <w:t>37.6 - 44.8</w:t>
      </w:r>
      <w:r w:rsidR="00C20B98" w:rsidRPr="004D4BFD">
        <w:rPr>
          <w:rFonts w:hint="eastAsia"/>
          <w:highlight w:val="lightGray"/>
        </w:rPr>
        <w:t xml:space="preserve">] under the same conditions of 9-week delay in ORI implementation with 70% coverage. </w:t>
      </w:r>
      <w:r w:rsidR="00260A60" w:rsidRPr="004D4BFD">
        <w:rPr>
          <w:highlight w:val="lightGray"/>
        </w:rPr>
        <w:t xml:space="preserve">These </w:t>
      </w:r>
      <w:r w:rsidR="00C20B98" w:rsidRPr="004D4BFD">
        <w:rPr>
          <w:rFonts w:hint="eastAsia"/>
          <w:highlight w:val="lightGray"/>
        </w:rPr>
        <w:t>e</w:t>
      </w:r>
      <w:r w:rsidR="00260A60" w:rsidRPr="004D4BFD">
        <w:rPr>
          <w:highlight w:val="lightGray"/>
        </w:rPr>
        <w:t>stimates</w:t>
      </w:r>
      <w:r w:rsidR="00C20B98" w:rsidRPr="004D4BFD">
        <w:rPr>
          <w:rFonts w:hint="eastAsia"/>
          <w:highlight w:val="lightGray"/>
        </w:rPr>
        <w:t xml:space="preserve"> across aggregated outbreaks</w:t>
      </w:r>
      <w:r w:rsidR="00260A60" w:rsidRPr="004D4BFD">
        <w:rPr>
          <w:highlight w:val="lightGray"/>
        </w:rPr>
        <w:t xml:space="preserve"> contrast with the lower median impact observed when vaccination scenarios were evaluated at the level of individual outbreaks—e.g., </w:t>
      </w:r>
      <w:r w:rsidR="007A5971" w:rsidRPr="004D4BFD">
        <w:rPr>
          <w:highlight w:val="lightGray"/>
        </w:rPr>
        <w:t>12.3 [IQR: 1.7 - 34.2]</w:t>
      </w:r>
      <w:r w:rsidR="007A5971" w:rsidRPr="004D4BFD">
        <w:rPr>
          <w:rFonts w:hint="eastAsia"/>
          <w:highlight w:val="lightGray"/>
        </w:rPr>
        <w:t xml:space="preserve"> </w:t>
      </w:r>
      <w:r w:rsidR="00260A60" w:rsidRPr="004D4BFD">
        <w:rPr>
          <w:highlight w:val="lightGray"/>
        </w:rPr>
        <w:t>under a comparable implementation delay</w:t>
      </w:r>
      <w:r w:rsidR="009810DC" w:rsidRPr="004D4BFD">
        <w:rPr>
          <w:rFonts w:hint="eastAsia"/>
          <w:highlight w:val="lightGray"/>
        </w:rPr>
        <w:t xml:space="preserve"> (</w:t>
      </w:r>
      <w:r w:rsidR="009818F3" w:rsidRPr="004D4BFD">
        <w:rPr>
          <w:rFonts w:hint="eastAsia"/>
          <w:highlight w:val="lightGray"/>
        </w:rPr>
        <w:t xml:space="preserve">as </w:t>
      </w:r>
      <w:r w:rsidR="00344F4D" w:rsidRPr="004D4BFD">
        <w:rPr>
          <w:rFonts w:hint="eastAsia"/>
          <w:highlight w:val="lightGray"/>
        </w:rPr>
        <w:t xml:space="preserve">previously </w:t>
      </w:r>
      <w:r w:rsidR="009818F3" w:rsidRPr="004D4BFD">
        <w:rPr>
          <w:rFonts w:hint="eastAsia"/>
          <w:highlight w:val="lightGray"/>
        </w:rPr>
        <w:t xml:space="preserve">illustrated in </w:t>
      </w:r>
      <w:r w:rsidR="009810DC" w:rsidRPr="004D4BFD">
        <w:rPr>
          <w:rFonts w:hint="eastAsia"/>
          <w:b/>
          <w:bCs/>
          <w:highlight w:val="lightGray"/>
        </w:rPr>
        <w:t>Table2</w:t>
      </w:r>
      <w:r w:rsidR="009818F3" w:rsidRPr="004D4BFD">
        <w:rPr>
          <w:rFonts w:hint="eastAsia"/>
          <w:highlight w:val="lightGray"/>
        </w:rPr>
        <w:t xml:space="preserve"> and </w:t>
      </w:r>
      <w:r w:rsidR="009810DC" w:rsidRPr="004D4BFD">
        <w:rPr>
          <w:rFonts w:hint="eastAsia"/>
          <w:b/>
          <w:bCs/>
          <w:highlight w:val="lightGray"/>
        </w:rPr>
        <w:t>Figure 3</w:t>
      </w:r>
      <w:r w:rsidR="009810DC" w:rsidRPr="004D4BFD">
        <w:rPr>
          <w:rFonts w:hint="eastAsia"/>
          <w:highlight w:val="lightGray"/>
        </w:rPr>
        <w:t>)</w:t>
      </w:r>
      <w:r w:rsidR="004257A0" w:rsidRPr="004D4BFD">
        <w:rPr>
          <w:rFonts w:hint="eastAsia"/>
          <w:highlight w:val="lightGray"/>
        </w:rPr>
        <w:t>.</w:t>
      </w:r>
      <w:r w:rsidR="004257A0" w:rsidRPr="00097432">
        <w:rPr>
          <w:rFonts w:hint="eastAsia"/>
        </w:rPr>
        <w:t xml:space="preserve"> </w:t>
      </w:r>
    </w:p>
    <w:p w14:paraId="04F4F890" w14:textId="7715A553" w:rsidR="00A3640F" w:rsidRPr="004D4BFD" w:rsidRDefault="00A3640F" w:rsidP="00A3640F">
      <w:pPr>
        <w:pStyle w:val="Heading4"/>
        <w:rPr>
          <w:highlight w:val="lightGray"/>
        </w:rPr>
      </w:pPr>
      <w:r w:rsidRPr="004D4BFD">
        <w:rPr>
          <w:highlight w:val="lightGray"/>
        </w:rPr>
        <w:t>Efficiency and cost</w:t>
      </w:r>
      <w:r w:rsidR="00C20B98" w:rsidRPr="004D4BFD">
        <w:rPr>
          <w:rFonts w:hint="eastAsia"/>
          <w:highlight w:val="lightGray"/>
        </w:rPr>
        <w:t xml:space="preserve"> effectiveness</w:t>
      </w:r>
    </w:p>
    <w:p w14:paraId="589D4CBB" w14:textId="759E5675" w:rsidR="005D7F75" w:rsidRDefault="0026334F" w:rsidP="005D7F75">
      <w:pPr>
        <w:rPr>
          <w:color w:val="000000"/>
        </w:rPr>
      </w:pPr>
      <w:r w:rsidRPr="004D4BFD">
        <w:rPr>
          <w:rFonts w:hint="eastAsia"/>
          <w:highlight w:val="lightGray"/>
        </w:rPr>
        <w:t>C</w:t>
      </w:r>
      <w:r w:rsidR="00372943" w:rsidRPr="004D4BFD">
        <w:rPr>
          <w:rFonts w:hint="eastAsia"/>
          <w:highlight w:val="lightGray"/>
        </w:rPr>
        <w:t>ase</w:t>
      </w:r>
      <w:r w:rsidR="00A10060" w:rsidRPr="004D4BFD">
        <w:rPr>
          <w:rFonts w:hint="eastAsia"/>
          <w:highlight w:val="lightGray"/>
        </w:rPr>
        <w:t>s</w:t>
      </w:r>
      <w:r w:rsidR="00372943" w:rsidRPr="004D4BFD">
        <w:rPr>
          <w:rFonts w:hint="eastAsia"/>
          <w:highlight w:val="lightGray"/>
        </w:rPr>
        <w:t xml:space="preserve"> averted per </w:t>
      </w:r>
      <w:r w:rsidR="00B32D8B" w:rsidRPr="004D4BFD">
        <w:rPr>
          <w:rFonts w:hint="eastAsia"/>
          <w:highlight w:val="lightGray"/>
        </w:rPr>
        <w:t>1,000 OCVs</w:t>
      </w:r>
      <w:r w:rsidR="00372943" w:rsidRPr="004D4BFD">
        <w:rPr>
          <w:rFonts w:hint="eastAsia"/>
          <w:highlight w:val="lightGray"/>
        </w:rPr>
        <w:t xml:space="preserve"> (</w:t>
      </w:r>
      <w:r w:rsidR="00372943" w:rsidRPr="004D4BFD">
        <w:rPr>
          <w:rFonts w:hint="eastAsia"/>
          <w:b/>
          <w:bCs/>
          <w:highlight w:val="lightGray"/>
        </w:rPr>
        <w:t xml:space="preserve">Figure </w:t>
      </w:r>
      <w:r w:rsidR="003E19A6" w:rsidRPr="004D4BFD">
        <w:rPr>
          <w:rFonts w:hint="eastAsia"/>
          <w:b/>
          <w:bCs/>
          <w:highlight w:val="lightGray"/>
        </w:rPr>
        <w:t>5</w:t>
      </w:r>
      <w:r w:rsidR="00372943" w:rsidRPr="004D4BFD">
        <w:rPr>
          <w:rFonts w:hint="eastAsia"/>
          <w:b/>
          <w:bCs/>
          <w:highlight w:val="lightGray"/>
        </w:rPr>
        <w:t>D</w:t>
      </w:r>
      <w:r w:rsidR="00372943" w:rsidRPr="004D4BFD">
        <w:rPr>
          <w:rFonts w:hint="eastAsia"/>
          <w:highlight w:val="lightGray"/>
        </w:rPr>
        <w:t>)</w:t>
      </w:r>
      <w:r w:rsidRPr="004D4BFD">
        <w:rPr>
          <w:rFonts w:hint="eastAsia"/>
          <w:highlight w:val="lightGray"/>
        </w:rPr>
        <w:t xml:space="preserve"> tended to increase while the cost per case averted (</w:t>
      </w:r>
      <w:r w:rsidRPr="004D4BFD">
        <w:rPr>
          <w:rFonts w:hint="eastAsia"/>
          <w:b/>
          <w:bCs/>
          <w:highlight w:val="lightGray"/>
        </w:rPr>
        <w:t xml:space="preserve">Figure </w:t>
      </w:r>
      <w:r w:rsidR="003E19A6" w:rsidRPr="004D4BFD">
        <w:rPr>
          <w:rFonts w:hint="eastAsia"/>
          <w:b/>
          <w:bCs/>
          <w:highlight w:val="lightGray"/>
        </w:rPr>
        <w:t>5</w:t>
      </w:r>
      <w:r w:rsidRPr="004D4BFD">
        <w:rPr>
          <w:rFonts w:hint="eastAsia"/>
          <w:b/>
          <w:bCs/>
          <w:highlight w:val="lightGray"/>
        </w:rPr>
        <w:t>E</w:t>
      </w:r>
      <w:r w:rsidRPr="004D4BFD">
        <w:rPr>
          <w:rFonts w:hint="eastAsia"/>
          <w:highlight w:val="lightGray"/>
        </w:rPr>
        <w:t xml:space="preserve">) and the cost per DALY averted </w:t>
      </w:r>
      <w:r w:rsidR="00BD6493" w:rsidRPr="004D4BFD">
        <w:rPr>
          <w:rFonts w:hint="eastAsia"/>
          <w:highlight w:val="lightGray"/>
        </w:rPr>
        <w:t>(</w:t>
      </w:r>
      <w:r w:rsidR="00BD6493" w:rsidRPr="004D4BFD">
        <w:rPr>
          <w:rFonts w:hint="eastAsia"/>
          <w:b/>
          <w:bCs/>
          <w:highlight w:val="lightGray"/>
        </w:rPr>
        <w:t xml:space="preserve">Figure </w:t>
      </w:r>
      <w:r w:rsidR="003E19A6" w:rsidRPr="004D4BFD">
        <w:rPr>
          <w:rFonts w:hint="eastAsia"/>
          <w:b/>
          <w:bCs/>
          <w:highlight w:val="lightGray"/>
        </w:rPr>
        <w:t>5</w:t>
      </w:r>
      <w:r w:rsidR="00BD6493" w:rsidRPr="004D4BFD">
        <w:rPr>
          <w:rFonts w:hint="eastAsia"/>
          <w:b/>
          <w:bCs/>
          <w:highlight w:val="lightGray"/>
        </w:rPr>
        <w:t>F</w:t>
      </w:r>
      <w:r w:rsidR="00BD6493" w:rsidRPr="004D4BFD">
        <w:rPr>
          <w:rFonts w:hint="eastAsia"/>
          <w:highlight w:val="lightGray"/>
        </w:rPr>
        <w:t xml:space="preserve">) </w:t>
      </w:r>
      <w:r w:rsidRPr="004D4BFD">
        <w:rPr>
          <w:rFonts w:hint="eastAsia"/>
          <w:highlight w:val="lightGray"/>
        </w:rPr>
        <w:t xml:space="preserve">tended to </w:t>
      </w:r>
      <w:r w:rsidR="00534B1A" w:rsidRPr="004D4BFD">
        <w:rPr>
          <w:highlight w:val="lightGray"/>
        </w:rPr>
        <w:t>decrease</w:t>
      </w:r>
      <w:r w:rsidRPr="004D4BFD">
        <w:rPr>
          <w:rFonts w:hint="eastAsia"/>
          <w:highlight w:val="lightGray"/>
        </w:rPr>
        <w:t xml:space="preserve"> as the years went by and the number of OCV doses used increased. Also, variability</w:t>
      </w:r>
      <w:r w:rsidR="00BD6493" w:rsidRPr="004D4BFD">
        <w:rPr>
          <w:rFonts w:hint="eastAsia"/>
          <w:highlight w:val="lightGray"/>
        </w:rPr>
        <w:t xml:space="preserve"> in these metrics</w:t>
      </w:r>
      <w:r w:rsidRPr="004D4BFD">
        <w:rPr>
          <w:rFonts w:hint="eastAsia"/>
          <w:highlight w:val="lightGray"/>
        </w:rPr>
        <w:t xml:space="preserve"> decreased</w:t>
      </w:r>
      <w:r w:rsidR="00711225" w:rsidRPr="004D4BFD">
        <w:rPr>
          <w:highlight w:val="lightGray"/>
        </w:rPr>
        <w:t xml:space="preserve"> as the number of deployed</w:t>
      </w:r>
      <w:r w:rsidR="002B77C2" w:rsidRPr="004D4BFD">
        <w:rPr>
          <w:rFonts w:hint="eastAsia"/>
          <w:highlight w:val="lightGray"/>
        </w:rPr>
        <w:t xml:space="preserve"> </w:t>
      </w:r>
      <w:r w:rsidR="00265040" w:rsidRPr="004D4BFD">
        <w:rPr>
          <w:rFonts w:hint="eastAsia"/>
          <w:highlight w:val="lightGray"/>
        </w:rPr>
        <w:t>doses</w:t>
      </w:r>
      <w:r w:rsidR="00711225" w:rsidRPr="004D4BFD">
        <w:rPr>
          <w:highlight w:val="lightGray"/>
        </w:rPr>
        <w:t xml:space="preserve"> increased.</w:t>
      </w:r>
      <w:r w:rsidR="00B32D8B" w:rsidRPr="004D4BFD">
        <w:rPr>
          <w:rFonts w:hint="eastAsia"/>
          <w:highlight w:val="lightGray"/>
        </w:rPr>
        <w:t xml:space="preserve"> </w:t>
      </w:r>
      <w:r w:rsidR="00657355" w:rsidRPr="004D4BFD">
        <w:rPr>
          <w:rFonts w:hint="eastAsia"/>
          <w:highlight w:val="lightGray"/>
        </w:rPr>
        <w:t xml:space="preserve">By 2020, </w:t>
      </w:r>
      <w:r w:rsidR="00711225" w:rsidRPr="004D4BFD">
        <w:rPr>
          <w:rFonts w:hint="eastAsia"/>
          <w:highlight w:val="lightGray"/>
        </w:rPr>
        <w:t>the estimated c</w:t>
      </w:r>
      <w:r w:rsidR="00B32D8B" w:rsidRPr="004D4BFD">
        <w:rPr>
          <w:rFonts w:hint="eastAsia"/>
          <w:highlight w:val="lightGray"/>
        </w:rPr>
        <w:t xml:space="preserve">ase averted per 1,000 OCVs were </w:t>
      </w:r>
      <w:r w:rsidR="00547B10" w:rsidRPr="004D4BFD">
        <w:rPr>
          <w:highlight w:val="lightGray"/>
          <w:lang w:val="en-US"/>
        </w:rPr>
        <w:t>0.409 [IQR: 0.374 - 0.451]</w:t>
      </w:r>
      <w:r w:rsidR="00B32D8B" w:rsidRPr="004D4BFD">
        <w:rPr>
          <w:rFonts w:hint="eastAsia"/>
          <w:highlight w:val="lightGray"/>
        </w:rPr>
        <w:t>,</w:t>
      </w:r>
      <w:r w:rsidR="00B67AF4" w:rsidRPr="004D4BFD">
        <w:rPr>
          <w:rFonts w:hint="eastAsia"/>
          <w:highlight w:val="lightGray"/>
        </w:rPr>
        <w:t xml:space="preserve"> which could increase to</w:t>
      </w:r>
      <w:r w:rsidR="00B32D8B" w:rsidRPr="004D4BFD">
        <w:rPr>
          <w:rFonts w:hint="eastAsia"/>
          <w:highlight w:val="lightGray"/>
        </w:rPr>
        <w:t xml:space="preserve"> </w:t>
      </w:r>
      <w:r w:rsidR="00B67AF4" w:rsidRPr="004D4BFD">
        <w:rPr>
          <w:highlight w:val="lightGray"/>
        </w:rPr>
        <w:t>0.736 [IQR: 0.663 - 0.813]</w:t>
      </w:r>
      <w:r w:rsidR="00B67AF4" w:rsidRPr="004D4BFD">
        <w:rPr>
          <w:rFonts w:hint="eastAsia"/>
          <w:highlight w:val="lightGray"/>
        </w:rPr>
        <w:t xml:space="preserve"> if top quartile of outbreaks by duration are prioritized. These median values are substantially higher </w:t>
      </w:r>
      <w:r w:rsidR="00711225" w:rsidRPr="004D4BFD">
        <w:rPr>
          <w:rFonts w:hint="eastAsia"/>
          <w:highlight w:val="lightGray"/>
        </w:rPr>
        <w:t xml:space="preserve">than </w:t>
      </w:r>
      <w:r w:rsidR="00547B10" w:rsidRPr="004D4BFD">
        <w:rPr>
          <w:highlight w:val="lightGray"/>
          <w:lang w:val="en-US"/>
        </w:rPr>
        <w:t>0.151 [IQR: 0.013 - 0.892]</w:t>
      </w:r>
      <w:r w:rsidR="00CF1D2D" w:rsidRPr="004D4BFD">
        <w:rPr>
          <w:rFonts w:hint="eastAsia"/>
          <w:highlight w:val="lightGray"/>
          <w:lang w:val="en-US"/>
        </w:rPr>
        <w:t xml:space="preserve"> </w:t>
      </w:r>
      <w:r w:rsidR="00B32D8B" w:rsidRPr="004D4BFD">
        <w:rPr>
          <w:rFonts w:hint="eastAsia"/>
          <w:highlight w:val="lightGray"/>
          <w:lang w:val="en-US"/>
        </w:rPr>
        <w:t>per 1,000 OCVs</w:t>
      </w:r>
      <w:r w:rsidR="00711225" w:rsidRPr="004D4BFD">
        <w:rPr>
          <w:rFonts w:hint="eastAsia"/>
          <w:highlight w:val="lightGray"/>
          <w:lang w:val="en-US"/>
        </w:rPr>
        <w:t xml:space="preserve"> when</w:t>
      </w:r>
      <w:r w:rsidR="00A3640F" w:rsidRPr="004D4BFD">
        <w:rPr>
          <w:rFonts w:hint="eastAsia"/>
          <w:highlight w:val="lightGray"/>
          <w:lang w:val="en-US"/>
        </w:rPr>
        <w:t xml:space="preserve"> the estimate was </w:t>
      </w:r>
      <w:r w:rsidR="00662D4B" w:rsidRPr="004D4BFD">
        <w:rPr>
          <w:rFonts w:hint="eastAsia"/>
          <w:highlight w:val="lightGray"/>
          <w:lang w:val="en-US"/>
        </w:rPr>
        <w:t>e</w:t>
      </w:r>
      <w:r w:rsidR="00A3640F" w:rsidRPr="004D4BFD">
        <w:rPr>
          <w:rFonts w:hint="eastAsia"/>
          <w:highlight w:val="lightGray"/>
          <w:lang w:val="en-US"/>
        </w:rPr>
        <w:t xml:space="preserve">valuated at the individual outbreak level. </w:t>
      </w:r>
      <w:r w:rsidR="0047646C" w:rsidRPr="004D4BFD">
        <w:rPr>
          <w:rFonts w:hint="eastAsia"/>
          <w:highlight w:val="lightGray"/>
        </w:rPr>
        <w:t>T</w:t>
      </w:r>
      <w:r w:rsidR="00711225" w:rsidRPr="004D4BFD">
        <w:rPr>
          <w:rFonts w:hint="eastAsia"/>
          <w:highlight w:val="lightGray"/>
        </w:rPr>
        <w:t>he c</w:t>
      </w:r>
      <w:r w:rsidR="00B32D8B" w:rsidRPr="004D4BFD">
        <w:rPr>
          <w:rFonts w:hint="eastAsia"/>
          <w:highlight w:val="lightGray"/>
        </w:rPr>
        <w:t xml:space="preserve">ost per case averted were </w:t>
      </w:r>
      <w:r w:rsidR="00711225" w:rsidRPr="004D4BFD">
        <w:rPr>
          <w:highlight w:val="lightGray"/>
        </w:rPr>
        <w:t>US$</w:t>
      </w:r>
      <w:r w:rsidR="004632B6" w:rsidRPr="004D4BFD">
        <w:rPr>
          <w:rFonts w:hint="eastAsia"/>
          <w:highlight w:val="lightGray"/>
        </w:rPr>
        <w:t xml:space="preserve"> </w:t>
      </w:r>
      <w:r w:rsidR="00547B10" w:rsidRPr="004D4BFD">
        <w:rPr>
          <w:highlight w:val="lightGray"/>
          <w:lang w:val="en-US"/>
        </w:rPr>
        <w:t>9,035 [IQR: 8,142 - 9,945]</w:t>
      </w:r>
      <w:r w:rsidR="00B67AF4" w:rsidRPr="004D4BFD">
        <w:rPr>
          <w:rFonts w:hint="eastAsia"/>
          <w:highlight w:val="lightGray"/>
          <w:lang w:val="en-US"/>
        </w:rPr>
        <w:t>,which could be reduced to</w:t>
      </w:r>
      <w:r w:rsidR="00547B10" w:rsidRPr="004D4BFD">
        <w:rPr>
          <w:rFonts w:hint="eastAsia"/>
          <w:highlight w:val="lightGray"/>
          <w:lang w:val="en-US"/>
        </w:rPr>
        <w:t xml:space="preserve"> </w:t>
      </w:r>
      <w:r w:rsidR="00B67AF4" w:rsidRPr="004D4BFD">
        <w:rPr>
          <w:highlight w:val="lightGray"/>
          <w:lang w:val="en-US"/>
        </w:rPr>
        <w:t>4,498 [IQR: 4,017 - 5,054]</w:t>
      </w:r>
      <w:r w:rsidR="00B67AF4" w:rsidRPr="004D4BFD">
        <w:rPr>
          <w:rFonts w:hint="eastAsia"/>
          <w:highlight w:val="lightGray"/>
          <w:lang w:val="en-US"/>
        </w:rPr>
        <w:t xml:space="preserve"> if top quartile of outbreaks by duration are prioritized. These values again are </w:t>
      </w:r>
      <w:r w:rsidR="004632B6" w:rsidRPr="004D4BFD">
        <w:rPr>
          <w:rFonts w:hint="eastAsia"/>
          <w:highlight w:val="lightGray"/>
          <w:lang w:val="en-US"/>
        </w:rPr>
        <w:t xml:space="preserve">much lower than </w:t>
      </w:r>
      <w:r w:rsidR="0047646C" w:rsidRPr="004D4BFD">
        <w:rPr>
          <w:highlight w:val="lightGray"/>
        </w:rPr>
        <w:t>US$</w:t>
      </w:r>
      <w:r w:rsidR="0047646C" w:rsidRPr="004D4BFD">
        <w:rPr>
          <w:rFonts w:hint="eastAsia"/>
          <w:highlight w:val="lightGray"/>
        </w:rPr>
        <w:t xml:space="preserve"> </w:t>
      </w:r>
      <w:r w:rsidR="00547B10" w:rsidRPr="004D4BFD">
        <w:rPr>
          <w:highlight w:val="lightGray"/>
          <w:lang w:val="en-US"/>
        </w:rPr>
        <w:t>13,045 [IQR: 2,546 - 59,533]</w:t>
      </w:r>
      <w:r w:rsidR="00B67AF4" w:rsidRPr="004D4BFD">
        <w:rPr>
          <w:rFonts w:hint="eastAsia"/>
          <w:highlight w:val="lightGray"/>
          <w:lang w:val="en-US"/>
        </w:rPr>
        <w:t xml:space="preserve"> </w:t>
      </w:r>
      <w:r w:rsidR="00711225" w:rsidRPr="004D4BFD">
        <w:rPr>
          <w:highlight w:val="lightGray"/>
          <w:lang w:val="en-US"/>
        </w:rPr>
        <w:t>when evaluated for individual outbreaks</w:t>
      </w:r>
      <w:r w:rsidR="00E27257" w:rsidRPr="004D4BFD">
        <w:rPr>
          <w:highlight w:val="lightGray"/>
          <w:lang w:val="en-US"/>
        </w:rPr>
        <w:t xml:space="preserve"> </w:t>
      </w:r>
      <w:r w:rsidR="004632B6" w:rsidRPr="004D4BFD">
        <w:rPr>
          <w:rFonts w:hint="eastAsia"/>
          <w:highlight w:val="lightGray"/>
          <w:lang w:val="en-US"/>
        </w:rPr>
        <w:t>(</w:t>
      </w:r>
      <w:r w:rsidR="00B67AF4" w:rsidRPr="004D4BFD">
        <w:rPr>
          <w:rFonts w:hint="eastAsia"/>
          <w:highlight w:val="lightGray"/>
          <w:lang w:val="en-US"/>
        </w:rPr>
        <w:t xml:space="preserve">as previously shown in </w:t>
      </w:r>
      <w:r w:rsidR="00E27257" w:rsidRPr="004D4BFD">
        <w:rPr>
          <w:b/>
          <w:bCs/>
          <w:color w:val="000000"/>
          <w:highlight w:val="lightGray"/>
        </w:rPr>
        <w:t xml:space="preserve">Table </w:t>
      </w:r>
      <w:r w:rsidR="0085544E" w:rsidRPr="004D4BFD">
        <w:rPr>
          <w:rFonts w:hint="eastAsia"/>
          <w:b/>
          <w:bCs/>
          <w:color w:val="000000"/>
          <w:highlight w:val="lightGray"/>
        </w:rPr>
        <w:t>3</w:t>
      </w:r>
      <w:r w:rsidR="00E27257" w:rsidRPr="004D4BFD">
        <w:rPr>
          <w:color w:val="000000"/>
          <w:highlight w:val="lightGray"/>
        </w:rPr>
        <w:t>).</w:t>
      </w:r>
      <w:r w:rsidR="005D7F75" w:rsidRPr="004D4BFD">
        <w:rPr>
          <w:rFonts w:hint="eastAsia"/>
          <w:color w:val="000000"/>
          <w:highlight w:val="lightGray"/>
        </w:rPr>
        <w:t xml:space="preserve"> Similarly, the cost per DALY averted was </w:t>
      </w:r>
      <w:r w:rsidR="0047646C" w:rsidRPr="004D4BFD">
        <w:rPr>
          <w:highlight w:val="lightGray"/>
        </w:rPr>
        <w:t>US$</w:t>
      </w:r>
      <w:r w:rsidR="0047646C" w:rsidRPr="004D4BFD">
        <w:rPr>
          <w:rFonts w:hint="eastAsia"/>
          <w:highlight w:val="lightGray"/>
        </w:rPr>
        <w:t xml:space="preserve"> </w:t>
      </w:r>
      <w:r w:rsidR="00547B10" w:rsidRPr="004D4BFD">
        <w:rPr>
          <w:color w:val="000000"/>
          <w:highlight w:val="lightGray"/>
          <w:lang w:val="en-US"/>
        </w:rPr>
        <w:t>27,307 [IQR: 23,727 - 31,423]</w:t>
      </w:r>
      <w:r w:rsidR="0047646C" w:rsidRPr="004D4BFD">
        <w:rPr>
          <w:rFonts w:hint="eastAsia"/>
          <w:color w:val="000000"/>
          <w:highlight w:val="lightGray"/>
          <w:lang w:val="en-US"/>
        </w:rPr>
        <w:t xml:space="preserve">, </w:t>
      </w:r>
      <w:r w:rsidR="00B67AF4" w:rsidRPr="004D4BFD">
        <w:rPr>
          <w:rFonts w:hint="eastAsia"/>
          <w:color w:val="000000"/>
          <w:highlight w:val="lightGray"/>
          <w:lang w:val="en-US"/>
        </w:rPr>
        <w:t xml:space="preserve">which could decrease to </w:t>
      </w:r>
      <w:r w:rsidR="00B67AF4" w:rsidRPr="004D4BFD">
        <w:rPr>
          <w:highlight w:val="lightGray"/>
        </w:rPr>
        <w:t>US$</w:t>
      </w:r>
      <w:r w:rsidR="00B67AF4" w:rsidRPr="004D4BFD">
        <w:rPr>
          <w:rFonts w:hint="eastAsia"/>
          <w:highlight w:val="lightGray"/>
        </w:rPr>
        <w:t xml:space="preserve"> </w:t>
      </w:r>
      <w:r w:rsidR="00B67AF4" w:rsidRPr="004D4BFD">
        <w:rPr>
          <w:color w:val="000000"/>
          <w:highlight w:val="lightGray"/>
          <w:lang w:val="en-US"/>
        </w:rPr>
        <w:t>10,695 [IQR: 9,807 - 11,761]</w:t>
      </w:r>
      <w:r w:rsidR="00B67AF4" w:rsidRPr="004D4BFD">
        <w:rPr>
          <w:rFonts w:hint="eastAsia"/>
          <w:color w:val="000000"/>
          <w:highlight w:val="lightGray"/>
          <w:lang w:val="en-US"/>
        </w:rPr>
        <w:t xml:space="preserve"> when ORIs were prioritized to the top quartile of outbreak by duration. The median values are again</w:t>
      </w:r>
      <w:r w:rsidR="0047646C" w:rsidRPr="004D4BFD">
        <w:rPr>
          <w:rFonts w:hint="eastAsia"/>
          <w:color w:val="000000"/>
          <w:highlight w:val="lightGray"/>
          <w:lang w:val="en-US"/>
        </w:rPr>
        <w:t xml:space="preserve"> much lower than </w:t>
      </w:r>
      <w:r w:rsidR="0047646C" w:rsidRPr="004D4BFD">
        <w:rPr>
          <w:highlight w:val="lightGray"/>
        </w:rPr>
        <w:t>US$</w:t>
      </w:r>
      <w:r w:rsidR="0047646C" w:rsidRPr="004D4BFD">
        <w:rPr>
          <w:rFonts w:hint="eastAsia"/>
          <w:highlight w:val="lightGray"/>
        </w:rPr>
        <w:t xml:space="preserve"> </w:t>
      </w:r>
      <w:r w:rsidR="00547B10" w:rsidRPr="004D4BFD">
        <w:rPr>
          <w:color w:val="000000"/>
          <w:highlight w:val="lightGray"/>
          <w:lang w:val="en-US"/>
        </w:rPr>
        <w:t>1,744,390 [IQR: 11,650 - 40,068,121]</w:t>
      </w:r>
      <w:r w:rsidR="0047646C" w:rsidRPr="004D4BFD">
        <w:rPr>
          <w:highlight w:val="lightGray"/>
          <w:lang w:val="en-US"/>
        </w:rPr>
        <w:t xml:space="preserve"> when evaluated for individual outbreaks</w:t>
      </w:r>
      <w:r w:rsidR="0047646C" w:rsidRPr="004D4BFD">
        <w:rPr>
          <w:rFonts w:hint="eastAsia"/>
          <w:highlight w:val="lightGray"/>
          <w:lang w:val="en-US"/>
        </w:rPr>
        <w:t xml:space="preserve"> (</w:t>
      </w:r>
      <w:r w:rsidR="00B67AF4" w:rsidRPr="004D4BFD">
        <w:rPr>
          <w:rFonts w:hint="eastAsia"/>
          <w:highlight w:val="lightGray"/>
          <w:lang w:val="en-US"/>
        </w:rPr>
        <w:t xml:space="preserve">as </w:t>
      </w:r>
      <w:r w:rsidR="000D466C" w:rsidRPr="004D4BFD">
        <w:rPr>
          <w:rFonts w:hint="eastAsia"/>
          <w:highlight w:val="lightGray"/>
          <w:lang w:val="en-US"/>
        </w:rPr>
        <w:t xml:space="preserve">previously shown in </w:t>
      </w:r>
      <w:r w:rsidR="00B61FF5" w:rsidRPr="004D4BFD">
        <w:rPr>
          <w:rFonts w:hint="eastAsia"/>
          <w:b/>
          <w:bCs/>
          <w:color w:val="000000"/>
          <w:highlight w:val="lightGray"/>
        </w:rPr>
        <w:t>Ta</w:t>
      </w:r>
      <w:r w:rsidR="0047646C" w:rsidRPr="004D4BFD">
        <w:rPr>
          <w:b/>
          <w:bCs/>
          <w:color w:val="000000"/>
          <w:highlight w:val="lightGray"/>
        </w:rPr>
        <w:t xml:space="preserve">ble </w:t>
      </w:r>
      <w:r w:rsidR="0085544E" w:rsidRPr="004D4BFD">
        <w:rPr>
          <w:rFonts w:hint="eastAsia"/>
          <w:b/>
          <w:bCs/>
          <w:color w:val="000000"/>
          <w:highlight w:val="lightGray"/>
        </w:rPr>
        <w:t>3</w:t>
      </w:r>
      <w:r w:rsidR="0047646C" w:rsidRPr="004D4BFD">
        <w:rPr>
          <w:color w:val="000000"/>
          <w:highlight w:val="lightGray"/>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164EFFE5" w14:textId="77777777" w:rsidR="008771FC" w:rsidRDefault="002063E9" w:rsidP="000F37C7">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OCVs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ORI is critical: the median percentage reduction in cases declined from </w:t>
      </w:r>
      <w:r w:rsidR="00364F26" w:rsidRPr="0081024F">
        <w:rPr>
          <w:highlight w:val="yellow"/>
        </w:rPr>
        <w:t>70.</w:t>
      </w:r>
      <w:r w:rsidR="00004374">
        <w:rPr>
          <w:rFonts w:hint="eastAsia"/>
          <w:highlight w:val="yellow"/>
        </w:rPr>
        <w:t>0</w:t>
      </w:r>
      <w:r w:rsidR="00364F26" w:rsidRPr="0081024F">
        <w:rPr>
          <w:highlight w:val="yellow"/>
        </w:rPr>
        <w:t xml:space="preserve">% to </w:t>
      </w:r>
      <w:r w:rsidR="00004374">
        <w:rPr>
          <w:rFonts w:hint="eastAsia"/>
          <w:highlight w:val="yellow"/>
        </w:rPr>
        <w:t>7</w:t>
      </w:r>
      <w:r w:rsidR="00364F26" w:rsidRPr="0081024F">
        <w:rPr>
          <w:highlight w:val="yellow"/>
        </w:rPr>
        <w:t>.</w:t>
      </w:r>
      <w:r w:rsidR="00004374">
        <w:rPr>
          <w:rFonts w:hint="eastAsia"/>
          <w:highlight w:val="yellow"/>
        </w:rPr>
        <w:t>8</w:t>
      </w:r>
      <w:r w:rsidR="00364F26" w:rsidRPr="0081024F">
        <w:rPr>
          <w:highlight w:val="yellow"/>
        </w:rPr>
        <w:t>%</w:t>
      </w:r>
      <w:r w:rsidR="00364F26" w:rsidRPr="00097432">
        <w:t xml:space="preserve"> when ORI was delayed from week 1 to week 9. This corresponds to a</w:t>
      </w:r>
      <w:r w:rsidR="00004374">
        <w:rPr>
          <w:rFonts w:hint="eastAsia"/>
        </w:rPr>
        <w:t>pproximately</w:t>
      </w:r>
      <w:r w:rsidR="00364F26" w:rsidRPr="00097432">
        <w:t xml:space="preserve"> </w:t>
      </w:r>
      <w:r w:rsidR="00364F26" w:rsidRPr="0081024F">
        <w:rPr>
          <w:highlight w:val="yellow"/>
        </w:rPr>
        <w:t>1</w:t>
      </w:r>
      <w:r w:rsidR="0081024F">
        <w:rPr>
          <w:rFonts w:hint="eastAsia"/>
          <w:highlight w:val="yellow"/>
        </w:rPr>
        <w:t>5</w:t>
      </w:r>
      <w:r w:rsidR="00004374">
        <w:rPr>
          <w:rFonts w:hint="eastAsia"/>
          <w:highlight w:val="yellow"/>
        </w:rPr>
        <w:t>.3</w:t>
      </w:r>
      <w:r w:rsidR="00364F26" w:rsidRPr="0081024F">
        <w:rPr>
          <w:highlight w:val="yellow"/>
        </w:rPr>
        <w:t>%</w:t>
      </w:r>
      <w:r w:rsidR="00364F26" w:rsidRPr="00097432">
        <w:t xml:space="preserve"> reduction in </w:t>
      </w:r>
      <w:r w:rsidR="00F031EA">
        <w:rPr>
          <w:rFonts w:hint="eastAsia"/>
        </w:rPr>
        <w:t xml:space="preserve">case averted </w:t>
      </w:r>
      <w:r w:rsidR="00353A49" w:rsidRPr="00097432">
        <w:t>per week of delay in vaccination</w:t>
      </w:r>
      <w:r w:rsidR="00364F26" w:rsidRPr="00097432">
        <w:t xml:space="preserve">, with the benefit halving approximately every </w:t>
      </w:r>
      <w:r w:rsidR="00004374">
        <w:rPr>
          <w:rFonts w:hint="eastAsia"/>
        </w:rPr>
        <w:t>4</w:t>
      </w:r>
      <w:r w:rsidR="0081024F" w:rsidRPr="0081024F">
        <w:rPr>
          <w:rFonts w:hint="eastAsia"/>
          <w:highlight w:val="yellow"/>
        </w:rPr>
        <w:t>.</w:t>
      </w:r>
      <w:r w:rsidR="00004374">
        <w:rPr>
          <w:rFonts w:hint="eastAsia"/>
          <w:highlight w:val="yellow"/>
        </w:rPr>
        <w:t>2</w:t>
      </w:r>
      <w:r w:rsidR="00364F26" w:rsidRPr="00097432">
        <w:t xml:space="preserve"> weeks.</w:t>
      </w:r>
      <w:r w:rsidR="00F031EA" w:rsidRPr="00F031EA">
        <w:t xml:space="preserve"> </w:t>
      </w:r>
      <w:r w:rsidR="00F031EA" w:rsidRPr="00F031EA">
        <w:t xml:space="preserve">Vaccine efficiency showed a similar decline, dropping from roughly </w:t>
      </w:r>
      <w:r w:rsidR="00F031EA" w:rsidRPr="00004374">
        <w:rPr>
          <w:highlight w:val="yellow"/>
        </w:rPr>
        <w:t>0.7</w:t>
      </w:r>
      <w:r w:rsidR="00F031EA" w:rsidRPr="00F031EA">
        <w:t xml:space="preserve"> to </w:t>
      </w:r>
      <w:r w:rsidR="00F031EA" w:rsidRPr="00004374">
        <w:rPr>
          <w:highlight w:val="yellow"/>
        </w:rPr>
        <w:t>0.1</w:t>
      </w:r>
      <w:r w:rsidR="00F031EA" w:rsidRPr="00F031EA">
        <w:t xml:space="preserve"> cases averted per 1,000 vaccinated persons over the same delay interval.</w:t>
      </w:r>
      <w:r w:rsidR="00F031EA">
        <w:rPr>
          <w:rFonts w:hint="eastAsia"/>
        </w:rPr>
        <w:t xml:space="preserve"> </w:t>
      </w:r>
    </w:p>
    <w:p w14:paraId="1161E4EF" w14:textId="77777777" w:rsidR="008771FC" w:rsidRDefault="008771FC" w:rsidP="000F37C7"/>
    <w:p w14:paraId="1BD94316" w14:textId="70765A2D" w:rsidR="008771FC" w:rsidRPr="00097432" w:rsidRDefault="008771FC" w:rsidP="008771FC">
      <w:r w:rsidRPr="00097432">
        <w:t xml:space="preserve">Our findings </w:t>
      </w:r>
      <w:r>
        <w:rPr>
          <w:rFonts w:hint="eastAsia"/>
        </w:rPr>
        <w:t xml:space="preserve">also </w:t>
      </w:r>
      <w:r w:rsidRPr="00097432">
        <w:t xml:space="preserve">highlight that </w:t>
      </w:r>
      <w:r>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Pr>
          <w:rFonts w:hint="eastAsia"/>
        </w:rPr>
        <w:t xml:space="preserve"> (approximately </w:t>
      </w:r>
      <w:r w:rsidR="00637815" w:rsidRPr="00CC2462">
        <w:t>2</w:t>
      </w:r>
      <w:r w:rsidR="00637815">
        <w:rPr>
          <w:rFonts w:hint="eastAsia"/>
        </w:rPr>
        <w:t>2</w:t>
      </w:r>
      <w:r w:rsidR="00637815" w:rsidRPr="00CC2462">
        <w:t>.</w:t>
      </w:r>
      <w:r w:rsidR="00637815">
        <w:rPr>
          <w:rFonts w:hint="eastAsia"/>
        </w:rPr>
        <w:t xml:space="preserve">8%) </w:t>
      </w:r>
      <w:r>
        <w:rPr>
          <w:rFonts w:hint="eastAsia"/>
        </w:rPr>
        <w:t>achieved by an ORI with 5-week delay across all outbreaks</w:t>
      </w:r>
      <w:r w:rsidR="00637815">
        <w:rPr>
          <w:rFonts w:hint="eastAsia"/>
        </w:rPr>
        <w:t xml:space="preserve"> </w:t>
      </w:r>
      <w:r>
        <w:rPr>
          <w:rFonts w:hint="eastAsia"/>
        </w:rPr>
        <w:t>is comparable to that of a 13-week delay in outbreaks in the top quartile by duration (</w:t>
      </w:r>
      <w:r w:rsidRPr="00CC2462">
        <w:t>2</w:t>
      </w:r>
      <w:r w:rsidR="00055F7A">
        <w:rPr>
          <w:rFonts w:hint="eastAsia"/>
        </w:rPr>
        <w:t>3</w:t>
      </w:r>
      <w:r w:rsidRPr="00CC2462">
        <w:t>.</w:t>
      </w:r>
      <w:r w:rsidR="00055F7A">
        <w:rPr>
          <w:rFonts w:hint="eastAsia"/>
        </w:rPr>
        <w:t>3</w:t>
      </w:r>
      <w:r>
        <w:rPr>
          <w:rFonts w:hint="eastAsia"/>
        </w:rPr>
        <w:t>%)</w:t>
      </w:r>
      <w:r w:rsidRPr="00097432">
        <w:t>.</w:t>
      </w:r>
      <w:r w:rsidR="00637815">
        <w:rPr>
          <w:rFonts w:hint="eastAsia"/>
        </w:rPr>
        <w:t xml:space="preserve"> Similarly, OCV efficiency was 0.2 for a</w:t>
      </w:r>
      <w:r w:rsidR="00637815">
        <w:rPr>
          <w:rFonts w:hint="eastAsia"/>
        </w:rPr>
        <w:t>n ORI with 5-week delay across all outbreaks</w:t>
      </w:r>
      <w:r w:rsidR="00637815">
        <w:rPr>
          <w:rFonts w:hint="eastAsia"/>
        </w:rPr>
        <w:t xml:space="preserve"> whereas it was 0.5 </w:t>
      </w:r>
      <w:r w:rsidR="00637815">
        <w:rPr>
          <w:rFonts w:hint="eastAsia"/>
        </w:rPr>
        <w:t xml:space="preserve">in the top quartile by </w:t>
      </w:r>
      <w:r w:rsidR="00637815">
        <w:rPr>
          <w:rFonts w:hint="eastAsia"/>
        </w:rPr>
        <w:t>AR.</w:t>
      </w:r>
      <w:r w:rsidRPr="00097432">
        <w:t xml:space="preserve"> This underscores the value of strategic prioritization: </w:t>
      </w:r>
      <w:r>
        <w:rPr>
          <w:rFonts w:hint="eastAsia"/>
        </w:rPr>
        <w:t xml:space="preserve">directing limited OCV supplies to outbreaks with </w:t>
      </w:r>
      <w:r w:rsidRPr="00097432">
        <w:t>a higher likelihood of being large</w:t>
      </w:r>
      <w:r w:rsidR="00637815">
        <w:rPr>
          <w:rFonts w:hint="eastAsia"/>
        </w:rPr>
        <w:t>,</w:t>
      </w:r>
      <w:r w:rsidRPr="00097432">
        <w:t xml:space="preserve"> prolonged</w:t>
      </w:r>
      <w:r w:rsidR="00637815">
        <w:rPr>
          <w:rFonts w:hint="eastAsia"/>
        </w:rPr>
        <w:t>, or high AR</w:t>
      </w:r>
      <w:r w:rsidRPr="00097432">
        <w:t xml:space="preserve"> can significantly amplify the overall effect</w:t>
      </w:r>
      <w:r w:rsidR="00637815">
        <w:rPr>
          <w:rFonts w:hint="eastAsia"/>
        </w:rPr>
        <w:t xml:space="preserve"> and efficiency</w:t>
      </w:r>
      <w:r w:rsidRPr="00097432">
        <w:t xml:space="preserve"> of ORIs. While </w:t>
      </w:r>
      <w:r>
        <w:rPr>
          <w:rFonts w:hint="eastAsia"/>
        </w:rPr>
        <w:t xml:space="preserve">this approach </w:t>
      </w:r>
      <w:r w:rsidRPr="00097432">
        <w:t>assumes an idealized ability to predict outbreak size</w:t>
      </w:r>
      <w:r w:rsidR="00637815">
        <w:rPr>
          <w:rFonts w:hint="eastAsia"/>
        </w:rPr>
        <w:t xml:space="preserve"> or duration</w:t>
      </w:r>
      <w:r w:rsidRPr="00097432">
        <w:t xml:space="preserve"> at the time of response, such prediction may be partially feasible using known risk factors—such as environmental indicators, socioeconomic conditions (e.g., poverty, literacy, healthcare access), and WASH infrastructure.</w:t>
      </w:r>
      <w:r w:rsidRPr="00097432">
        <w:fldChar w:fldCharType="begin"/>
      </w:r>
      <w:r>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Pr>
          <w:rFonts w:ascii="Arial" w:hAnsi="Arial"/>
        </w:rPr>
        <w:instrText> </w:instrText>
      </w:r>
      <w:r>
        <w:instrText>941 cholera cases were notified to the surveillance system in Mozambique. Risk of cholera increased with higher monthly mean temperatures above 24</w:instrText>
      </w:r>
      <w:r>
        <w:rPr>
          <w:rFonts w:cs="Aptos"/>
        </w:rPr>
        <w:instrText>°</w:instrText>
      </w:r>
      <w:r>
        <w:instrText>C in comparison to the reference mean temperature of 23</w:instrText>
      </w:r>
      <w:r>
        <w:rPr>
          <w:rFonts w:cs="Aptos"/>
        </w:rPr>
        <w:instrText>°</w:instrText>
      </w:r>
      <w:r>
        <w:instrText>C. At mean temperature of 19</w:instrText>
      </w:r>
      <w:r>
        <w:rPr>
          <w:rFonts w:cs="Aptos"/>
        </w:rPr>
        <w:instrText>°</w:instrText>
      </w:r>
      <w:r>
        <w:instrText>C, cholera risk was higher at a lag of 5</w:instrText>
      </w:r>
      <w:r>
        <w:rPr>
          <w:rFonts w:cs="Aptos"/>
        </w:rPr>
        <w:instrText>–</w:instrText>
      </w:r>
      <w:r>
        <w:instrText>6 months. At a shorter lag of 1</w:instrText>
      </w:r>
      <w:r>
        <w:rPr>
          <w:rFonts w:ascii="Arial" w:hAnsi="Arial"/>
        </w:rPr>
        <w:instrText> </w:instrText>
      </w:r>
      <w:r>
        <w:instrText>month, precipitation of 223.3</w:instrText>
      </w:r>
      <w:r>
        <w:rPr>
          <w:rFonts w:ascii="Arial" w:hAnsi="Arial"/>
        </w:rPr>
        <w:instrText> </w:instrText>
      </w:r>
      <w:r>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Pr>
          <w:rFonts w:ascii="Arial" w:hAnsi="Arial"/>
        </w:rPr>
        <w:instrText> </w:instrText>
      </w:r>
      <w:r>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097432">
        <w:fldChar w:fldCharType="separate"/>
      </w:r>
      <w:r w:rsidRPr="00492FC8">
        <w:rPr>
          <w:rFonts w:cs="Times New Roman"/>
          <w:vertAlign w:val="superscript"/>
        </w:rPr>
        <w:t>19,71–74</w:t>
      </w:r>
      <w:r w:rsidRPr="00097432">
        <w:fldChar w:fldCharType="end"/>
      </w:r>
      <w:r w:rsidRPr="00097432">
        <w:t xml:space="preserve"> These proxies can help guide the allocation of limited OCV supplies toward outbreaks with the greatest potential for impact</w:t>
      </w:r>
      <w:r w:rsidR="00637815">
        <w:rPr>
          <w:rFonts w:hint="eastAsia"/>
        </w:rPr>
        <w:t xml:space="preserve"> and efficiency</w:t>
      </w:r>
      <w:r w:rsidRPr="00097432">
        <w:t>. Prioritizing high-risk geographic areas has similarly been shown to improve the effectiveness and efficiency of OCV campaigns in sub-Saharan Africa.</w:t>
      </w:r>
      <w:r w:rsidRPr="00097432">
        <w:fldChar w:fldCharType="begin"/>
      </w:r>
      <w:r>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097432">
        <w:fldChar w:fldCharType="separate"/>
      </w:r>
      <w:r w:rsidRPr="00492FC8">
        <w:rPr>
          <w:rFonts w:cs="Times New Roman"/>
          <w:vertAlign w:val="superscript"/>
        </w:rPr>
        <w:t>75</w:t>
      </w:r>
      <w:r w:rsidRPr="00097432">
        <w:fldChar w:fldCharType="end"/>
      </w:r>
      <w:r w:rsidRPr="00097432">
        <w:t xml:space="preserve"> In addition,</w:t>
      </w:r>
      <w:r w:rsidRPr="00097432">
        <w:rPr>
          <w:rFonts w:hint="eastAsia"/>
        </w:rPr>
        <w:t xml:space="preserve"> highly targeted interventions such as</w:t>
      </w:r>
      <w:r w:rsidRPr="00097432">
        <w:t xml:space="preserve"> </w:t>
      </w:r>
      <w:r w:rsidRPr="00097432">
        <w:lastRenderedPageBreak/>
        <w:t>case-area targeted interventions have demonstrated enhanced OCV efficiency.</w:t>
      </w:r>
      <w:r w:rsidRPr="00097432">
        <w:fldChar w:fldCharType="begin"/>
      </w:r>
      <w:r>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097432">
        <w:fldChar w:fldCharType="separate"/>
      </w:r>
      <w:r w:rsidRPr="00097432">
        <w:rPr>
          <w:vertAlign w:val="superscript"/>
        </w:rPr>
        <w:t>1</w:t>
      </w:r>
      <w:r w:rsidRPr="00097432">
        <w:fldChar w:fldCharType="end"/>
      </w:r>
      <w:r w:rsidRPr="00097432">
        <w:t xml:space="preserve"> As predictive models </w:t>
      </w:r>
      <w:r>
        <w:rPr>
          <w:rFonts w:hint="eastAsia"/>
        </w:rPr>
        <w:t xml:space="preserve">and surveillance systems </w:t>
      </w:r>
      <w:r w:rsidRPr="00097432">
        <w:t xml:space="preserve">continue to improve, the </w:t>
      </w:r>
      <w:r>
        <w:rPr>
          <w:rFonts w:hint="eastAsia"/>
        </w:rPr>
        <w:t xml:space="preserve">capacity </w:t>
      </w:r>
      <w:r w:rsidRPr="00097432">
        <w:t>to forecast outbreak characteristics in real time will support more effective and targeted vaccination strategies.</w:t>
      </w:r>
    </w:p>
    <w:p w14:paraId="54F80394" w14:textId="77777777" w:rsidR="00210D07" w:rsidRDefault="00210D07" w:rsidP="00210D07"/>
    <w:p w14:paraId="598A9BA7" w14:textId="764BCCAD" w:rsidR="00210D07" w:rsidRDefault="00210D07" w:rsidP="00210D07">
      <w:pPr>
        <w:rPr>
          <w:lang w:val="en-US"/>
        </w:rPr>
      </w:pPr>
      <w:r>
        <w:rPr>
          <w:rFonts w:hint="eastAsia"/>
        </w:rPr>
        <w:t xml:space="preserve">Our studies also illustrate that the prioritizing outbreaks that can produce high impact and efficiency is also as critical as reducing the delay in ORI implementation, which </w:t>
      </w:r>
      <w:r>
        <w:t>manifested</w:t>
      </w:r>
      <w:r>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9422AF">
        <w:rPr>
          <w:lang w:val="en-US"/>
        </w:rPr>
        <w:t>27.5</w:t>
      </w:r>
      <w:r>
        <w:rPr>
          <w:rFonts w:hint="eastAsia"/>
          <w:lang w:val="en-US"/>
        </w:rPr>
        <w:t xml:space="preserve"> and 144 at ORI implemented at week 9 and 1, respectively. </w:t>
      </w:r>
    </w:p>
    <w:p w14:paraId="172C8DBC" w14:textId="77777777" w:rsidR="00210D07" w:rsidRDefault="00210D07" w:rsidP="00210D07"/>
    <w:p w14:paraId="5109B5E4" w14:textId="51FEA9A6" w:rsidR="000F37C7" w:rsidRPr="00097432" w:rsidRDefault="00210D07" w:rsidP="00210D07">
      <w:pPr>
        <w:rPr>
          <w:lang w:val="en-US"/>
        </w:rPr>
      </w:pPr>
      <w:r>
        <w:t>O</w:t>
      </w:r>
      <w:r>
        <w:rPr>
          <w:rFonts w:hint="eastAsia"/>
        </w:rPr>
        <w:t>ur stud</w:t>
      </w:r>
      <w:r>
        <w:rPr>
          <w:rFonts w:hint="eastAsia"/>
        </w:rPr>
        <w:t>y</w:t>
      </w:r>
      <w:r>
        <w:rPr>
          <w:rFonts w:hint="eastAsia"/>
        </w:rPr>
        <w:t xml:space="preserve"> also illustrate </w:t>
      </w:r>
      <w:r>
        <w:t>the</w:t>
      </w:r>
      <w:r>
        <w:rPr>
          <w:rFonts w:hint="eastAsia"/>
        </w:rPr>
        <w:t xml:space="preserve"> median impact at the individual level does not translate </w:t>
      </w:r>
      <w:r>
        <w:t>t</w:t>
      </w:r>
      <w:r>
        <w:rPr>
          <w:rFonts w:hint="eastAsia"/>
        </w:rPr>
        <w:t xml:space="preserve">o the overall impact if multiple outbreaks of different characteristics are targeted over time. </w:t>
      </w:r>
      <w:r>
        <w:rPr>
          <w:rFonts w:hint="eastAsia"/>
        </w:rPr>
        <w:t>T</w:t>
      </w:r>
      <w:r w:rsidR="007D4AF8">
        <w:rPr>
          <w:rFonts w:hint="eastAsia"/>
        </w:rPr>
        <w:t xml:space="preserve">argeting outbreaks repeatedly eventually ran across </w:t>
      </w:r>
      <w:r w:rsidR="00F031EA" w:rsidRPr="00F031EA">
        <w:t>large, long-lasting</w:t>
      </w:r>
      <w:r w:rsidR="00F031EA">
        <w:rPr>
          <w:rFonts w:hint="eastAsia"/>
        </w:rPr>
        <w:t>, and high AR</w:t>
      </w:r>
      <w:r w:rsidR="00F031EA" w:rsidRPr="00F031EA">
        <w:t xml:space="preserve"> outbreaks</w:t>
      </w:r>
      <w:r w:rsidR="007D4AF8">
        <w:rPr>
          <w:rFonts w:hint="eastAsia"/>
        </w:rPr>
        <w:t>, which tend to produce higher impact and efficiency,</w:t>
      </w:r>
      <w:r w:rsidR="00F031EA" w:rsidRPr="00F031EA">
        <w:t xml:space="preserve"> contribute disproportionately to </w:t>
      </w:r>
      <w:r w:rsidR="007D4AF8">
        <w:rPr>
          <w:rFonts w:hint="eastAsia"/>
        </w:rPr>
        <w:t>the overall impact</w:t>
      </w:r>
      <w:r w:rsidR="00F031EA" w:rsidRPr="00F031EA">
        <w:t>.</w:t>
      </w:r>
      <w:r w:rsidR="00F031EA" w:rsidRPr="00F031EA">
        <w:t xml:space="preserve"> </w:t>
      </w:r>
      <w:r w:rsidR="007D4AF8">
        <w:rPr>
          <w:rFonts w:hint="eastAsia"/>
        </w:rPr>
        <w:t xml:space="preserve">Assuming </w:t>
      </w:r>
      <w:r w:rsidR="00F031EA" w:rsidRPr="00F031EA">
        <w:t xml:space="preserve">200 million OCV doses—comparable to the total stockpile deployed globally between 2013 and 2024—our model estimated </w:t>
      </w:r>
      <w:r w:rsidR="007D4AF8">
        <w:rPr>
          <w:rFonts w:hint="eastAsia"/>
        </w:rPr>
        <w:t xml:space="preserve">around median </w:t>
      </w:r>
      <w:r w:rsidR="007D4AF8" w:rsidRPr="007D4AF8">
        <w:rPr>
          <w:lang w:val="en-US"/>
        </w:rPr>
        <w:t>0.4</w:t>
      </w:r>
      <w:r w:rsidR="007D4AF8">
        <w:rPr>
          <w:rFonts w:hint="eastAsia"/>
          <w:lang w:val="en-US"/>
        </w:rPr>
        <w:t xml:space="preserve"> cases (compared to </w:t>
      </w:r>
      <w:r w:rsidR="007D4AF8">
        <w:rPr>
          <w:lang w:val="en-US"/>
        </w:rPr>
        <w:t>approximately</w:t>
      </w:r>
      <w:r w:rsidR="007D4AF8">
        <w:rPr>
          <w:rFonts w:hint="eastAsia"/>
          <w:lang w:val="en-US"/>
        </w:rPr>
        <w:t xml:space="preserve"> 0.1 at the individual outbreak level). With prioritization in favor of attack rates, our model estimated u</w:t>
      </w:r>
      <w:r w:rsidR="00F031EA" w:rsidRPr="00F031EA">
        <w:t xml:space="preserve">p to </w:t>
      </w:r>
      <w:r w:rsidR="00F031EA" w:rsidRPr="008771FC">
        <w:rPr>
          <w:highlight w:val="yellow"/>
        </w:rPr>
        <w:t>420,000</w:t>
      </w:r>
      <w:r w:rsidR="00F031EA" w:rsidRPr="00F031EA">
        <w:t xml:space="preserve"> cases averted when vaccination was initiated </w:t>
      </w:r>
      <w:r w:rsidR="008771FC">
        <w:rPr>
          <w:rFonts w:hint="eastAsia"/>
        </w:rPr>
        <w:t>at</w:t>
      </w:r>
      <w:r w:rsidR="00F031EA" w:rsidRPr="00F031EA">
        <w:t xml:space="preserve"> week 1, equivalent to approximately </w:t>
      </w:r>
      <w:r w:rsidR="00F031EA" w:rsidRPr="008771FC">
        <w:rPr>
          <w:highlight w:val="yellow"/>
        </w:rPr>
        <w:t>2.1</w:t>
      </w:r>
      <w:r w:rsidR="00F031EA" w:rsidRPr="00F031EA">
        <w:t xml:space="preserve"> cases averted per 1,000 doses administered.</w:t>
      </w:r>
    </w:p>
    <w:p w14:paraId="03E30C08" w14:textId="77777777" w:rsidR="003E7E81" w:rsidRPr="00097432" w:rsidRDefault="003E7E81" w:rsidP="00F57F15"/>
    <w:p w14:paraId="0558AC23" w14:textId="7DEF028D" w:rsidR="005C75E1" w:rsidRPr="00097432" w:rsidRDefault="00210D07" w:rsidP="00F57F15">
      <w:r>
        <w:rPr>
          <w:rFonts w:hint="eastAsia"/>
        </w:rPr>
        <w:t>While estimates from previous studies are quite diverse, o</w:t>
      </w:r>
      <w:r w:rsidR="006677A0">
        <w:rPr>
          <w:rFonts w:hint="eastAsia"/>
        </w:rPr>
        <w:t xml:space="preserve">ur estimates for the impact, efficiency, and cost effectiveness </w:t>
      </w:r>
      <w:r>
        <w:rPr>
          <w:rFonts w:hint="eastAsia"/>
        </w:rPr>
        <w:t xml:space="preserve">appear </w:t>
      </w:r>
      <w:r w:rsidR="00B62880">
        <w:rPr>
          <w:rFonts w:hint="eastAsia"/>
        </w:rPr>
        <w:t xml:space="preserve">comparable to </w:t>
      </w:r>
      <w:r>
        <w:rPr>
          <w:rFonts w:hint="eastAsia"/>
        </w:rPr>
        <w:t>existing estimates</w:t>
      </w:r>
      <w:r w:rsidR="006677A0">
        <w:rPr>
          <w:rFonts w:hint="eastAsia"/>
        </w:rPr>
        <w:t xml:space="preserve"> and </w:t>
      </w:r>
      <w:r>
        <w:rPr>
          <w:rFonts w:hint="eastAsia"/>
        </w:rPr>
        <w:t xml:space="preserve">we believe that our estimates </w:t>
      </w:r>
      <w:r w:rsidR="006677A0">
        <w:rPr>
          <w:rFonts w:hint="eastAsia"/>
        </w:rPr>
        <w:t>provide more realistic versions</w:t>
      </w:r>
      <w:r w:rsidR="00B62880">
        <w:rPr>
          <w:rFonts w:hint="eastAsia"/>
        </w:rPr>
        <w:t xml:space="preserve">. </w:t>
      </w:r>
      <w:r w:rsidR="00A21D3A" w:rsidRPr="00097432">
        <w:rPr>
          <w:rFonts w:hint="eastAsia"/>
        </w:rPr>
        <w:t>In contrast to our extensive dataset, m</w:t>
      </w:r>
      <w:r w:rsidR="00A21D3A" w:rsidRPr="00097432">
        <w:t>ost previous studies assessing OCV impact during or prior to cholera outbreaks have focused on single outbreaks or a small number of large-scale events</w:t>
      </w:r>
      <w:r w:rsidR="00A21D3A" w:rsidRPr="00097432">
        <w:rPr>
          <w:rFonts w:hint="eastAsia"/>
        </w:rPr>
        <w:t>.</w:t>
      </w:r>
      <w:r w:rsidR="005C75E1" w:rsidRPr="00097432">
        <w:rPr>
          <w:vertAlign w:val="superscript"/>
        </w:rPr>
        <w:fldChar w:fldCharType="begin"/>
      </w:r>
      <w:r w:rsidR="00492FC8">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492FC8" w:rsidRPr="00492FC8">
        <w:rPr>
          <w:rFonts w:cs="Times New Roman"/>
          <w:vertAlign w:val="superscript"/>
        </w:rPr>
        <w:t>1–4,6–8,10,16,76</w:t>
      </w:r>
      <w:r w:rsidR="005C75E1" w:rsidRPr="00097432">
        <w:rPr>
          <w:vertAlign w:val="superscript"/>
        </w:rPr>
        <w:fldChar w:fldCharType="end"/>
      </w:r>
      <w:r w:rsidR="005C75E1" w:rsidRPr="00097432">
        <w:t xml:space="preserve">. </w:t>
      </w:r>
      <w:r w:rsidR="00A16201" w:rsidRPr="00097432">
        <w:t xml:space="preserve">For example, a preemptive vaccination campaign in Matlab, Bangladesh with 50% coverage </w:t>
      </w:r>
      <w:r w:rsidR="00A16201" w:rsidRPr="00097432">
        <w:lastRenderedPageBreak/>
        <w:t>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492FC8">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492FC8">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w:t>
      </w:r>
      <w:r w:rsidR="006B7E4E" w:rsidRPr="00097432">
        <w:fldChar w:fldCharType="begin"/>
      </w:r>
      <w:r w:rsidR="00492FC8">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492FC8">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1F5587">
        <w:rPr>
          <w:rFonts w:hint="eastAsia"/>
        </w:rPr>
        <w:t>.</w:t>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but focus</w:t>
      </w:r>
      <w:r w:rsidR="001F5587">
        <w:rPr>
          <w:rFonts w:hint="eastAsia"/>
        </w:rPr>
        <w:t>ing</w:t>
      </w:r>
      <w:r w:rsidR="00361A6D" w:rsidRPr="00097432">
        <w:t xml:space="preserve"> on large outbreaks may </w:t>
      </w:r>
      <w:r w:rsidR="008E7059" w:rsidRPr="00097432">
        <w:rPr>
          <w:rFonts w:hint="eastAsia"/>
        </w:rPr>
        <w:t>bias estimates upward</w:t>
      </w:r>
      <w:r w:rsidR="00361A6D" w:rsidRPr="00097432">
        <w:t>.</w:t>
      </w:r>
      <w:r w:rsidR="00334A5E" w:rsidRPr="00097432">
        <w:t xml:space="preserve"> </w:t>
      </w:r>
    </w:p>
    <w:p w14:paraId="35D07097" w14:textId="77777777" w:rsidR="005C75E1" w:rsidRDefault="005C75E1" w:rsidP="00F57F15"/>
    <w:p w14:paraId="243635DA" w14:textId="37880D78" w:rsidR="00210D07" w:rsidRDefault="00210D07" w:rsidP="00210D07">
      <w:pPr>
        <w:rPr>
          <w:rFonts w:hint="eastAsia"/>
        </w:rPr>
      </w:pPr>
      <w:r>
        <w:rPr>
          <w:rFonts w:hint="eastAsia"/>
        </w:rPr>
        <w:t xml:space="preserve">OCV efficiency (the number of cases averted per 1,000 OCV doses) was </w:t>
      </w:r>
      <w:r w:rsidR="00717944">
        <w:rPr>
          <w:rFonts w:hint="eastAsia"/>
        </w:rPr>
        <w:t>also</w:t>
      </w:r>
      <w:r w:rsidR="001F5587">
        <w:rPr>
          <w:rFonts w:hint="eastAsia"/>
        </w:rPr>
        <w:t xml:space="preserve"> </w:t>
      </w:r>
      <w:r>
        <w:rPr>
          <w:rFonts w:hint="eastAsia"/>
        </w:rPr>
        <w:t>higher in some previous studies</w:t>
      </w:r>
      <w:r w:rsidR="00717944">
        <w:rPr>
          <w:rFonts w:hint="eastAsia"/>
        </w:rPr>
        <w:t xml:space="preserve"> focused on large outbreaks in </w:t>
      </w:r>
      <w:r w:rsidR="001F5587">
        <w:rPr>
          <w:rFonts w:hint="eastAsia"/>
        </w:rPr>
        <w:t>Matlab, Bangladesh</w:t>
      </w:r>
      <w:r w:rsidR="000234E6">
        <w:rPr>
          <w:rFonts w:hint="eastAsia"/>
        </w:rPr>
        <w:t xml:space="preserve">, </w:t>
      </w:r>
      <w:r w:rsidR="00717944">
        <w:rPr>
          <w:rFonts w:hint="eastAsia"/>
        </w:rPr>
        <w:t>Haiti</w:t>
      </w:r>
      <w:r w:rsidR="000234E6">
        <w:rPr>
          <w:rFonts w:hint="eastAsia"/>
        </w:rPr>
        <w:t>, or a few African cities</w:t>
      </w:r>
      <w:r w:rsidR="00717944">
        <w:rPr>
          <w:rFonts w:hint="eastAsia"/>
        </w:rPr>
        <w:t xml:space="preserve"> [ref]. </w:t>
      </w:r>
      <w:r>
        <w:rPr>
          <w:rFonts w:hint="eastAsia"/>
        </w:rPr>
        <w:t xml:space="preserve">The increased estimates can be attributed to, among many other things that involve other modeling assumptions, to </w:t>
      </w:r>
      <w:r w:rsidR="00717944">
        <w:rPr>
          <w:rFonts w:hint="eastAsia"/>
        </w:rPr>
        <w:t xml:space="preserve">again that </w:t>
      </w:r>
      <w:r>
        <w:rPr>
          <w:rFonts w:hint="eastAsia"/>
        </w:rPr>
        <w:t xml:space="preserve">prior studies focused on single or few relative larger, high AR outbreaks that tend to produce high OCV efficiency. They also employ two dose schedule with higher vaccine efficacy. They also employ pre-emptive vaccination strategies or with reactive vaccination while not incorporating the delay in the </w:t>
      </w:r>
      <w:r>
        <w:t>development</w:t>
      </w:r>
      <w:r>
        <w:rPr>
          <w:rFonts w:hint="eastAsia"/>
        </w:rPr>
        <w:t xml:space="preserve"> of vaccine-derived immunity.  The study by Lee et al. provides more comparable </w:t>
      </w:r>
      <w:r w:rsidR="000234E6">
        <w:rPr>
          <w:rFonts w:hint="eastAsia"/>
        </w:rPr>
        <w:t xml:space="preserve">setting that other previous studies by incorporating heteroneities in cholera transmission (while not focusing on outbreaks) in sub-Saharan Africa. The study </w:t>
      </w:r>
      <w:r>
        <w:rPr>
          <w:rFonts w:hint="eastAsia"/>
        </w:rPr>
        <w:t xml:space="preserve">assumes preventive campaigns </w:t>
      </w:r>
      <w:r w:rsidR="000234E6">
        <w:rPr>
          <w:rFonts w:hint="eastAsia"/>
        </w:rPr>
        <w:t>under</w:t>
      </w:r>
      <w:r>
        <w:rPr>
          <w:rFonts w:hint="eastAsia"/>
        </w:rPr>
        <w:t xml:space="preserve"> endemic transmission </w:t>
      </w:r>
      <w:r w:rsidR="000234E6">
        <w:rPr>
          <w:rFonts w:hint="eastAsia"/>
        </w:rPr>
        <w:t xml:space="preserve">using </w:t>
      </w:r>
      <w:r>
        <w:rPr>
          <w:rFonts w:hint="eastAsia"/>
        </w:rPr>
        <w:t>two-dose schedule</w:t>
      </w:r>
      <w:r w:rsidR="000234E6">
        <w:rPr>
          <w:rFonts w:hint="eastAsia"/>
        </w:rPr>
        <w:t xml:space="preserve">. It found out </w:t>
      </w:r>
      <w:r w:rsidR="000234E6">
        <w:t>that</w:t>
      </w:r>
      <w:r w:rsidR="000234E6">
        <w:rPr>
          <w:rFonts w:hint="eastAsia"/>
        </w:rPr>
        <w:t xml:space="preserve"> </w:t>
      </w:r>
      <w:r>
        <w:rPr>
          <w:rFonts w:hint="eastAsia"/>
        </w:rPr>
        <w:t>with some selective geographical targeting provides estimates varied from</w:t>
      </w:r>
      <w:r>
        <w:t xml:space="preserve"> 2.6 (95% PI 2.4–2.9)</w:t>
      </w:r>
      <w:r w:rsidR="000234E6">
        <w:rPr>
          <w:rFonts w:hint="eastAsia"/>
        </w:rPr>
        <w:t xml:space="preserve"> to</w:t>
      </w:r>
      <w:r w:rsidR="000234E6" w:rsidRPr="000234E6">
        <w:t xml:space="preserve"> </w:t>
      </w:r>
      <w:r w:rsidR="000234E6">
        <w:t>12 (95% PI 10.3–14.4)</w:t>
      </w:r>
      <w:r w:rsidR="000234E6">
        <w:rPr>
          <w:rFonts w:hint="eastAsia"/>
        </w:rPr>
        <w:t xml:space="preserve"> per 1,000 fully vaccinated persons. O</w:t>
      </w:r>
      <w:r>
        <w:rPr>
          <w:rFonts w:hint="eastAsia"/>
        </w:rPr>
        <w:t>ur estimates of</w:t>
      </w:r>
      <w:r w:rsidR="000234E6">
        <w:rPr>
          <w:rFonts w:hint="eastAsia"/>
        </w:rPr>
        <w:t xml:space="preserve"> </w:t>
      </w:r>
      <w:r>
        <w:rPr>
          <w:rFonts w:hint="eastAsia"/>
        </w:rPr>
        <w:t xml:space="preserve">2.1 </w:t>
      </w:r>
      <w:r w:rsidR="000234E6">
        <w:rPr>
          <w:rFonts w:hint="eastAsia"/>
        </w:rPr>
        <w:t>appear comparable considering that we assumed single-dose regimen and therefore dividing the estimates by Lee et al. by 2 would be fairer comparison.</w:t>
      </w:r>
      <w:r>
        <w:rPr>
          <w:rFonts w:hint="eastAsia"/>
        </w:rPr>
        <w:t xml:space="preserve"> Also, our estimates shows cumulative effect of 200,000 million doses</w:t>
      </w:r>
      <w:r w:rsidR="000234E6">
        <w:rPr>
          <w:rFonts w:hint="eastAsia"/>
        </w:rPr>
        <w:t xml:space="preserve"> which include around 800 outbreaks (although OCV efficiency of this magnitude is already observed with 1 million doses) and not all outbreaks has AR as high as the incidence rate that Lee et al. study used. In other </w:t>
      </w:r>
      <w:r w:rsidR="000234E6">
        <w:rPr>
          <w:rFonts w:hint="eastAsia"/>
        </w:rPr>
        <w:lastRenderedPageBreak/>
        <w:t>words, i</w:t>
      </w:r>
      <w:r>
        <w:rPr>
          <w:rFonts w:hint="eastAsia"/>
        </w:rPr>
        <w:t xml:space="preserve">t is straightforward to find a condition </w:t>
      </w:r>
      <w:r w:rsidR="000234E6">
        <w:rPr>
          <w:rFonts w:hint="eastAsia"/>
        </w:rPr>
        <w:t xml:space="preserve">that can produce </w:t>
      </w:r>
      <w:r>
        <w:rPr>
          <w:rFonts w:hint="eastAsia"/>
        </w:rPr>
        <w:t xml:space="preserve">OCV efficiency estimates as high as </w:t>
      </w:r>
      <w:r w:rsidR="000234E6">
        <w:rPr>
          <w:rFonts w:hint="eastAsia"/>
        </w:rPr>
        <w:t xml:space="preserve">the highest estiamtes by Lee et al. </w:t>
      </w:r>
      <w:r>
        <w:rPr>
          <w:rFonts w:hint="eastAsia"/>
        </w:rPr>
        <w:t>by focusing on high AR outbreaks.</w:t>
      </w:r>
      <w:r w:rsidR="007F3880">
        <w:rPr>
          <w:rFonts w:hint="eastAsia"/>
        </w:rPr>
        <w:t xml:space="preserve"> </w:t>
      </w:r>
      <w:r>
        <w:rPr>
          <w:rFonts w:hint="eastAsia"/>
        </w:rPr>
        <w:t xml:space="preserve">Simiarly, cost effectiveness measures, measured as cost per DALY averted, is comparable to existing estimates. </w:t>
      </w:r>
      <w:r w:rsidR="000234E6">
        <w:t>T</w:t>
      </w:r>
      <w:r w:rsidR="000234E6">
        <w:rPr>
          <w:rFonts w:hint="eastAsia"/>
        </w:rPr>
        <w:t>he study by Lee et al, again</w:t>
      </w:r>
      <w:r>
        <w:rPr>
          <w:rFonts w:hint="eastAsia"/>
        </w:rPr>
        <w:t xml:space="preserve"> shows that </w:t>
      </w:r>
      <w:r>
        <w:t>$1,843 (95% CI 1,032–2,382)</w:t>
      </w:r>
      <w:r>
        <w:rPr>
          <w:rFonts w:hint="eastAsia"/>
        </w:rPr>
        <w:t xml:space="preserve"> to </w:t>
      </w:r>
      <w:r>
        <w:t>$21,213 (95% CI 11,953–</w:t>
      </w:r>
      <w:r>
        <w:rPr>
          <w:rFonts w:hint="eastAsia"/>
        </w:rPr>
        <w:t xml:space="preserve">our estimate show that around </w:t>
      </w:r>
      <w:r>
        <w:t>$</w:t>
      </w:r>
      <w:r w:rsidRPr="00EA5BEC">
        <w:t>4,695</w:t>
      </w:r>
      <w:r>
        <w:rPr>
          <w:rFonts w:hint="eastAsia"/>
        </w:rPr>
        <w:t xml:space="preserve"> with ORI implemented at week 1</w:t>
      </w:r>
    </w:p>
    <w:p w14:paraId="4EBCB660" w14:textId="77777777" w:rsidR="00210D07" w:rsidRDefault="00210D07" w:rsidP="00210D07"/>
    <w:p w14:paraId="106FC701" w14:textId="77777777" w:rsidR="00210D07" w:rsidRPr="00A55D66" w:rsidRDefault="00210D07" w:rsidP="00210D07">
      <w:pPr>
        <w:rPr>
          <w:rFonts w:hint="eastAsia"/>
        </w:rPr>
      </w:pPr>
      <w:r>
        <w:rPr>
          <w:rFonts w:hint="eastAsia"/>
        </w:rPr>
        <w:t xml:space="preserve">Also, defining outbreaks based on </w:t>
      </w:r>
      <w:r>
        <w:t>the</w:t>
      </w:r>
      <w:r>
        <w:rPr>
          <w:rFonts w:hint="eastAsia"/>
        </w:rPr>
        <w:t xml:space="preserve"> reported may be a larger </w:t>
      </w:r>
    </w:p>
    <w:p w14:paraId="4CC523B5" w14:textId="77777777" w:rsidR="00210D07" w:rsidRDefault="00210D07" w:rsidP="00210D07">
      <w:pPr>
        <w:rPr>
          <w:rFonts w:hint="eastAsia"/>
        </w:rPr>
      </w:pPr>
      <w:r>
        <w:rPr>
          <w:rFonts w:hint="eastAsia"/>
        </w:rPr>
        <w:t xml:space="preserve">And most studies do not account for the delays in vaccination response as we incorporated in our </w:t>
      </w:r>
    </w:p>
    <w:p w14:paraId="092A16DB" w14:textId="3C12BC08" w:rsidR="002F0E78" w:rsidRDefault="009422AF" w:rsidP="00F57F15">
      <w:pPr>
        <w:rPr>
          <w:rFonts w:hint="eastAsia"/>
        </w:rPr>
      </w:pPr>
      <w:r>
        <w:rPr>
          <w:rFonts w:hint="eastAsia"/>
        </w:rPr>
        <w:t xml:space="preserve">. </w:t>
      </w:r>
      <w:r w:rsidR="006421B6">
        <w:rPr>
          <w:rFonts w:hint="eastAsia"/>
        </w:rPr>
        <w:t xml:space="preserve"> </w:t>
      </w:r>
    </w:p>
    <w:p w14:paraId="2FB8BAD5" w14:textId="20C6D16B" w:rsidR="00164060" w:rsidRDefault="002F0E78" w:rsidP="00F57F15">
      <w:pPr>
        <w:rPr>
          <w:rFonts w:hint="eastAsia"/>
        </w:rPr>
      </w:pPr>
      <w:r>
        <w:rPr>
          <w:rFonts w:hint="eastAsia"/>
        </w:rPr>
        <w:t xml:space="preserve"> </w:t>
      </w:r>
    </w:p>
    <w:p w14:paraId="3F9C6963" w14:textId="77777777" w:rsidR="00164060" w:rsidRPr="00097432" w:rsidRDefault="00164060" w:rsidP="00F57F15">
      <w:pPr>
        <w:rPr>
          <w:rFonts w:hint="eastAsia"/>
        </w:rPr>
      </w:pPr>
    </w:p>
    <w:p w14:paraId="08271BA5" w14:textId="3E2C61FA" w:rsidR="00A65A3C"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492FC8">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492FC8" w:rsidRPr="00492FC8">
        <w:rPr>
          <w:rFonts w:cs="Times New Roman"/>
          <w:vertAlign w:val="superscript"/>
        </w:rPr>
        <w:t>1,77–79</w:t>
      </w:r>
      <w:r w:rsidRPr="00097432">
        <w:fldChar w:fldCharType="end"/>
      </w:r>
      <w:r w:rsidRPr="00097432">
        <w:t xml:space="preserve"> or geographic targeting.</w:t>
      </w:r>
      <w:r w:rsidRPr="00097432">
        <w:fldChar w:fldCharType="begin"/>
      </w:r>
      <w:r w:rsidR="00492FC8">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492FC8" w:rsidRPr="00492FC8">
        <w:rPr>
          <w:rFonts w:cs="Times New Roman"/>
          <w:vertAlign w:val="superscript"/>
        </w:rPr>
        <w:t>75</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492FC8">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492FC8" w:rsidRPr="00492FC8">
        <w:rPr>
          <w:rFonts w:cs="Times New Roman"/>
          <w:vertAlign w:val="superscript"/>
        </w:rPr>
        <w:t>80</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492FC8">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492FC8" w:rsidRPr="00492FC8">
        <w:rPr>
          <w:rFonts w:cs="Times New Roman"/>
          <w:vertAlign w:val="superscript"/>
        </w:rPr>
        <w:t>11,37</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492FC8">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Pr>
          <w:rFonts w:hint="eastAsia"/>
        </w:rPr>
        <w:instrText xml:space="preserve"> cluster-randomized to receive either cholera vaccine or oral placebo. Nonpregnant residents aged </w:instrText>
      </w:r>
      <w:r w:rsidR="00492FC8">
        <w:rPr>
          <w:rFonts w:hint="eastAsia"/>
        </w:rPr>
        <w:instrText>≥</w:instrText>
      </w:r>
      <w:r w:rsidR="00492FC8">
        <w:rPr>
          <w:rFonts w:hint="eastAsia"/>
        </w:rPr>
        <w:instrText>1 year were invited to participate in the trial. Only the first episode of cholera detected for a subject between 14 and 1095 days after a second dose was c</w:instrText>
      </w:r>
      <w:r w:rsidR="00492FC8">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492FC8" w:rsidRPr="00492FC8">
        <w:rPr>
          <w:rFonts w:cs="Times New Roman"/>
          <w:vertAlign w:val="superscript"/>
        </w:rPr>
        <w:t>81–84</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w:t>
      </w:r>
      <w:r w:rsidR="00253023" w:rsidRPr="00097432">
        <w:rPr>
          <w:rFonts w:hint="eastAsia"/>
        </w:rPr>
        <w:lastRenderedPageBreak/>
        <w:t xml:space="preserve">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492FC8">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Pr>
          <w:rFonts w:hint="eastAsia"/>
        </w:rPr>
        <w:instrText xml:space="preserve">eview of studies that tested </w:instrText>
      </w:r>
      <w:r w:rsidR="00492FC8">
        <w:rPr>
          <w:rFonts w:hint="eastAsia"/>
        </w:rPr>
        <w:instrText>≥</w:instrText>
      </w:r>
      <w:r w:rsidR="00492FC8">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492FC8" w:rsidRPr="00492FC8">
        <w:rPr>
          <w:rFonts w:cs="Times New Roman"/>
          <w:vertAlign w:val="superscript"/>
        </w:rPr>
        <w:t>85</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492FC8">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492FC8" w:rsidRPr="00492FC8">
        <w:rPr>
          <w:rFonts w:cs="Times New Roman"/>
          <w:vertAlign w:val="superscript"/>
        </w:rPr>
        <w:t>86</w:t>
      </w:r>
      <w:r w:rsidR="002450FE" w:rsidRPr="00097432">
        <w:fldChar w:fldCharType="end"/>
      </w:r>
      <w:r w:rsidR="00B1098B" w:rsidRPr="00097432">
        <w:rPr>
          <w:rFonts w:hint="eastAsia"/>
        </w:rPr>
        <w:t xml:space="preserve">. </w:t>
      </w:r>
      <w:r w:rsidR="00BC331E">
        <w:rPr>
          <w:rFonts w:hint="eastAsia"/>
        </w:rPr>
        <w:t>Fifth</w:t>
      </w:r>
      <w:r w:rsidR="00A66B7D" w:rsidRPr="00097432">
        <w:t>, we assumed that ORIs did not occur if the delay in implementation exceeded the duration of the outbreak—that is,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r w:rsidR="009422AF">
        <w:rPr>
          <w:rFonts w:hint="eastAsia"/>
        </w:rPr>
        <w:t xml:space="preserve">  </w:t>
      </w:r>
    </w:p>
    <w:p w14:paraId="68FB71FB" w14:textId="0BC9A17C" w:rsidR="009422AF" w:rsidRDefault="009422AF" w:rsidP="00F57F15"/>
    <w:p w14:paraId="560FBAB7" w14:textId="4C2C28BE" w:rsidR="009422AF" w:rsidRPr="00097432" w:rsidRDefault="009422AF" w:rsidP="00F57F15">
      <w:pPr>
        <w:rPr>
          <w:rFonts w:hint="eastAsia"/>
        </w:rPr>
      </w:pPr>
      <w:r>
        <w:rPr>
          <w:rFonts w:hint="eastAsia"/>
        </w:rPr>
        <w:t>Our estimates for cumulative impact of OCV</w:t>
      </w:r>
      <w:r w:rsidR="00692E77">
        <w:rPr>
          <w:rFonts w:hint="eastAsia"/>
        </w:rPr>
        <w:t xml:space="preserve">s that were administered across multiple outbreaks was to illustrate the disproportionate contribution of larger and longer outbreaks to the overall impact and prioritization. </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 xml:space="preserve">This study provides important insights into the effectiveness of outbreak response immunizations (ORIs) across a broad range of cholera outbreak scenarios in sub-Saharan </w:t>
      </w:r>
      <w:r w:rsidRPr="00097432">
        <w:lastRenderedPageBreak/>
        <w:t>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6D4B2FA2" w14:textId="77777777" w:rsidR="00492FC8" w:rsidRDefault="0091469E" w:rsidP="00492FC8">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492FC8" w:rsidRPr="00B33801">
        <w:rPr>
          <w:lang w:val="de-DE"/>
        </w:rPr>
        <w:t xml:space="preserve">1. </w:t>
      </w:r>
      <w:r w:rsidR="00492FC8" w:rsidRPr="00B33801">
        <w:rPr>
          <w:lang w:val="de-DE"/>
        </w:rPr>
        <w:tab/>
        <w:t xml:space="preserve">Finger F, Bertuzzo E, Luquero FJ, Naibei N, Touré B, Allan M, et al. </w:t>
      </w:r>
      <w:r w:rsidR="00492FC8">
        <w:t xml:space="preserve">The potential impact of case-area targeted interventions in response to cholera outbreaks: A modeling study. Von Seidlein L, editor. PLOS Med. 2018 Feb 27;15(2):e1002509. </w:t>
      </w:r>
    </w:p>
    <w:p w14:paraId="786F52C8" w14:textId="77777777" w:rsidR="00492FC8" w:rsidRDefault="00492FC8" w:rsidP="00492FC8">
      <w:pPr>
        <w:pStyle w:val="Bibliography"/>
      </w:pPr>
      <w:r>
        <w:lastRenderedPageBreak/>
        <w:t xml:space="preserve">2. </w:t>
      </w:r>
      <w:r>
        <w:tab/>
        <w:t xml:space="preserve">Mukandavire Z, Manangazira P, Nyabadza F, Cuadros DF, Musuka G, Morris JG. Stemming cholera tides in Zimbabwe through mass vaccination. Int J Infect Dis. 2020 Jul;96:222–7. </w:t>
      </w:r>
    </w:p>
    <w:p w14:paraId="61C7C973" w14:textId="77777777" w:rsidR="00492FC8" w:rsidRDefault="00492FC8" w:rsidP="00492FC8">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Default="00492FC8" w:rsidP="00492FC8">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Default="00492FC8" w:rsidP="00492FC8">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Default="00492FC8" w:rsidP="00492FC8">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07E740FC" w14:textId="77777777" w:rsidR="00492FC8" w:rsidRDefault="00492FC8" w:rsidP="00492FC8">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Default="00492FC8" w:rsidP="00492FC8">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Default="00492FC8" w:rsidP="00492FC8">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Default="00492FC8" w:rsidP="00492FC8">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Default="00492FC8" w:rsidP="00492FC8">
      <w:pPr>
        <w:pStyle w:val="Bibliography"/>
      </w:pPr>
      <w:r>
        <w:t xml:space="preserve">11. </w:t>
      </w:r>
      <w:r>
        <w:tab/>
        <w:t xml:space="preserve">Longini IM, Nizam A, Ali M, Yunus M, Shenvi N, Clemens JD. Controlling Endemic Cholera with Oral Vaccines. Von Seidlein L, editor. PLoS Med. 2007 Nov 27;4(11):e336. </w:t>
      </w:r>
    </w:p>
    <w:p w14:paraId="74BA49BB" w14:textId="77777777" w:rsidR="00492FC8" w:rsidRDefault="00492FC8" w:rsidP="00492FC8">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Default="00492FC8" w:rsidP="00492FC8">
      <w:pPr>
        <w:pStyle w:val="Bibliography"/>
      </w:pPr>
      <w:r>
        <w:lastRenderedPageBreak/>
        <w:t xml:space="preserve">13. </w:t>
      </w:r>
      <w:r>
        <w:tab/>
        <w:t xml:space="preserve">Azman AS, Lessler J. Reactive vaccination in the presence of disease hotspots. Proc R Soc B Biol Sci. 2015 Jan 7;282(1798):20141341. </w:t>
      </w:r>
    </w:p>
    <w:p w14:paraId="30F7DE39" w14:textId="77777777" w:rsidR="00492FC8" w:rsidRDefault="00492FC8" w:rsidP="00492FC8">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Default="00492FC8" w:rsidP="00492FC8">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B33801" w:rsidRDefault="00492FC8" w:rsidP="00492FC8">
      <w:pPr>
        <w:pStyle w:val="Bibliography"/>
        <w:rPr>
          <w:lang w:val="de-DE"/>
        </w:rPr>
      </w:pPr>
      <w:r>
        <w:t xml:space="preserve">16. </w:t>
      </w:r>
      <w:r>
        <w:tab/>
        <w:t xml:space="preserve">Kim JH, Mogasale V, Burgess C, Wierzba TF. Impact of oral cholera vaccines in cholera-endemic countries: A mathematical modeling study. </w:t>
      </w:r>
      <w:r w:rsidRPr="00B33801">
        <w:rPr>
          <w:lang w:val="de-DE"/>
        </w:rPr>
        <w:t xml:space="preserve">Vaccine. 2016 Apr;34(18):2113–20. </w:t>
      </w:r>
    </w:p>
    <w:p w14:paraId="1604E779" w14:textId="77777777" w:rsidR="00492FC8" w:rsidRDefault="00492FC8" w:rsidP="00492FC8">
      <w:pPr>
        <w:pStyle w:val="Bibliography"/>
      </w:pPr>
      <w:r w:rsidRPr="00B33801">
        <w:rPr>
          <w:lang w:val="de-DE"/>
        </w:rPr>
        <w:t xml:space="preserve">17. </w:t>
      </w:r>
      <w:r w:rsidRPr="00B3380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530CDEB" w14:textId="77777777" w:rsidR="00492FC8" w:rsidRDefault="00492FC8" w:rsidP="00492FC8">
      <w:pPr>
        <w:pStyle w:val="Bibliography"/>
      </w:pPr>
      <w:r>
        <w:t xml:space="preserve">18. </w:t>
      </w:r>
      <w:r>
        <w:tab/>
        <w:t xml:space="preserve">Kaper JB, Morris JG, Levine MM. Cholera. Clin Microbiol Rev. 1995 Jan;8(1):48–86. </w:t>
      </w:r>
    </w:p>
    <w:p w14:paraId="4C589CB8" w14:textId="77777777" w:rsidR="00492FC8" w:rsidRDefault="00492FC8" w:rsidP="00492FC8">
      <w:pPr>
        <w:pStyle w:val="Bibliography"/>
      </w:pPr>
      <w:r>
        <w:t xml:space="preserve">19. </w:t>
      </w:r>
      <w:r>
        <w:tab/>
        <w:t xml:space="preserve">Sikder M, Deshpande A, Hegde ST, Malembaka EB, Gallandat K, Reiner RC, et al. Water, Sanitation, and Cholera in Sub-Saharan Africa. Environ Sci Technol. 2023 Jul 18;57(28):10185–92. </w:t>
      </w:r>
    </w:p>
    <w:p w14:paraId="7E810B58" w14:textId="77777777" w:rsidR="00492FC8" w:rsidRDefault="00492FC8" w:rsidP="00492FC8">
      <w:pPr>
        <w:pStyle w:val="Bibliography"/>
      </w:pPr>
      <w:r>
        <w:t xml:space="preserve">20. </w:t>
      </w:r>
      <w:r>
        <w:tab/>
        <w:t xml:space="preserve">Ali M, Nelson AR, Lopez AL, Sack DA. Updated Global Burden of Cholera in Endemic Countries. PLoS Negl Trop Dis. 2015 Jun 4;9(6):e0003832. </w:t>
      </w:r>
    </w:p>
    <w:p w14:paraId="379D1A44" w14:textId="77777777" w:rsidR="00492FC8" w:rsidRDefault="00492FC8" w:rsidP="00492FC8">
      <w:pPr>
        <w:pStyle w:val="Bibliography"/>
      </w:pPr>
      <w:r>
        <w:t xml:space="preserve">21. </w:t>
      </w:r>
      <w:r>
        <w:tab/>
        <w:t xml:space="preserve">Clemens JD, Nair GB, Ahmed T, Qadri F, Holmgren J. Cholera. Lancet Lond Engl. 2017 Sep 23;390(10101):1539–49. </w:t>
      </w:r>
    </w:p>
    <w:p w14:paraId="210580BE" w14:textId="77777777" w:rsidR="00492FC8" w:rsidRDefault="00492FC8" w:rsidP="00492FC8">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Default="00492FC8" w:rsidP="00492FC8">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12321EE4" w14:textId="77777777" w:rsidR="00492FC8" w:rsidRDefault="00492FC8" w:rsidP="00492FC8">
      <w:pPr>
        <w:pStyle w:val="Bibliography"/>
      </w:pPr>
      <w:r>
        <w:t xml:space="preserve">24. </w:t>
      </w:r>
      <w:r>
        <w:tab/>
        <w:t xml:space="preserve">Yen C, Hyde TB, Costa AJ, Fernandez K, Tam JS, Hugonnet S, et al. The development of global vaccine stockpiles. Lancet Infect Dis. 2015 Mar 1;15(3):340–7. </w:t>
      </w:r>
    </w:p>
    <w:p w14:paraId="27D7CDBF" w14:textId="77777777" w:rsidR="00492FC8" w:rsidRDefault="00492FC8" w:rsidP="00492FC8">
      <w:pPr>
        <w:pStyle w:val="Bibliography"/>
      </w:pPr>
      <w:r>
        <w:t xml:space="preserve">25. </w:t>
      </w:r>
      <w:r>
        <w:tab/>
        <w:t>Global Task Force on Cholera Control. GTFCC OCV Dashboard [Internet]. Available from: https://apps.epicentre-msf.org/public/app/gtfcc</w:t>
      </w:r>
    </w:p>
    <w:p w14:paraId="1CFCE5B7" w14:textId="77777777" w:rsidR="00492FC8" w:rsidRDefault="00492FC8" w:rsidP="00492FC8">
      <w:pPr>
        <w:pStyle w:val="Bibliography"/>
      </w:pPr>
      <w:r>
        <w:lastRenderedPageBreak/>
        <w:t xml:space="preserve">26. </w:t>
      </w:r>
      <w:r>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Default="00492FC8" w:rsidP="00492FC8">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429A7AAC" w14:textId="77777777" w:rsidR="00492FC8" w:rsidRDefault="00492FC8" w:rsidP="00492FC8">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Default="00492FC8" w:rsidP="00492FC8">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119EE76E" w14:textId="77777777" w:rsidR="00492FC8" w:rsidRDefault="00492FC8" w:rsidP="00492FC8">
      <w:pPr>
        <w:pStyle w:val="Bibliography"/>
      </w:pPr>
      <w:r>
        <w:t xml:space="preserve">30. </w:t>
      </w:r>
      <w:r>
        <w:tab/>
        <w:t xml:space="preserve">Zheng Q, Lee EC. Cholera outbreak time series in Africa between 2010 and 2023. In preparation; </w:t>
      </w:r>
    </w:p>
    <w:p w14:paraId="18212754" w14:textId="77777777" w:rsidR="00492FC8" w:rsidRDefault="00492FC8" w:rsidP="00492FC8">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4AEE761D" w14:textId="77777777" w:rsidR="00492FC8" w:rsidRDefault="00492FC8" w:rsidP="00492FC8">
      <w:pPr>
        <w:pStyle w:val="Bibliography"/>
      </w:pPr>
      <w:r>
        <w:t xml:space="preserve">32. </w:t>
      </w:r>
      <w:r>
        <w:tab/>
        <w:t>Johns Hopkins Cholera Dynamics Team. CholeraTaxonomy [Internet]. [cited 2025 Jan 2]. Available from: https://cholera-taxonomy.middle-distance.com/</w:t>
      </w:r>
    </w:p>
    <w:p w14:paraId="39362402" w14:textId="77777777" w:rsidR="00492FC8" w:rsidRDefault="00492FC8" w:rsidP="00492FC8">
      <w:pPr>
        <w:pStyle w:val="Bibliography"/>
      </w:pPr>
      <w:r>
        <w:t xml:space="preserve">33. </w:t>
      </w:r>
      <w:r>
        <w:tab/>
        <w:t xml:space="preserve">Zheng Q, DePencier R, Demby MN, Azman AS, Lee EC. Cholera surveillance time series in Africa between 2010 and 2023. VeriXiv. 2025;2(116). </w:t>
      </w:r>
    </w:p>
    <w:p w14:paraId="6D1022A9" w14:textId="77777777" w:rsidR="00492FC8" w:rsidRDefault="00492FC8" w:rsidP="00492FC8">
      <w:pPr>
        <w:pStyle w:val="Bibliography"/>
      </w:pPr>
      <w:r>
        <w:t xml:space="preserve">34. </w:t>
      </w:r>
      <w:r>
        <w:tab/>
        <w:t>GTFCC OCV Dashboard [Internet]. [cited 2024 Nov 7]. Available from: https://apps.epicentre-msf.org/public/app/gtfcc</w:t>
      </w:r>
    </w:p>
    <w:p w14:paraId="1F0EA79B" w14:textId="77777777" w:rsidR="00492FC8" w:rsidRDefault="00492FC8" w:rsidP="00492FC8">
      <w:pPr>
        <w:pStyle w:val="Bibliography"/>
      </w:pPr>
      <w:r>
        <w:t xml:space="preserve">35. </w:t>
      </w:r>
      <w:r>
        <w:tab/>
        <w:t>Cholera surveillance time series in Africa between 2010 ... | VeriXiv [Internet]. [cited 2025 Jul 9]. Available from: https://verixiv.org/articles/2-116</w:t>
      </w:r>
    </w:p>
    <w:p w14:paraId="1040A2AE" w14:textId="77777777" w:rsidR="00492FC8" w:rsidRPr="00B33801" w:rsidRDefault="00492FC8" w:rsidP="00492FC8">
      <w:pPr>
        <w:pStyle w:val="Bibliography"/>
        <w:rPr>
          <w:lang w:val="de-DE"/>
        </w:rPr>
      </w:pPr>
      <w:r>
        <w:t xml:space="preserve">36. </w:t>
      </w:r>
      <w:r>
        <w:tab/>
        <w:t xml:space="preserve">Halloran ME, Struchiner CJ. Study designs for dependent happenings. </w:t>
      </w:r>
      <w:r w:rsidRPr="00B33801">
        <w:rPr>
          <w:lang w:val="de-DE"/>
        </w:rPr>
        <w:t xml:space="preserve">Epidemiol Camb Mass. 1991 Sep;2(5):331–8. </w:t>
      </w:r>
    </w:p>
    <w:p w14:paraId="1AAD979F" w14:textId="77777777" w:rsidR="00492FC8" w:rsidRDefault="00492FC8" w:rsidP="00492FC8">
      <w:pPr>
        <w:pStyle w:val="Bibliography"/>
      </w:pPr>
      <w:r w:rsidRPr="00B33801">
        <w:rPr>
          <w:lang w:val="de-DE"/>
        </w:rPr>
        <w:t xml:space="preserve">37. </w:t>
      </w:r>
      <w:r w:rsidRPr="00B33801">
        <w:rPr>
          <w:lang w:val="de-DE"/>
        </w:rPr>
        <w:tab/>
        <w:t xml:space="preserve">Ali M, Emch M, Von Seidlein L, Yunus M, Sack DA, Rao M, et al. </w:t>
      </w:r>
      <w:r>
        <w:t xml:space="preserve">Herd immunity conferred by killed oral cholera vaccines in Bangladesh: a reanalysis. The Lancet. 2005 Jul;366(9479):44–9. </w:t>
      </w:r>
    </w:p>
    <w:p w14:paraId="109E8143" w14:textId="77777777" w:rsidR="00492FC8" w:rsidRDefault="00492FC8" w:rsidP="00492FC8">
      <w:pPr>
        <w:pStyle w:val="Bibliography"/>
      </w:pPr>
      <w:r>
        <w:t xml:space="preserve">38. </w:t>
      </w:r>
      <w:r>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Default="00492FC8" w:rsidP="00492FC8">
      <w:pPr>
        <w:pStyle w:val="Bibliography"/>
      </w:pPr>
      <w:r>
        <w:lastRenderedPageBreak/>
        <w:t xml:space="preserve">39. </w:t>
      </w:r>
      <w:r>
        <w:tab/>
        <w:t>Kim JH. cholera-outbreak-vaccine-impact-modeling [Internet]. 2024. Available from: https://github.com/kimfinale/cholera-outbreak-vaccine-impact-modeling</w:t>
      </w:r>
    </w:p>
    <w:p w14:paraId="2318F681" w14:textId="77777777" w:rsidR="00492FC8" w:rsidRDefault="00492FC8" w:rsidP="00492FC8">
      <w:pPr>
        <w:pStyle w:val="Bibliography"/>
      </w:pPr>
      <w:r>
        <w:t xml:space="preserve">40.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0FB582BD" w14:textId="77777777" w:rsidR="00492FC8" w:rsidRDefault="00492FC8" w:rsidP="00492FC8">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Default="00492FC8" w:rsidP="00492FC8">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Default="00492FC8" w:rsidP="00492FC8">
      <w:pPr>
        <w:pStyle w:val="Bibliography"/>
      </w:pPr>
      <w:r>
        <w:t xml:space="preserve">43.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Default="00492FC8" w:rsidP="00492FC8">
      <w:pPr>
        <w:pStyle w:val="Bibliography"/>
      </w:pPr>
      <w:r>
        <w:t xml:space="preserve">44. </w:t>
      </w:r>
      <w:r>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Default="00492FC8" w:rsidP="00492FC8">
      <w:pPr>
        <w:pStyle w:val="Bibliography"/>
      </w:pPr>
      <w:r>
        <w:t xml:space="preserve">45.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Default="00492FC8" w:rsidP="00492FC8">
      <w:pPr>
        <w:pStyle w:val="Bibliography"/>
      </w:pPr>
      <w:r>
        <w:t xml:space="preserve">46. </w:t>
      </w:r>
      <w:r>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Default="00492FC8" w:rsidP="00492FC8">
      <w:pPr>
        <w:pStyle w:val="Bibliography"/>
      </w:pPr>
      <w:r>
        <w:t xml:space="preserve">47. </w:t>
      </w:r>
      <w:r>
        <w:tab/>
        <w:t xml:space="preserve">McCarty JM, Lock MD, Hunt KM, Simon JK, Gurwith M. Safety and immunogenicity of single-dose live oral cholera vaccine strain CVD 103-HgR in healthy adults age 18–45. Vaccine. 2018 Feb;36(6):833–40. </w:t>
      </w:r>
    </w:p>
    <w:p w14:paraId="591B6D66" w14:textId="77777777" w:rsidR="00492FC8" w:rsidRDefault="00492FC8" w:rsidP="00492FC8">
      <w:pPr>
        <w:pStyle w:val="Bibliography"/>
      </w:pPr>
      <w:r>
        <w:t xml:space="preserve">48.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Default="00492FC8" w:rsidP="00492FC8">
      <w:pPr>
        <w:pStyle w:val="Bibliography"/>
      </w:pPr>
      <w:r>
        <w:t xml:space="preserve">49. </w:t>
      </w:r>
      <w:r>
        <w:tab/>
        <w:t xml:space="preserve">Mbewe N, Imamura T, Sivile S, Sinkala A, Zulu P, Chanda C, et al. Clinical Characteristics of 6578 Adult Patients With Cholera Admitted to Community and </w:t>
      </w:r>
      <w:r>
        <w:lastRenderedPageBreak/>
        <w:t xml:space="preserve">Referral Cholera Treatment Centers in Lusaka, Zambia, October 2023 to April 2024. Open Forum Infect Dis. 2025 Jun 1;12(6):ofaf277. </w:t>
      </w:r>
    </w:p>
    <w:p w14:paraId="2AD9AD57" w14:textId="77777777" w:rsidR="00492FC8" w:rsidRDefault="00492FC8" w:rsidP="00492FC8">
      <w:pPr>
        <w:pStyle w:val="Bibliography"/>
      </w:pPr>
      <w:r>
        <w:t xml:space="preserve">50.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Default="00492FC8" w:rsidP="00492FC8">
      <w:pPr>
        <w:pStyle w:val="Bibliography"/>
      </w:pPr>
      <w:r>
        <w:t xml:space="preserve">51. </w:t>
      </w:r>
      <w:r>
        <w:tab/>
        <w:t>UNICEF. Oral cholera vaccine (OCV) price data [Internet]. 2024 Oct. Available from: https://www.unicef.org/supply/media/22781/file/OCV-vaccines-prices-29102024.pdf</w:t>
      </w:r>
    </w:p>
    <w:p w14:paraId="3369C62C" w14:textId="77777777" w:rsidR="00492FC8" w:rsidRDefault="00492FC8" w:rsidP="00492FC8">
      <w:pPr>
        <w:pStyle w:val="Bibliography"/>
      </w:pPr>
      <w:r>
        <w:t xml:space="preserve">52. </w:t>
      </w:r>
      <w:r>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Default="00492FC8" w:rsidP="00492FC8">
      <w:pPr>
        <w:pStyle w:val="Bibliography"/>
      </w:pPr>
      <w:r>
        <w:t xml:space="preserve">53. </w:t>
      </w:r>
      <w:r>
        <w:tab/>
        <w:t>UNICEF. Emergency stockpile availability - oral cholera vaccine [Internet]. 2024 Nov. Available from: https://www.unicef.org/supply/media/22091/file/EmergencyStockpileAvailabilityReportOCV11112024.pdf</w:t>
      </w:r>
    </w:p>
    <w:p w14:paraId="7FEA199A" w14:textId="77777777" w:rsidR="00492FC8" w:rsidRDefault="00492FC8" w:rsidP="00492FC8">
      <w:pPr>
        <w:pStyle w:val="Bibliography"/>
      </w:pPr>
      <w:r>
        <w:t xml:space="preserve">54. </w:t>
      </w:r>
      <w:r>
        <w:tab/>
        <w:t xml:space="preserve">Mogasale V, Ngogoyo SM, Mogasale VV. Model-based estimation of the economic burden of cholera in Africa. BMJ Open. 2021 Mar;11(3):e044615. </w:t>
      </w:r>
    </w:p>
    <w:p w14:paraId="52E5210E" w14:textId="77777777" w:rsidR="00492FC8" w:rsidRDefault="00492FC8" w:rsidP="00492FC8">
      <w:pPr>
        <w:pStyle w:val="Bibliography"/>
      </w:pPr>
      <w:r w:rsidRPr="009F7FCC">
        <w:t xml:space="preserve">55. </w:t>
      </w:r>
      <w:r w:rsidRPr="009F7FCC">
        <w:tab/>
        <w:t xml:space="preserve">Ilboudo PG, Huang XX, Ngwira B, Mwanyungwe A, Mogasale V, Mengel MA, et al. </w:t>
      </w:r>
      <w:r>
        <w:t xml:space="preserve">Cost-of-illness of cholera to households and health facilities in rural Malawi. PloS One. 2017;12(9):e0185041. </w:t>
      </w:r>
    </w:p>
    <w:p w14:paraId="3B31F685" w14:textId="77777777" w:rsidR="00492FC8" w:rsidRDefault="00492FC8" w:rsidP="00492FC8">
      <w:pPr>
        <w:pStyle w:val="Bibliography"/>
      </w:pPr>
      <w:r>
        <w:t xml:space="preserve">56. </w:t>
      </w:r>
      <w:r>
        <w:tab/>
        <w:t xml:space="preserve">Awalime DK, Davies-Teye BBK, Vanotoo LA, Owoo NS, Nketiah-Amponsah E. Economic evaluation of 2014 cholera outbreak in Ghana: a household cost analysis. Health Econ Rev. 2017 Dec 4;7(1):45. </w:t>
      </w:r>
    </w:p>
    <w:p w14:paraId="06CB1D65" w14:textId="77777777" w:rsidR="00492FC8" w:rsidRDefault="00492FC8" w:rsidP="00492FC8">
      <w:pPr>
        <w:pStyle w:val="Bibliography"/>
      </w:pPr>
      <w:r>
        <w:t xml:space="preserve">57. </w:t>
      </w:r>
      <w:r>
        <w:tab/>
        <w:t xml:space="preserve">Poulos C, Riewpaiboon A, Stewart JF, Clemens J, Guh S, Agtini M, et al. Costs of Illness Due to Endemic Cholera. Epidemiol Infect. 2012 Mar;140(3):10.1017/S0950268811000513. </w:t>
      </w:r>
    </w:p>
    <w:p w14:paraId="39334D56" w14:textId="77777777" w:rsidR="00492FC8" w:rsidRPr="00B33801" w:rsidRDefault="00492FC8" w:rsidP="00492FC8">
      <w:pPr>
        <w:pStyle w:val="Bibliography"/>
        <w:rPr>
          <w:lang w:val="de-DE"/>
        </w:rPr>
      </w:pPr>
      <w:r>
        <w:t xml:space="preserve">58. </w:t>
      </w:r>
      <w:r>
        <w:tab/>
        <w:t xml:space="preserve">Schaetti C, Weiss MG, Ali SM, Chaignat CL, Khatib AM, Reyburn R, et al. Costs of illness due to cholera, costs of immunization and cost-effectiveness of an oral cholera mass vaccination campaign in Zanzibar. </w:t>
      </w:r>
      <w:r w:rsidRPr="00B33801">
        <w:rPr>
          <w:lang w:val="de-DE"/>
        </w:rPr>
        <w:t xml:space="preserve">PLoS Negl Trop Dis. 2012;6(10):e1844. </w:t>
      </w:r>
    </w:p>
    <w:p w14:paraId="002AA514" w14:textId="77777777" w:rsidR="00492FC8" w:rsidRDefault="00492FC8" w:rsidP="00492FC8">
      <w:pPr>
        <w:pStyle w:val="Bibliography"/>
      </w:pPr>
      <w:r w:rsidRPr="00B33801">
        <w:rPr>
          <w:lang w:val="de-DE"/>
        </w:rPr>
        <w:t xml:space="preserve">59. </w:t>
      </w:r>
      <w:r w:rsidRPr="00B33801">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F0B92A7" w14:textId="77777777" w:rsidR="00492FC8" w:rsidRDefault="00492FC8" w:rsidP="00492FC8">
      <w:pPr>
        <w:pStyle w:val="Bibliography"/>
      </w:pPr>
      <w:r>
        <w:lastRenderedPageBreak/>
        <w:t xml:space="preserve">60. </w:t>
      </w:r>
      <w:r>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Default="00492FC8" w:rsidP="00492FC8">
      <w:pPr>
        <w:pStyle w:val="Bibliography"/>
      </w:pPr>
      <w:r>
        <w:t xml:space="preserve">61. </w:t>
      </w:r>
      <w:r>
        <w:tab/>
        <w:t xml:space="preserve">Luquero FJ, Grout L, Ciglenecki I, Sakoba K, Traore B, Heile M, et al. Use of Vibrio cholerae Vaccine in an Outbreak in Guinea. N Engl J Med. 2014 May 29;370(22):2111–20. </w:t>
      </w:r>
    </w:p>
    <w:p w14:paraId="57E7225E" w14:textId="77777777" w:rsidR="00492FC8" w:rsidRDefault="00492FC8" w:rsidP="00492FC8">
      <w:pPr>
        <w:pStyle w:val="Bibliography"/>
      </w:pPr>
      <w:r>
        <w:t xml:space="preserve">62. </w:t>
      </w:r>
      <w:r>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Default="00492FC8" w:rsidP="00492FC8">
      <w:pPr>
        <w:pStyle w:val="Bibliography"/>
      </w:pPr>
      <w:r>
        <w:t xml:space="preserve">63. </w:t>
      </w:r>
      <w:r>
        <w:tab/>
        <w:t>United Nations, Department of Economic and Social Affairs, Population Division. World Population Prospects 2024, Online Edition [Internet]. 2024. Available from: https://population.un.org/wpp/Download/Standard/Mortality/</w:t>
      </w:r>
    </w:p>
    <w:p w14:paraId="7C08E98F" w14:textId="77777777" w:rsidR="00492FC8" w:rsidRDefault="00492FC8" w:rsidP="00492FC8">
      <w:pPr>
        <w:pStyle w:val="Bibliography"/>
      </w:pPr>
      <w:r>
        <w:t xml:space="preserve">64. </w:t>
      </w:r>
      <w:r>
        <w:tab/>
        <w:t>World Bank Group. GDP per capita (current US$) [Internet]. Available from: https://data.worldbank.org/indicator/NY.GDP.PCAP.CD</w:t>
      </w:r>
    </w:p>
    <w:p w14:paraId="7CF50E0E" w14:textId="77777777" w:rsidR="00492FC8" w:rsidRDefault="00492FC8" w:rsidP="00492FC8">
      <w:pPr>
        <w:pStyle w:val="Bibliography"/>
      </w:pPr>
      <w:r>
        <w:t xml:space="preserve">65. </w:t>
      </w:r>
      <w:r>
        <w:tab/>
        <w:t>World Bank Group. Labor force participation rate, total (% of total population ages 15-64) (modeled ILO estimate) [Internet]. Available from: https://data.worldbank.org/indicator/SL.TLF.ACTI.ZS?end=2023&amp;start=1960</w:t>
      </w:r>
    </w:p>
    <w:p w14:paraId="602919B5" w14:textId="77777777" w:rsidR="00492FC8" w:rsidRDefault="00492FC8" w:rsidP="00492FC8">
      <w:pPr>
        <w:pStyle w:val="Bibliography"/>
      </w:pPr>
      <w:r>
        <w:t xml:space="preserve">66. </w:t>
      </w:r>
      <w:r>
        <w:tab/>
        <w:t xml:space="preserve">Pezzoli L. Global oral cholera vaccine use, 2013–2018. Vaccine. 2020 Feb;38:A132–40. </w:t>
      </w:r>
    </w:p>
    <w:p w14:paraId="23CC20E1" w14:textId="77777777" w:rsidR="00492FC8" w:rsidRDefault="00492FC8" w:rsidP="00492FC8">
      <w:pPr>
        <w:pStyle w:val="Bibliography"/>
      </w:pPr>
      <w:r>
        <w:t xml:space="preserve">67. </w:t>
      </w:r>
      <w:r>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Default="00492FC8" w:rsidP="00492FC8">
      <w:pPr>
        <w:pStyle w:val="Bibliography"/>
      </w:pPr>
      <w:r w:rsidRPr="00B33801">
        <w:rPr>
          <w:lang w:val="de-DE"/>
        </w:rPr>
        <w:t xml:space="preserve">68. </w:t>
      </w:r>
      <w:r w:rsidRPr="00B33801">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E57278B" w14:textId="77777777" w:rsidR="00492FC8" w:rsidRDefault="00492FC8" w:rsidP="00492FC8">
      <w:pPr>
        <w:pStyle w:val="Bibliography"/>
      </w:pPr>
      <w:r>
        <w:t xml:space="preserve">69. </w:t>
      </w:r>
      <w:r>
        <w:tab/>
        <w:t xml:space="preserve">Turner HC, Lauer JA, Tran BX, Teerawattananon Y, Jit M. Adjusting for Inflation and Currency Changes Within Health Economic Studies. Value Health. 2019 Sep;22(9):1026–32. </w:t>
      </w:r>
    </w:p>
    <w:p w14:paraId="4094B60B" w14:textId="77777777" w:rsidR="00492FC8" w:rsidRDefault="00492FC8" w:rsidP="00492FC8">
      <w:pPr>
        <w:pStyle w:val="Bibliography"/>
      </w:pPr>
      <w:r>
        <w:t xml:space="preserve">70. </w:t>
      </w:r>
      <w:r>
        <w:tab/>
        <w:t>Bureau of Labor Statistics. Math calculations to better utilize CPI data [Internet]. Bureau of Labor Statistics; Available from: https://www.bls.gov/cpi/factsheets/cpi-math-calculations.pdf</w:t>
      </w:r>
    </w:p>
    <w:p w14:paraId="2418A6D4" w14:textId="77777777" w:rsidR="00492FC8" w:rsidRDefault="00492FC8" w:rsidP="00492FC8">
      <w:pPr>
        <w:pStyle w:val="Bibliography"/>
      </w:pPr>
      <w:r>
        <w:t xml:space="preserve">71. </w:t>
      </w:r>
      <w:r>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Default="00492FC8" w:rsidP="00492FC8">
      <w:pPr>
        <w:pStyle w:val="Bibliography"/>
      </w:pPr>
      <w:r>
        <w:lastRenderedPageBreak/>
        <w:t xml:space="preserve">72. </w:t>
      </w:r>
      <w:r>
        <w:tab/>
        <w:t xml:space="preserve">Koepke AA, Longini IM, Halloran ME, Wakefield J, Minin VN. PREDICTIVE MODELING OF CHOLERA OUTBREAKS IN BANGLADESH. Ann Appl Stat. 2016 Jun;10(2):575–95. </w:t>
      </w:r>
    </w:p>
    <w:p w14:paraId="7B5B1AC6" w14:textId="77777777" w:rsidR="00492FC8" w:rsidRDefault="00492FC8" w:rsidP="00492FC8">
      <w:pPr>
        <w:pStyle w:val="Bibliography"/>
      </w:pPr>
      <w:r>
        <w:t xml:space="preserve">73.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Default="00492FC8" w:rsidP="00492FC8">
      <w:pPr>
        <w:pStyle w:val="Bibliography"/>
      </w:pPr>
      <w:r>
        <w:t xml:space="preserve">74. </w:t>
      </w:r>
      <w:r>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B33801" w:rsidRDefault="00492FC8" w:rsidP="00492FC8">
      <w:pPr>
        <w:pStyle w:val="Bibliography"/>
        <w:rPr>
          <w:lang w:val="de-DE"/>
        </w:rPr>
      </w:pPr>
      <w:r>
        <w:t xml:space="preserve">75. </w:t>
      </w:r>
      <w:r>
        <w:tab/>
        <w:t xml:space="preserve">Lee EC, Azman AS, Kaminsky J, Moore SM, McKay HS, Lessler J. The projected impact of geographic targeting of oral cholera vaccination in sub-Saharan Africa: A modeling study. </w:t>
      </w:r>
      <w:r w:rsidRPr="00B33801">
        <w:rPr>
          <w:lang w:val="de-DE"/>
        </w:rPr>
        <w:t xml:space="preserve">Kretzschmar MEE, editor. PLOS Med. 2019 Dec 11;16(12):e1003003. </w:t>
      </w:r>
    </w:p>
    <w:p w14:paraId="697298F8" w14:textId="77777777" w:rsidR="00492FC8" w:rsidRDefault="00492FC8" w:rsidP="00492FC8">
      <w:pPr>
        <w:pStyle w:val="Bibliography"/>
      </w:pPr>
      <w:r w:rsidRPr="00B33801">
        <w:rPr>
          <w:lang w:val="de-DE"/>
        </w:rPr>
        <w:t xml:space="preserve">76. </w:t>
      </w:r>
      <w:r w:rsidRPr="00B33801">
        <w:rPr>
          <w:lang w:val="de-DE"/>
        </w:rPr>
        <w:tab/>
        <w:t xml:space="preserve">Delport D, Muellenmeister AM, MacKechnie G, Vaccher S, Mengistu T, Hogan D, et al. </w:t>
      </w:r>
      <w:r>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Default="00492FC8" w:rsidP="00492FC8">
      <w:pPr>
        <w:pStyle w:val="Bibliography"/>
      </w:pPr>
      <w:r>
        <w:t xml:space="preserve">77.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Default="00492FC8" w:rsidP="00492FC8">
      <w:pPr>
        <w:pStyle w:val="Bibliography"/>
      </w:pPr>
      <w:r>
        <w:t xml:space="preserve">78. </w:t>
      </w:r>
      <w:r>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Default="00492FC8" w:rsidP="00492FC8">
      <w:pPr>
        <w:pStyle w:val="Bibliography"/>
      </w:pPr>
      <w:r>
        <w:t xml:space="preserve">79.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B33801" w:rsidRDefault="00492FC8" w:rsidP="00492FC8">
      <w:pPr>
        <w:pStyle w:val="Bibliography"/>
        <w:rPr>
          <w:lang w:val="de-DE"/>
        </w:rPr>
      </w:pPr>
      <w:r>
        <w:t xml:space="preserve">80. </w:t>
      </w:r>
      <w:r>
        <w:tab/>
        <w:t xml:space="preserve">Lessler J, Metcalf CJE, Grais RF, Luquero FJ, Cummings DAT, Grenfell BT. Measuring the Performance of Vaccination Programs Using Cross-Sectional Surveys: A Likelihood Framework and Retrospective Analysis. </w:t>
      </w:r>
      <w:r w:rsidRPr="00B33801">
        <w:rPr>
          <w:lang w:val="de-DE"/>
        </w:rPr>
        <w:t xml:space="preserve">PLOS Med. 2011 25;8(10):e1001110. </w:t>
      </w:r>
    </w:p>
    <w:p w14:paraId="505C8F25" w14:textId="77777777" w:rsidR="00492FC8" w:rsidRPr="00B33801" w:rsidRDefault="00492FC8" w:rsidP="00492FC8">
      <w:pPr>
        <w:pStyle w:val="Bibliography"/>
        <w:rPr>
          <w:lang w:val="de-DE"/>
        </w:rPr>
      </w:pPr>
      <w:r w:rsidRPr="00B33801">
        <w:rPr>
          <w:lang w:val="de-DE"/>
        </w:rPr>
        <w:t xml:space="preserve">81. </w:t>
      </w:r>
      <w:r w:rsidRPr="00B33801">
        <w:rPr>
          <w:lang w:val="de-DE"/>
        </w:rPr>
        <w:tab/>
        <w:t xml:space="preserve">Ali M, Qadri F, Kim DR, Islam T, Im J, Ahmmed F, et al. </w:t>
      </w:r>
      <w:r>
        <w:t xml:space="preserve">Unmasking herd protection by an oral cholera vaccine in a cluster-randomized trial. </w:t>
      </w:r>
      <w:r w:rsidRPr="00B33801">
        <w:rPr>
          <w:lang w:val="de-DE"/>
        </w:rPr>
        <w:t xml:space="preserve">Int J Epidemiol. 2019 Aug 1;48(4):1252–61. </w:t>
      </w:r>
    </w:p>
    <w:p w14:paraId="09EC53B7" w14:textId="77777777" w:rsidR="00492FC8" w:rsidRDefault="00492FC8" w:rsidP="00492FC8">
      <w:pPr>
        <w:pStyle w:val="Bibliography"/>
      </w:pPr>
      <w:r w:rsidRPr="00B33801">
        <w:rPr>
          <w:lang w:val="de-DE"/>
        </w:rPr>
        <w:t xml:space="preserve">82. </w:t>
      </w:r>
      <w:r w:rsidRPr="00B33801">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4A543BB7" w14:textId="77777777" w:rsidR="00492FC8" w:rsidRPr="009F7FCC" w:rsidRDefault="00492FC8" w:rsidP="00492FC8">
      <w:pPr>
        <w:pStyle w:val="Bibliography"/>
        <w:rPr>
          <w:lang w:val="de-DE"/>
        </w:rPr>
      </w:pPr>
      <w:r>
        <w:lastRenderedPageBreak/>
        <w:t xml:space="preserve">83. </w:t>
      </w:r>
      <w:r>
        <w:tab/>
        <w:t xml:space="preserve">Ali M, Sur D, You YA, Kanungo S, Sah B, Manna B, et al. Herd Protection by a Bivalent Killed Whole-Cell Oral Cholera Vaccine in the Slums of Kolkata, India. </w:t>
      </w:r>
      <w:r w:rsidRPr="009F7FCC">
        <w:rPr>
          <w:lang w:val="de-DE"/>
        </w:rPr>
        <w:t xml:space="preserve">Clin Infect Dis. 2013 Apr 15;56(8):1123–31. </w:t>
      </w:r>
    </w:p>
    <w:p w14:paraId="1C83CA14" w14:textId="77777777" w:rsidR="00492FC8" w:rsidRDefault="00492FC8" w:rsidP="00492FC8">
      <w:pPr>
        <w:pStyle w:val="Bibliography"/>
      </w:pPr>
      <w:r w:rsidRPr="00B33801">
        <w:rPr>
          <w:lang w:val="de-DE"/>
        </w:rPr>
        <w:t xml:space="preserve">84. </w:t>
      </w:r>
      <w:r w:rsidRPr="00B33801">
        <w:rPr>
          <w:lang w:val="de-DE"/>
        </w:rPr>
        <w:tab/>
        <w:t xml:space="preserve">Ali M, Emch M, Seidlein L von, Yunus M, Sack DA, Rao M, et al. </w:t>
      </w:r>
      <w:r>
        <w:t xml:space="preserve">Herd immunity conferred by killed oral cholera vaccines in Bangladesh: a reanalysis. The Lancet. 2005 Jul 2;366(9479):44–9. </w:t>
      </w:r>
    </w:p>
    <w:p w14:paraId="06EC18A4" w14:textId="77777777" w:rsidR="00492FC8" w:rsidRDefault="00492FC8" w:rsidP="00492FC8">
      <w:pPr>
        <w:pStyle w:val="Bibliography"/>
      </w:pPr>
      <w:r>
        <w:t xml:space="preserve">85.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Default="00492FC8" w:rsidP="00492FC8">
      <w:pPr>
        <w:pStyle w:val="Bibliography"/>
      </w:pPr>
      <w:r>
        <w:t xml:space="preserve">86. </w:t>
      </w:r>
      <w:r>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A6F2D" w14:textId="77777777" w:rsidR="00BC5936" w:rsidRDefault="00BC5936" w:rsidP="00F57F15">
      <w:r>
        <w:separator/>
      </w:r>
    </w:p>
  </w:endnote>
  <w:endnote w:type="continuationSeparator" w:id="0">
    <w:p w14:paraId="1581C07D" w14:textId="77777777" w:rsidR="00BC5936" w:rsidRDefault="00BC5936"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2336B" w14:textId="77777777" w:rsidR="00BC5936" w:rsidRDefault="00BC5936" w:rsidP="00F57F15">
      <w:r>
        <w:separator/>
      </w:r>
    </w:p>
  </w:footnote>
  <w:footnote w:type="continuationSeparator" w:id="0">
    <w:p w14:paraId="0CFB4512" w14:textId="77777777" w:rsidR="00BC5936" w:rsidRDefault="00BC5936"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762"/>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37815"/>
    <w:rsid w:val="00640D7D"/>
    <w:rsid w:val="006421B6"/>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2E77"/>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1479"/>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AF8"/>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5936"/>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0E44"/>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2.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33</Pages>
  <Words>57038</Words>
  <Characters>313712</Characters>
  <Application>Microsoft Office Word</Application>
  <DocSecurity>0</DocSecurity>
  <Lines>5602</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12</cp:revision>
  <cp:lastPrinted>2025-07-25T08:19:00Z</cp:lastPrinted>
  <dcterms:created xsi:type="dcterms:W3CDTF">2025-10-28T03:15:00Z</dcterms:created>
  <dcterms:modified xsi:type="dcterms:W3CDTF">2025-10-28T09:46:00Z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