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0E5D" w14:textId="77777777" w:rsidR="00BB5B04" w:rsidRDefault="00BB5B04" w:rsidP="00BB5B04">
      <w:pPr>
        <w:pStyle w:val="Heading2"/>
        <w:rPr>
          <w:rFonts w:ascii="Aptos" w:eastAsiaTheme="minorEastAsia" w:hAnsi="Aptos" w:cs="Aptos"/>
        </w:rPr>
      </w:pPr>
      <w:r w:rsidRPr="0091006A">
        <w:rPr>
          <w:rFonts w:ascii="Aptos" w:eastAsia="Aptos" w:hAnsi="Aptos" w:cs="Aptos"/>
        </w:rPr>
        <w:t>Figure legends</w:t>
      </w:r>
    </w:p>
    <w:p w14:paraId="605EF73E" w14:textId="73203CCE" w:rsidR="00532758" w:rsidRDefault="00BB5B04" w:rsidP="00BB5B04">
      <w:pPr>
        <w:rPr>
          <w:rFonts w:ascii="Aptos" w:hAnsi="Aptos" w:cs="Aptos"/>
        </w:rPr>
      </w:pPr>
      <w:r w:rsidRPr="00BE6658">
        <w:rPr>
          <w:rFonts w:ascii="Aptos" w:hAnsi="Aptos" w:cs="Cambria Math"/>
          <w:b/>
          <w:bCs/>
          <w:sz w:val="24"/>
          <w:szCs w:val="24"/>
        </w:rPr>
        <w:t>Figure 1</w:t>
      </w:r>
      <w:r w:rsidRPr="00BE6658">
        <w:rPr>
          <w:rFonts w:ascii="Aptos" w:hAnsi="Aptos" w:cs="Cambria Math"/>
          <w:sz w:val="24"/>
          <w:szCs w:val="24"/>
        </w:rPr>
        <w:t xml:space="preserve">. </w:t>
      </w:r>
      <w:r w:rsidR="00371572" w:rsidRPr="00371572">
        <w:rPr>
          <w:rFonts w:ascii="Aptos" w:hAnsi="Aptos" w:cs="Cambria Math"/>
          <w:sz w:val="24"/>
          <w:szCs w:val="24"/>
        </w:rPr>
        <w:t xml:space="preserve">Overview of outbreak identification process and modeling of vaccination impact. (A) Flowchart showing the </w:t>
      </w:r>
      <w:r w:rsidR="00371572">
        <w:rPr>
          <w:rFonts w:ascii="Aptos" w:hAnsi="Aptos" w:cs="Cambria Math" w:hint="eastAsia"/>
          <w:sz w:val="24"/>
          <w:szCs w:val="24"/>
        </w:rPr>
        <w:t>identification of cholera outbreaks and selecting a subset for vaccine impact modeling. (</w:t>
      </w:r>
      <w:r w:rsidR="00F92D0A" w:rsidRPr="00F92D0A">
        <w:rPr>
          <w:rFonts w:ascii="Aptos" w:hAnsi="Aptos" w:cs="Cambria Math"/>
          <w:sz w:val="24"/>
          <w:szCs w:val="24"/>
        </w:rPr>
        <w:t xml:space="preserve">B) </w:t>
      </w:r>
      <w:r w:rsidR="00371572" w:rsidRPr="00371572">
        <w:rPr>
          <w:rFonts w:ascii="Aptos" w:hAnsi="Aptos" w:cs="Cambria Math"/>
          <w:sz w:val="24"/>
          <w:szCs w:val="24"/>
        </w:rPr>
        <w:t>Schematic illustrating vaccin</w:t>
      </w:r>
      <w:r w:rsidR="00371572">
        <w:rPr>
          <w:rFonts w:ascii="Aptos" w:hAnsi="Aptos" w:cs="Cambria Math" w:hint="eastAsia"/>
          <w:sz w:val="24"/>
          <w:szCs w:val="24"/>
        </w:rPr>
        <w:t>e</w:t>
      </w:r>
      <w:r w:rsidR="00371572" w:rsidRPr="00371572">
        <w:rPr>
          <w:rFonts w:ascii="Aptos" w:hAnsi="Aptos" w:cs="Cambria Math"/>
          <w:sz w:val="24"/>
          <w:szCs w:val="24"/>
        </w:rPr>
        <w:t xml:space="preserve"> impact under different outbreak scenarios. The top panel shows a hypothetical cholera outbreak with and without vaccination</w:t>
      </w:r>
      <w:r w:rsidR="00371572">
        <w:rPr>
          <w:rFonts w:ascii="Aptos" w:hAnsi="Aptos" w:cs="Cambria Math" w:hint="eastAsia"/>
          <w:sz w:val="24"/>
          <w:szCs w:val="24"/>
        </w:rPr>
        <w:t xml:space="preserve">. Outbreak response </w:t>
      </w:r>
      <w:r w:rsidR="00371572" w:rsidRPr="00DA5AA2">
        <w:rPr>
          <w:rFonts w:ascii="Aptos" w:hAnsi="Aptos" w:cs="Cambria Math"/>
          <w:sz w:val="24"/>
          <w:szCs w:val="24"/>
        </w:rPr>
        <w:t>can be triggered either by elapsed time since outbreak onset or by reaching a cumulative case threshold (red thick line).</w:t>
      </w:r>
      <w:r w:rsidR="00371572">
        <w:rPr>
          <w:rFonts w:ascii="Aptos" w:hAnsi="Aptos" w:cs="Cambria Math" w:hint="eastAsia"/>
          <w:sz w:val="24"/>
          <w:szCs w:val="24"/>
        </w:rPr>
        <w:t xml:space="preserve"> Vaccination then occurs after a random delay (thick green line</w:t>
      </w:r>
      <w:proofErr w:type="gramStart"/>
      <w:r w:rsidR="00371572">
        <w:rPr>
          <w:rFonts w:ascii="Aptos" w:hAnsi="Aptos" w:cs="Cambria Math" w:hint="eastAsia"/>
          <w:sz w:val="24"/>
          <w:szCs w:val="24"/>
        </w:rPr>
        <w:t>)</w:t>
      </w:r>
      <w:proofErr w:type="gramEnd"/>
      <w:r w:rsidR="00371572">
        <w:rPr>
          <w:rFonts w:ascii="Aptos" w:hAnsi="Aptos" w:cs="Cambria Math" w:hint="eastAsia"/>
          <w:sz w:val="24"/>
          <w:szCs w:val="24"/>
        </w:rPr>
        <w:t xml:space="preserve"> and v</w:t>
      </w:r>
      <w:r w:rsidR="00371572" w:rsidRPr="00DA5AA2">
        <w:rPr>
          <w:rFonts w:ascii="Aptos" w:hAnsi="Aptos" w:cs="Cambria Math"/>
          <w:sz w:val="24"/>
          <w:szCs w:val="24"/>
        </w:rPr>
        <w:t xml:space="preserve">accines take effect </w:t>
      </w:r>
      <w:r w:rsidR="00371572">
        <w:rPr>
          <w:rFonts w:ascii="Aptos" w:hAnsi="Aptos" w:cs="Cambria Math" w:hint="eastAsia"/>
          <w:sz w:val="24"/>
          <w:szCs w:val="24"/>
        </w:rPr>
        <w:t xml:space="preserve">again </w:t>
      </w:r>
      <w:r w:rsidR="00371572" w:rsidRPr="00DA5AA2">
        <w:rPr>
          <w:rFonts w:ascii="Aptos" w:hAnsi="Aptos" w:cs="Cambria Math"/>
          <w:sz w:val="24"/>
          <w:szCs w:val="24"/>
        </w:rPr>
        <w:t>after a random delay</w:t>
      </w:r>
      <w:r w:rsidR="00371572">
        <w:rPr>
          <w:rFonts w:ascii="Aptos" w:hAnsi="Aptos" w:cs="Cambria Math" w:hint="eastAsia"/>
          <w:sz w:val="24"/>
          <w:szCs w:val="24"/>
        </w:rPr>
        <w:t xml:space="preserve"> post-v</w:t>
      </w:r>
      <w:r w:rsidR="00371572" w:rsidRPr="00DA5AA2">
        <w:rPr>
          <w:rFonts w:ascii="Aptos" w:hAnsi="Aptos" w:cs="Cambria Math"/>
          <w:sz w:val="24"/>
          <w:szCs w:val="24"/>
        </w:rPr>
        <w:t>accination</w:t>
      </w:r>
      <w:r w:rsidR="00371572">
        <w:rPr>
          <w:rFonts w:ascii="Aptos" w:hAnsi="Aptos" w:cs="Cambria Math" w:hint="eastAsia"/>
          <w:sz w:val="24"/>
          <w:szCs w:val="24"/>
        </w:rPr>
        <w:t xml:space="preserve"> (thick purple line).</w:t>
      </w:r>
      <w:r w:rsidR="00371572" w:rsidRPr="00371572">
        <w:rPr>
          <w:rFonts w:ascii="Aptos" w:hAnsi="Aptos" w:cs="Cambria Math"/>
          <w:sz w:val="24"/>
          <w:szCs w:val="24"/>
        </w:rPr>
        <w:t xml:space="preserve"> </w:t>
      </w:r>
      <w:r w:rsidR="00371572">
        <w:rPr>
          <w:rFonts w:ascii="Aptos" w:hAnsi="Aptos" w:cs="Cambria Math" w:hint="eastAsia"/>
          <w:sz w:val="24"/>
          <w:szCs w:val="24"/>
        </w:rPr>
        <w:t xml:space="preserve">Percentage </w:t>
      </w:r>
      <w:r w:rsidR="00371572" w:rsidRPr="00DA5AA2">
        <w:rPr>
          <w:rFonts w:ascii="Aptos" w:hAnsi="Aptos" w:cs="Cambria Math"/>
          <w:sz w:val="24"/>
          <w:szCs w:val="24"/>
        </w:rPr>
        <w:t xml:space="preserve">reduction in cases is calculated as the ratio of cases </w:t>
      </w:r>
      <w:r w:rsidR="00371572">
        <w:rPr>
          <w:rFonts w:ascii="Aptos" w:hAnsi="Aptos" w:cs="Cambria Math" w:hint="eastAsia"/>
          <w:sz w:val="24"/>
          <w:szCs w:val="24"/>
        </w:rPr>
        <w:t xml:space="preserve">reduced because of vaccines </w:t>
      </w:r>
      <w:r w:rsidR="00371572" w:rsidRPr="00DA5AA2">
        <w:rPr>
          <w:rFonts w:ascii="Aptos" w:hAnsi="Aptos" w:cs="Cambria Math"/>
          <w:sz w:val="24"/>
          <w:szCs w:val="24"/>
        </w:rPr>
        <w:t xml:space="preserve">to </w:t>
      </w:r>
      <w:r w:rsidR="00371572">
        <w:rPr>
          <w:rFonts w:ascii="Aptos" w:hAnsi="Aptos" w:cs="Cambria Math" w:hint="eastAsia"/>
          <w:sz w:val="24"/>
          <w:szCs w:val="24"/>
        </w:rPr>
        <w:t>cases under no</w:t>
      </w:r>
      <w:r w:rsidR="00371572" w:rsidRPr="00DA5AA2">
        <w:rPr>
          <w:rFonts w:ascii="Aptos" w:hAnsi="Aptos" w:cs="Cambria Math"/>
          <w:sz w:val="24"/>
          <w:szCs w:val="24"/>
        </w:rPr>
        <w:t xml:space="preserve"> vaccination</w:t>
      </w:r>
      <w:r w:rsidR="00371572" w:rsidRPr="006A3D9A">
        <w:rPr>
          <w:rFonts w:ascii="Aptos" w:hAnsi="Aptos" w:cs="Cambria Math"/>
          <w:sz w:val="24"/>
          <w:szCs w:val="24"/>
        </w:rPr>
        <w:t>.</w:t>
      </w:r>
      <w:r w:rsidR="00371572">
        <w:rPr>
          <w:rFonts w:ascii="Aptos" w:hAnsi="Aptos" w:cs="Cambria Math" w:hint="eastAsia"/>
          <w:sz w:val="24"/>
          <w:szCs w:val="24"/>
        </w:rPr>
        <w:t xml:space="preserve"> </w:t>
      </w:r>
      <w:r w:rsidR="00371572" w:rsidRPr="00371572">
        <w:rPr>
          <w:rFonts w:ascii="Aptos" w:hAnsi="Aptos" w:cs="Cambria Math"/>
          <w:sz w:val="24"/>
          <w:szCs w:val="24"/>
        </w:rPr>
        <w:t>The second panel demonstrates early outbreaks that end before vaccination</w:t>
      </w:r>
      <w:r w:rsidR="00371572">
        <w:rPr>
          <w:rFonts w:ascii="Aptos" w:hAnsi="Aptos" w:cs="Cambria Math" w:hint="eastAsia"/>
          <w:sz w:val="24"/>
          <w:szCs w:val="24"/>
        </w:rPr>
        <w:t xml:space="preserve"> takes place (grey line) or before vaccines effectively protect vaccine recipients and others (black line)</w:t>
      </w:r>
      <w:r w:rsidR="00371572" w:rsidRPr="00371572">
        <w:rPr>
          <w:rFonts w:ascii="Aptos" w:hAnsi="Aptos" w:cs="Cambria Math"/>
          <w:sz w:val="24"/>
          <w:szCs w:val="24"/>
        </w:rPr>
        <w:t>. The third</w:t>
      </w:r>
      <w:r w:rsidR="00371572">
        <w:rPr>
          <w:rFonts w:ascii="Aptos" w:hAnsi="Aptos" w:cs="Cambria Math" w:hint="eastAsia"/>
          <w:sz w:val="24"/>
          <w:szCs w:val="24"/>
        </w:rPr>
        <w:t xml:space="preserve"> and the bottom</w:t>
      </w:r>
      <w:r w:rsidR="00371572" w:rsidRPr="00371572">
        <w:rPr>
          <w:rFonts w:ascii="Aptos" w:hAnsi="Aptos" w:cs="Cambria Math"/>
          <w:sz w:val="24"/>
          <w:szCs w:val="24"/>
        </w:rPr>
        <w:t xml:space="preserve"> panel show that </w:t>
      </w:r>
      <w:r w:rsidR="00371572">
        <w:rPr>
          <w:rFonts w:ascii="Aptos" w:hAnsi="Aptos" w:cs="Cambria Math" w:hint="eastAsia"/>
          <w:sz w:val="24"/>
          <w:szCs w:val="24"/>
        </w:rPr>
        <w:t>vaccination impact in a smaller and a larger outbreak, respectively.</w:t>
      </w:r>
      <w:r w:rsidR="00371572" w:rsidRPr="00371572">
        <w:rPr>
          <w:rFonts w:ascii="Aptos" w:hAnsi="Aptos" w:cs="Cambria Math"/>
          <w:sz w:val="24"/>
          <w:szCs w:val="24"/>
        </w:rPr>
        <w:t xml:space="preserve"> </w:t>
      </w:r>
      <w:r w:rsidR="00371572">
        <w:rPr>
          <w:rFonts w:ascii="Aptos" w:hAnsi="Aptos" w:cs="Cambria Math" w:hint="eastAsia"/>
          <w:sz w:val="24"/>
          <w:szCs w:val="24"/>
        </w:rPr>
        <w:t xml:space="preserve">The </w:t>
      </w:r>
      <w:r w:rsidR="00371572" w:rsidRPr="00371572">
        <w:rPr>
          <w:rFonts w:ascii="Aptos" w:hAnsi="Aptos" w:cs="Cambria Math"/>
          <w:sz w:val="24"/>
          <w:szCs w:val="24"/>
        </w:rPr>
        <w:t>percentage reduction in cases</w:t>
      </w:r>
      <w:r w:rsidR="00371572">
        <w:rPr>
          <w:rFonts w:ascii="Aptos" w:hAnsi="Aptos" w:cs="Cambria Math" w:hint="eastAsia"/>
          <w:sz w:val="24"/>
          <w:szCs w:val="24"/>
        </w:rPr>
        <w:t xml:space="preserve"> </w:t>
      </w:r>
      <w:r w:rsidR="00371572" w:rsidRPr="00371572">
        <w:rPr>
          <w:rFonts w:ascii="Aptos" w:hAnsi="Aptos" w:cs="Cambria Math"/>
          <w:sz w:val="24"/>
          <w:szCs w:val="24"/>
        </w:rPr>
        <w:t>is typically larger in outbreaks with more cases (inequality 1</w:t>
      </w:r>
      <w:r w:rsidR="00A63D23">
        <w:rPr>
          <w:rFonts w:ascii="Aptos" w:hAnsi="Aptos" w:cs="Cambria Math" w:hint="eastAsia"/>
          <w:sz w:val="24"/>
          <w:szCs w:val="24"/>
        </w:rPr>
        <w:t xml:space="preserve"> in the third panel</w:t>
      </w:r>
      <w:r w:rsidR="00371572" w:rsidRPr="00371572">
        <w:rPr>
          <w:rFonts w:ascii="Aptos" w:hAnsi="Aptos" w:cs="Cambria Math"/>
          <w:sz w:val="24"/>
          <w:szCs w:val="24"/>
        </w:rPr>
        <w:t xml:space="preserve">). </w:t>
      </w:r>
      <w:r w:rsidR="00EE0F10">
        <w:rPr>
          <w:rFonts w:ascii="Aptos" w:hAnsi="Aptos" w:cs="Cambria Math"/>
          <w:sz w:val="24"/>
          <w:szCs w:val="24"/>
        </w:rPr>
        <w:t>The</w:t>
      </w:r>
      <w:r w:rsidR="00EE0F10">
        <w:rPr>
          <w:rFonts w:ascii="Aptos" w:hAnsi="Aptos" w:cs="Cambria Math" w:hint="eastAsia"/>
          <w:sz w:val="24"/>
          <w:szCs w:val="24"/>
        </w:rPr>
        <w:t xml:space="preserve"> </w:t>
      </w:r>
      <w:r w:rsidR="00EE0F10" w:rsidRPr="00371572">
        <w:rPr>
          <w:rFonts w:ascii="Aptos" w:hAnsi="Aptos" w:cs="Cambria Math"/>
          <w:sz w:val="24"/>
          <w:szCs w:val="24"/>
        </w:rPr>
        <w:t>overall percentage reduction</w:t>
      </w:r>
      <w:r w:rsidR="00EE0F10">
        <w:rPr>
          <w:rFonts w:ascii="Aptos" w:hAnsi="Aptos" w:cs="Cambria Math" w:hint="eastAsia"/>
          <w:sz w:val="24"/>
          <w:szCs w:val="24"/>
        </w:rPr>
        <w:t xml:space="preserve"> </w:t>
      </w:r>
      <w:r w:rsidR="00EE0F10" w:rsidRPr="00371572">
        <w:rPr>
          <w:rFonts w:ascii="Aptos" w:hAnsi="Aptos" w:cs="Cambria Math"/>
          <w:sz w:val="24"/>
          <w:szCs w:val="24"/>
        </w:rPr>
        <w:t xml:space="preserve">in cases </w:t>
      </w:r>
      <w:r w:rsidR="00EE0F10">
        <w:rPr>
          <w:rFonts w:ascii="Aptos" w:hAnsi="Aptos" w:cs="Cambria Math" w:hint="eastAsia"/>
          <w:sz w:val="24"/>
          <w:szCs w:val="24"/>
        </w:rPr>
        <w:t xml:space="preserve">across multiple heterogeneous outbreaks </w:t>
      </w:r>
      <w:r w:rsidR="00EE0F10" w:rsidRPr="00371572">
        <w:rPr>
          <w:rFonts w:ascii="Aptos" w:hAnsi="Aptos" w:cs="Cambria Math"/>
          <w:sz w:val="24"/>
          <w:szCs w:val="24"/>
        </w:rPr>
        <w:t>is larger</w:t>
      </w:r>
      <w:r w:rsidR="00EE0F10">
        <w:rPr>
          <w:rFonts w:ascii="Aptos" w:hAnsi="Aptos" w:cs="Cambria Math" w:hint="eastAsia"/>
          <w:sz w:val="24"/>
          <w:szCs w:val="24"/>
        </w:rPr>
        <w:t xml:space="preserve"> when</w:t>
      </w:r>
      <w:r w:rsidR="00EE0F10" w:rsidRPr="00371572">
        <w:rPr>
          <w:rFonts w:ascii="Aptos" w:hAnsi="Aptos" w:cs="Cambria Math"/>
          <w:sz w:val="24"/>
          <w:szCs w:val="24"/>
        </w:rPr>
        <w:t xml:space="preserve"> outbreaks are weighted by their total case count </w:t>
      </w:r>
      <w:r w:rsidR="00EE0F10">
        <w:rPr>
          <w:rFonts w:ascii="Aptos" w:hAnsi="Aptos" w:cs="Cambria Math" w:hint="eastAsia"/>
          <w:sz w:val="24"/>
          <w:szCs w:val="24"/>
        </w:rPr>
        <w:t xml:space="preserve">than </w:t>
      </w:r>
      <w:r w:rsidR="00EE0F10" w:rsidRPr="00371572">
        <w:rPr>
          <w:rFonts w:ascii="Aptos" w:hAnsi="Aptos" w:cs="Cambria Math"/>
          <w:sz w:val="24"/>
          <w:szCs w:val="24"/>
        </w:rPr>
        <w:t>when each outbreak is given equal weight regardless of size</w:t>
      </w:r>
      <w:r w:rsidR="00EE0F10">
        <w:rPr>
          <w:rFonts w:ascii="Aptos" w:hAnsi="Aptos" w:cs="Cambria Math" w:hint="eastAsia"/>
          <w:sz w:val="24"/>
          <w:szCs w:val="24"/>
        </w:rPr>
        <w:t xml:space="preserve"> (inequality 2</w:t>
      </w:r>
      <w:r w:rsidR="00A63D23">
        <w:rPr>
          <w:rFonts w:ascii="Aptos" w:hAnsi="Aptos" w:cs="Cambria Math" w:hint="eastAsia"/>
          <w:sz w:val="24"/>
          <w:szCs w:val="24"/>
        </w:rPr>
        <w:t xml:space="preserve"> in the third panel</w:t>
      </w:r>
      <w:r w:rsidR="00EE0F10">
        <w:rPr>
          <w:rFonts w:ascii="Aptos" w:hAnsi="Aptos" w:cs="Cambria Math" w:hint="eastAsia"/>
          <w:sz w:val="24"/>
          <w:szCs w:val="24"/>
        </w:rPr>
        <w:t>)</w:t>
      </w:r>
      <w:r w:rsidR="00371572" w:rsidRPr="00371572">
        <w:rPr>
          <w:rFonts w:ascii="Aptos" w:hAnsi="Aptos" w:cs="Cambria Math"/>
          <w:sz w:val="24"/>
          <w:szCs w:val="24"/>
        </w:rPr>
        <w:t>.</w:t>
      </w:r>
      <w:r w:rsidR="00371572">
        <w:rPr>
          <w:rFonts w:ascii="Aptos" w:hAnsi="Aptos" w:cs="Cambria Math" w:hint="eastAsia"/>
          <w:sz w:val="24"/>
          <w:szCs w:val="24"/>
        </w:rPr>
        <w:t xml:space="preserve"> </w:t>
      </w:r>
      <w:r w:rsidR="00DC19AA">
        <w:rPr>
          <w:rFonts w:ascii="Aptos" w:hAnsi="Aptos" w:cs="Aptos" w:hint="eastAsia"/>
        </w:rPr>
        <w:t xml:space="preserve">            </w:t>
      </w:r>
    </w:p>
    <w:p w14:paraId="2F0DC8DC" w14:textId="4042DE82" w:rsidR="00BB5B04" w:rsidRPr="00EE0F10" w:rsidRDefault="00DC19AA" w:rsidP="00BB5B04">
      <w:pPr>
        <w:rPr>
          <w:rFonts w:ascii="Aptos" w:hAnsi="Aptos" w:cs="Aptos"/>
        </w:rPr>
      </w:pPr>
      <w:r>
        <w:rPr>
          <w:rFonts w:ascii="Aptos" w:hAnsi="Aptos" w:cs="Aptos" w:hint="eastAsia"/>
        </w:rPr>
        <w:t xml:space="preserve">                                   </w:t>
      </w:r>
    </w:p>
    <w:p w14:paraId="1CC8111A" w14:textId="1760EC40" w:rsidR="00BB5B04" w:rsidRDefault="00832C1F" w:rsidP="00832C1F">
      <w:pPr>
        <w:jc w:val="center"/>
        <w:rPr>
          <w:rFonts w:ascii="Cambria Math" w:hAnsi="Cambria Math" w:cs="Cambria Math"/>
          <w:b/>
          <w:bCs/>
          <w:sz w:val="24"/>
          <w:szCs w:val="24"/>
        </w:rPr>
      </w:pPr>
      <w:r>
        <w:rPr>
          <w:rFonts w:ascii="Cambria Math" w:hAnsi="Cambria Math" w:cs="Cambria Math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C540021" wp14:editId="38ED52A0">
            <wp:extent cx="5577840" cy="3901535"/>
            <wp:effectExtent l="0" t="0" r="3810" b="3810"/>
            <wp:docPr id="12044988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98870" name="Picture 1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92A0" w14:textId="1DE8A6E0" w:rsidR="00BB5B04" w:rsidRDefault="00005045" w:rsidP="00005045">
      <w:pPr>
        <w:rPr>
          <w:rFonts w:ascii="Aptos" w:hAnsi="Aptos" w:cs="Cambria Math"/>
          <w:sz w:val="24"/>
          <w:szCs w:val="24"/>
        </w:rPr>
      </w:pPr>
      <w:bookmarkStart w:id="0" w:name="_Hlk201074349"/>
      <w:r w:rsidRPr="00005045">
        <w:rPr>
          <w:rFonts w:ascii="Aptos" w:hAnsi="Aptos" w:cs="Cambria Math"/>
          <w:b/>
          <w:bCs/>
          <w:sz w:val="24"/>
          <w:szCs w:val="24"/>
        </w:rPr>
        <w:lastRenderedPageBreak/>
        <w:t>Figure 2. Characteristics of cholera outbreaks in sub-Saharan Africa, 2010–2020.</w:t>
      </w:r>
      <w:r>
        <w:rPr>
          <w:rFonts w:ascii="Aptos" w:hAnsi="Aptos" w:cs="Cambria Math" w:hint="eastAsia"/>
          <w:b/>
          <w:bCs/>
          <w:sz w:val="24"/>
          <w:szCs w:val="24"/>
        </w:rPr>
        <w:t xml:space="preserve"> </w:t>
      </w:r>
      <w:r w:rsidR="00BB5B04" w:rsidRPr="00BE6658">
        <w:rPr>
          <w:rFonts w:ascii="Aptos" w:hAnsi="Aptos" w:cs="Cambria Math"/>
          <w:sz w:val="24"/>
          <w:szCs w:val="24"/>
        </w:rPr>
        <w:t xml:space="preserve">Outbreak data set. </w:t>
      </w:r>
      <w:r w:rsidRPr="00005045">
        <w:rPr>
          <w:rFonts w:ascii="Aptos" w:hAnsi="Aptos" w:cs="Cambria Math"/>
          <w:sz w:val="24"/>
          <w:szCs w:val="24"/>
        </w:rPr>
        <w:t>(A) Monthly time series of suspected cholera cases, stacked by African subregion.</w:t>
      </w:r>
      <w:r>
        <w:rPr>
          <w:rFonts w:ascii="Aptos" w:hAnsi="Aptos" w:cs="Cambria Math" w:hint="eastAsia"/>
          <w:sz w:val="24"/>
          <w:szCs w:val="24"/>
        </w:rPr>
        <w:t xml:space="preserve"> </w:t>
      </w:r>
      <w:r w:rsidRPr="00005045">
        <w:rPr>
          <w:rFonts w:ascii="Aptos" w:hAnsi="Aptos" w:cs="Cambria Math"/>
          <w:sz w:val="24"/>
          <w:szCs w:val="24"/>
        </w:rPr>
        <w:t>(B) Geographic distribution of outbreaks by administrative levels 1, 2, and 3. Darker shading indicates areas with repeated outbreaks.</w:t>
      </w:r>
      <w:r w:rsidR="00FA34D2">
        <w:rPr>
          <w:rFonts w:ascii="Aptos" w:hAnsi="Aptos" w:cs="Cambria Math" w:hint="eastAsia"/>
          <w:sz w:val="24"/>
          <w:szCs w:val="24"/>
        </w:rPr>
        <w:t xml:space="preserve"> </w:t>
      </w:r>
      <w:r w:rsidRPr="00005045">
        <w:rPr>
          <w:rFonts w:ascii="Aptos" w:hAnsi="Aptos" w:cs="Cambria Math"/>
          <w:sz w:val="24"/>
          <w:szCs w:val="24"/>
        </w:rPr>
        <w:t xml:space="preserve">(C) Median epidemic curve with 95% central percentiles; </w:t>
      </w:r>
      <w:proofErr w:type="gramStart"/>
      <w:r w:rsidRPr="00005045">
        <w:rPr>
          <w:rFonts w:ascii="Aptos" w:hAnsi="Aptos" w:cs="Cambria Math"/>
          <w:sz w:val="24"/>
          <w:szCs w:val="24"/>
        </w:rPr>
        <w:t>inset</w:t>
      </w:r>
      <w:proofErr w:type="gramEnd"/>
      <w:r w:rsidRPr="00005045">
        <w:rPr>
          <w:rFonts w:ascii="Aptos" w:hAnsi="Aptos" w:cs="Cambria Math"/>
          <w:sz w:val="24"/>
          <w:szCs w:val="24"/>
        </w:rPr>
        <w:t xml:space="preserve"> shows the cumulative probability distribution of time to peak (in weeks).</w:t>
      </w:r>
      <w:r w:rsidR="00FA34D2">
        <w:rPr>
          <w:rFonts w:ascii="Aptos" w:hAnsi="Aptos" w:cs="Cambria Math" w:hint="eastAsia"/>
          <w:sz w:val="24"/>
          <w:szCs w:val="24"/>
        </w:rPr>
        <w:t xml:space="preserve"> </w:t>
      </w:r>
      <w:r w:rsidRPr="00005045">
        <w:rPr>
          <w:rFonts w:ascii="Aptos" w:hAnsi="Aptos" w:cs="Cambria Math"/>
          <w:sz w:val="24"/>
          <w:szCs w:val="24"/>
        </w:rPr>
        <w:t>(D) Total number of suspected cases versus outbreak duration, both on a logarithmic scale.</w:t>
      </w:r>
      <w:r w:rsidR="00FA34D2">
        <w:rPr>
          <w:rFonts w:ascii="Aptos" w:hAnsi="Aptos" w:cs="Cambria Math" w:hint="eastAsia"/>
          <w:sz w:val="24"/>
          <w:szCs w:val="24"/>
        </w:rPr>
        <w:t xml:space="preserve"> </w:t>
      </w:r>
      <w:r w:rsidRPr="00005045">
        <w:rPr>
          <w:rFonts w:ascii="Aptos" w:hAnsi="Aptos" w:cs="Cambria Math"/>
          <w:sz w:val="24"/>
          <w:szCs w:val="24"/>
        </w:rPr>
        <w:t>(E) Total number of suspected cases versus attack rate (per 10,000 population), both on a logarithmic scale.</w:t>
      </w:r>
    </w:p>
    <w:bookmarkEnd w:id="0"/>
    <w:p w14:paraId="547D5607" w14:textId="77777777" w:rsidR="00BB5B04" w:rsidRDefault="00BB5B04" w:rsidP="00BB5B04">
      <w:pPr>
        <w:rPr>
          <w:rFonts w:ascii="Aptos" w:hAnsi="Aptos" w:cs="Cambria Math"/>
          <w:b/>
          <w:bCs/>
          <w:sz w:val="24"/>
          <w:szCs w:val="24"/>
        </w:rPr>
      </w:pPr>
    </w:p>
    <w:p w14:paraId="0AF2D598" w14:textId="5200EF93" w:rsidR="00BB5B04" w:rsidRDefault="004E7392" w:rsidP="00BB5B04">
      <w:pPr>
        <w:rPr>
          <w:rFonts w:ascii="Aptos" w:hAnsi="Aptos" w:cs="Cambria Math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8F3B286" wp14:editId="2DE21320">
            <wp:extent cx="6000750" cy="6000750"/>
            <wp:effectExtent l="0" t="0" r="0" b="0"/>
            <wp:docPr id="58818400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84008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4332" w14:textId="77777777" w:rsidR="00BB5B04" w:rsidRDefault="00BB5B04" w:rsidP="00BB5B04">
      <w:pPr>
        <w:rPr>
          <w:rFonts w:ascii="Aptos" w:hAnsi="Aptos" w:cs="Cambria Math"/>
          <w:b/>
          <w:bCs/>
          <w:sz w:val="24"/>
          <w:szCs w:val="24"/>
        </w:rPr>
      </w:pPr>
    </w:p>
    <w:p w14:paraId="01CB9F70" w14:textId="067CC37B" w:rsidR="005B6EE8" w:rsidRDefault="00BB5B04" w:rsidP="002F30E2">
      <w:pPr>
        <w:rPr>
          <w:rFonts w:ascii="Aptos" w:hAnsi="Aptos" w:cs="Cambria Math"/>
          <w:sz w:val="24"/>
          <w:szCs w:val="24"/>
        </w:rPr>
      </w:pPr>
      <w:r w:rsidRPr="0091006A">
        <w:rPr>
          <w:rFonts w:ascii="Aptos" w:hAnsi="Aptos" w:cs="Cambria Math"/>
          <w:b/>
          <w:bCs/>
          <w:sz w:val="24"/>
          <w:szCs w:val="24"/>
        </w:rPr>
        <w:lastRenderedPageBreak/>
        <w:t>Fig</w:t>
      </w:r>
      <w:r w:rsidR="007705F5">
        <w:rPr>
          <w:rFonts w:ascii="Aptos" w:hAnsi="Aptos" w:cs="Cambria Math" w:hint="eastAsia"/>
          <w:b/>
          <w:bCs/>
          <w:sz w:val="24"/>
          <w:szCs w:val="24"/>
        </w:rPr>
        <w:t>ure.</w:t>
      </w:r>
      <w:r w:rsidRPr="0091006A">
        <w:rPr>
          <w:rFonts w:ascii="Aptos" w:hAnsi="Aptos" w:cs="Cambria Math"/>
          <w:b/>
          <w:bCs/>
          <w:sz w:val="24"/>
          <w:szCs w:val="24"/>
        </w:rPr>
        <w:t xml:space="preserve"> </w:t>
      </w:r>
      <w:r w:rsidR="00FC5028">
        <w:rPr>
          <w:rFonts w:ascii="Aptos" w:hAnsi="Aptos" w:cs="Cambria Math" w:hint="eastAsia"/>
          <w:b/>
          <w:bCs/>
          <w:sz w:val="24"/>
          <w:szCs w:val="24"/>
        </w:rPr>
        <w:t>3</w:t>
      </w:r>
      <w:r w:rsidRPr="003B5091">
        <w:rPr>
          <w:rFonts w:ascii="Aptos" w:hAnsi="Aptos" w:cs="Cambria Math"/>
          <w:sz w:val="24"/>
          <w:szCs w:val="24"/>
        </w:rPr>
        <w:t xml:space="preserve">. </w:t>
      </w:r>
      <w:r w:rsidR="002F30E2" w:rsidRPr="002F30E2">
        <w:rPr>
          <w:rFonts w:ascii="Aptos" w:hAnsi="Aptos" w:cs="Cambria Math"/>
          <w:sz w:val="24"/>
          <w:szCs w:val="24"/>
        </w:rPr>
        <w:t>Impact of outbreak response immunization (ORI).</w:t>
      </w:r>
      <w:r w:rsidR="00207946" w:rsidRPr="003B5091">
        <w:rPr>
          <w:rFonts w:ascii="Aptos" w:hAnsi="Aptos" w:cs="Cambria Math" w:hint="eastAsia"/>
          <w:sz w:val="24"/>
          <w:szCs w:val="24"/>
        </w:rPr>
        <w:t xml:space="preserve"> </w:t>
      </w:r>
      <w:r w:rsidR="002F30E2" w:rsidRPr="002F30E2">
        <w:rPr>
          <w:rFonts w:ascii="Aptos" w:hAnsi="Aptos" w:cs="Cambria Math"/>
          <w:sz w:val="24"/>
          <w:szCs w:val="24"/>
        </w:rPr>
        <w:t xml:space="preserve">(A) Number of cases averted and (B) percentage of cases averted </w:t>
      </w:r>
      <w:r w:rsidR="00FC52FA">
        <w:rPr>
          <w:rFonts w:ascii="Aptos" w:hAnsi="Aptos" w:cs="Cambria Math" w:hint="eastAsia"/>
          <w:sz w:val="24"/>
          <w:szCs w:val="24"/>
        </w:rPr>
        <w:t xml:space="preserve">for </w:t>
      </w:r>
      <w:r w:rsidR="002F30E2" w:rsidRPr="002F30E2">
        <w:rPr>
          <w:rFonts w:ascii="Aptos" w:hAnsi="Aptos" w:cs="Cambria Math"/>
          <w:sz w:val="24"/>
          <w:szCs w:val="24"/>
        </w:rPr>
        <w:t>ORI</w:t>
      </w:r>
      <w:r w:rsidR="00FC52FA">
        <w:rPr>
          <w:rFonts w:ascii="Aptos" w:hAnsi="Aptos" w:cs="Cambria Math" w:hint="eastAsia"/>
          <w:sz w:val="24"/>
          <w:szCs w:val="24"/>
        </w:rPr>
        <w:t>s</w:t>
      </w:r>
      <w:r w:rsidR="002F30E2" w:rsidRPr="002F30E2">
        <w:rPr>
          <w:rFonts w:ascii="Aptos" w:hAnsi="Aptos" w:cs="Cambria Math"/>
          <w:sz w:val="24"/>
          <w:szCs w:val="24"/>
        </w:rPr>
        <w:t xml:space="preserve"> implement</w:t>
      </w:r>
      <w:r w:rsidR="00FC52FA">
        <w:rPr>
          <w:rFonts w:ascii="Aptos" w:hAnsi="Aptos" w:cs="Cambria Math" w:hint="eastAsia"/>
          <w:sz w:val="24"/>
          <w:szCs w:val="24"/>
        </w:rPr>
        <w:t>ed with 1</w:t>
      </w:r>
      <w:r w:rsidR="002F30E2" w:rsidRPr="002F30E2">
        <w:rPr>
          <w:rFonts w:ascii="Aptos" w:hAnsi="Aptos" w:cs="Cambria Math"/>
          <w:sz w:val="24"/>
          <w:szCs w:val="24"/>
        </w:rPr>
        <w:t xml:space="preserve"> to 15 weeks</w:t>
      </w:r>
      <w:r w:rsidR="00FC52FA">
        <w:rPr>
          <w:rFonts w:ascii="Aptos" w:hAnsi="Aptos" w:cs="Cambria Math" w:hint="eastAsia"/>
          <w:sz w:val="24"/>
          <w:szCs w:val="24"/>
        </w:rPr>
        <w:t xml:space="preserve"> of delay for </w:t>
      </w:r>
      <w:r w:rsidR="002F30E2" w:rsidRPr="002F30E2">
        <w:rPr>
          <w:rFonts w:ascii="Aptos" w:hAnsi="Aptos" w:cs="Cambria Math"/>
          <w:sz w:val="24"/>
          <w:szCs w:val="24"/>
        </w:rPr>
        <w:t>vaccine coverage levels of 60%, 75%, and 90%. ORI</w:t>
      </w:r>
      <w:r w:rsidR="00FC52FA">
        <w:rPr>
          <w:rFonts w:ascii="Aptos" w:hAnsi="Aptos" w:cs="Cambria Math" w:hint="eastAsia"/>
          <w:sz w:val="24"/>
          <w:szCs w:val="24"/>
        </w:rPr>
        <w:t>s</w:t>
      </w:r>
      <w:r w:rsidR="002F30E2" w:rsidRPr="002F30E2">
        <w:rPr>
          <w:rFonts w:ascii="Aptos" w:hAnsi="Aptos" w:cs="Cambria Math"/>
          <w:sz w:val="24"/>
          <w:szCs w:val="24"/>
        </w:rPr>
        <w:t xml:space="preserve"> is assumed to be triggered at </w:t>
      </w:r>
      <w:r w:rsidR="00FC52FA">
        <w:rPr>
          <w:rFonts w:ascii="Aptos" w:hAnsi="Aptos" w:cs="Cambria Math" w:hint="eastAsia"/>
          <w:sz w:val="24"/>
          <w:szCs w:val="24"/>
        </w:rPr>
        <w:t>outbreak</w:t>
      </w:r>
      <w:r w:rsidR="002F30E2" w:rsidRPr="002F30E2">
        <w:rPr>
          <w:rFonts w:ascii="Aptos" w:hAnsi="Aptos" w:cs="Cambria Math"/>
          <w:sz w:val="24"/>
          <w:szCs w:val="24"/>
        </w:rPr>
        <w:t xml:space="preserve"> onset.</w:t>
      </w:r>
      <w:r w:rsidR="002F30E2" w:rsidRPr="002F30E2">
        <w:rPr>
          <w:rFonts w:hint="eastAsia"/>
        </w:rPr>
        <w:t xml:space="preserve"> </w:t>
      </w:r>
      <w:r w:rsidR="00AD5A47" w:rsidRPr="002F30E2">
        <w:rPr>
          <w:rFonts w:ascii="Aptos" w:hAnsi="Aptos" w:cs="Cambria Math" w:hint="eastAsia"/>
          <w:sz w:val="24"/>
          <w:szCs w:val="24"/>
        </w:rPr>
        <w:t xml:space="preserve">(C) </w:t>
      </w:r>
      <w:r w:rsidR="00AF0162">
        <w:rPr>
          <w:rFonts w:ascii="Aptos" w:hAnsi="Aptos" w:cs="Cambria Math" w:hint="eastAsia"/>
          <w:sz w:val="24"/>
          <w:szCs w:val="24"/>
        </w:rPr>
        <w:t xml:space="preserve">Percent </w:t>
      </w:r>
      <w:r w:rsidR="00AD5A47">
        <w:rPr>
          <w:rFonts w:ascii="Aptos" w:hAnsi="Aptos" w:cs="Cambria Math" w:hint="eastAsia"/>
          <w:sz w:val="24"/>
          <w:szCs w:val="24"/>
        </w:rPr>
        <w:t xml:space="preserve">outbreaks </w:t>
      </w:r>
      <w:r w:rsidR="00FC52FA">
        <w:rPr>
          <w:rFonts w:ascii="Aptos" w:hAnsi="Aptos" w:cs="Cambria Math" w:hint="eastAsia"/>
          <w:sz w:val="24"/>
          <w:szCs w:val="24"/>
        </w:rPr>
        <w:t>in</w:t>
      </w:r>
      <w:r w:rsidR="00AD5A47">
        <w:rPr>
          <w:rFonts w:ascii="Aptos" w:hAnsi="Aptos" w:cs="Cambria Math" w:hint="eastAsia"/>
          <w:sz w:val="24"/>
          <w:szCs w:val="24"/>
        </w:rPr>
        <w:t xml:space="preserve"> which ORI </w:t>
      </w:r>
      <w:r w:rsidR="00AD5A47">
        <w:rPr>
          <w:rFonts w:ascii="Aptos" w:hAnsi="Aptos" w:cs="Cambria Math"/>
          <w:sz w:val="24"/>
          <w:szCs w:val="24"/>
        </w:rPr>
        <w:t>occurred</w:t>
      </w:r>
      <w:r w:rsidR="00AD5A47">
        <w:rPr>
          <w:rFonts w:ascii="Aptos" w:hAnsi="Aptos" w:cs="Cambria Math" w:hint="eastAsia"/>
          <w:sz w:val="24"/>
          <w:szCs w:val="24"/>
        </w:rPr>
        <w:t xml:space="preserve"> and </w:t>
      </w:r>
      <w:r w:rsidR="00FC52FA">
        <w:rPr>
          <w:rFonts w:ascii="Aptos" w:hAnsi="Aptos" w:cs="Cambria Math" w:hint="eastAsia"/>
          <w:sz w:val="24"/>
          <w:szCs w:val="24"/>
        </w:rPr>
        <w:t xml:space="preserve">were </w:t>
      </w:r>
      <w:r w:rsidR="00AD5A47">
        <w:rPr>
          <w:rFonts w:ascii="Aptos" w:hAnsi="Aptos" w:cs="Cambria Math" w:hint="eastAsia"/>
          <w:sz w:val="24"/>
          <w:szCs w:val="24"/>
        </w:rPr>
        <w:t>therefo</w:t>
      </w:r>
      <w:r w:rsidR="00FC52FA">
        <w:rPr>
          <w:rFonts w:ascii="Aptos" w:hAnsi="Aptos" w:cs="Cambria Math" w:hint="eastAsia"/>
          <w:sz w:val="24"/>
          <w:szCs w:val="24"/>
        </w:rPr>
        <w:t>re</w:t>
      </w:r>
      <w:r w:rsidR="00AD5A47">
        <w:rPr>
          <w:rFonts w:ascii="Aptos" w:hAnsi="Aptos" w:cs="Cambria Math" w:hint="eastAsia"/>
          <w:sz w:val="24"/>
          <w:szCs w:val="24"/>
        </w:rPr>
        <w:t xml:space="preserve"> included </w:t>
      </w:r>
      <w:r w:rsidR="00FC52FA">
        <w:rPr>
          <w:rFonts w:ascii="Aptos" w:hAnsi="Aptos" w:cs="Cambria Math" w:hint="eastAsia"/>
          <w:sz w:val="24"/>
          <w:szCs w:val="24"/>
        </w:rPr>
        <w:t>in</w:t>
      </w:r>
      <w:r w:rsidR="00AD5A47">
        <w:rPr>
          <w:rFonts w:ascii="Aptos" w:hAnsi="Aptos" w:cs="Cambria Math" w:hint="eastAsia"/>
          <w:sz w:val="24"/>
          <w:szCs w:val="24"/>
        </w:rPr>
        <w:t xml:space="preserve"> the analysis. (</w:t>
      </w:r>
      <w:r w:rsidR="007D47D5">
        <w:rPr>
          <w:rFonts w:ascii="Aptos" w:hAnsi="Aptos" w:cs="Cambria Math" w:hint="eastAsia"/>
          <w:sz w:val="24"/>
          <w:szCs w:val="24"/>
        </w:rPr>
        <w:t>D</w:t>
      </w:r>
      <w:r w:rsidR="007D47D5" w:rsidRPr="002F30E2">
        <w:rPr>
          <w:rFonts w:ascii="Aptos" w:hAnsi="Aptos" w:cs="Cambria Math" w:hint="eastAsia"/>
          <w:sz w:val="24"/>
          <w:szCs w:val="24"/>
        </w:rPr>
        <w:t xml:space="preserve">) </w:t>
      </w:r>
      <w:r w:rsidR="007D47D5" w:rsidRPr="007D47D5">
        <w:rPr>
          <w:rFonts w:ascii="Aptos" w:hAnsi="Aptos" w:cs="Cambria Math"/>
          <w:sz w:val="24"/>
          <w:szCs w:val="24"/>
        </w:rPr>
        <w:t>Percentage of cases averted for ORIs implemented with delays of 1–13 weeks at 75% coverage, shown for all outbreaks and for subsets in the top quartile of attack rate (AR), duration</w:t>
      </w:r>
      <w:r w:rsidR="007D47D5">
        <w:rPr>
          <w:rFonts w:ascii="Aptos" w:hAnsi="Aptos" w:cs="Cambria Math" w:hint="eastAsia"/>
          <w:sz w:val="24"/>
          <w:szCs w:val="24"/>
        </w:rPr>
        <w:t xml:space="preserve"> (dur)</w:t>
      </w:r>
      <w:r w:rsidR="007D47D5" w:rsidRPr="007D47D5">
        <w:rPr>
          <w:rFonts w:ascii="Aptos" w:hAnsi="Aptos" w:cs="Cambria Math"/>
          <w:sz w:val="24"/>
          <w:szCs w:val="24"/>
        </w:rPr>
        <w:t>, and size.</w:t>
      </w:r>
      <w:r w:rsidR="007D47D5">
        <w:rPr>
          <w:rFonts w:ascii="Aptos" w:hAnsi="Aptos" w:cs="Cambria Math" w:hint="eastAsia"/>
          <w:sz w:val="24"/>
          <w:szCs w:val="24"/>
        </w:rPr>
        <w:t xml:space="preserve"> (E</w:t>
      </w:r>
      <w:r w:rsidR="00AD5A47">
        <w:rPr>
          <w:rFonts w:ascii="Aptos" w:hAnsi="Aptos" w:cs="Cambria Math" w:hint="eastAsia"/>
          <w:sz w:val="24"/>
          <w:szCs w:val="24"/>
        </w:rPr>
        <w:t xml:space="preserve">) Weekly percentage </w:t>
      </w:r>
      <w:r w:rsidR="00FC52FA">
        <w:rPr>
          <w:rFonts w:ascii="Aptos" w:hAnsi="Aptos" w:cs="Cambria Math" w:hint="eastAsia"/>
          <w:sz w:val="24"/>
          <w:szCs w:val="24"/>
        </w:rPr>
        <w:t>decline</w:t>
      </w:r>
      <w:r w:rsidR="00AD5A47">
        <w:rPr>
          <w:rFonts w:ascii="Aptos" w:hAnsi="Aptos" w:cs="Cambria Math" w:hint="eastAsia"/>
          <w:sz w:val="24"/>
          <w:szCs w:val="24"/>
        </w:rPr>
        <w:t xml:space="preserve"> in case averted</w:t>
      </w:r>
      <w:r w:rsidR="007D47D5">
        <w:rPr>
          <w:rFonts w:ascii="Aptos" w:hAnsi="Aptos" w:cs="Cambria Math" w:hint="eastAsia"/>
          <w:sz w:val="24"/>
          <w:szCs w:val="24"/>
        </w:rPr>
        <w:t xml:space="preserve"> and</w:t>
      </w:r>
      <w:r w:rsidR="00AD5A47">
        <w:rPr>
          <w:rFonts w:ascii="Aptos" w:hAnsi="Aptos" w:cs="Cambria Math" w:hint="eastAsia"/>
          <w:sz w:val="24"/>
          <w:szCs w:val="24"/>
        </w:rPr>
        <w:t xml:space="preserve"> (</w:t>
      </w:r>
      <w:r w:rsidR="007D47D5">
        <w:rPr>
          <w:rFonts w:ascii="Aptos" w:hAnsi="Aptos" w:cs="Cambria Math" w:hint="eastAsia"/>
          <w:sz w:val="24"/>
          <w:szCs w:val="24"/>
        </w:rPr>
        <w:t>F</w:t>
      </w:r>
      <w:r w:rsidR="00AD5A47">
        <w:rPr>
          <w:rFonts w:ascii="Aptos" w:hAnsi="Aptos" w:cs="Cambria Math" w:hint="eastAsia"/>
          <w:sz w:val="24"/>
          <w:szCs w:val="24"/>
        </w:rPr>
        <w:t xml:space="preserve">) </w:t>
      </w:r>
      <w:r w:rsidR="007D47D5">
        <w:rPr>
          <w:rFonts w:ascii="Aptos" w:hAnsi="Aptos" w:cs="Cambria Math" w:hint="eastAsia"/>
          <w:sz w:val="24"/>
          <w:szCs w:val="24"/>
        </w:rPr>
        <w:t>e</w:t>
      </w:r>
      <w:r w:rsidR="00FC52FA">
        <w:rPr>
          <w:rFonts w:ascii="Aptos" w:hAnsi="Aptos" w:cs="Cambria Math" w:hint="eastAsia"/>
          <w:sz w:val="24"/>
          <w:szCs w:val="24"/>
        </w:rPr>
        <w:t xml:space="preserve">stimated </w:t>
      </w:r>
      <w:r w:rsidR="007D47D5">
        <w:rPr>
          <w:rFonts w:ascii="Aptos" w:hAnsi="Aptos" w:cs="Cambria Math" w:hint="eastAsia"/>
          <w:sz w:val="24"/>
          <w:szCs w:val="24"/>
        </w:rPr>
        <w:t>halving time of cases averted, for all outbreaks and the three top-quartile subsets.</w:t>
      </w:r>
      <w:r w:rsidR="00AD5A47">
        <w:rPr>
          <w:rFonts w:ascii="Aptos" w:hAnsi="Aptos" w:cs="Cambria Math" w:hint="eastAsia"/>
          <w:sz w:val="24"/>
          <w:szCs w:val="24"/>
        </w:rPr>
        <w:t xml:space="preserve"> </w:t>
      </w:r>
    </w:p>
    <w:p w14:paraId="3A25F611" w14:textId="0CEFB20F" w:rsidR="00A159B6" w:rsidRDefault="009D5346" w:rsidP="002F30E2">
      <w:pPr>
        <w:rPr>
          <w:rFonts w:ascii="Aptos" w:hAnsi="Aptos" w:cs="Cambria Math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28E9295" wp14:editId="1E20A433">
            <wp:extent cx="6000750" cy="6000750"/>
            <wp:effectExtent l="0" t="0" r="0" b="0"/>
            <wp:docPr id="61490337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03373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CC4A" w14:textId="474B1C76" w:rsidR="00AC3029" w:rsidRPr="00701785" w:rsidRDefault="00AC3029" w:rsidP="00701785">
      <w:pPr>
        <w:rPr>
          <w:rFonts w:ascii="Aptos" w:hAnsi="Aptos" w:cs="Cambria Math"/>
          <w:sz w:val="24"/>
          <w:szCs w:val="24"/>
        </w:rPr>
      </w:pPr>
    </w:p>
    <w:p w14:paraId="46E8F819" w14:textId="3582C51B" w:rsidR="00F25758" w:rsidRDefault="003F6053" w:rsidP="0018539F">
      <w:pPr>
        <w:rPr>
          <w:rFonts w:ascii="Aptos" w:hAnsi="Aptos" w:cs="Cambria Math"/>
          <w:sz w:val="24"/>
          <w:szCs w:val="24"/>
        </w:rPr>
      </w:pPr>
      <w:bookmarkStart w:id="1" w:name="_Hlk201150202"/>
      <w:r w:rsidRPr="0091006A">
        <w:rPr>
          <w:rFonts w:ascii="Aptos" w:hAnsi="Aptos" w:cs="Cambria Math"/>
          <w:b/>
          <w:bCs/>
          <w:sz w:val="24"/>
          <w:szCs w:val="24"/>
        </w:rPr>
        <w:lastRenderedPageBreak/>
        <w:t>Fig</w:t>
      </w:r>
      <w:r>
        <w:rPr>
          <w:rFonts w:ascii="Aptos" w:hAnsi="Aptos" w:cs="Cambria Math" w:hint="eastAsia"/>
          <w:b/>
          <w:bCs/>
          <w:sz w:val="24"/>
          <w:szCs w:val="24"/>
        </w:rPr>
        <w:t>ure</w:t>
      </w:r>
      <w:r w:rsidRPr="0091006A">
        <w:rPr>
          <w:rFonts w:ascii="Aptos" w:hAnsi="Aptos" w:cs="Cambria Math"/>
          <w:b/>
          <w:bCs/>
          <w:sz w:val="24"/>
          <w:szCs w:val="24"/>
        </w:rPr>
        <w:t xml:space="preserve"> </w:t>
      </w:r>
      <w:r w:rsidR="00B704DB">
        <w:rPr>
          <w:rFonts w:ascii="Aptos" w:hAnsi="Aptos" w:cs="Cambria Math" w:hint="eastAsia"/>
          <w:b/>
          <w:bCs/>
          <w:sz w:val="24"/>
          <w:szCs w:val="24"/>
        </w:rPr>
        <w:t>4</w:t>
      </w:r>
      <w:r w:rsidRPr="003B5091">
        <w:rPr>
          <w:rFonts w:ascii="Aptos" w:hAnsi="Aptos" w:cs="Cambria Math"/>
          <w:sz w:val="24"/>
          <w:szCs w:val="24"/>
        </w:rPr>
        <w:t xml:space="preserve">. </w:t>
      </w:r>
      <w:r w:rsidR="00493DA8">
        <w:rPr>
          <w:rFonts w:ascii="Aptos" w:hAnsi="Aptos" w:cs="Cambria Math" w:hint="eastAsia"/>
          <w:sz w:val="24"/>
          <w:szCs w:val="24"/>
        </w:rPr>
        <w:t xml:space="preserve">Impact of ORI implemented with </w:t>
      </w:r>
      <w:r w:rsidR="005439C2" w:rsidRPr="005439C2">
        <w:rPr>
          <w:rFonts w:ascii="Aptos" w:hAnsi="Aptos" w:cs="Cambria Math"/>
          <w:sz w:val="24"/>
          <w:szCs w:val="24"/>
        </w:rPr>
        <w:t>9</w:t>
      </w:r>
      <w:r w:rsidR="00493DA8">
        <w:rPr>
          <w:rFonts w:ascii="Aptos" w:hAnsi="Aptos" w:cs="Cambria Math" w:hint="eastAsia"/>
          <w:sz w:val="24"/>
          <w:szCs w:val="24"/>
        </w:rPr>
        <w:t xml:space="preserve"> weeks of delay</w:t>
      </w:r>
      <w:r w:rsidR="005439C2" w:rsidRPr="005439C2">
        <w:rPr>
          <w:rFonts w:ascii="Aptos" w:hAnsi="Aptos" w:cs="Cambria Math"/>
          <w:sz w:val="24"/>
          <w:szCs w:val="24"/>
        </w:rPr>
        <w:t xml:space="preserve"> under 75% coverage for subsets of outbreaks. </w:t>
      </w:r>
    </w:p>
    <w:p w14:paraId="3705C7FC" w14:textId="77777777" w:rsidR="005671BD" w:rsidRDefault="005671BD" w:rsidP="0018539F">
      <w:pPr>
        <w:rPr>
          <w:rFonts w:ascii="Aptos" w:hAnsi="Aptos" w:cs="Cambria Math"/>
          <w:sz w:val="24"/>
          <w:szCs w:val="24"/>
        </w:rPr>
      </w:pPr>
    </w:p>
    <w:p w14:paraId="1DB0F863" w14:textId="2DFCB646" w:rsidR="005671BD" w:rsidRDefault="00B30C38" w:rsidP="0018539F">
      <w:pPr>
        <w:rPr>
          <w:rFonts w:ascii="Aptos" w:hAnsi="Aptos" w:cs="Cambria Math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2E96289" wp14:editId="1AB17810">
            <wp:extent cx="6000750" cy="4991735"/>
            <wp:effectExtent l="0" t="0" r="0" b="0"/>
            <wp:docPr id="137561004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10043" name="Picture 1" descr="A graph of different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51D4" w14:textId="185D1B31" w:rsidR="003F6053" w:rsidRDefault="003F6053" w:rsidP="0018539F">
      <w:pPr>
        <w:rPr>
          <w:rFonts w:ascii="Aptos" w:hAnsi="Aptos" w:cs="Cambria Math"/>
          <w:sz w:val="24"/>
          <w:szCs w:val="24"/>
        </w:rPr>
      </w:pPr>
      <w:r w:rsidRPr="003B5091">
        <w:rPr>
          <w:rFonts w:ascii="Aptos" w:hAnsi="Aptos" w:cs="Cambria Math" w:hint="eastAsia"/>
          <w:sz w:val="24"/>
          <w:szCs w:val="24"/>
        </w:rPr>
        <w:t xml:space="preserve"> </w:t>
      </w:r>
    </w:p>
    <w:p w14:paraId="07A36C60" w14:textId="77C974C2" w:rsidR="003F6053" w:rsidRDefault="003F6053" w:rsidP="00F25758">
      <w:pPr>
        <w:jc w:val="center"/>
        <w:rPr>
          <w:rFonts w:ascii="Aptos" w:hAnsi="Aptos" w:cs="Cambria Math"/>
          <w:sz w:val="24"/>
          <w:szCs w:val="24"/>
        </w:rPr>
      </w:pPr>
    </w:p>
    <w:bookmarkEnd w:id="1"/>
    <w:p w14:paraId="5A7E760C" w14:textId="4CC60CDB" w:rsidR="00F62E2B" w:rsidRDefault="00F62E2B" w:rsidP="00F3617B">
      <w:pPr>
        <w:jc w:val="center"/>
        <w:rPr>
          <w:rFonts w:ascii="Aptos" w:hAnsi="Aptos" w:cs="Cambria Math"/>
          <w:sz w:val="24"/>
          <w:szCs w:val="24"/>
        </w:rPr>
      </w:pPr>
    </w:p>
    <w:sectPr w:rsidR="00F62E2B" w:rsidSect="00BB5B04">
      <w:pgSz w:w="12240" w:h="15840"/>
      <w:pgMar w:top="1440" w:right="135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DE734" w14:textId="77777777" w:rsidR="00830BA3" w:rsidRDefault="00830BA3" w:rsidP="008838BA">
      <w:pPr>
        <w:spacing w:line="240" w:lineRule="auto"/>
      </w:pPr>
      <w:r>
        <w:separator/>
      </w:r>
    </w:p>
  </w:endnote>
  <w:endnote w:type="continuationSeparator" w:id="0">
    <w:p w14:paraId="08AAECDD" w14:textId="77777777" w:rsidR="00830BA3" w:rsidRDefault="00830BA3" w:rsidP="008838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C3201" w14:textId="77777777" w:rsidR="00830BA3" w:rsidRDefault="00830BA3" w:rsidP="008838BA">
      <w:pPr>
        <w:spacing w:line="240" w:lineRule="auto"/>
      </w:pPr>
      <w:r>
        <w:separator/>
      </w:r>
    </w:p>
  </w:footnote>
  <w:footnote w:type="continuationSeparator" w:id="0">
    <w:p w14:paraId="5540E085" w14:textId="77777777" w:rsidR="00830BA3" w:rsidRDefault="00830BA3" w:rsidP="008838B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8E"/>
    <w:rsid w:val="00005045"/>
    <w:rsid w:val="00021987"/>
    <w:rsid w:val="00022A35"/>
    <w:rsid w:val="00025C83"/>
    <w:rsid w:val="00036E83"/>
    <w:rsid w:val="0004153B"/>
    <w:rsid w:val="000439DA"/>
    <w:rsid w:val="00046417"/>
    <w:rsid w:val="000528E3"/>
    <w:rsid w:val="000540C3"/>
    <w:rsid w:val="0005761D"/>
    <w:rsid w:val="000639EE"/>
    <w:rsid w:val="00070798"/>
    <w:rsid w:val="00074C35"/>
    <w:rsid w:val="00075791"/>
    <w:rsid w:val="00094BA5"/>
    <w:rsid w:val="000B04CE"/>
    <w:rsid w:val="000B24B0"/>
    <w:rsid w:val="000C64CC"/>
    <w:rsid w:val="000D0FFD"/>
    <w:rsid w:val="000D1BC8"/>
    <w:rsid w:val="000D2003"/>
    <w:rsid w:val="000D5C77"/>
    <w:rsid w:val="000E0C9E"/>
    <w:rsid w:val="000E32B7"/>
    <w:rsid w:val="000E3795"/>
    <w:rsid w:val="000E73CD"/>
    <w:rsid w:val="000F7AEF"/>
    <w:rsid w:val="00101137"/>
    <w:rsid w:val="00102ABB"/>
    <w:rsid w:val="001046F6"/>
    <w:rsid w:val="00126F16"/>
    <w:rsid w:val="0013552F"/>
    <w:rsid w:val="00161B9E"/>
    <w:rsid w:val="00166F22"/>
    <w:rsid w:val="0017353D"/>
    <w:rsid w:val="0018539F"/>
    <w:rsid w:val="00190A5C"/>
    <w:rsid w:val="00191641"/>
    <w:rsid w:val="00194A21"/>
    <w:rsid w:val="001A43E9"/>
    <w:rsid w:val="001A6CC0"/>
    <w:rsid w:val="001A702E"/>
    <w:rsid w:val="001B5238"/>
    <w:rsid w:val="001C672F"/>
    <w:rsid w:val="001D6548"/>
    <w:rsid w:val="00207946"/>
    <w:rsid w:val="00212BD1"/>
    <w:rsid w:val="0022364E"/>
    <w:rsid w:val="00224F5E"/>
    <w:rsid w:val="002270C6"/>
    <w:rsid w:val="00234EC1"/>
    <w:rsid w:val="002463B3"/>
    <w:rsid w:val="00250106"/>
    <w:rsid w:val="00251A7A"/>
    <w:rsid w:val="00273192"/>
    <w:rsid w:val="002731AD"/>
    <w:rsid w:val="00277407"/>
    <w:rsid w:val="00283D38"/>
    <w:rsid w:val="002A1C12"/>
    <w:rsid w:val="002A2433"/>
    <w:rsid w:val="002A707D"/>
    <w:rsid w:val="002C0FAD"/>
    <w:rsid w:val="002C43EC"/>
    <w:rsid w:val="002C75AB"/>
    <w:rsid w:val="002D57B3"/>
    <w:rsid w:val="002E357F"/>
    <w:rsid w:val="002F0403"/>
    <w:rsid w:val="002F30E2"/>
    <w:rsid w:val="002F3D97"/>
    <w:rsid w:val="002F696A"/>
    <w:rsid w:val="003022A5"/>
    <w:rsid w:val="003039E8"/>
    <w:rsid w:val="00313EF8"/>
    <w:rsid w:val="003172D0"/>
    <w:rsid w:val="0032567C"/>
    <w:rsid w:val="003313E0"/>
    <w:rsid w:val="0033416D"/>
    <w:rsid w:val="00336490"/>
    <w:rsid w:val="0034081C"/>
    <w:rsid w:val="00343D82"/>
    <w:rsid w:val="003440A6"/>
    <w:rsid w:val="00352C12"/>
    <w:rsid w:val="00364EF0"/>
    <w:rsid w:val="00371572"/>
    <w:rsid w:val="003840EF"/>
    <w:rsid w:val="0038708C"/>
    <w:rsid w:val="00393CD9"/>
    <w:rsid w:val="00396638"/>
    <w:rsid w:val="003A6449"/>
    <w:rsid w:val="003B5091"/>
    <w:rsid w:val="003D079F"/>
    <w:rsid w:val="003D2996"/>
    <w:rsid w:val="003D349D"/>
    <w:rsid w:val="003D64DA"/>
    <w:rsid w:val="003F6053"/>
    <w:rsid w:val="00404B49"/>
    <w:rsid w:val="00406867"/>
    <w:rsid w:val="00413E04"/>
    <w:rsid w:val="00415A4A"/>
    <w:rsid w:val="004204FF"/>
    <w:rsid w:val="00425D6B"/>
    <w:rsid w:val="00436A3B"/>
    <w:rsid w:val="00451FBD"/>
    <w:rsid w:val="0046079C"/>
    <w:rsid w:val="00470517"/>
    <w:rsid w:val="00473441"/>
    <w:rsid w:val="00480337"/>
    <w:rsid w:val="00486A9C"/>
    <w:rsid w:val="00493DA8"/>
    <w:rsid w:val="004A24FA"/>
    <w:rsid w:val="004C77B8"/>
    <w:rsid w:val="004D05D1"/>
    <w:rsid w:val="004D1A4F"/>
    <w:rsid w:val="004D2BFF"/>
    <w:rsid w:val="004E15F6"/>
    <w:rsid w:val="004E1B60"/>
    <w:rsid w:val="004E2E7F"/>
    <w:rsid w:val="004E5FE0"/>
    <w:rsid w:val="004E7392"/>
    <w:rsid w:val="004F2382"/>
    <w:rsid w:val="004F3E7F"/>
    <w:rsid w:val="004F56D1"/>
    <w:rsid w:val="0051067B"/>
    <w:rsid w:val="00517654"/>
    <w:rsid w:val="00522E85"/>
    <w:rsid w:val="005236CA"/>
    <w:rsid w:val="00531CAA"/>
    <w:rsid w:val="00532758"/>
    <w:rsid w:val="00534282"/>
    <w:rsid w:val="005424DB"/>
    <w:rsid w:val="005439C2"/>
    <w:rsid w:val="0054728D"/>
    <w:rsid w:val="00550C1D"/>
    <w:rsid w:val="00555B98"/>
    <w:rsid w:val="005578D8"/>
    <w:rsid w:val="005649F3"/>
    <w:rsid w:val="005671BD"/>
    <w:rsid w:val="00572BE0"/>
    <w:rsid w:val="0057350C"/>
    <w:rsid w:val="00575C77"/>
    <w:rsid w:val="005816C8"/>
    <w:rsid w:val="00582E36"/>
    <w:rsid w:val="0058615E"/>
    <w:rsid w:val="00590B7D"/>
    <w:rsid w:val="005961C4"/>
    <w:rsid w:val="005A702E"/>
    <w:rsid w:val="005B219E"/>
    <w:rsid w:val="005B2D4A"/>
    <w:rsid w:val="005B5CA6"/>
    <w:rsid w:val="005B6EE8"/>
    <w:rsid w:val="005D26CE"/>
    <w:rsid w:val="005D55B1"/>
    <w:rsid w:val="005D5AB9"/>
    <w:rsid w:val="0060045E"/>
    <w:rsid w:val="00620353"/>
    <w:rsid w:val="0062258F"/>
    <w:rsid w:val="006240DC"/>
    <w:rsid w:val="006376A7"/>
    <w:rsid w:val="00640113"/>
    <w:rsid w:val="00643481"/>
    <w:rsid w:val="0064706A"/>
    <w:rsid w:val="00655A5E"/>
    <w:rsid w:val="0066330C"/>
    <w:rsid w:val="00664BF6"/>
    <w:rsid w:val="00671C9E"/>
    <w:rsid w:val="0067525E"/>
    <w:rsid w:val="006762B4"/>
    <w:rsid w:val="0068248A"/>
    <w:rsid w:val="00692D49"/>
    <w:rsid w:val="006A0160"/>
    <w:rsid w:val="006A038E"/>
    <w:rsid w:val="006A23A3"/>
    <w:rsid w:val="006A3D9A"/>
    <w:rsid w:val="006A724B"/>
    <w:rsid w:val="006B161C"/>
    <w:rsid w:val="006B3C88"/>
    <w:rsid w:val="006C4CE7"/>
    <w:rsid w:val="006D3F9D"/>
    <w:rsid w:val="006E4B97"/>
    <w:rsid w:val="006E62C6"/>
    <w:rsid w:val="006E659F"/>
    <w:rsid w:val="006F1671"/>
    <w:rsid w:val="006F38BD"/>
    <w:rsid w:val="006F4B2D"/>
    <w:rsid w:val="00701785"/>
    <w:rsid w:val="0071284E"/>
    <w:rsid w:val="007260EE"/>
    <w:rsid w:val="00726FEF"/>
    <w:rsid w:val="00730287"/>
    <w:rsid w:val="0074108A"/>
    <w:rsid w:val="007470E7"/>
    <w:rsid w:val="0076095F"/>
    <w:rsid w:val="00760C7C"/>
    <w:rsid w:val="0076734F"/>
    <w:rsid w:val="007705F5"/>
    <w:rsid w:val="00780274"/>
    <w:rsid w:val="00787C01"/>
    <w:rsid w:val="00793179"/>
    <w:rsid w:val="007A50DF"/>
    <w:rsid w:val="007B04F7"/>
    <w:rsid w:val="007C07BB"/>
    <w:rsid w:val="007C286B"/>
    <w:rsid w:val="007C7F3F"/>
    <w:rsid w:val="007D32E1"/>
    <w:rsid w:val="007D47D5"/>
    <w:rsid w:val="007F0437"/>
    <w:rsid w:val="007F472D"/>
    <w:rsid w:val="007F6081"/>
    <w:rsid w:val="007F67FD"/>
    <w:rsid w:val="00804329"/>
    <w:rsid w:val="00804E6B"/>
    <w:rsid w:val="00811EF5"/>
    <w:rsid w:val="00812210"/>
    <w:rsid w:val="00813F89"/>
    <w:rsid w:val="00815EB6"/>
    <w:rsid w:val="00820930"/>
    <w:rsid w:val="00820B94"/>
    <w:rsid w:val="00830BA3"/>
    <w:rsid w:val="00832C1F"/>
    <w:rsid w:val="008356CE"/>
    <w:rsid w:val="00835CFE"/>
    <w:rsid w:val="008517C1"/>
    <w:rsid w:val="008531D1"/>
    <w:rsid w:val="00853636"/>
    <w:rsid w:val="00862AE0"/>
    <w:rsid w:val="00863D4F"/>
    <w:rsid w:val="00865E09"/>
    <w:rsid w:val="00871D74"/>
    <w:rsid w:val="00880E85"/>
    <w:rsid w:val="00881524"/>
    <w:rsid w:val="008838BA"/>
    <w:rsid w:val="00896D60"/>
    <w:rsid w:val="008C06C5"/>
    <w:rsid w:val="008C1554"/>
    <w:rsid w:val="008C29C4"/>
    <w:rsid w:val="008C5DDA"/>
    <w:rsid w:val="008D3F74"/>
    <w:rsid w:val="008F51A2"/>
    <w:rsid w:val="008F6EA7"/>
    <w:rsid w:val="008F722F"/>
    <w:rsid w:val="00900C01"/>
    <w:rsid w:val="00902178"/>
    <w:rsid w:val="009141CB"/>
    <w:rsid w:val="00915002"/>
    <w:rsid w:val="00915AE1"/>
    <w:rsid w:val="0093012A"/>
    <w:rsid w:val="0093056A"/>
    <w:rsid w:val="00944AB8"/>
    <w:rsid w:val="009463F1"/>
    <w:rsid w:val="009505E4"/>
    <w:rsid w:val="00950D2B"/>
    <w:rsid w:val="00960156"/>
    <w:rsid w:val="0096045E"/>
    <w:rsid w:val="0096141B"/>
    <w:rsid w:val="009752E2"/>
    <w:rsid w:val="009A12FC"/>
    <w:rsid w:val="009A2ED3"/>
    <w:rsid w:val="009B5B7B"/>
    <w:rsid w:val="009C7087"/>
    <w:rsid w:val="009D0161"/>
    <w:rsid w:val="009D0E58"/>
    <w:rsid w:val="009D5346"/>
    <w:rsid w:val="009D5CA1"/>
    <w:rsid w:val="009E672C"/>
    <w:rsid w:val="009F11B0"/>
    <w:rsid w:val="009F6043"/>
    <w:rsid w:val="009F7482"/>
    <w:rsid w:val="00A00F0B"/>
    <w:rsid w:val="00A159B6"/>
    <w:rsid w:val="00A325BD"/>
    <w:rsid w:val="00A33917"/>
    <w:rsid w:val="00A33AE4"/>
    <w:rsid w:val="00A36FC0"/>
    <w:rsid w:val="00A416B6"/>
    <w:rsid w:val="00A43BF5"/>
    <w:rsid w:val="00A44640"/>
    <w:rsid w:val="00A461D2"/>
    <w:rsid w:val="00A51574"/>
    <w:rsid w:val="00A54FD1"/>
    <w:rsid w:val="00A56E9D"/>
    <w:rsid w:val="00A600F3"/>
    <w:rsid w:val="00A63D23"/>
    <w:rsid w:val="00A66FEE"/>
    <w:rsid w:val="00A67F7F"/>
    <w:rsid w:val="00A71E67"/>
    <w:rsid w:val="00A82102"/>
    <w:rsid w:val="00A91595"/>
    <w:rsid w:val="00AA1111"/>
    <w:rsid w:val="00AA5E4A"/>
    <w:rsid w:val="00AC0E5F"/>
    <w:rsid w:val="00AC3029"/>
    <w:rsid w:val="00AC5C5F"/>
    <w:rsid w:val="00AD071B"/>
    <w:rsid w:val="00AD5A47"/>
    <w:rsid w:val="00AD6BCC"/>
    <w:rsid w:val="00AF0162"/>
    <w:rsid w:val="00AF01D0"/>
    <w:rsid w:val="00B0262C"/>
    <w:rsid w:val="00B0297D"/>
    <w:rsid w:val="00B1100C"/>
    <w:rsid w:val="00B20969"/>
    <w:rsid w:val="00B23EF2"/>
    <w:rsid w:val="00B26AE9"/>
    <w:rsid w:val="00B30C38"/>
    <w:rsid w:val="00B445B0"/>
    <w:rsid w:val="00B53A9D"/>
    <w:rsid w:val="00B5747D"/>
    <w:rsid w:val="00B6041F"/>
    <w:rsid w:val="00B605A4"/>
    <w:rsid w:val="00B6338B"/>
    <w:rsid w:val="00B70424"/>
    <w:rsid w:val="00B704DB"/>
    <w:rsid w:val="00B72618"/>
    <w:rsid w:val="00B76E17"/>
    <w:rsid w:val="00B803B4"/>
    <w:rsid w:val="00B80FCB"/>
    <w:rsid w:val="00B82A81"/>
    <w:rsid w:val="00BA1622"/>
    <w:rsid w:val="00BA6464"/>
    <w:rsid w:val="00BB5B04"/>
    <w:rsid w:val="00BC27A0"/>
    <w:rsid w:val="00BC60CE"/>
    <w:rsid w:val="00BD3388"/>
    <w:rsid w:val="00BD36EB"/>
    <w:rsid w:val="00BE58C8"/>
    <w:rsid w:val="00BE6658"/>
    <w:rsid w:val="00BE6CFD"/>
    <w:rsid w:val="00BF5461"/>
    <w:rsid w:val="00BF6AEF"/>
    <w:rsid w:val="00BF7CB2"/>
    <w:rsid w:val="00C00AF1"/>
    <w:rsid w:val="00C01ABC"/>
    <w:rsid w:val="00C03060"/>
    <w:rsid w:val="00C0516D"/>
    <w:rsid w:val="00C07377"/>
    <w:rsid w:val="00C12CF1"/>
    <w:rsid w:val="00C40211"/>
    <w:rsid w:val="00C467C6"/>
    <w:rsid w:val="00C47CD2"/>
    <w:rsid w:val="00C60576"/>
    <w:rsid w:val="00C60BB4"/>
    <w:rsid w:val="00C72394"/>
    <w:rsid w:val="00C87079"/>
    <w:rsid w:val="00C87A72"/>
    <w:rsid w:val="00C90DA8"/>
    <w:rsid w:val="00C94C13"/>
    <w:rsid w:val="00CF341A"/>
    <w:rsid w:val="00CF57DB"/>
    <w:rsid w:val="00D057CC"/>
    <w:rsid w:val="00D1186E"/>
    <w:rsid w:val="00D139ED"/>
    <w:rsid w:val="00D20618"/>
    <w:rsid w:val="00D229EC"/>
    <w:rsid w:val="00D3228E"/>
    <w:rsid w:val="00D325A0"/>
    <w:rsid w:val="00D42037"/>
    <w:rsid w:val="00D557DA"/>
    <w:rsid w:val="00D61FEE"/>
    <w:rsid w:val="00D6373E"/>
    <w:rsid w:val="00D64CC0"/>
    <w:rsid w:val="00D77A5A"/>
    <w:rsid w:val="00D82981"/>
    <w:rsid w:val="00D859BD"/>
    <w:rsid w:val="00D8783C"/>
    <w:rsid w:val="00D90ECF"/>
    <w:rsid w:val="00D9179C"/>
    <w:rsid w:val="00D935C6"/>
    <w:rsid w:val="00D94000"/>
    <w:rsid w:val="00DA2C49"/>
    <w:rsid w:val="00DA4964"/>
    <w:rsid w:val="00DA5AA2"/>
    <w:rsid w:val="00DA7082"/>
    <w:rsid w:val="00DB4059"/>
    <w:rsid w:val="00DB673B"/>
    <w:rsid w:val="00DC19AA"/>
    <w:rsid w:val="00DD5DCD"/>
    <w:rsid w:val="00DE7A00"/>
    <w:rsid w:val="00E028A1"/>
    <w:rsid w:val="00E14014"/>
    <w:rsid w:val="00E16814"/>
    <w:rsid w:val="00E170E4"/>
    <w:rsid w:val="00E2580A"/>
    <w:rsid w:val="00E36EFF"/>
    <w:rsid w:val="00E406B6"/>
    <w:rsid w:val="00E42C7B"/>
    <w:rsid w:val="00E505D9"/>
    <w:rsid w:val="00E57B1A"/>
    <w:rsid w:val="00E63E19"/>
    <w:rsid w:val="00E656C7"/>
    <w:rsid w:val="00E76447"/>
    <w:rsid w:val="00E77DDC"/>
    <w:rsid w:val="00E850FD"/>
    <w:rsid w:val="00E868A2"/>
    <w:rsid w:val="00EA13E0"/>
    <w:rsid w:val="00EA5C4E"/>
    <w:rsid w:val="00EA6E19"/>
    <w:rsid w:val="00EB0F0C"/>
    <w:rsid w:val="00EB423B"/>
    <w:rsid w:val="00EC32C1"/>
    <w:rsid w:val="00EE0F10"/>
    <w:rsid w:val="00EE426E"/>
    <w:rsid w:val="00EE6973"/>
    <w:rsid w:val="00EF0D20"/>
    <w:rsid w:val="00F03BDC"/>
    <w:rsid w:val="00F15FC9"/>
    <w:rsid w:val="00F16445"/>
    <w:rsid w:val="00F25758"/>
    <w:rsid w:val="00F3524E"/>
    <w:rsid w:val="00F35F13"/>
    <w:rsid w:val="00F3617B"/>
    <w:rsid w:val="00F37F00"/>
    <w:rsid w:val="00F4775E"/>
    <w:rsid w:val="00F5599C"/>
    <w:rsid w:val="00F62E2B"/>
    <w:rsid w:val="00F7433C"/>
    <w:rsid w:val="00F74C22"/>
    <w:rsid w:val="00F82BE8"/>
    <w:rsid w:val="00F857CC"/>
    <w:rsid w:val="00F86149"/>
    <w:rsid w:val="00F8699E"/>
    <w:rsid w:val="00F92D0A"/>
    <w:rsid w:val="00FA0158"/>
    <w:rsid w:val="00FA29D7"/>
    <w:rsid w:val="00FA34D2"/>
    <w:rsid w:val="00FA4495"/>
    <w:rsid w:val="00FB01C3"/>
    <w:rsid w:val="00FB0F7F"/>
    <w:rsid w:val="00FB1003"/>
    <w:rsid w:val="00FB6B8B"/>
    <w:rsid w:val="00FB71DC"/>
    <w:rsid w:val="00FC00F7"/>
    <w:rsid w:val="00FC466F"/>
    <w:rsid w:val="00FC5028"/>
    <w:rsid w:val="00FC52FA"/>
    <w:rsid w:val="00FC7C3A"/>
    <w:rsid w:val="00FD4F4A"/>
    <w:rsid w:val="00FD516D"/>
    <w:rsid w:val="00FE0C82"/>
    <w:rsid w:val="00FE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69BD1"/>
  <w15:chartTrackingRefBased/>
  <w15:docId w15:val="{F09E2D6B-D537-4591-976A-FD1CA9E6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EE8"/>
    <w:pPr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2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2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2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2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2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28E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2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8E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2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8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B0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0F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0F0C"/>
    <w:rPr>
      <w:rFonts w:ascii="Arial" w:hAnsi="Arial" w:cs="Arial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F0C"/>
    <w:rPr>
      <w:rFonts w:ascii="Arial" w:hAnsi="Arial" w:cs="Arial"/>
      <w:b/>
      <w:bCs/>
      <w:kern w:val="0"/>
      <w:sz w:val="20"/>
      <w:szCs w:val="2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38B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8BA"/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38B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8BA"/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Revision">
    <w:name w:val="Revision"/>
    <w:hidden/>
    <w:uiPriority w:val="99"/>
    <w:semiHidden/>
    <w:rsid w:val="001A702E"/>
    <w:pPr>
      <w:spacing w:after="0" w:line="240" w:lineRule="auto"/>
    </w:pPr>
    <w:rPr>
      <w:rFonts w:ascii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8CDA6-3508-41D2-A897-997EEBBBB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450</Words>
  <Characters>2475</Characters>
  <Application>Microsoft Office Word</Application>
  <DocSecurity>0</DocSecurity>
  <Lines>48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Jong-Hoon Kim</dc:creator>
  <cp:keywords/>
  <dc:description/>
  <cp:lastModifiedBy>Jong-Hoon Kim</cp:lastModifiedBy>
  <cp:revision>2</cp:revision>
  <dcterms:created xsi:type="dcterms:W3CDTF">2025-09-15T03:05:00Z</dcterms:created>
  <dcterms:modified xsi:type="dcterms:W3CDTF">2025-09-27T07:44:00Z</dcterms:modified>
</cp:coreProperties>
</file>