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1926F" w14:textId="2E077501" w:rsidR="00B04C24" w:rsidRPr="00097432" w:rsidRDefault="00062CE1" w:rsidP="0046747F">
      <w:pPr>
        <w:pStyle w:val="Heading2"/>
      </w:pPr>
      <w:r w:rsidRPr="00097432">
        <w:rPr>
          <w:rFonts w:hint="eastAsia"/>
        </w:rPr>
        <w:t>Title</w:t>
      </w:r>
    </w:p>
    <w:p w14:paraId="0E31A7A9" w14:textId="26B44B65" w:rsidR="00686B3F" w:rsidRPr="00097432" w:rsidRDefault="00686B3F" w:rsidP="00F57F15">
      <w:bookmarkStart w:id="0" w:name="_Hlk207826528"/>
      <w:r w:rsidRPr="00097432">
        <w:t xml:space="preserve">Impact of cholera outbreak response </w:t>
      </w:r>
      <w:r w:rsidR="004870F7" w:rsidRPr="00097432">
        <w:t>immunization</w:t>
      </w:r>
      <w:r w:rsidRPr="00097432">
        <w:t>: Insights from modeling outbreak</w:t>
      </w:r>
      <w:r w:rsidR="00136FB6" w:rsidRPr="00097432">
        <w:t xml:space="preserve">s </w:t>
      </w:r>
      <w:r w:rsidR="00B72C4A" w:rsidRPr="00097432">
        <w:t>in</w:t>
      </w:r>
      <w:r w:rsidRPr="00097432">
        <w:t xml:space="preserve"> sub-Saharan Africa, 2010-202</w:t>
      </w:r>
      <w:r w:rsidR="00AC4336" w:rsidRPr="00097432">
        <w:rPr>
          <w:rFonts w:hint="eastAsia"/>
        </w:rPr>
        <w:t>0</w:t>
      </w:r>
      <w:r w:rsidR="00B04C24" w:rsidRPr="00097432">
        <w:t>.</w:t>
      </w:r>
    </w:p>
    <w:bookmarkEnd w:id="0"/>
    <w:p w14:paraId="069CE2D0" w14:textId="77777777" w:rsidR="00B04C24" w:rsidRPr="00097432" w:rsidRDefault="00B04C24" w:rsidP="00F57F15"/>
    <w:p w14:paraId="660EBB00" w14:textId="77777777" w:rsidR="00B04C24" w:rsidRPr="00097432" w:rsidRDefault="00B04C24" w:rsidP="00F57F15">
      <w:pPr>
        <w:rPr>
          <w:lang w:val="en-US"/>
        </w:rPr>
      </w:pPr>
    </w:p>
    <w:p w14:paraId="3ED3EF66" w14:textId="77777777" w:rsidR="00B04C24" w:rsidRPr="00097432" w:rsidRDefault="00B04C24" w:rsidP="00F57F15">
      <w:pPr>
        <w:rPr>
          <w:lang w:val="en-US"/>
        </w:rPr>
      </w:pPr>
    </w:p>
    <w:p w14:paraId="3F9A94DD" w14:textId="77777777" w:rsidR="00B04C24" w:rsidRPr="00097432" w:rsidRDefault="00B04C24" w:rsidP="00F57F15">
      <w:pPr>
        <w:rPr>
          <w:lang w:val="en-US"/>
        </w:rPr>
      </w:pPr>
    </w:p>
    <w:p w14:paraId="467F4898" w14:textId="77777777" w:rsidR="00B04C24" w:rsidRPr="00097432" w:rsidRDefault="00B04C24" w:rsidP="00F57F15">
      <w:pPr>
        <w:rPr>
          <w:lang w:val="en-US"/>
        </w:rPr>
      </w:pPr>
    </w:p>
    <w:p w14:paraId="4AE71728" w14:textId="77777777" w:rsidR="00B04C24" w:rsidRPr="00097432" w:rsidRDefault="00B04C24" w:rsidP="00F57F15">
      <w:pPr>
        <w:rPr>
          <w:lang w:val="en-US"/>
        </w:rPr>
      </w:pPr>
    </w:p>
    <w:p w14:paraId="508F5F45" w14:textId="77777777" w:rsidR="00B04C24" w:rsidRPr="00097432" w:rsidRDefault="00B04C24" w:rsidP="00F57F15">
      <w:pPr>
        <w:rPr>
          <w:lang w:val="en-US"/>
        </w:rPr>
      </w:pPr>
    </w:p>
    <w:p w14:paraId="608D04A3" w14:textId="77777777" w:rsidR="00B04C24" w:rsidRPr="00097432" w:rsidRDefault="00B04C24" w:rsidP="00F57F15">
      <w:pPr>
        <w:rPr>
          <w:lang w:val="en-US"/>
        </w:rPr>
      </w:pPr>
    </w:p>
    <w:p w14:paraId="6B5EE540" w14:textId="77777777" w:rsidR="00B04C24" w:rsidRPr="00097432" w:rsidRDefault="00B04C24" w:rsidP="00F57F15">
      <w:pPr>
        <w:rPr>
          <w:lang w:val="en-US"/>
        </w:rPr>
      </w:pPr>
    </w:p>
    <w:p w14:paraId="00B80547" w14:textId="77777777" w:rsidR="00B04C24" w:rsidRPr="00097432" w:rsidRDefault="00B04C24" w:rsidP="00F57F15">
      <w:pPr>
        <w:rPr>
          <w:lang w:val="en-US"/>
        </w:rPr>
      </w:pPr>
    </w:p>
    <w:p w14:paraId="0E0AEEE0" w14:textId="77777777" w:rsidR="00B04C24" w:rsidRPr="00097432" w:rsidRDefault="00B04C24" w:rsidP="00F57F15">
      <w:pPr>
        <w:rPr>
          <w:lang w:val="en-US"/>
        </w:rPr>
      </w:pPr>
    </w:p>
    <w:p w14:paraId="053229DB" w14:textId="77777777" w:rsidR="00B04C24" w:rsidRPr="00097432" w:rsidRDefault="00B04C24" w:rsidP="00F57F15">
      <w:pPr>
        <w:rPr>
          <w:lang w:val="en-US"/>
        </w:rPr>
      </w:pPr>
    </w:p>
    <w:p w14:paraId="702D8ABD" w14:textId="77777777" w:rsidR="00B04C24" w:rsidRPr="00097432" w:rsidRDefault="00B04C24" w:rsidP="00F57F15">
      <w:pPr>
        <w:rPr>
          <w:lang w:val="en-US"/>
        </w:rPr>
      </w:pPr>
    </w:p>
    <w:p w14:paraId="5DC7909D" w14:textId="77777777" w:rsidR="00B04C24" w:rsidRPr="00097432" w:rsidRDefault="00B04C24" w:rsidP="00F57F15">
      <w:pPr>
        <w:rPr>
          <w:lang w:val="en-US"/>
        </w:rPr>
      </w:pPr>
    </w:p>
    <w:p w14:paraId="44C4F1A0" w14:textId="77777777" w:rsidR="00B04C24" w:rsidRPr="00097432" w:rsidRDefault="00B04C24" w:rsidP="00F57F15">
      <w:pPr>
        <w:rPr>
          <w:lang w:val="en-US"/>
        </w:rPr>
      </w:pPr>
    </w:p>
    <w:p w14:paraId="41CCE0E5" w14:textId="77777777" w:rsidR="00994CA3" w:rsidRPr="00097432" w:rsidRDefault="00994CA3" w:rsidP="00F57F15">
      <w:pPr>
        <w:rPr>
          <w:lang w:val="en-US"/>
        </w:rPr>
      </w:pPr>
    </w:p>
    <w:p w14:paraId="06F9A1A4" w14:textId="77777777" w:rsidR="00994CA3" w:rsidRPr="00097432" w:rsidRDefault="00994CA3" w:rsidP="00F57F15">
      <w:pPr>
        <w:rPr>
          <w:lang w:val="en-US"/>
        </w:rPr>
      </w:pPr>
    </w:p>
    <w:p w14:paraId="672DC5AB" w14:textId="77777777" w:rsidR="00994CA3" w:rsidRPr="00097432" w:rsidRDefault="00994CA3" w:rsidP="00F57F15">
      <w:pPr>
        <w:rPr>
          <w:lang w:val="en-US"/>
        </w:rPr>
      </w:pPr>
    </w:p>
    <w:p w14:paraId="4A5074A5" w14:textId="77777777" w:rsidR="00885336" w:rsidRPr="00097432" w:rsidRDefault="00885336" w:rsidP="00F57F15">
      <w:pPr>
        <w:rPr>
          <w:lang w:val="en-US"/>
        </w:rPr>
      </w:pPr>
    </w:p>
    <w:p w14:paraId="549DBA68" w14:textId="77777777" w:rsidR="00885336" w:rsidRPr="00097432" w:rsidRDefault="00885336" w:rsidP="00F57F15">
      <w:pPr>
        <w:rPr>
          <w:lang w:val="en-US"/>
        </w:rPr>
      </w:pPr>
    </w:p>
    <w:p w14:paraId="57F90174" w14:textId="77777777" w:rsidR="00885336" w:rsidRPr="00097432" w:rsidRDefault="00885336" w:rsidP="00F57F15">
      <w:pPr>
        <w:rPr>
          <w:lang w:val="en-US"/>
        </w:rPr>
      </w:pPr>
    </w:p>
    <w:p w14:paraId="5786FD7E" w14:textId="77777777" w:rsidR="005C235E" w:rsidRPr="00097432" w:rsidRDefault="005C235E" w:rsidP="00F57F15">
      <w:pPr>
        <w:rPr>
          <w:lang w:val="en-US"/>
        </w:rPr>
      </w:pPr>
    </w:p>
    <w:p w14:paraId="511EA21A" w14:textId="77777777" w:rsidR="005C235E" w:rsidRPr="00097432" w:rsidRDefault="005C235E" w:rsidP="00F57F15">
      <w:pPr>
        <w:rPr>
          <w:lang w:val="en-US"/>
        </w:rPr>
      </w:pPr>
    </w:p>
    <w:p w14:paraId="04BA14AF" w14:textId="77777777" w:rsidR="005C235E" w:rsidRPr="00097432" w:rsidRDefault="005C235E" w:rsidP="00F57F15">
      <w:pPr>
        <w:rPr>
          <w:lang w:val="en-US"/>
        </w:rPr>
      </w:pPr>
    </w:p>
    <w:p w14:paraId="54C14224" w14:textId="77777777" w:rsidR="006C2B5B" w:rsidRPr="00097432" w:rsidRDefault="006C2B5B" w:rsidP="00F57F15">
      <w:pPr>
        <w:rPr>
          <w:lang w:val="en-US"/>
        </w:rPr>
      </w:pPr>
    </w:p>
    <w:p w14:paraId="000000C6" w14:textId="420514BA" w:rsidR="00E7552A" w:rsidRPr="00097432" w:rsidRDefault="0091383D" w:rsidP="00F57F15">
      <w:pPr>
        <w:pStyle w:val="Heading2"/>
      </w:pPr>
      <w:bookmarkStart w:id="1" w:name="_Toc184909194"/>
      <w:r w:rsidRPr="00097432">
        <w:lastRenderedPageBreak/>
        <w:t>Abstract</w:t>
      </w:r>
      <w:bookmarkEnd w:id="1"/>
    </w:p>
    <w:p w14:paraId="3DE36E54" w14:textId="77777777" w:rsidR="001475F2" w:rsidRPr="00097432" w:rsidRDefault="001475F2" w:rsidP="00F57F15">
      <w:pPr>
        <w:rPr>
          <w:b/>
          <w:bCs/>
        </w:rPr>
      </w:pPr>
      <w:bookmarkStart w:id="2" w:name="_heading=h.2s8eyo1" w:colFirst="0" w:colLast="0"/>
      <w:bookmarkStart w:id="3" w:name="_Hlk163510065"/>
      <w:bookmarkEnd w:id="2"/>
      <w:r w:rsidRPr="00097432">
        <w:rPr>
          <w:b/>
          <w:bCs/>
        </w:rPr>
        <w:t>Background</w:t>
      </w:r>
    </w:p>
    <w:p w14:paraId="51FFFC04" w14:textId="56F3A1FB" w:rsidR="002701EC" w:rsidRPr="00097432" w:rsidRDefault="00D4398F" w:rsidP="00F57F15">
      <w:r w:rsidRPr="00097432">
        <w:t xml:space="preserve">Cholera remains a pressing public health threat in sub-Saharan Africa, where </w:t>
      </w:r>
      <w:r w:rsidR="00E1133B">
        <w:rPr>
          <w:rFonts w:hint="eastAsia"/>
        </w:rPr>
        <w:t>more than</w:t>
      </w:r>
      <w:r w:rsidRPr="00097432">
        <w:t xml:space="preserve"> 1,600 outbreaks were reported between 2010 and 2022. While oral cholera vaccines (OCVs) are </w:t>
      </w:r>
      <w:r w:rsidR="00502DBB" w:rsidRPr="00097432">
        <w:rPr>
          <w:rFonts w:hint="eastAsia"/>
        </w:rPr>
        <w:t>critical</w:t>
      </w:r>
      <w:r w:rsidRPr="00097432">
        <w:t xml:space="preserve"> for outbreak control, delays in deployment </w:t>
      </w:r>
      <w:r w:rsidR="00502DBB" w:rsidRPr="00097432">
        <w:rPr>
          <w:rFonts w:hint="eastAsia"/>
        </w:rPr>
        <w:t>can</w:t>
      </w:r>
      <w:r w:rsidRPr="00097432">
        <w:t xml:space="preserve"> </w:t>
      </w:r>
      <w:r w:rsidR="00E1133B">
        <w:rPr>
          <w:rFonts w:hint="eastAsia"/>
        </w:rPr>
        <w:t>markedly reduce</w:t>
      </w:r>
      <w:r w:rsidRPr="00097432">
        <w:t xml:space="preserve"> their effectiveness. We evaluated the health and economic impact of </w:t>
      </w:r>
      <w:r w:rsidR="00E361C2" w:rsidRPr="00097432">
        <w:t>single</w:t>
      </w:r>
      <w:r w:rsidR="00E361C2" w:rsidRPr="00097432">
        <w:rPr>
          <w:rFonts w:hint="eastAsia"/>
        </w:rPr>
        <w:t>-dose OCV</w:t>
      </w:r>
      <w:r w:rsidRPr="00097432">
        <w:t xml:space="preserve"> campaigns</w:t>
      </w:r>
      <w:r w:rsidR="00E1133B">
        <w:rPr>
          <w:rFonts w:hint="eastAsia"/>
        </w:rPr>
        <w:t xml:space="preserve"> used as outbreak-response immunization (ORI) under varying conditions</w:t>
      </w:r>
      <w:r w:rsidRPr="00097432">
        <w:t xml:space="preserve"> across </w:t>
      </w:r>
      <w:r w:rsidR="00502DBB" w:rsidRPr="00097432">
        <w:rPr>
          <w:rFonts w:hint="eastAsia"/>
        </w:rPr>
        <w:t xml:space="preserve">diverse </w:t>
      </w:r>
      <w:r w:rsidRPr="00097432">
        <w:t>cholera outbreaks in the region.</w:t>
      </w:r>
    </w:p>
    <w:p w14:paraId="4A8910B3" w14:textId="77777777" w:rsidR="001475F2" w:rsidRPr="00097432" w:rsidRDefault="001475F2" w:rsidP="00F57F15"/>
    <w:p w14:paraId="07526D23" w14:textId="77777777" w:rsidR="001475F2" w:rsidRPr="00097432" w:rsidRDefault="001475F2" w:rsidP="00F57F15">
      <w:pPr>
        <w:rPr>
          <w:b/>
          <w:bCs/>
        </w:rPr>
      </w:pPr>
      <w:r w:rsidRPr="00097432">
        <w:rPr>
          <w:b/>
          <w:bCs/>
        </w:rPr>
        <w:t>Methods</w:t>
      </w:r>
    </w:p>
    <w:p w14:paraId="35B26ABA" w14:textId="0A22FF13" w:rsidR="00D4398F" w:rsidRPr="00097432" w:rsidRDefault="00D4398F" w:rsidP="00F57F15">
      <w:r w:rsidRPr="00097432">
        <w:t xml:space="preserve">We </w:t>
      </w:r>
      <w:r w:rsidR="00E1133B" w:rsidRPr="00E1133B">
        <w:t xml:space="preserve">analyzed </w:t>
      </w:r>
      <w:r w:rsidRPr="00097432">
        <w:t xml:space="preserve">1,192 cholera outbreaks in sub-Saharan Africa from 2010 to 2020 to </w:t>
      </w:r>
      <w:r w:rsidR="00502DBB" w:rsidRPr="00097432">
        <w:rPr>
          <w:rFonts w:hint="eastAsia"/>
        </w:rPr>
        <w:t xml:space="preserve">model </w:t>
      </w:r>
      <w:r w:rsidRPr="00097432">
        <w:t xml:space="preserve">the impact of </w:t>
      </w:r>
      <w:r w:rsidR="00D64F4C">
        <w:rPr>
          <w:rFonts w:hint="eastAsia"/>
        </w:rPr>
        <w:t xml:space="preserve">ORIs </w:t>
      </w:r>
      <w:r w:rsidRPr="00097432">
        <w:t xml:space="preserve">under </w:t>
      </w:r>
      <w:r w:rsidR="00E1133B">
        <w:rPr>
          <w:rFonts w:hint="eastAsia"/>
        </w:rPr>
        <w:t xml:space="preserve">different </w:t>
      </w:r>
      <w:r w:rsidRPr="00097432">
        <w:t xml:space="preserve">assumptions </w:t>
      </w:r>
      <w:r w:rsidR="00502DBB" w:rsidRPr="00097432">
        <w:rPr>
          <w:rFonts w:hint="eastAsia"/>
        </w:rPr>
        <w:t xml:space="preserve">of </w:t>
      </w:r>
      <w:r w:rsidRPr="00097432">
        <w:t xml:space="preserve">timing, coverage, and </w:t>
      </w:r>
      <w:r w:rsidR="00502DBB" w:rsidRPr="00097432">
        <w:rPr>
          <w:rFonts w:hint="eastAsia"/>
        </w:rPr>
        <w:t xml:space="preserve">vaccine </w:t>
      </w:r>
      <w:r w:rsidRPr="00097432">
        <w:t xml:space="preserve">effectiveness. </w:t>
      </w:r>
      <w:r w:rsidR="00502DBB" w:rsidRPr="00097432">
        <w:rPr>
          <w:rFonts w:hint="eastAsia"/>
        </w:rPr>
        <w:t xml:space="preserve">The </w:t>
      </w:r>
      <w:r w:rsidRPr="00097432">
        <w:t xml:space="preserve">model </w:t>
      </w:r>
      <w:r w:rsidR="00502DBB" w:rsidRPr="00097432">
        <w:rPr>
          <w:rFonts w:hint="eastAsia"/>
        </w:rPr>
        <w:t>incorporated</w:t>
      </w:r>
      <w:r w:rsidRPr="00097432">
        <w:t xml:space="preserve"> direct and indirect protection, age-specific efficacy, delays in </w:t>
      </w:r>
      <w:r w:rsidR="00E1133B">
        <w:rPr>
          <w:rFonts w:hint="eastAsia"/>
        </w:rPr>
        <w:t>ORI</w:t>
      </w:r>
      <w:r w:rsidRPr="00097432">
        <w:t xml:space="preserve"> implementation, and time </w:t>
      </w:r>
      <w:r w:rsidR="00E1133B">
        <w:rPr>
          <w:rFonts w:hint="eastAsia"/>
        </w:rPr>
        <w:t xml:space="preserve">required </w:t>
      </w:r>
      <w:r w:rsidRPr="00097432">
        <w:t>to develop vaccine-derived immunity. Primary outcomes included reduction</w:t>
      </w:r>
      <w:r w:rsidR="00E1133B">
        <w:rPr>
          <w:rFonts w:hint="eastAsia"/>
        </w:rPr>
        <w:t>s</w:t>
      </w:r>
      <w:r w:rsidRPr="00097432">
        <w:t xml:space="preserve"> in cases</w:t>
      </w:r>
      <w:r w:rsidR="00E6070B" w:rsidRPr="00097432">
        <w:rPr>
          <w:rFonts w:hint="eastAsia"/>
        </w:rPr>
        <w:t xml:space="preserve"> and </w:t>
      </w:r>
      <w:r w:rsidRPr="00097432">
        <w:t xml:space="preserve">deaths, vaccine efficiency (cases averted per 1,000 doses), and cost-effectiveness (cost per </w:t>
      </w:r>
      <w:r w:rsidR="00865025" w:rsidRPr="00097432">
        <w:rPr>
          <w:rFonts w:hint="eastAsia"/>
        </w:rPr>
        <w:t xml:space="preserve">case, death, or </w:t>
      </w:r>
      <w:r w:rsidRPr="00097432">
        <w:t>DALY averted). We also simulated a scenario reflecting historical OCV stockpile deployments.</w:t>
      </w:r>
    </w:p>
    <w:p w14:paraId="7A05D036" w14:textId="77777777" w:rsidR="00D4398F" w:rsidRPr="00097432" w:rsidRDefault="00D4398F" w:rsidP="00F57F15"/>
    <w:p w14:paraId="0AB7515C" w14:textId="784E6B70" w:rsidR="001475F2" w:rsidRPr="00097432" w:rsidRDefault="001475F2" w:rsidP="00F57F15">
      <w:pPr>
        <w:rPr>
          <w:b/>
          <w:bCs/>
        </w:rPr>
      </w:pPr>
      <w:r w:rsidRPr="00097432">
        <w:rPr>
          <w:b/>
          <w:bCs/>
        </w:rPr>
        <w:t>Findings</w:t>
      </w:r>
    </w:p>
    <w:p w14:paraId="73C27FEF" w14:textId="74FC79ED" w:rsidR="00C973CC" w:rsidRPr="00097432" w:rsidRDefault="00E1133B" w:rsidP="004E4ED3">
      <w:r>
        <w:rPr>
          <w:rFonts w:hint="eastAsia"/>
        </w:rPr>
        <w:t xml:space="preserve">At </w:t>
      </w:r>
      <w:r>
        <w:t>75% coverage</w:t>
      </w:r>
      <w:r w:rsidR="00DE6BB0">
        <w:rPr>
          <w:rFonts w:hint="eastAsia"/>
        </w:rPr>
        <w:t>, cam</w:t>
      </w:r>
      <w:r w:rsidR="00024C43">
        <w:rPr>
          <w:rFonts w:hint="eastAsia"/>
        </w:rPr>
        <w:t>p</w:t>
      </w:r>
      <w:r w:rsidR="00DE6BB0">
        <w:rPr>
          <w:rFonts w:hint="eastAsia"/>
        </w:rPr>
        <w:t>aigns</w:t>
      </w:r>
      <w:r>
        <w:rPr>
          <w:rFonts w:hint="eastAsia"/>
        </w:rPr>
        <w:t xml:space="preserve"> initiated </w:t>
      </w:r>
      <w:r w:rsidR="00E6070B" w:rsidRPr="00097432">
        <w:rPr>
          <w:rFonts w:hint="eastAsia"/>
        </w:rPr>
        <w:t xml:space="preserve">within one </w:t>
      </w:r>
      <w:r w:rsidR="00CD05F9" w:rsidRPr="00097432">
        <w:t>week</w:t>
      </w:r>
      <w:r w:rsidR="00E6070B" w:rsidRPr="00097432">
        <w:rPr>
          <w:rFonts w:hint="eastAsia"/>
        </w:rPr>
        <w:t xml:space="preserve"> </w:t>
      </w:r>
      <w:r w:rsidR="00E361C2" w:rsidRPr="00097432">
        <w:rPr>
          <w:rFonts w:hint="eastAsia"/>
        </w:rPr>
        <w:t>of outbreak</w:t>
      </w:r>
      <w:r w:rsidR="000B6308">
        <w:t xml:space="preserve"> </w:t>
      </w:r>
      <w:r>
        <w:rPr>
          <w:rFonts w:hint="eastAsia"/>
        </w:rPr>
        <w:t>onset</w:t>
      </w:r>
      <w:r w:rsidR="00CD05F9" w:rsidRPr="00097432">
        <w:t xml:space="preserve"> </w:t>
      </w:r>
      <w:r>
        <w:rPr>
          <w:rFonts w:hint="eastAsia"/>
        </w:rPr>
        <w:t xml:space="preserve">averted a </w:t>
      </w:r>
      <w:r w:rsidR="003917BF" w:rsidRPr="00097432">
        <w:t>median</w:t>
      </w:r>
      <w:r w:rsidR="00940913" w:rsidRPr="00097432">
        <w:t xml:space="preserve"> </w:t>
      </w:r>
      <w:r w:rsidR="00663D76">
        <w:rPr>
          <w:rFonts w:hint="eastAsia"/>
        </w:rPr>
        <w:t xml:space="preserve">of </w:t>
      </w:r>
      <w:r w:rsidR="0037037E" w:rsidRPr="0037037E">
        <w:t>130</w:t>
      </w:r>
      <w:r w:rsidR="00DE6BB0">
        <w:rPr>
          <w:rFonts w:hint="eastAsia"/>
        </w:rPr>
        <w:t xml:space="preserve"> cases</w:t>
      </w:r>
      <w:r w:rsidR="0037037E" w:rsidRPr="0037037E">
        <w:t xml:space="preserve"> [IQR: 41.5</w:t>
      </w:r>
      <w:r w:rsidR="00DE6BB0">
        <w:rPr>
          <w:rFonts w:hint="eastAsia"/>
        </w:rPr>
        <w:t>-</w:t>
      </w:r>
      <w:r w:rsidR="0037037E" w:rsidRPr="0037037E">
        <w:t>377]</w:t>
      </w:r>
      <w:r w:rsidR="00663D76">
        <w:rPr>
          <w:rFonts w:hint="eastAsia"/>
        </w:rPr>
        <w:t xml:space="preserve">, </w:t>
      </w:r>
      <w:r w:rsidR="0037037E">
        <w:rPr>
          <w:rFonts w:hint="eastAsia"/>
        </w:rPr>
        <w:t xml:space="preserve">corresponding to </w:t>
      </w:r>
      <w:r w:rsidR="00865025" w:rsidRPr="00097432">
        <w:t>70.5</w:t>
      </w:r>
      <w:r w:rsidR="00865025" w:rsidRPr="00097432">
        <w:rPr>
          <w:rFonts w:hint="eastAsia"/>
        </w:rPr>
        <w:t>%</w:t>
      </w:r>
      <w:r w:rsidR="00865025" w:rsidRPr="00097432">
        <w:t xml:space="preserve"> </w:t>
      </w:r>
      <w:r w:rsidR="00C973CC" w:rsidRPr="00097432">
        <w:rPr>
          <w:rFonts w:hint="eastAsia"/>
        </w:rPr>
        <w:t>[</w:t>
      </w:r>
      <w:r w:rsidR="00024C43">
        <w:rPr>
          <w:rFonts w:hint="eastAsia"/>
        </w:rPr>
        <w:t xml:space="preserve">IQR: </w:t>
      </w:r>
      <w:r w:rsidR="00C973CC" w:rsidRPr="00097432">
        <w:t>49.5</w:t>
      </w:r>
      <w:r w:rsidR="00663D76">
        <w:rPr>
          <w:rFonts w:hint="eastAsia"/>
        </w:rPr>
        <w:t xml:space="preserve"> -</w:t>
      </w:r>
      <w:r w:rsidR="00C973CC" w:rsidRPr="00097432">
        <w:t xml:space="preserve"> 83.6</w:t>
      </w:r>
      <w:r w:rsidR="00C973CC" w:rsidRPr="00097432">
        <w:rPr>
          <w:rFonts w:hint="eastAsia"/>
        </w:rPr>
        <w:t>]</w:t>
      </w:r>
      <w:r w:rsidR="00663D76">
        <w:rPr>
          <w:rFonts w:hint="eastAsia"/>
        </w:rPr>
        <w:t xml:space="preserve"> </w:t>
      </w:r>
      <w:r w:rsidR="00DE6BB0">
        <w:rPr>
          <w:rFonts w:hint="eastAsia"/>
        </w:rPr>
        <w:t>of outbreak cases</w:t>
      </w:r>
      <w:r w:rsidR="00663D76">
        <w:rPr>
          <w:rFonts w:hint="eastAsia"/>
        </w:rPr>
        <w:t xml:space="preserve">, </w:t>
      </w:r>
      <w:r w:rsidR="00502DBB" w:rsidRPr="00097432">
        <w:rPr>
          <w:rFonts w:hint="eastAsia"/>
        </w:rPr>
        <w:t xml:space="preserve">with </w:t>
      </w:r>
      <w:r w:rsidR="0037037E" w:rsidRPr="0037037E">
        <w:rPr>
          <w:lang w:val="en-US"/>
        </w:rPr>
        <w:t>0.7 [</w:t>
      </w:r>
      <w:r w:rsidR="00DE6BB0" w:rsidRPr="0037037E">
        <w:t xml:space="preserve">IQR: </w:t>
      </w:r>
      <w:r w:rsidR="0037037E" w:rsidRPr="0037037E">
        <w:rPr>
          <w:lang w:val="en-US"/>
        </w:rPr>
        <w:t>0.19 - 2.41]</w:t>
      </w:r>
      <w:r w:rsidR="0037037E">
        <w:rPr>
          <w:rFonts w:hint="eastAsia"/>
          <w:lang w:val="en-US"/>
        </w:rPr>
        <w:t xml:space="preserve"> </w:t>
      </w:r>
      <w:r w:rsidR="00C973CC" w:rsidRPr="00097432">
        <w:t>cases averted per 1,000 doses</w:t>
      </w:r>
      <w:r w:rsidR="00502DBB" w:rsidRPr="00097432">
        <w:rPr>
          <w:rFonts w:hint="eastAsia"/>
        </w:rPr>
        <w:t xml:space="preserve"> and a</w:t>
      </w:r>
      <w:r w:rsidR="00C973CC" w:rsidRPr="00097432">
        <w:t xml:space="preserve"> </w:t>
      </w:r>
      <w:r w:rsidR="00DE6BB0">
        <w:rPr>
          <w:rFonts w:hint="eastAsia"/>
        </w:rPr>
        <w:t xml:space="preserve">median </w:t>
      </w:r>
      <w:r w:rsidR="00663D76">
        <w:rPr>
          <w:rFonts w:hint="eastAsia"/>
        </w:rPr>
        <w:t xml:space="preserve">cost of </w:t>
      </w:r>
      <w:r w:rsidR="00C973CC" w:rsidRPr="00097432">
        <w:t>US</w:t>
      </w:r>
      <w:r w:rsidR="00865025" w:rsidRPr="00097432">
        <w:rPr>
          <w:rFonts w:hint="eastAsia"/>
        </w:rPr>
        <w:t xml:space="preserve">$ </w:t>
      </w:r>
      <w:r w:rsidR="0037037E" w:rsidRPr="0037037E">
        <w:rPr>
          <w:lang w:val="en-US"/>
        </w:rPr>
        <w:t>4,623 [</w:t>
      </w:r>
      <w:r w:rsidR="00DE6BB0" w:rsidRPr="0037037E">
        <w:t xml:space="preserve">IQR: </w:t>
      </w:r>
      <w:r w:rsidR="0037037E" w:rsidRPr="0037037E">
        <w:rPr>
          <w:lang w:val="en-US"/>
        </w:rPr>
        <w:t>972 - 17,853]</w:t>
      </w:r>
      <w:r w:rsidR="00663D76">
        <w:rPr>
          <w:rFonts w:hint="eastAsia"/>
          <w:lang w:val="en-US"/>
        </w:rPr>
        <w:t xml:space="preserve"> per</w:t>
      </w:r>
      <w:r w:rsidR="00663D76" w:rsidRPr="00097432">
        <w:t xml:space="preserve"> case averted</w:t>
      </w:r>
      <w:r w:rsidR="00C973CC" w:rsidRPr="00097432">
        <w:t>.</w:t>
      </w:r>
      <w:r w:rsidR="00C973CC" w:rsidRPr="00097432">
        <w:rPr>
          <w:rFonts w:hint="eastAsia"/>
        </w:rPr>
        <w:t xml:space="preserve"> </w:t>
      </w:r>
      <w:r w:rsidR="00663D76" w:rsidRPr="00663D76">
        <w:t>Impact declined exponentially with delays—by 17.5% [</w:t>
      </w:r>
      <w:r w:rsidR="00DE6BB0" w:rsidRPr="0037037E">
        <w:t xml:space="preserve">IQR: </w:t>
      </w:r>
      <w:r w:rsidR="00663D76" w:rsidRPr="00663D76">
        <w:t>8.5</w:t>
      </w:r>
      <w:r w:rsidR="00663D76">
        <w:rPr>
          <w:rFonts w:hint="eastAsia"/>
        </w:rPr>
        <w:t xml:space="preserve"> - </w:t>
      </w:r>
      <w:r w:rsidR="00663D76" w:rsidRPr="00663D76">
        <w:t xml:space="preserve">31.5] </w:t>
      </w:r>
      <w:r w:rsidR="00A33E08">
        <w:rPr>
          <w:rFonts w:hint="eastAsia"/>
        </w:rPr>
        <w:t>each</w:t>
      </w:r>
      <w:r w:rsidR="00663D76" w:rsidRPr="00663D76">
        <w:t xml:space="preserve"> week and by half every 3.6 [</w:t>
      </w:r>
      <w:r w:rsidR="00A33E08">
        <w:rPr>
          <w:rFonts w:hint="eastAsia"/>
        </w:rPr>
        <w:t>IQR:</w:t>
      </w:r>
      <w:r w:rsidR="00663D76" w:rsidRPr="00663D76">
        <w:t>1.8–7.8] weeks.</w:t>
      </w:r>
      <w:r w:rsidR="00663D76" w:rsidRPr="00663D76">
        <w:rPr>
          <w:rFonts w:hint="eastAsia"/>
        </w:rPr>
        <w:t xml:space="preserve"> </w:t>
      </w:r>
      <w:r w:rsidR="00C77EF5" w:rsidRPr="00097432">
        <w:t>With a nine-week delay</w:t>
      </w:r>
      <w:r w:rsidR="00D64F4C">
        <w:t>—</w:t>
      </w:r>
      <w:r w:rsidR="00C77EF5" w:rsidRPr="00097432">
        <w:t xml:space="preserve">comparable to historical median </w:t>
      </w:r>
      <w:r w:rsidR="00E6070B" w:rsidRPr="00097432">
        <w:rPr>
          <w:rFonts w:hint="eastAsia"/>
        </w:rPr>
        <w:t>deployment</w:t>
      </w:r>
      <w:r w:rsidR="00C77EF5" w:rsidRPr="00097432">
        <w:t xml:space="preserve"> </w:t>
      </w:r>
      <w:r w:rsidR="009646A8" w:rsidRPr="00097432">
        <w:rPr>
          <w:rFonts w:hint="eastAsia"/>
        </w:rPr>
        <w:t>times</w:t>
      </w:r>
      <w:r w:rsidR="00D64F4C">
        <w:t>—</w:t>
      </w:r>
      <w:r w:rsidR="00A33E08">
        <w:rPr>
          <w:rFonts w:hint="eastAsia"/>
        </w:rPr>
        <w:t xml:space="preserve">the </w:t>
      </w:r>
      <w:r w:rsidR="00C77EF5" w:rsidRPr="00097432">
        <w:t xml:space="preserve">median </w:t>
      </w:r>
      <w:r w:rsidR="00663D76">
        <w:rPr>
          <w:rFonts w:hint="eastAsia"/>
        </w:rPr>
        <w:t xml:space="preserve">impact </w:t>
      </w:r>
      <w:r w:rsidR="00C77EF5" w:rsidRPr="00097432">
        <w:t xml:space="preserve">dropped to </w:t>
      </w:r>
      <w:r w:rsidR="00A25110" w:rsidRPr="00A25110">
        <w:rPr>
          <w:lang w:val="en-US"/>
        </w:rPr>
        <w:t xml:space="preserve">28.3 </w:t>
      </w:r>
      <w:r w:rsidR="00DE6BB0">
        <w:rPr>
          <w:rFonts w:hint="eastAsia"/>
          <w:lang w:val="en-US"/>
        </w:rPr>
        <w:t xml:space="preserve">cases </w:t>
      </w:r>
      <w:r w:rsidR="00A25110" w:rsidRPr="00A25110">
        <w:rPr>
          <w:lang w:val="en-US"/>
        </w:rPr>
        <w:t>[IQR: 2.5 - 146.7]</w:t>
      </w:r>
      <w:r w:rsidR="00A25110">
        <w:rPr>
          <w:rFonts w:hint="eastAsia"/>
          <w:lang w:val="en-US"/>
        </w:rPr>
        <w:t xml:space="preserve"> </w:t>
      </w:r>
      <w:r w:rsidR="00663D76">
        <w:rPr>
          <w:rFonts w:hint="eastAsia"/>
          <w:lang w:val="en-US"/>
        </w:rPr>
        <w:t xml:space="preserve">with </w:t>
      </w:r>
      <w:r w:rsidR="00A33E08">
        <w:rPr>
          <w:rFonts w:hint="eastAsia"/>
          <w:lang w:val="en-US"/>
        </w:rPr>
        <w:t xml:space="preserve">median </w:t>
      </w:r>
      <w:r w:rsidR="006A1BF9" w:rsidRPr="00097432">
        <w:rPr>
          <w:rFonts w:hint="eastAsia"/>
        </w:rPr>
        <w:t>efficien</w:t>
      </w:r>
      <w:r w:rsidR="009646A8" w:rsidRPr="00097432">
        <w:rPr>
          <w:rFonts w:hint="eastAsia"/>
        </w:rPr>
        <w:t>cy</w:t>
      </w:r>
      <w:r w:rsidR="006A1BF9" w:rsidRPr="00097432">
        <w:rPr>
          <w:rFonts w:hint="eastAsia"/>
        </w:rPr>
        <w:t xml:space="preserve"> </w:t>
      </w:r>
      <w:r w:rsidR="00A33E08">
        <w:rPr>
          <w:rFonts w:hint="eastAsia"/>
        </w:rPr>
        <w:t>of</w:t>
      </w:r>
      <w:r w:rsidR="006A1BF9" w:rsidRPr="00097432">
        <w:rPr>
          <w:rFonts w:hint="eastAsia"/>
        </w:rPr>
        <w:t xml:space="preserve"> </w:t>
      </w:r>
      <w:r w:rsidR="00A25110" w:rsidRPr="00A25110">
        <w:rPr>
          <w:lang w:val="en-US"/>
        </w:rPr>
        <w:t>0.15 [IQR: 0.01 - 0.89</w:t>
      </w:r>
      <w:r w:rsidR="00A25110">
        <w:rPr>
          <w:rFonts w:hint="eastAsia"/>
          <w:lang w:val="en-US"/>
        </w:rPr>
        <w:t>]</w:t>
      </w:r>
      <w:r w:rsidR="00663D76">
        <w:rPr>
          <w:rFonts w:hint="eastAsia"/>
          <w:lang w:val="en-US"/>
        </w:rPr>
        <w:t xml:space="preserve"> </w:t>
      </w:r>
      <w:r w:rsidR="00663D76" w:rsidRPr="00663D76">
        <w:rPr>
          <w:lang w:val="en-US"/>
        </w:rPr>
        <w:t>cases per 1,000 doses.</w:t>
      </w:r>
      <w:r w:rsidR="00A33E08">
        <w:rPr>
          <w:rFonts w:hint="eastAsia"/>
          <w:lang w:val="en-US"/>
        </w:rPr>
        <w:t xml:space="preserve"> </w:t>
      </w:r>
      <w:proofErr w:type="spellStart"/>
      <w:r w:rsidR="00A33E08">
        <w:rPr>
          <w:rFonts w:hint="eastAsia"/>
          <w:lang w:val="en-US"/>
        </w:rPr>
        <w:t>W</w:t>
      </w:r>
      <w:r w:rsidR="00CF1AE9">
        <w:t>hen</w:t>
      </w:r>
      <w:proofErr w:type="spellEnd"/>
      <w:r w:rsidR="00CF1AE9">
        <w:rPr>
          <w:rFonts w:hint="eastAsia"/>
        </w:rPr>
        <w:t xml:space="preserve"> </w:t>
      </w:r>
      <w:r w:rsidR="00DE6BB0">
        <w:rPr>
          <w:rFonts w:hint="eastAsia"/>
        </w:rPr>
        <w:t>scaled</w:t>
      </w:r>
      <w:r w:rsidR="00CF1AE9">
        <w:rPr>
          <w:rFonts w:hint="eastAsia"/>
        </w:rPr>
        <w:t xml:space="preserve"> </w:t>
      </w:r>
      <w:r w:rsidR="00CF1AE9" w:rsidRPr="00097432">
        <w:t>across multiple outbreak</w:t>
      </w:r>
      <w:r w:rsidR="00CF1AE9" w:rsidRPr="00097432">
        <w:rPr>
          <w:rFonts w:hint="eastAsia"/>
        </w:rPr>
        <w:t>s</w:t>
      </w:r>
      <w:r w:rsidR="00CF1AE9">
        <w:rPr>
          <w:rFonts w:hint="eastAsia"/>
        </w:rPr>
        <w:t>,</w:t>
      </w:r>
      <w:r w:rsidR="00DE6BB0">
        <w:rPr>
          <w:rFonts w:hint="eastAsia"/>
        </w:rPr>
        <w:t xml:space="preserve"> reflecting </w:t>
      </w:r>
      <w:r w:rsidR="00A33E08">
        <w:rPr>
          <w:rFonts w:hint="eastAsia"/>
        </w:rPr>
        <w:t>OCV</w:t>
      </w:r>
      <w:r w:rsidR="00DE6BB0">
        <w:rPr>
          <w:rFonts w:hint="eastAsia"/>
        </w:rPr>
        <w:t xml:space="preserve"> stockpile use,</w:t>
      </w:r>
      <w:r w:rsidR="00CF1AE9" w:rsidRPr="00097432">
        <w:rPr>
          <w:rFonts w:hint="eastAsia"/>
        </w:rPr>
        <w:t xml:space="preserve"> </w:t>
      </w:r>
      <w:r w:rsidR="00DE6BB0">
        <w:rPr>
          <w:rFonts w:hint="eastAsia"/>
        </w:rPr>
        <w:t xml:space="preserve">delayed campaigns still </w:t>
      </w:r>
      <w:r w:rsidR="00CF1AE9">
        <w:rPr>
          <w:rFonts w:hint="eastAsia"/>
        </w:rPr>
        <w:t>averted</w:t>
      </w:r>
      <w:r w:rsidR="003D620F" w:rsidRPr="00097432">
        <w:rPr>
          <w:rFonts w:hint="eastAsia"/>
        </w:rPr>
        <w:t xml:space="preserve"> </w:t>
      </w:r>
      <w:r w:rsidR="00D563E4" w:rsidRPr="00D563E4">
        <w:t>2,156.8 [IQR: 425.8 - 3,352.7]</w:t>
      </w:r>
      <w:r w:rsidR="00CF1AE9">
        <w:rPr>
          <w:rFonts w:hint="eastAsia"/>
        </w:rPr>
        <w:t xml:space="preserve"> (</w:t>
      </w:r>
      <w:r w:rsidR="0037037E" w:rsidRPr="0037037E">
        <w:rPr>
          <w:lang w:val="en-US"/>
        </w:rPr>
        <w:t>29.9</w:t>
      </w:r>
      <w:r w:rsidR="0037037E">
        <w:rPr>
          <w:rFonts w:hint="eastAsia"/>
          <w:lang w:val="en-US"/>
        </w:rPr>
        <w:t>%</w:t>
      </w:r>
      <w:r w:rsidR="0037037E" w:rsidRPr="0037037E">
        <w:rPr>
          <w:lang w:val="en-US"/>
        </w:rPr>
        <w:t xml:space="preserve"> [IQR: 19.7 - 36]</w:t>
      </w:r>
      <w:r w:rsidR="00CF1AE9">
        <w:rPr>
          <w:rFonts w:hint="eastAsia"/>
          <w:lang w:val="en-US"/>
        </w:rPr>
        <w:t xml:space="preserve">) with efficiency of </w:t>
      </w:r>
      <w:r w:rsidR="00CF1AE9" w:rsidRPr="0037037E">
        <w:rPr>
          <w:lang w:val="en-US"/>
        </w:rPr>
        <w:t>0.48 [IQR: 0.34 - 0.68]</w:t>
      </w:r>
      <w:r w:rsidR="00CF1AE9">
        <w:rPr>
          <w:rFonts w:hint="eastAsia"/>
          <w:lang w:val="en-US"/>
        </w:rPr>
        <w:t xml:space="preserve"> cases </w:t>
      </w:r>
      <w:r w:rsidR="0037037E">
        <w:rPr>
          <w:rFonts w:hint="eastAsia"/>
        </w:rPr>
        <w:t xml:space="preserve">per 1,000 </w:t>
      </w:r>
      <w:r w:rsidR="00A33E08">
        <w:rPr>
          <w:rFonts w:hint="eastAsia"/>
        </w:rPr>
        <w:t>doses</w:t>
      </w:r>
      <w:r w:rsidR="00CF1AE9">
        <w:rPr>
          <w:rFonts w:hint="eastAsia"/>
        </w:rPr>
        <w:t xml:space="preserve">. </w:t>
      </w:r>
      <w:r w:rsidR="00A33E08">
        <w:rPr>
          <w:rFonts w:hint="eastAsia"/>
        </w:rPr>
        <w:t xml:space="preserve">Targeting </w:t>
      </w:r>
      <w:r w:rsidR="00CF1AE9" w:rsidRPr="00CF1AE9">
        <w:t xml:space="preserve">larger, prolonged </w:t>
      </w:r>
      <w:r w:rsidR="00CF1AE9" w:rsidRPr="00CF1AE9">
        <w:lastRenderedPageBreak/>
        <w:t xml:space="preserve">outbreaks further </w:t>
      </w:r>
      <w:r w:rsidR="00DE6BB0">
        <w:rPr>
          <w:rFonts w:hint="eastAsia"/>
        </w:rPr>
        <w:t>improved</w:t>
      </w:r>
      <w:r w:rsidR="00CF1AE9" w:rsidRPr="00CF1AE9">
        <w:t xml:space="preserve"> impact, with delayed ORIs averting 3,740 </w:t>
      </w:r>
      <w:r w:rsidR="00024C43">
        <w:rPr>
          <w:rFonts w:hint="eastAsia"/>
        </w:rPr>
        <w:t xml:space="preserve">cases </w:t>
      </w:r>
      <w:r w:rsidR="00CF1AE9" w:rsidRPr="00CF1AE9">
        <w:t>[</w:t>
      </w:r>
      <w:r w:rsidR="00024C43">
        <w:rPr>
          <w:rFonts w:hint="eastAsia"/>
        </w:rPr>
        <w:t xml:space="preserve">IQR: </w:t>
      </w:r>
      <w:r w:rsidR="00CF1AE9" w:rsidRPr="00CF1AE9">
        <w:t>1,388–6,454] (38.6% [</w:t>
      </w:r>
      <w:r w:rsidR="00024C43">
        <w:rPr>
          <w:rFonts w:hint="eastAsia"/>
        </w:rPr>
        <w:t xml:space="preserve">IQR: </w:t>
      </w:r>
      <w:r w:rsidR="00CF1AE9" w:rsidRPr="00CF1AE9">
        <w:t>30.8–44.3])</w:t>
      </w:r>
      <w:r w:rsidR="00CF1AE9">
        <w:rPr>
          <w:rFonts w:hint="eastAsia"/>
        </w:rPr>
        <w:t xml:space="preserve"> </w:t>
      </w:r>
      <w:r w:rsidR="00024C43" w:rsidRPr="00024C43">
        <w:t>when focused on the top quartile of outbreak duration</w:t>
      </w:r>
      <w:r w:rsidR="004E4ED3">
        <w:rPr>
          <w:rFonts w:hint="eastAsia"/>
        </w:rPr>
        <w:t>.</w:t>
      </w:r>
    </w:p>
    <w:p w14:paraId="1DAD84B3" w14:textId="77777777" w:rsidR="00D4398F" w:rsidRPr="00097432" w:rsidRDefault="00D4398F" w:rsidP="00940913"/>
    <w:p w14:paraId="58C802B0" w14:textId="77777777" w:rsidR="001475F2" w:rsidRPr="00097432" w:rsidRDefault="001475F2" w:rsidP="00F57F15">
      <w:pPr>
        <w:rPr>
          <w:b/>
          <w:bCs/>
        </w:rPr>
      </w:pPr>
      <w:r w:rsidRPr="00097432">
        <w:rPr>
          <w:b/>
          <w:bCs/>
        </w:rPr>
        <w:t>Conclusion</w:t>
      </w:r>
    </w:p>
    <w:p w14:paraId="059796FB" w14:textId="56F1E6B1" w:rsidR="003917BF" w:rsidRPr="00097432" w:rsidRDefault="00DE6BB0" w:rsidP="00F57F15">
      <w:r w:rsidRPr="00DE6BB0">
        <w:t>Rapid deployment of OCV and prioriti</w:t>
      </w:r>
      <w:r>
        <w:rPr>
          <w:rFonts w:hint="eastAsia"/>
        </w:rPr>
        <w:t>z</w:t>
      </w:r>
      <w:r w:rsidRPr="00DE6BB0">
        <w:t>ation of larger, sustained outbreaks are essential to maximi</w:t>
      </w:r>
      <w:r>
        <w:rPr>
          <w:rFonts w:hint="eastAsia"/>
        </w:rPr>
        <w:t>z</w:t>
      </w:r>
      <w:r w:rsidRPr="00DE6BB0">
        <w:t>e impact. Even with substantial delays, stockpile-supported campaigns can considerably reduce cholera burden. These findings highlight the urgent need to strengthen OCV supply, accelerate deployment mechanisms, and integrate vaccination into broader cholera control strategies in Africa.</w:t>
      </w:r>
    </w:p>
    <w:p w14:paraId="739FA1D6" w14:textId="77777777" w:rsidR="00885336" w:rsidRPr="00097432" w:rsidRDefault="00885336" w:rsidP="00F57F15"/>
    <w:p w14:paraId="322866F6" w14:textId="6D6A2036" w:rsidR="002173D7" w:rsidRPr="00097432" w:rsidRDefault="002173D7" w:rsidP="00F57F15">
      <w:pPr>
        <w:pStyle w:val="Heading2"/>
      </w:pPr>
      <w:bookmarkStart w:id="4" w:name="_Toc184909195"/>
      <w:r w:rsidRPr="00097432">
        <w:t>Key messages</w:t>
      </w:r>
      <w:bookmarkEnd w:id="4"/>
    </w:p>
    <w:p w14:paraId="149C94E2" w14:textId="3C82BF15" w:rsidR="003F788D" w:rsidRPr="00097432" w:rsidRDefault="003F788D" w:rsidP="00F57F15">
      <w:pPr>
        <w:pStyle w:val="ListParagraph"/>
        <w:numPr>
          <w:ilvl w:val="0"/>
          <w:numId w:val="10"/>
        </w:numPr>
      </w:pPr>
      <w:bookmarkStart w:id="5" w:name="_Hlk182818708"/>
      <w:r w:rsidRPr="00097432">
        <w:t xml:space="preserve">We </w:t>
      </w:r>
      <w:r w:rsidR="00247AE3" w:rsidRPr="00097432">
        <w:rPr>
          <w:rFonts w:hint="eastAsia"/>
        </w:rPr>
        <w:t>analyzed</w:t>
      </w:r>
      <w:r w:rsidRPr="00097432">
        <w:t xml:space="preserve"> 1,192 cholera outbreaks across sub-Saharan Africa (2010–2020) to estimate the health and economic impact of outbreak response immunization (ORI)</w:t>
      </w:r>
      <w:r w:rsidR="002172B7" w:rsidRPr="00097432">
        <w:rPr>
          <w:rFonts w:hint="eastAsia"/>
        </w:rPr>
        <w:t>.</w:t>
      </w:r>
      <w:r w:rsidRPr="00097432">
        <w:t xml:space="preserve"> </w:t>
      </w:r>
    </w:p>
    <w:p w14:paraId="72CC8770" w14:textId="760DCE72" w:rsidR="00247AE3" w:rsidRPr="00097432" w:rsidRDefault="00247AE3" w:rsidP="00F57F15">
      <w:pPr>
        <w:pStyle w:val="ListParagraph"/>
        <w:numPr>
          <w:ilvl w:val="0"/>
          <w:numId w:val="10"/>
        </w:numPr>
      </w:pPr>
      <w:r w:rsidRPr="00097432">
        <w:t xml:space="preserve">When ORI was implemented within one week of outbreak onset, </w:t>
      </w:r>
      <w:r w:rsidR="0083696B">
        <w:rPr>
          <w:rFonts w:hint="eastAsia"/>
        </w:rPr>
        <w:t xml:space="preserve">a median of </w:t>
      </w:r>
      <w:r w:rsidRPr="00097432">
        <w:t>7</w:t>
      </w:r>
      <w:r w:rsidR="002B71D9">
        <w:rPr>
          <w:rFonts w:hint="eastAsia"/>
        </w:rPr>
        <w:t>1</w:t>
      </w:r>
      <w:r w:rsidRPr="00097432">
        <w:t>% of cases were averted; however, impact declined sharply, halving with each four-week delay.</w:t>
      </w:r>
    </w:p>
    <w:p w14:paraId="2CB23993" w14:textId="722724B3" w:rsidR="003F788D" w:rsidRPr="00097432" w:rsidRDefault="00247AE3" w:rsidP="00F57F15">
      <w:pPr>
        <w:pStyle w:val="ListParagraph"/>
        <w:numPr>
          <w:ilvl w:val="0"/>
          <w:numId w:val="10"/>
        </w:numPr>
      </w:pPr>
      <w:r w:rsidRPr="00097432">
        <w:t xml:space="preserve">When ORIs were simulated to reflect actual global OCV stockpile deployments, </w:t>
      </w:r>
      <w:r w:rsidR="0083696B">
        <w:rPr>
          <w:rFonts w:hint="eastAsia"/>
        </w:rPr>
        <w:t xml:space="preserve">ORI even with a </w:t>
      </w:r>
      <w:r w:rsidR="0083696B" w:rsidRPr="00097432">
        <w:t>9-week delay</w:t>
      </w:r>
      <w:r w:rsidR="0083696B">
        <w:rPr>
          <w:rFonts w:hint="eastAsia"/>
        </w:rPr>
        <w:t xml:space="preserve"> still averted </w:t>
      </w:r>
      <w:r w:rsidRPr="00097432">
        <w:t xml:space="preserve">cases were reduced by </w:t>
      </w:r>
      <w:r w:rsidR="0083696B">
        <w:rPr>
          <w:rFonts w:hint="eastAsia"/>
        </w:rPr>
        <w:t>30</w:t>
      </w:r>
      <w:r w:rsidRPr="00097432">
        <w:t>%</w:t>
      </w:r>
      <w:r w:rsidR="0083696B">
        <w:rPr>
          <w:rFonts w:hint="eastAsia"/>
        </w:rPr>
        <w:t xml:space="preserve"> with a median efficiency of </w:t>
      </w:r>
      <w:r w:rsidR="0083696B" w:rsidRPr="0037037E">
        <w:rPr>
          <w:lang w:val="en-US"/>
        </w:rPr>
        <w:t>0.48</w:t>
      </w:r>
      <w:r w:rsidR="00762EC7" w:rsidRPr="00097432">
        <w:rPr>
          <w:rFonts w:hint="eastAsia"/>
        </w:rPr>
        <w:t xml:space="preserve"> per 1,000 OCVs</w:t>
      </w:r>
      <w:r w:rsidR="008D41B5" w:rsidRPr="00097432">
        <w:rPr>
          <w:rFonts w:hint="eastAsia"/>
        </w:rPr>
        <w:t>.</w:t>
      </w:r>
    </w:p>
    <w:p w14:paraId="6FCCE42B" w14:textId="62B7EC8C" w:rsidR="003F788D" w:rsidRPr="00097432" w:rsidRDefault="003F788D" w:rsidP="00F57F15">
      <w:pPr>
        <w:pStyle w:val="ListParagraph"/>
        <w:numPr>
          <w:ilvl w:val="0"/>
          <w:numId w:val="10"/>
        </w:numPr>
      </w:pPr>
      <w:bookmarkStart w:id="6" w:name="_Hlk182937165"/>
      <w:r w:rsidRPr="00097432">
        <w:t>Strategically prioritizing large</w:t>
      </w:r>
      <w:r w:rsidRPr="00097432">
        <w:rPr>
          <w:rFonts w:hint="eastAsia"/>
        </w:rPr>
        <w:t>, prolonged</w:t>
      </w:r>
      <w:r w:rsidRPr="00097432">
        <w:t xml:space="preserve"> outbreaks for </w:t>
      </w:r>
      <w:r w:rsidRPr="00097432">
        <w:rPr>
          <w:rFonts w:hint="eastAsia"/>
        </w:rPr>
        <w:t>ORI</w:t>
      </w:r>
      <w:r w:rsidRPr="00097432">
        <w:t xml:space="preserve"> led to markedly higher health impact and cost-effectiveness</w:t>
      </w:r>
      <w:r w:rsidR="0083696B">
        <w:rPr>
          <w:rFonts w:hint="eastAsia"/>
        </w:rPr>
        <w:t>.</w:t>
      </w:r>
    </w:p>
    <w:p w14:paraId="00859DCB" w14:textId="24357ACD" w:rsidR="003F788D" w:rsidRPr="00097432" w:rsidRDefault="008D41B5" w:rsidP="00F57F15">
      <w:pPr>
        <w:pStyle w:val="ListParagraph"/>
        <w:numPr>
          <w:ilvl w:val="0"/>
          <w:numId w:val="10"/>
        </w:numPr>
      </w:pPr>
      <w:r w:rsidRPr="00097432">
        <w:t>These findings highlight the importance of timely, targeted ORI deployment—guided by robust surveillance and prioritization frameworks—to maximize the impact of the limited global OCV supply.</w:t>
      </w:r>
    </w:p>
    <w:p w14:paraId="0B42E769" w14:textId="46333FE8" w:rsidR="009D1CE2" w:rsidRPr="00097432" w:rsidRDefault="009D1CE2" w:rsidP="003F788D">
      <w:pPr>
        <w:ind w:left="360"/>
      </w:pPr>
    </w:p>
    <w:p w14:paraId="111DB3FB" w14:textId="0345AF46" w:rsidR="000A4EDF" w:rsidRPr="00097432" w:rsidRDefault="000A4EDF" w:rsidP="00F57F15">
      <w:pPr>
        <w:pStyle w:val="Heading2"/>
      </w:pPr>
      <w:bookmarkStart w:id="7" w:name="_Toc184909196"/>
      <w:bookmarkEnd w:id="5"/>
      <w:bookmarkEnd w:id="6"/>
      <w:r w:rsidRPr="00097432">
        <w:lastRenderedPageBreak/>
        <w:t>Research in context</w:t>
      </w:r>
      <w:bookmarkEnd w:id="7"/>
    </w:p>
    <w:p w14:paraId="328383B8" w14:textId="7A6109C0" w:rsidR="005C235E" w:rsidRPr="00097432" w:rsidRDefault="009A2C69" w:rsidP="00F57F15">
      <w:pPr>
        <w:rPr>
          <w:b/>
          <w:bCs/>
        </w:rPr>
      </w:pPr>
      <w:r w:rsidRPr="00097432">
        <w:rPr>
          <w:b/>
          <w:bCs/>
        </w:rPr>
        <w:t>Evidence before this study</w:t>
      </w:r>
    </w:p>
    <w:p w14:paraId="2FAD3889" w14:textId="4A1CC8CE" w:rsidR="009A2C69" w:rsidRPr="00097432" w:rsidRDefault="009A2C69" w:rsidP="00F57F15">
      <w:r w:rsidRPr="00097432">
        <w:t>We searched PubMed on March 15, 2024, with no language or date restrictions, using the search terms (("Cholera"[Mesh] OR "Vibrio cholerae"[Mesh])) AND "Cholera Vaccines"[Mesh] AND ((model*[Title/Abstract]) OR (math*[Title/Abstract])) AND (vaccine*[Title/Abstract])</w:t>
      </w:r>
      <w:r w:rsidR="00734B2E" w:rsidRPr="00097432">
        <w:t>, yielding 1</w:t>
      </w:r>
      <w:r w:rsidRPr="00097432">
        <w:t>64 articles</w:t>
      </w:r>
      <w:r w:rsidR="00734B2E" w:rsidRPr="00097432">
        <w:t xml:space="preserve">. Of these, </w:t>
      </w:r>
      <w:r w:rsidRPr="00097432">
        <w:t>17</w:t>
      </w:r>
      <w:r w:rsidR="00734B2E" w:rsidRPr="00097432">
        <w:t xml:space="preserve"> studies met the inclusion criteria, focusing on cholera transmission modeling to evaluate vaccine impact under various scenarios.</w:t>
      </w:r>
      <w:r w:rsidRPr="00097432">
        <w:t xml:space="preserve"> Most </w:t>
      </w:r>
      <w:r w:rsidR="00734B2E" w:rsidRPr="00097432">
        <w:t xml:space="preserve">studies simulated </w:t>
      </w:r>
      <w:r w:rsidRPr="00097432">
        <w:t>outbreaks in single, unique geographic setting</w:t>
      </w:r>
      <w:r w:rsidRPr="00097432">
        <w:rPr>
          <w:vertAlign w:val="superscript"/>
        </w:rPr>
        <w:fldChar w:fldCharType="begin"/>
      </w:r>
      <w:r w:rsidR="00345AF1">
        <w:rPr>
          <w:vertAlign w:val="superscript"/>
        </w:rPr>
        <w:instrText xml:space="preserve"> ADDIN ZOTERO_ITEM CSL_CITATION {"citationID":"l33n60L3","properties":{"formattedCitation":"\\super 1\\uc0\\u8211{}13\\nosupersub{}","plainCitation":"1–13","noteIndex":0},"citationItems":[{"id":"EgwuGF5k/Hmz3wwbU","uris":["http://zotero.org/users/local/xDVOxgbN/items/3KCFPCDX"],"itemData":{"id":67,"type":"article-journal","container-title":"PLOS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Seidlein","given":"Lorenz"}],"issued":{"date-parts":[["2018",2,27]]}}},{"id":"EgwuGF5k/U08vjAgk","uris":["http://zotero.org/users/local/xDVOxgbN/items/JZWUIAKP"],"itemData":{"id":69,"type":"article-journal","container-title":"International Journal of Infectious Diseases","DOI":"10.1016/j.ijid.2020.03.077","ISSN":"12019712","journalAbbreviation":"International Journal of Infectious Diseases","language":"en","page":"222-227","source":"DOI.org (Crossref)","title":"Stemming cholera tides in Zimbabwe through mass vaccination","volume":"96","author":[{"family":"Mukandavire","given":"Zindoga"},{"family":"Manangazira","given":"Portia"},{"family":"Nyabadza","given":"Farai"},{"family":"Cuadros","given":"Diego F"},{"family":"Musuka","given":"Godfrey"},{"family":"Morris","given":"J. Glenn"}],"issued":{"date-parts":[["2020",7]]}}},{"id":"EgwuGF5k/8HczsYmK","uris":["http://zotero.org/users/local/xDVOxgbN/items/Z93MZCN2"],"itemData":{"id":74,"type":"article-journal","container-title":"PLoS Neglected Tropical Diseases","DOI":"10.1371/journal.pntd.0003343","ISSN":"1935-2735","issue":"12","journalAbbreviation":"PLoS Negl Trop Dis","language":"en","page":"e3343","source":"DOI.org (Crossref)","title":"Comparative Effectiveness of Different Strategies of Oral Cholera Vaccination in Bangladesh: A Modeling Study","title-short":"Comparative Effectiveness of Different Strategies of Oral Cholera Vaccination in Bangladesh","volume":"8","author":[{"family":"Dimitrov","given":"Dobromir T."},{"family":"Troeger","given":"Christopher"},{"family":"Halloran","given":"M. Elizabeth"},{"family":"Longini","given":"Ira M."},{"family":"Chao","given":"Dennis L."}],"editor":[{"family":"Baker","given":"Stephen"}],"issued":{"date-parts":[["2014",12,4]]}}},{"id":"EgwuGF5k/YImEJoFE","uris":["http://zotero.org/users/local/xDVOxgbN/items/PMGMMCST"],"itemData":{"id":38,"type":"article-journal","container-title":"PLOS Neglected Tropical Diseases","DOI":"10.1371/journal.pntd.0006652","ISSN":"1935-2735","issue":"10","journalAbbreviation":"PLoS Negl Trop Dis","language":"en","page":"e0006652","source":"DOI.org (Crossref)","title":"The impact and cost-effectiveness of controlling cholera through the use of oral cholera vaccines in urban Bangladesh: A disease modeling and economic analysis","title-short":"The impact and cost-effectiveness of controlling cholera through the use of oral cholera vaccines in urban Bangladesh","volume":"12","author":[{"family":"Khan","given":"Ashraful Islam"},{"family":"Levin","given":"Ann"},{"family":"Chao","given":"Dennis L."},{"family":"DeRoeck","given":"Denise"},{"family":"Dimitrov","given":"Dobromir T."},{"family":"Khan","given":"Jahangir A. M."},{"family":"Islam","given":"Muhammad Shariful"},{"family":"Ali","given":"Mohammad"},{"family":"Islam","given":"Md. Taufiqul"},{"family":"Sarker","given":"Abdur Razzaque"},{"family":"Clemens","given":"John D."},{"family":"Qadri","given":"Firdausi"}],"editor":[{"family":"Maheu-Giroux","given":"Mathieu"}],"issued":{"date-parts":[["2018",10,9]]}}},{"id":"EgwuGF5k/NV2yGXdg","uris":["http://zotero.org/users/local/xDVOxgbN/items/YPZZPLI9"],"itemData":{"id":80,"type":"article-journal","container-title":"The Lancet Global Health","DOI":"10.1016/S2214-109X(20)30310-7","ISSN":"2214109X","issue":"8","journalAbbreviation":"The Lancet Global Health","language":"en","page":"e1081-e1089","source":"DOI.org (Crossref)","title":"Achieving coordinated national immunity and cholera elimination in Haiti through vaccination: a modelling study","title-short":"Achieving coordinated national immunity and cholera elimination in Haiti through vaccination","volume":"8","author":[{"family":"Lee","given":"Elizabeth C"},{"family":"Chao","given":"Dennis L"},{"family":"Lemaitre","given":"Joseph C"},{"family":"Matrajt","given":"Laura"},{"family":"Pasetto","given":"Damiano"},{"family":"Perez-Saez","given":"Javier"},{"family":"Finger","given":"Flavio"},{"family":"Rinaldo","given":"Andrea"},{"family":"Sugimoto","given":"Jonathan D"},{"family":"Halloran","given":"M Elizabeth"},{"family":"Longini","given":"Ira M"},{"family":"Ternier","given":"Ralph"},{"family":"Vissieres","given":"Kenia"},{"family":"Azman","given":"Andrew S"},{"family":"Lessler","given":"Justin"},{"family":"Ivers","given":"Louise C"}],"issued":{"date-parts":[["2020",8]]}}},{"id":"EgwuGF5k/lwl7uSxR","uris":["http://zotero.org/users/local/xDVOxgbN/items/C9VJ6Y9N"],"itemData":{"id":87,"type":"article-journal","abstract":"In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M."}],"issued":{"date-parts":[["2011",4,26]]}}},{"id":"EgwuGF5k/cf7uiWML","uris":["http://zotero.org/users/local/xDVOxgbN/items/QWND6R6T"],"itemData":{"id":89,"type":"article-journal","container-title":"PLOS Neglected Tropical Diseases","DOI":"10.1371/journal.pntd.0005482","ISSN":"1935-2735","issue":"4","journalAbbreviation":"PLoS Negl Trop Dis","language":"en","page":"e0005482","source":"DOI.org (Crossref)","title":"Controlling cholera in the Ouest Department of Haiti using oral vaccines","volume":"11","author":[{"family":"Kirpich","given":"Alexander"},{"family":"Weppelmann","given":"Thomas A."},{"family":"Yang","given":"Yang"},{"family":"Morris","given":"John Glenn"},{"family":"Longini","given":"Ira M."}],"editor":[{"family":"Coudeville","given":"Laurent"}],"issued":{"date-parts":[["2017",4,14]]}}},{"id":"EgwuGF5k/o2xX9Gov","uris":["http://zotero.org/users/local/xDVOxgbN/items/TR5894IS"],"itemData":{"id":91,"type":"article-journal","abstract":"Abstract\n            \n              Background\n              Cholera is a major public health concern in displaced-person camps, which often contend with overcrowding and scarcity of resources. Maela, the largest and longest-standing refugee camp in Thailand, located along the Thai-Burmese border, experienced four cholera outbreaks between 2005 and 2010. In 2013, a cholera vaccine campaign was implemented in the camp. To assist in the evaluation of the campaign and planning for subsequent campaigns, we developed a mathematical model of cholera in Maela.\n            \n            \n              Methods\n              We formulated a Susceptible-Infectious-Water-Recovered-based transmission model and estimated parameters using incidence data from 2010. We next evaluated the reduction in cases conferred by several immunization strategies, varying timing, effectiveness, and resources (i.e., vaccine availability). After the vaccine campaign, we generated case forecasts for the next year, to inform on-the-ground decision-making regarding whether a booster campaign was needed.\n            \n            \n              Results\n              \n                We found that preexposure vaccination can substantially reduce the risk of cholera even when &lt;50\n                %\n                of the population is given the full two-dose series. Additionally, the preferred number of doses per person should be considered in the context of one vs. two dose effectiveness and vaccine availability. For reactive vaccination, a trade-off between timing and effectiveness was revealed, indicating that it may be beneficial to give one dose to more people rather than two doses to fewer people, given that a two-dose schedule would incur a delay in administration of the second dose. Forecasting using realistic coverage levels predicted that there was no need for a booster campaign in 2014 (consistent with our predictions, there was not a cholera epidemic in 2014).\n              \n            \n            \n              Conclusions\n              Our analyses suggest that vaccination in conjunction with ongoing water sanitation and hygiene efforts provides an effective strategy for controlling cholera outbreaks in refugee camps. Effective preexposure vaccination depends on timing and effectiveness. If a camp is facing an outbreak, delayed distribution of vaccines can substantially alter the effectiveness of reactive vaccination, suggesting that quick distribution of vaccines may be more important than ensuring every individual receives both vaccine doses. Overall, this analysis illustrates how mathematical models can be applied in public health practice, to assist in evaluating alternative intervention strategies and inform decision-making.","container-title":"BMC Infectious Diseases","DOI":"10.1186/s12879-019-4688-6","ISSN":"1471-2334","issue":"1","journalAbbreviation":"BMC Infect Dis","language":"en","page":"1075","source":"DOI.org (Crossref)","title":"Comparing alternative cholera vaccination strategies in Maela refugee camp: using a transmission model in public health practice","title-short":"Comparing alternative cholera vaccination strategies in Maela refugee camp","volume":"19","author":[{"family":"Havumaki","given":"Joshua"},{"family":"Meza","given":"Rafael"},{"family":"Phares","given":"Christina R."},{"family":"Date","given":"Kashmira"},{"family":"Eisenberg","given":"Marisa C."}],"issued":{"date-parts":[["2019",12]]}}},{"id":"EgwuGF5k/MVbN3Mku","uris":["http://zotero.org/users/local/xDVOxgbN/items/ZJQSH5FR"],"itemData":{"id":95,"type":"article-journal","container-title":"PLOS Neglected Tropical Diseases","DOI":"10.1371/journal.pntd.0006257","ISSN":"1935-2735","issue":"2","journalAbbreviation":"PLoS Negl Trop Dis","language":"en","page":"e0006257","source":"DOI.org (Crossref)","title":"Prolonging herd immunity to cholera via vaccination: Accounting for human mobility and waning vaccine effects","title-short":"Prolonging herd immunity to cholera via vaccination","volume":"12","author":[{"family":"Peak","given":"Corey M."},{"family":"Reilly","given":"Amanda L."},{"family":"Azman","given":"Andrew S."},{"family":"Buckee","given":"Caroline O."}],"editor":[{"family":"Marks","given":"Florian"}],"issued":{"date-parts":[["2018",2,28]]}}},{"id":"EgwuGF5k/K5w3Oly2","uris":["http://zotero.org/users/local/xDVOxgbN/items/A7JBWGAG"],"itemData":{"id":97,"type":"article-journal","container-title":"PLoS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M."}],"issued":{"date-parts":[["2012",11,8]]}}},{"id":"EgwuGF5k/N5wRjVQd","uris":["http://zotero.org/users/local/xDVOxgbN/items/37LE7P3K"],"itemData":{"id":99,"type":"article-journal","container-title":"PLoS Medicine","DOI":"10.1371/journal.pmed.0040336","ISSN":"1549-1676","issue":"11","journalAbbreviation":"PLoS Med","language":"en","page":"e336","source":"DOI.org (Crossref)","title":"Controlling Endemic Cholera with Oral Vaccines","volume":"4","author":[{"family":"Longini","given":"Ira M"},{"family":"Nizam","given":"Azhar"},{"family":"Ali","given":"Mohammad"},{"family":"Yunus","given":"Mohammad"},{"family":"Shenvi","given":"Neeta"},{"family":"Clemens","given":"John D"}],"editor":[{"family":"Von Seidlein","given":"Lorenz"}],"issued":{"date-parts":[["2007",11,27]]}}},{"id":"EgwuGF5k/fiRSlJAq","uris":["http://zotero.org/users/local/xDVOxgbN/items/DYE8YE5X"],"itemData":{"id":101,"type":"article-journal","container-title":"Vaccine","DOI":"10.1016/j.vaccine.2015.09.088","ISSN":"0264410X","issue":"46","journalAbbreviation":"Vaccine","language":"en","page":"6218-6223","source":"DOI.org (Crossref)","title":"Optimized oral cholera vaccine distribution strategies to minimize disease incidence: A mixed integer programming model and analysis of a Bangladesh scenario","title-short":"Optimized oral cholera vaccine distribution strategies to minimize disease incidence","volume":"33","author":[{"family":"Smalley","given":"Hannah K."},{"family":"Keskinocak","given":"Pinar"},{"family":"Swann","given":"Julie"},{"family":"Hinman","given":"Alan"}],"issued":{"date-parts":[["2015",11]]}}},{"id":"EgwuGF5k/H5oox5mV","uris":["http://zotero.org/users/local/xDVOxgbN/items/I4JWC6R2"],"itemData":{"id":82,"type":"article-journal","abstract":"Reactive vaccination has recently been adopted as an outbreak response tool for cholera and other infectious diseases. Owing to the global shortage of oral cholera vaccine, health officials must quickly decide who and where to distribute limited vaccine. Targeted vaccination in transmission hotspots (i.e. areas with high transmission efficiency) may be a potential approach to efficiently allocate vaccine, however its effectiveness will likely be context-dependent. We compared strategies for allocating vaccine across multiple areas with heterogeneous transmission efficiency. We constructed metapopulation models of a cholera-like disease and compared simulated epidemics where: vaccine is targeted at areas of high or low transmission efficiency, where vaccine is distributed across the population, and where no vaccine is used. We find that connectivity between populations, transmission efficiency, vaccination timing and the amount of vaccine available all shape the performance of different allocation strategies. In highly connected settings (e.g. cities) when vaccinating early in the epidemic, targeting limited vaccine at transmission hotspots is often optimal. Once vaccination is delayed, targeting the hotspot is rarely optimal, and strategies that either spread vaccine between areas or those targeted at non-hotspots will avert more cases. Although hotspots may be an intuitive outbreak control target, we show that, in many situations, the hotspot-epidemic proceeds so fast that hotspot-targeted reactive vaccination will prevent relatively few cases, and vaccination shared across areas where transmission can be sustained is often best.","container-title":"Proceedings of the Royal Society B: Biological Sciences","DOI":"10.1098/rspb.2014.1341","ISSN":"0962-8452, 1471-2954","issue":"1798","journalAbbreviation":"Proc. R. Soc. B.","language":"en","page":"20141341","source":"DOI.org (Crossref)","title":"Reactive vaccination in the presence of disease hotspots","volume":"282","author":[{"family":"Azman","given":"Andrew S."},{"family":"Lessler","given":"Justin"}],"issued":{"date-parts":[["2015",1,7]]}}}],"schema":"https://github.com/citation-style-language/schema/raw/master/csl-citation.json"} </w:instrText>
      </w:r>
      <w:r w:rsidRPr="00097432">
        <w:rPr>
          <w:vertAlign w:val="superscript"/>
        </w:rPr>
        <w:fldChar w:fldCharType="separate"/>
      </w:r>
      <w:r w:rsidR="00EA15D0" w:rsidRPr="00097432">
        <w:rPr>
          <w:vertAlign w:val="superscript"/>
        </w:rPr>
        <w:t>1–13</w:t>
      </w:r>
      <w:r w:rsidRPr="00097432">
        <w:rPr>
          <w:vertAlign w:val="superscript"/>
        </w:rPr>
        <w:fldChar w:fldCharType="end"/>
      </w:r>
      <w:r w:rsidRPr="00097432">
        <w:t xml:space="preserve">, while </w:t>
      </w:r>
      <w:r w:rsidR="00734B2E" w:rsidRPr="00097432">
        <w:t>only a few a</w:t>
      </w:r>
      <w:r w:rsidRPr="00097432">
        <w:t xml:space="preserve">rticles </w:t>
      </w:r>
      <w:r w:rsidR="00734B2E" w:rsidRPr="00097432">
        <w:t>examined</w:t>
      </w:r>
      <w:r w:rsidRPr="00097432">
        <w:t xml:space="preserve"> outbreaks across </w:t>
      </w:r>
      <w:r w:rsidR="00EA15D0" w:rsidRPr="00097432">
        <w:t>more than one</w:t>
      </w:r>
      <w:r w:rsidRPr="00097432">
        <w:t xml:space="preserve"> geographic setting</w:t>
      </w:r>
      <w:r w:rsidR="00734B2E" w:rsidRPr="00097432">
        <w:t>.</w:t>
      </w:r>
      <w:r w:rsidRPr="00097432">
        <w:rPr>
          <w:vertAlign w:val="superscript"/>
        </w:rPr>
        <w:fldChar w:fldCharType="begin"/>
      </w:r>
      <w:r w:rsidR="00345AF1">
        <w:rPr>
          <w:vertAlign w:val="superscript"/>
        </w:rPr>
        <w:instrText xml:space="preserve"> ADDIN ZOTERO_ITEM CSL_CITATION {"citationID":"d0XWZaVf","properties":{"formattedCitation":"\\super 14\\uc0\\u8211{}17\\nosupersub{}","plainCitation":"14–17","noteIndex":0},"citationItems":[{"id":"EgwuGF5k/vnWyEUA7","uris":["http://zotero.org/users/local/xDVOxgbN/items/P34TEJN2"],"itemData":{"id":93,"type":"article-journal","abstract":"Background\n              A global stockpile of oral cholera vaccine (OCV) was established in 2013 for use in outbreak response and are licensed as two-dose regimens. Vaccine availability, however, remains limited. Previous studies have found that a single dose of OCV may provide substantial protection against cholera.\n            \n            \n              Methods\n              Using a mathematical model with two age groups paired with optimization algorithms, we determine the optimal vaccination strategy with one and two doses of vaccine to minimize cumulative overall infections, symptomatic infections, and deaths. We explore counterfactual vaccination scenarios in three distinct settings: Maela, the largest refugee camp in Thailand, with high in- and out-migration; N’Djamena, Chad, a densely populated region; and Haiti, where departments are connected by rivers and roads.\n            \n            \n              Results\n              Over the short term under limited vaccine supply, the optimal strategies for all objectives prioritize one dose to the older age group (over five years old), irrespective of setting and level of vaccination coverage. As more vaccine becomes available, it is optimal to administer a second dose for long-term protection. With enough vaccine to cover the whole population with one dose, the optimal strategies can avert up to 30% to 90% of deaths and 36% to 92% of symptomatic infections across the three settings over one year. The one-dose optimal strategies can avert 1.2 to 1.8 times as many cases and deaths compared to the standard two-dose strategy.\n            \n            \n              Conclusions\n              In an outbreak setting, speedy vaccination campaigns with a single dose of OCV is likely to avert more cases and deaths than a two-dose pro-rata campaign under a limited vaccine supply.","container-title":"PLOS Neglected Tropical Diseases","DOI":"10.1371/journal.pntd.0010358","ISSN":"1935-2735","issue":"4","journalAbbreviation":"PLoS Negl Trop Dis","language":"en","page":"e0010358","source":"DOI.org (Crossref)","title":"Optimizing one-dose and two-dose cholera vaccine allocation in outbreak settings: A modeling study","title-short":"Optimizing one-dose and two-dose cholera vaccine allocation in outbreak settings","volume":"16","author":[{"family":"Leung","given":"Tiffany"},{"family":"Eaton","given":"Julia"},{"family":"Matrajt","given":"Laura"}],"editor":[{"family":"Fleckenstein","given":"James Michael"}],"issued":{"date-parts":[["2022",4,20]]}}},{"id":"EgwuGF5k/8rAvwhna","uris":["http://zotero.org/users/local/xDVOxgbN/items/D9HE3GUQ"],"itemData":{"id":78,"type":"article-journal","container-title":"PLOS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id":"EgwuGF5k/MhkXC2hV","uris":["http://zotero.org/users/local/xDVOxgbN/items/4F2U9M9L"],"itemData":{"id":84,"type":"article-journal","container-title":"Vaccine","DOI":"10.1016/j.vaccine.2016.03.004","ISSN":"0264410X","issue":"18","journalAbbreviation":"Vaccine","language":"en","page":"2113-2120","source":"DOI.org (Crossref)","title":"Impact of oral cholera vaccines in cholera-endemic countries: A mathematical modeling study","title-short":"Impact of oral cholera vaccines in cholera-endemic countries","volume":"34","author":[{"family":"Kim","given":"Jong-Hoon"},{"family":"Mogasale","given":"Vittal"},{"family":"Burgess","given":"Colleen"},{"family":"Wierzba","given":"Thomas F."}],"issued":{"date-parts":[["2016",4]]}}},{"id":"EgwuGF5k/1oUObyp0","uris":["http://zotero.org/users/local/xDVOxgbN/items/ITJIZHPY"],"itemData":{"id":143,"type":"article-journal","abstract":"Abstract\n            \n              Systematic testing for\n              Vibrio cholerae\n              O1 is rare, which means that the world’s limited supply of oral cholera vaccines (OCVs) may not be delivered to areas with the highest true cholera burden. Here we used a phenomenological model with subnational geographic targeting and fine-scale vaccine effects to model how expanding\n              V. cholerae\n              testing affected impact and cost-effectiveness for preventive vaccination campaigns across different bacteriological confirmation and vaccine targeting assumptions in 35 African countries. Systematic testing followed by OCV targeting based on confirmed cholera yielded higher efficiency and cost-effectiveness and slightly fewer averted cases than status quo scenarios targeting suspected cholera. Targeting vaccine to populations with an annual incidence rate greater than 10 per 10,000, the testing scenario averted 10.8 (95% prediction interval (PI) 9.4–12.6) cases per 1,000 fully vaccinated persons while the status quo scenario averted 6.9 (95% PI 6.0–7.8) cases per 1,000 fully vaccinated persons. In the testing scenario, testing costs increased by US$31 (95% PI 25–39) while vaccination costs reduced by US$248 (95% PI 176–326) per averted case compared to the status quo. Introduction of systematic testing into cholera surveillance could improve efficiency and reach of global OCV supply for preventive vaccination.","container-title":"Nature Medicine","DOI":"10.1038/s41591-024-02852-8","ISSN":"1078-8956, 1546-170X","journalAbbreviation":"Nat Med","language":"en","source":"DOI.org (Crossref)","title":"Enhanced cholera surveillance to improve vaccination campaign efficiency","URL":"https://www.nature.com/articles/s41591-024-02852-8","author":[{"family":"Xu","given":"Hanmeng"},{"family":"Zou","given":"Kaiyue"},{"family":"Dent","given":"Juan"},{"family":"Wiens","given":"Kirsten E."},{"family":"Malembaka","given":"Espoir Bwenge"},{"family":"Bwire","given":"Godfrey"},{"family":"Okitayemba","given":"Placide Welo"},{"family":"Hampton","given":"Lee M."},{"family":"Azman","given":"Andrew S."},{"family":"Lee","given":"Elizabeth C."}],"accessed":{"date-parts":[["2024",4,16]]},"issued":{"date-parts":[["2024",3,5]]}}}],"schema":"https://github.com/citation-style-language/schema/raw/master/csl-citation.json"} </w:instrText>
      </w:r>
      <w:r w:rsidRPr="00097432">
        <w:rPr>
          <w:vertAlign w:val="superscript"/>
        </w:rPr>
        <w:fldChar w:fldCharType="separate"/>
      </w:r>
      <w:r w:rsidR="00EA15D0" w:rsidRPr="00097432">
        <w:rPr>
          <w:vertAlign w:val="superscript"/>
        </w:rPr>
        <w:t>14–17</w:t>
      </w:r>
      <w:r w:rsidRPr="00097432">
        <w:rPr>
          <w:vertAlign w:val="superscript"/>
        </w:rPr>
        <w:fldChar w:fldCharType="end"/>
      </w:r>
      <w:r w:rsidRPr="00097432">
        <w:t xml:space="preserve"> </w:t>
      </w:r>
      <w:r w:rsidR="00734B2E" w:rsidRPr="00097432">
        <w:t>These studies</w:t>
      </w:r>
      <w:r w:rsidRPr="00097432">
        <w:t xml:space="preserve"> </w:t>
      </w:r>
      <w:r w:rsidR="00734B2E" w:rsidRPr="00097432">
        <w:t xml:space="preserve">varied significantly in campaign type, including </w:t>
      </w:r>
      <w:r w:rsidRPr="00097432">
        <w:t xml:space="preserve">reactive mass campaigns, proactive campaigns, “hotspot” or area-targeted campaigns. </w:t>
      </w:r>
      <w:r w:rsidR="00734B2E" w:rsidRPr="00097432">
        <w:t>Varia</w:t>
      </w:r>
      <w:r w:rsidR="00F61142" w:rsidRPr="00097432">
        <w:rPr>
          <w:rFonts w:hint="eastAsia"/>
        </w:rPr>
        <w:t>bility</w:t>
      </w:r>
      <w:r w:rsidR="00734B2E" w:rsidRPr="00097432">
        <w:t xml:space="preserve"> in outbreak size, duration, and modeling parameters—such as vaccine delivery and immunogenicity delays—were also common.</w:t>
      </w:r>
      <w:r w:rsidR="00504935" w:rsidRPr="00097432">
        <w:t xml:space="preserve"> </w:t>
      </w:r>
      <w:r w:rsidRPr="00097432">
        <w:t>For example, while some authors assumed protection immediately following vaccination</w:t>
      </w:r>
      <w:r w:rsidR="00427DD4" w:rsidRPr="00097432">
        <w:t xml:space="preserve"> </w:t>
      </w:r>
      <w:r w:rsidRPr="00097432">
        <w:rPr>
          <w:vertAlign w:val="superscript"/>
        </w:rPr>
        <w:fldChar w:fldCharType="begin"/>
      </w:r>
      <w:r w:rsidR="00345AF1">
        <w:rPr>
          <w:vertAlign w:val="superscript"/>
        </w:rPr>
        <w:instrText xml:space="preserve"> ADDIN ZOTERO_ITEM CSL_CITATION {"citationID":"hxdwoJZp","properties":{"formattedCitation":"\\super 9,13\\uc0\\u8211{}15\\nosupersub{}","plainCitation":"9,13–15","noteIndex":0},"citationItems":[{"id":"EgwuGF5k/MVbN3Mku","uris":["http://zotero.org/users/local/xDVOxgbN/items/ZJQSH5FR"],"itemData":{"id":95,"type":"article-journal","container-title":"PLOS Neglected Tropical Diseases","DOI":"10.1371/journal.pntd.0006257","ISSN":"1935-2735","issue":"2","journalAbbreviation":"PLoS Negl Trop Dis","language":"en","page":"e0006257","source":"DOI.org (Crossref)","title":"Prolonging herd immunity to cholera via vaccination: Accounting for human mobility and waning vaccine effects","title-short":"Prolonging herd immunity to cholera via vaccination","volume":"12","author":[{"family":"Peak","given":"Corey M."},{"family":"Reilly","given":"Amanda L."},{"family":"Azman","given":"Andrew S."},{"family":"Buckee","given":"Caroline O."}],"editor":[{"family":"Marks","given":"Florian"}],"issued":{"date-parts":[["2018",2,28]]}}},{"id":"EgwuGF5k/vnWyEUA7","uris":["http://zotero.org/users/local/xDVOxgbN/items/P34TEJN2"],"itemData":{"id":93,"type":"article-journal","abstract":"Background\n              A global stockpile of oral cholera vaccine (OCV) was established in 2013 for use in outbreak response and are licensed as two-dose regimens. Vaccine availability, however, remains limited. Previous studies have found that a single dose of OCV may provide substantial protection against cholera.\n            \n            \n              Methods\n              Using a mathematical model with two age groups paired with optimization algorithms, we determine the optimal vaccination strategy with one and two doses of vaccine to minimize cumulative overall infections, symptomatic infections, and deaths. We explore counterfactual vaccination scenarios in three distinct settings: Maela, the largest refugee camp in Thailand, with high in- and out-migration; N’Djamena, Chad, a densely populated region; and Haiti, where departments are connected by rivers and roads.\n            \n            \n              Results\n              Over the short term under limited vaccine supply, the optimal strategies for all objectives prioritize one dose to the older age group (over five years old), irrespective of setting and level of vaccination coverage. As more vaccine becomes available, it is optimal to administer a second dose for long-term protection. With enough vaccine to cover the whole population with one dose, the optimal strategies can avert up to 30% to 90% of deaths and 36% to 92% of symptomatic infections across the three settings over one year. The one-dose optimal strategies can avert 1.2 to 1.8 times as many cases and deaths compared to the standard two-dose strategy.\n            \n            \n              Conclusions\n              In an outbreak setting, speedy vaccination campaigns with a single dose of OCV is likely to avert more cases and deaths than a two-dose pro-rata campaign under a limited vaccine supply.","container-title":"PLOS Neglected Tropical Diseases","DOI":"10.1371/journal.pntd.0010358","ISSN":"1935-2735","issue":"4","journalAbbreviation":"PLoS Negl Trop Dis","language":"en","page":"e0010358","source":"DOI.org (Crossref)","title":"Optimizing one-dose and two-dose cholera vaccine allocation in outbreak settings: A modeling study","title-short":"Optimizing one-dose and two-dose cholera vaccine allocation in outbreak settings","volume":"16","author":[{"family":"Leung","given":"Tiffany"},{"family":"Eaton","given":"Julia"},{"family":"Matrajt","given":"Laura"}],"editor":[{"family":"Fleckenstein","given":"James Michael"}],"issued":{"date-parts":[["2022",4,20]]}}},{"id":"EgwuGF5k/8rAvwhna","uris":["http://zotero.org/users/local/xDVOxgbN/items/D9HE3GUQ"],"itemData":{"id":78,"type":"article-journal","container-title":"PLOS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E."}],"issued":{"date-parts":[["2015",8,25]]}}},{"id":"EgwuGF5k/H5oox5mV","uris":["http://zotero.org/users/local/xDVOxgbN/items/I4JWC6R2"],"itemData":{"id":82,"type":"article-journal","abstract":"Reactive vaccination has recently been adopted as an outbreak response tool for cholera and other infectious diseases. Owing to the global shortage of oral cholera vaccine, health officials must quickly decide who and where to distribute limited vaccine. Targeted vaccination in transmission hotspots (i.e. areas with high transmission efficiency) may be a potential approach to efficiently allocate vaccine, however its effectiveness will likely be context-dependent. We compared strategies for allocating vaccine across multiple areas with heterogeneous transmission efficiency. We constructed metapopulation models of a cholera-like disease and compared simulated epidemics where: vaccine is targeted at areas of high or low transmission efficiency, where vaccine is distributed across the population, and where no vaccine is used. We find that connectivity between populations, transmission efficiency, vaccination timing and the amount of vaccine available all shape the performance of different allocation strategies. In highly connected settings (e.g. cities) when vaccinating early in the epidemic, targeting limited vaccine at transmission hotspots is often optimal. Once vaccination is delayed, targeting the hotspot is rarely optimal, and strategies that either spread vaccine between areas or those targeted at non-hotspots will avert more cases. Although hotspots may be an intuitive outbreak control target, we show that, in many situations, the hotspot-epidemic proceeds so fast that hotspot-targeted reactive vaccination will prevent relatively few cases, and vaccination shared across areas where transmission can be sustained is often best.","container-title":"Proceedings of the Royal Society B: Biological Sciences","DOI":"10.1098/rspb.2014.1341","ISSN":"0962-8452, 1471-2954","issue":"1798","journalAbbreviation":"Proc. R. Soc. B.","language":"en","page":"20141341","source":"DOI.org (Crossref)","title":"Reactive vaccination in the presence of disease hotspots","volume":"282","author":[{"family":"Azman","given":"Andrew S."},{"family":"Lessler","given":"Justin"}],"issued":{"date-parts":[["2015",1,7]]}}}],"schema":"https://github.com/citation-style-language/schema/raw/master/csl-citation.json"} </w:instrText>
      </w:r>
      <w:r w:rsidRPr="00097432">
        <w:rPr>
          <w:vertAlign w:val="superscript"/>
        </w:rPr>
        <w:fldChar w:fldCharType="separate"/>
      </w:r>
      <w:r w:rsidR="00EA15D0" w:rsidRPr="00097432">
        <w:rPr>
          <w:vertAlign w:val="superscript"/>
        </w:rPr>
        <w:t>9,13–15</w:t>
      </w:r>
      <w:r w:rsidRPr="00097432">
        <w:rPr>
          <w:vertAlign w:val="superscript"/>
        </w:rPr>
        <w:fldChar w:fldCharType="end"/>
      </w:r>
      <w:r w:rsidRPr="00097432">
        <w:t>, others considered a lag between vaccination and protection</w:t>
      </w:r>
      <w:r w:rsidR="00F61142" w:rsidRPr="00097432">
        <w:rPr>
          <w:rFonts w:hint="eastAsia"/>
        </w:rPr>
        <w:t>.</w:t>
      </w:r>
      <w:r w:rsidRPr="00097432">
        <w:rPr>
          <w:vertAlign w:val="superscript"/>
        </w:rPr>
        <w:fldChar w:fldCharType="begin"/>
      </w:r>
      <w:r w:rsidR="00345AF1">
        <w:rPr>
          <w:vertAlign w:val="superscript"/>
        </w:rPr>
        <w:instrText xml:space="preserve"> ADDIN ZOTERO_ITEM CSL_CITATION {"citationID":"XbAfQysx","properties":{"formattedCitation":"\\super 1,6,8,10\\nosupersub{}","plainCitation":"1,6,8,10","noteIndex":0},"citationItems":[{"id":"EgwuGF5k/Hmz3wwbU","uris":["http://zotero.org/users/local/xDVOxgbN/items/3KCFPCDX"],"itemData":{"id":67,"type":"article-journal","container-title":"PLOS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Seidlein","given":"Lorenz"}],"issued":{"date-parts":[["2018",2,27]]}}},{"id":"EgwuGF5k/lwl7uSxR","uris":["http://zotero.org/users/local/xDVOxgbN/items/C9VJ6Y9N"],"itemData":{"id":87,"type":"article-journal","abstract":"In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M."}],"issued":{"date-parts":[["2011",4,26]]}}},{"id":"EgwuGF5k/o2xX9Gov","uris":["http://zotero.org/users/local/xDVOxgbN/items/TR5894IS"],"itemData":{"id":91,"type":"article-journal","abstract":"Abstract\n            \n              Background\n              Cholera is a major public health concern in displaced-person camps, which often contend with overcrowding and scarcity of resources. Maela, the largest and longest-standing refugee camp in Thailand, located along the Thai-Burmese border, experienced four cholera outbreaks between 2005 and 2010. In 2013, a cholera vaccine campaign was implemented in the camp. To assist in the evaluation of the campaign and planning for subsequent campaigns, we developed a mathematical model of cholera in Maela.\n            \n            \n              Methods\n              We formulated a Susceptible-Infectious-Water-Recovered-based transmission model and estimated parameters using incidence data from 2010. We next evaluated the reduction in cases conferred by several immunization strategies, varying timing, effectiveness, and resources (i.e., vaccine availability). After the vaccine campaign, we generated case forecasts for the next year, to inform on-the-ground decision-making regarding whether a booster campaign was needed.\n            \n            \n              Results\n              \n                We found that preexposure vaccination can substantially reduce the risk of cholera even when &lt;50\n                %\n                of the population is given the full two-dose series. Additionally, the preferred number of doses per person should be considered in the context of one vs. two dose effectiveness and vaccine availability. For reactive vaccination, a trade-off between timing and effectiveness was revealed, indicating that it may be beneficial to give one dose to more people rather than two doses to fewer people, given that a two-dose schedule would incur a delay in administration of the second dose. Forecasting using realistic coverage levels predicted that there was no need for a booster campaign in 2014 (consistent with our predictions, there was not a cholera epidemic in 2014).\n              \n            \n            \n              Conclusions\n              Our analyses suggest that vaccination in conjunction with ongoing water sanitation and hygiene efforts provides an effective strategy for controlling cholera outbreaks in refugee camps. Effective preexposure vaccination depends on timing and effectiveness. If a camp is facing an outbreak, delayed distribution of vaccines can substantially alter the effectiveness of reactive vaccination, suggesting that quick distribution of vaccines may be more important than ensuring every individual receives both vaccine doses. Overall, this analysis illustrates how mathematical models can be applied in public health practice, to assist in evaluating alternative intervention strategies and inform decision-making.","container-title":"BMC Infectious Diseases","DOI":"10.1186/s12879-019-4688-6","ISSN":"1471-2334","issue":"1","journalAbbreviation":"BMC Infect Dis","language":"en","page":"1075","source":"DOI.org (Crossref)","title":"Comparing alternative cholera vaccination strategies in Maela refugee camp: using a transmission model in public health practice","title-short":"Comparing alternative cholera vaccination strategies in Maela refugee camp","volume":"19","author":[{"family":"Havumaki","given":"Joshua"},{"family":"Meza","given":"Rafael"},{"family":"Phares","given":"Christina R."},{"family":"Date","given":"Kashmira"},{"family":"Eisenberg","given":"Marisa C."}],"issued":{"date-parts":[["2019",12]]}}},{"id":"EgwuGF5k/K5w3Oly2","uris":["http://zotero.org/users/local/xDVOxgbN/items/A7JBWGAG"],"itemData":{"id":97,"type":"article-journal","container-title":"PLoS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M."}],"issued":{"date-parts":[["2012",11,8]]}}}],"schema":"https://github.com/citation-style-language/schema/raw/master/csl-citation.json"} </w:instrText>
      </w:r>
      <w:r w:rsidRPr="00097432">
        <w:rPr>
          <w:vertAlign w:val="superscript"/>
        </w:rPr>
        <w:fldChar w:fldCharType="separate"/>
      </w:r>
      <w:r w:rsidR="00EA15D0" w:rsidRPr="00097432">
        <w:rPr>
          <w:vertAlign w:val="superscript"/>
        </w:rPr>
        <w:t>1,6,8,10</w:t>
      </w:r>
      <w:r w:rsidRPr="00097432">
        <w:rPr>
          <w:vertAlign w:val="superscript"/>
        </w:rPr>
        <w:fldChar w:fldCharType="end"/>
      </w:r>
      <w:r w:rsidR="00504935" w:rsidRPr="00097432">
        <w:t xml:space="preserve"> Most prior models focused on large outbreaks (e.g., Zimbabwe with 98,591 cases or Haiti with 119,902 cases)</w:t>
      </w:r>
      <w:r w:rsidR="00504935" w:rsidRPr="00097432">
        <w:rPr>
          <w:vertAlign w:val="superscript"/>
        </w:rPr>
        <w:fldChar w:fldCharType="begin"/>
      </w:r>
      <w:r w:rsidR="00345AF1">
        <w:rPr>
          <w:vertAlign w:val="superscript"/>
        </w:rPr>
        <w:instrText xml:space="preserve"> ADDIN ZOTERO_ITEM CSL_CITATION {"citationID":"6odv1JBj","properties":{"formattedCitation":"\\super 8,15\\nosupersub{}","plainCitation":"8,15","noteIndex":0},"citationItems":[{"id":"EgwuGF5k/o2xX9Gov","uris":["http://zotero.org/users/local/xDVOxgbN/items/TR5894IS"],"itemData":{"id":91,"type":"article-journal","abstract":"Abstract\n            \n              Background\n              Cholera is a major public health concern in displaced-person camps, which often contend with overcrowding and scarcity of resources. Maela, the largest and longest-standing refugee camp in Thailand, located along the Thai-Burmese border, experienced four cholera outbreaks between 2005 and 2010. In 2013, a cholera vaccine campaign was implemented in the camp. To assist in the evaluation of the campaign and planning for subsequent campaigns, we developed a mathematical model of cholera in Maela.\n            \n            \n              Methods\n              We formulated a Susceptible-Infectious-Water-Recovered-based transmission model and estimated parameters using incidence data from 2010. We next evaluated the reduction in cases conferred by several immunization strategies, varying timing, effectiveness, and resources (i.e., vaccine availability). After the vaccine campaign, we generated case forecasts for the next year, to inform on-the-ground decision-making regarding whether a booster campaign was needed.\n            \n            \n              Results\n              \n                We found that preexposure vaccination can substantially reduce the risk of cholera even when &lt;50\n                %\n                of the population is given the full two-dose series. Additionally, the preferred number of doses per person should be considered in the context of one vs. two dose effectiveness and vaccine availability. For reactive vaccination, a trade-off between timing and effectiveness was revealed, indicating that it may be beneficial to give one dose to more people rather than two doses to fewer people, given that a two-dose schedule would incur a delay in administration of the second dose. Forecasting using realistic coverage levels predicted that there was no need for a booster campaign in 2014 (consistent with our predictions, there was not a cholera epidemic in 2014).\n              \n            \n            \n              Conclusions\n              Our analyses suggest that vaccination in conjunction with ongoing water sanitation and hygiene efforts provides an effective strategy for controlling cholera outbreaks in refugee camps. Effective preexposure vaccination depends on timing and effectiveness. If a camp is facing an outbreak, delayed distribution of vaccines can substantially alter the effectiveness of reactive vaccination, suggesting that quick distribution of vaccines may be more important than ensuring every individual receives both vaccine doses. Overall, this analysis illustrates how mathematical models can be applied in public health practice, to assist in evaluating alternative intervention strategies and inform decision-making.","container-title":"BMC Infectious Diseases","DOI":"10.1186/s12879-019-4688-6","ISSN":"1471-2334","issue":"1","journalAbbreviation":"BMC Infect Dis","language":"en","page":"1075","source":"DOI.org (Crossref)","title":"Comparing alternative cholera vaccination strategies in Maela refugee camp: using a transmission model in public health practice","title-short":"Comparing alternative cholera vaccination strategies in Maela refugee camp","volume":"19","author":[{"family":"Havumaki","given":"Joshua"},{"family":"Meza","given":"Rafael"},{"family":"Phares","given":"Christina R."},{"family":"Date","given":"Kashmira"},{"family":"Eisenberg","given":"Marisa C."}],"issued":{"date-parts":[["2019",12]]}}},{"id":"EgwuGF5k/8rAvwhna","uris":["http://zotero.org/users/local/xDVOxgbN/items/D9HE3GUQ"],"itemData":{"id":78,"type":"article-journal","container-title":"PLOS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E."}],"issued":{"date-parts":[["2015",8,25]]}}}],"schema":"https://github.com/citation-style-language/schema/raw/master/csl-citation.json"} </w:instrText>
      </w:r>
      <w:r w:rsidR="00504935" w:rsidRPr="00097432">
        <w:rPr>
          <w:vertAlign w:val="superscript"/>
        </w:rPr>
        <w:fldChar w:fldCharType="separate"/>
      </w:r>
      <w:r w:rsidR="00504935" w:rsidRPr="00097432">
        <w:rPr>
          <w:vertAlign w:val="superscript"/>
        </w:rPr>
        <w:t>8,15</w:t>
      </w:r>
      <w:r w:rsidR="00504935" w:rsidRPr="00097432">
        <w:rPr>
          <w:vertAlign w:val="superscript"/>
        </w:rPr>
        <w:fldChar w:fldCharType="end"/>
      </w:r>
      <w:r w:rsidR="00504935" w:rsidRPr="00097432">
        <w:t xml:space="preserve"> and lacked small or short-duration outbreaks. These gaps highlight the need for models that reflect a broader spectrum of outbreak characteristics to enhance the generalizability of vaccine impact assessments.</w:t>
      </w:r>
    </w:p>
    <w:p w14:paraId="1CF1AA95" w14:textId="77777777" w:rsidR="005C235E" w:rsidRPr="00097432" w:rsidRDefault="005C235E" w:rsidP="00F57F15"/>
    <w:p w14:paraId="235EAC46" w14:textId="77777777" w:rsidR="009A2C69" w:rsidRPr="00097432" w:rsidRDefault="009A2C69" w:rsidP="00F57F15">
      <w:pPr>
        <w:rPr>
          <w:b/>
          <w:bCs/>
        </w:rPr>
      </w:pPr>
      <w:r w:rsidRPr="00097432">
        <w:rPr>
          <w:b/>
          <w:bCs/>
        </w:rPr>
        <w:t>Added value of this study</w:t>
      </w:r>
    </w:p>
    <w:p w14:paraId="1E46796F" w14:textId="018D06F4" w:rsidR="00504935" w:rsidRPr="00097432" w:rsidRDefault="00504935" w:rsidP="00F57F15">
      <w:r w:rsidRPr="00097432">
        <w:t xml:space="preserve">To our knowledge, this is the first study to model cholera vaccine impact across a large, diverse dataset of outbreaks from multiple temporal and geographic contexts in sub-Saharan Africa. By analyzing 1,406 unique outbreaks from 2010 to 2023—ranging in size, duration, </w:t>
      </w:r>
      <w:r w:rsidR="00F61142" w:rsidRPr="00097432">
        <w:rPr>
          <w:rFonts w:hint="eastAsia"/>
        </w:rPr>
        <w:t xml:space="preserve">attack rate, </w:t>
      </w:r>
      <w:r w:rsidRPr="00097432">
        <w:t xml:space="preserve">and population dynamics—our model offers a comprehensive and generalizable framework for evaluating oral cholera vaccine (OCV) impact in outbreak response immunizations (ORIs). Unlike previous studies focused on isolated large outbreaks, our approach captures the variability of outbreaks in their responses to vaccination timing and coverage. This broader modeling framework provides insights into </w:t>
      </w:r>
      <w:r w:rsidRPr="00097432">
        <w:lastRenderedPageBreak/>
        <w:t>cases and deaths averted and the cost-effectiveness of ORI campaigns across different outbreak characteristics and resource allocation strategies.</w:t>
      </w:r>
    </w:p>
    <w:p w14:paraId="657A07DC" w14:textId="77777777" w:rsidR="00504935" w:rsidRPr="00097432" w:rsidRDefault="00504935" w:rsidP="00F57F15"/>
    <w:p w14:paraId="2A510C3C" w14:textId="163375D2" w:rsidR="008A2A00" w:rsidRPr="00097432" w:rsidRDefault="009A2C69" w:rsidP="003D74EE">
      <w:r w:rsidRPr="00097432">
        <w:rPr>
          <w:b/>
          <w:bCs/>
        </w:rPr>
        <w:t>Implications of the available evidence</w:t>
      </w:r>
      <w:r w:rsidRPr="00097432">
        <w:br/>
      </w:r>
      <w:r w:rsidR="00504935" w:rsidRPr="00097432">
        <w:t xml:space="preserve">Our study offers critical insights for guiding global cholera vaccine </w:t>
      </w:r>
      <w:r w:rsidR="00B72C4A" w:rsidRPr="00097432">
        <w:t>implementation strategy</w:t>
      </w:r>
      <w:r w:rsidR="00504935" w:rsidRPr="00097432">
        <w:t xml:space="preserve">. We demonstrate that ORI effectiveness declines by half </w:t>
      </w:r>
      <w:r w:rsidR="00F61142" w:rsidRPr="00097432">
        <w:rPr>
          <w:rFonts w:hint="eastAsia"/>
        </w:rPr>
        <w:t xml:space="preserve">approximately </w:t>
      </w:r>
      <w:r w:rsidR="00504935" w:rsidRPr="00097432">
        <w:t xml:space="preserve">every </w:t>
      </w:r>
      <w:r w:rsidR="00FC5766" w:rsidRPr="00097432">
        <w:rPr>
          <w:rFonts w:hint="eastAsia"/>
        </w:rPr>
        <w:t>four</w:t>
      </w:r>
      <w:r w:rsidR="00504935" w:rsidRPr="00097432">
        <w:t xml:space="preserve"> weeks during the first 1</w:t>
      </w:r>
      <w:r w:rsidR="00FC5766" w:rsidRPr="00097432">
        <w:rPr>
          <w:rFonts w:hint="eastAsia"/>
        </w:rPr>
        <w:t>5</w:t>
      </w:r>
      <w:r w:rsidR="00504935" w:rsidRPr="00097432">
        <w:t xml:space="preserve"> weeks of delay, underscoring the importance of timely campaign </w:t>
      </w:r>
      <w:r w:rsidR="00B72C4A" w:rsidRPr="00097432">
        <w:t>implementation</w:t>
      </w:r>
      <w:r w:rsidR="00504935" w:rsidRPr="00097432">
        <w:t>. Despite these delays, ORIs remain highly effective for large, prolonged outbreaks, even when initiated as late as nine weeks post-outbreak onset.</w:t>
      </w:r>
      <w:r w:rsidR="00FB0583" w:rsidRPr="00097432">
        <w:t xml:space="preserve"> </w:t>
      </w:r>
      <w:r w:rsidR="00504935" w:rsidRPr="00097432">
        <w:t xml:space="preserve">For example, with a 9-week delay, the median number of cases averted was 6 (&lt;5%) across all outbreaks, whereas the largest 10% of outbreaks saw a median of 1,338 cases averted (&gt;40%). When </w:t>
      </w:r>
      <w:r w:rsidR="008C1320" w:rsidRPr="00097432">
        <w:rPr>
          <w:rFonts w:hint="eastAsia"/>
        </w:rPr>
        <w:t xml:space="preserve">the </w:t>
      </w:r>
      <w:r w:rsidR="00F61142" w:rsidRPr="00097432">
        <w:rPr>
          <w:rFonts w:hint="eastAsia"/>
        </w:rPr>
        <w:t xml:space="preserve">vaccine impact </w:t>
      </w:r>
      <w:r w:rsidR="008C1320" w:rsidRPr="00097432">
        <w:t>is</w:t>
      </w:r>
      <w:r w:rsidR="00F61142" w:rsidRPr="00097432">
        <w:rPr>
          <w:rFonts w:hint="eastAsia"/>
        </w:rPr>
        <w:t xml:space="preserve"> </w:t>
      </w:r>
      <w:r w:rsidR="00773EF3" w:rsidRPr="00097432">
        <w:rPr>
          <w:rFonts w:hint="eastAsia"/>
        </w:rPr>
        <w:t xml:space="preserve">assessed across </w:t>
      </w:r>
      <w:r w:rsidR="00F61142" w:rsidRPr="00097432">
        <w:rPr>
          <w:rFonts w:hint="eastAsia"/>
        </w:rPr>
        <w:t>outbreaks</w:t>
      </w:r>
      <w:r w:rsidR="00773EF3" w:rsidRPr="00097432">
        <w:rPr>
          <w:rFonts w:hint="eastAsia"/>
        </w:rPr>
        <w:t xml:space="preserve"> collectively</w:t>
      </w:r>
      <w:r w:rsidR="00504935" w:rsidRPr="00097432">
        <w:t xml:space="preserve">, </w:t>
      </w:r>
      <w:r w:rsidR="002501A0" w:rsidRPr="00097432">
        <w:rPr>
          <w:rFonts w:hint="eastAsia"/>
        </w:rPr>
        <w:t xml:space="preserve">overall </w:t>
      </w:r>
      <w:r w:rsidR="00773EF3" w:rsidRPr="00097432">
        <w:rPr>
          <w:rFonts w:hint="eastAsia"/>
        </w:rPr>
        <w:t xml:space="preserve">percent reduction in cases </w:t>
      </w:r>
      <w:r w:rsidR="00504935" w:rsidRPr="00097432">
        <w:t>reach</w:t>
      </w:r>
      <w:r w:rsidR="002501A0" w:rsidRPr="00097432">
        <w:rPr>
          <w:rFonts w:hint="eastAsia"/>
        </w:rPr>
        <w:t>es</w:t>
      </w:r>
      <w:r w:rsidR="00504935" w:rsidRPr="00097432">
        <w:t xml:space="preserve"> </w:t>
      </w:r>
      <w:r w:rsidR="00FC5766" w:rsidRPr="00097432">
        <w:t>27.7</w:t>
      </w:r>
      <w:r w:rsidR="00FC5766" w:rsidRPr="00097432">
        <w:rPr>
          <w:rFonts w:hint="eastAsia"/>
        </w:rPr>
        <w:t>% [IQR:</w:t>
      </w:r>
      <w:r w:rsidR="00FC5766" w:rsidRPr="00097432">
        <w:t xml:space="preserve"> 25.1</w:t>
      </w:r>
      <w:r w:rsidR="00FC5766" w:rsidRPr="00097432">
        <w:rPr>
          <w:rFonts w:hint="eastAsia"/>
        </w:rPr>
        <w:t>,</w:t>
      </w:r>
      <w:r w:rsidR="00FC5766" w:rsidRPr="00097432">
        <w:t xml:space="preserve"> 30.2]</w:t>
      </w:r>
      <w:r w:rsidR="00A04D26" w:rsidRPr="00097432">
        <w:t xml:space="preserve"> </w:t>
      </w:r>
      <w:r w:rsidR="00A04D26" w:rsidRPr="00097432">
        <w:rPr>
          <w:rFonts w:hint="eastAsia"/>
        </w:rPr>
        <w:t xml:space="preserve">and </w:t>
      </w:r>
      <w:r w:rsidR="00FC5766" w:rsidRPr="00097432">
        <w:t xml:space="preserve">0.435 </w:t>
      </w:r>
      <w:r w:rsidR="00FC5766" w:rsidRPr="00097432">
        <w:rPr>
          <w:rFonts w:hint="eastAsia"/>
        </w:rPr>
        <w:t>[IQR:</w:t>
      </w:r>
      <w:r w:rsidR="00FC5766" w:rsidRPr="00097432">
        <w:t>0.401 - 0.477</w:t>
      </w:r>
      <w:r w:rsidR="00FC5766" w:rsidRPr="00097432">
        <w:rPr>
          <w:rFonts w:hint="eastAsia"/>
        </w:rPr>
        <w:t xml:space="preserve">] </w:t>
      </w:r>
      <w:r w:rsidR="00A04D26" w:rsidRPr="00097432">
        <w:rPr>
          <w:rFonts w:hint="eastAsia"/>
        </w:rPr>
        <w:t xml:space="preserve">cases </w:t>
      </w:r>
      <w:r w:rsidR="008C1320" w:rsidRPr="00097432">
        <w:rPr>
          <w:rFonts w:hint="eastAsia"/>
        </w:rPr>
        <w:t xml:space="preserve">are averted </w:t>
      </w:r>
      <w:r w:rsidR="00A04D26" w:rsidRPr="00097432">
        <w:rPr>
          <w:rFonts w:hint="eastAsia"/>
        </w:rPr>
        <w:t>per 1,000 OCVs</w:t>
      </w:r>
      <w:r w:rsidR="00773EF3" w:rsidRPr="00097432">
        <w:rPr>
          <w:rFonts w:hint="eastAsia"/>
        </w:rPr>
        <w:t xml:space="preserve">. </w:t>
      </w:r>
      <w:r w:rsidR="008C1320" w:rsidRPr="00097432">
        <w:rPr>
          <w:rFonts w:hint="eastAsia"/>
        </w:rPr>
        <w:t xml:space="preserve">These impacts can be further amplified if ORI </w:t>
      </w:r>
      <w:r w:rsidR="00504935" w:rsidRPr="00097432">
        <w:t>campaigns are prioritized for large outbreaks. These findings highlight the need for targeted vaccination strategies that prioritize high-burden outbreaks</w:t>
      </w:r>
      <w:r w:rsidR="00FC5766" w:rsidRPr="00097432">
        <w:rPr>
          <w:rFonts w:hint="eastAsia"/>
        </w:rPr>
        <w:t>,</w:t>
      </w:r>
      <w:r w:rsidR="00504935" w:rsidRPr="00097432">
        <w:t xml:space="preserve"> enabling more efficient resource allocation and maximizing the overall impact of limited OCV supplies.</w:t>
      </w:r>
      <w:r w:rsidR="00FB0583" w:rsidRPr="00097432">
        <w:t xml:space="preserve"> </w:t>
      </w:r>
    </w:p>
    <w:p w14:paraId="000000D3" w14:textId="77777777" w:rsidR="00E7552A" w:rsidRPr="00097432" w:rsidRDefault="0091383D" w:rsidP="00F57F15">
      <w:pPr>
        <w:pStyle w:val="Heading1"/>
      </w:pPr>
      <w:bookmarkStart w:id="8" w:name="_Toc184909197"/>
      <w:bookmarkEnd w:id="3"/>
      <w:r w:rsidRPr="00097432">
        <w:t>Main text</w:t>
      </w:r>
      <w:bookmarkEnd w:id="8"/>
    </w:p>
    <w:p w14:paraId="7718A75B" w14:textId="6EC40004" w:rsidR="00A546D1" w:rsidRPr="00097432" w:rsidRDefault="0091383D" w:rsidP="008A2A00">
      <w:pPr>
        <w:pStyle w:val="Heading2"/>
      </w:pPr>
      <w:bookmarkStart w:id="9" w:name="_heading=h.26in1rg" w:colFirst="0" w:colLast="0"/>
      <w:bookmarkStart w:id="10" w:name="_Toc184909198"/>
      <w:bookmarkEnd w:id="9"/>
      <w:r w:rsidRPr="00097432">
        <w:t>Introduction</w:t>
      </w:r>
      <w:bookmarkEnd w:id="10"/>
    </w:p>
    <w:p w14:paraId="043B3CAC" w14:textId="322D3D18" w:rsidR="00027F63" w:rsidRPr="00097432" w:rsidRDefault="00027F63" w:rsidP="00B2189F">
      <w:r w:rsidRPr="00097432">
        <w:t>Cholera, one of the oldest infectious diseases affecting humans, has persisted as a major public health challenge since the 7th pandemic began near the Bay of Bengal in 1961</w:t>
      </w:r>
      <w:r w:rsidR="001C10AC" w:rsidRPr="00097432">
        <w:rPr>
          <w:rFonts w:hint="eastAsia"/>
        </w:rPr>
        <w:t>.</w:t>
      </w:r>
      <w:r w:rsidR="00DE4AD0" w:rsidRPr="00097432">
        <w:fldChar w:fldCharType="begin"/>
      </w:r>
      <w:r w:rsidR="000B5A14" w:rsidRPr="00097432">
        <w:instrText xml:space="preserve"> ADDIN ZOTERO_ITEM CSL_CITATION {"citationID":"tcNSGqYs","properties":{"formattedCitation":"\\super 18\\nosupersub{}","plainCitation":"18","noteIndex":0},"citationItems":[{"id":8622,"uris":["http://zotero.org/users/7663102/items/K8X26V6I"],"itemData":{"id":8622,"type":"article-journal","abstract":"Despite more than a century of study, cholera still presents challenges and surprises to us. Throughout most of the 20th century, cholera was caused by Vibrio cholerae of the O1 serogroup and the disease was largely confined to Asia and Africa. However, the last decade of the 20th century has witnessed two major developments in the history of this disease. In 1991, a massive outbreak of cholera started in South America, the one continent previously untouched by cholera in this century. In 1992, an apparently new pandemic caused by a previously unknown serogroup of V. cholerae (O139) began in India and Bangladesh. The O139 epidemic has been occurring in populations assumed to be largely immune to V. cholerae O1 and has rapidly spread to many countries including the United States. In this review, we discuss all aspects of cholera, including the clinical microbiology, epidemiology, pathogenesis, and clinical features of the disease. Special attention will be paid to the extraordinary advances that have been made in recent years in unravelling the molecular pathogenesis of this infection and in the development of new generations of vaccines to prevent it.","container-title":"Clinical Microbiology Reviews","DOI":"10.1128/CMR.8.1.48","ISSN":"0893-8512","issue":"1","journalAbbreviation":"Clin Microbiol Rev","language":"eng","note":"PMID: 7704895\nPMCID: PMC172849","page":"48-86","source":"PubMed","title":"Cholera","volume":"8","author":[{"family":"Kaper","given":"J. B."},{"family":"Morris","given":"J. G."},{"family":"Levine","given":"M. M."}],"issued":{"date-parts":[["1995",1]]},"citation-key":"kaperCholera1995"}}],"schema":"https://github.com/citation-style-language/schema/raw/master/csl-citation.json"} </w:instrText>
      </w:r>
      <w:r w:rsidR="00DE4AD0" w:rsidRPr="00097432">
        <w:fldChar w:fldCharType="separate"/>
      </w:r>
      <w:r w:rsidR="00DE4AD0" w:rsidRPr="00097432">
        <w:rPr>
          <w:rFonts w:cs="Times New Roman"/>
          <w:vertAlign w:val="superscript"/>
        </w:rPr>
        <w:t>18</w:t>
      </w:r>
      <w:r w:rsidR="00DE4AD0" w:rsidRPr="00097432">
        <w:fldChar w:fldCharType="end"/>
      </w:r>
      <w:r w:rsidR="00A134B5" w:rsidRPr="00097432">
        <w:rPr>
          <w:rFonts w:hint="eastAsia"/>
        </w:rPr>
        <w:t xml:space="preserve"> </w:t>
      </w:r>
      <w:r w:rsidRPr="00097432">
        <w:t>It remains a significant concern in regions with inadequate water, sanitation, and hygiene (</w:t>
      </w:r>
      <w:proofErr w:type="spellStart"/>
      <w:r w:rsidRPr="00097432">
        <w:t>WaSH</w:t>
      </w:r>
      <w:proofErr w:type="spellEnd"/>
      <w:r w:rsidRPr="00097432">
        <w:t>), particularly in low- and middle-income countries (LMICs).</w:t>
      </w:r>
      <w:r w:rsidR="00C45EE6" w:rsidRPr="00097432">
        <w:fldChar w:fldCharType="begin"/>
      </w:r>
      <w:r w:rsidR="000B5A14" w:rsidRPr="00097432">
        <w:instrText xml:space="preserve"> ADDIN ZOTERO_ITEM CSL_CITATION {"citationID":"YdCJLktU","properties":{"formattedCitation":"\\super 19\\nosupersub{}","plainCitation":"19","noteIndex":0},"citationItems":[{"id":15132,"uris":["http://zotero.org/users/7663102/items/JFZ6PANM"],"itemData":{"id":15132,"type":"article-journal","abstract":"Improvements in water and sanitation should reduce cholera risk though the associations between cholera and specific water and sanitation access measures remain unclear. We estimated the association between eight water and sanitation measures and annual cholera incidence access across sub-Saharan Africa (2010–2016) for data aggregated at the country and district levels. We fit random forest regression and classification models to understand how well these measures combined might be able to predict cholera incidence rates and identify high cholera incidence areas. Across spatial scales, piped or “other improved” water access was inversely associated with cholera incidence. Access to piped water, septic or sewer sanitation, and septic, sewer, or “other improved” sanitation were associated with decreased district-level cholera incidence. The classification model had moderate performance in identifying high cholera incidence areas (cross-validated-AUC 0.81, 95% CI 0.78–0.83) with high negative predictive values (93–100%) indicating the utility of water and sanitation measures for screening out areas that are unlikely to be at high cholera risk. While comprehensive cholera risk assessments must incorporate other data sources (e.g., historical incidence), our results suggest that water and sanitation measures could alone be useful in narrowing the geographic focus for detailed risk assessments.","container-title":"Environmental Science &amp; Technology","DOI":"10.1021/acs.est.3c01317","ISSN":"0013-936X","issue":"28","journalAbbreviation":"Environ. Sci. Technol.","note":"publisher: American Chemical Society","page":"10185-10192","source":"ACS Publications","title":"Water, Sanitation, and Cholera in Sub-Saharan Africa","volume":"57","author":[{"family":"Sikder","given":"Mustafa"},{"family":"Deshpande","given":"Aniruddha"},{"family":"Hegde","given":"Sonia T."},{"family":"Malembaka","given":"Espoir Bwenge"},{"family":"Gallandat","given":"Karin"},{"family":"Reiner","given":"Robert C."},{"family":"Lessler","given":"Justin"},{"family":"Lee","given":"Elizabeth C."},{"family":"Azman","given":"Andrew S."}],"issued":{"date-parts":[["2023",7,18]]},"citation-key":"sikderWaterSanitationCholera2023"}}],"schema":"https://github.com/citation-style-language/schema/raw/master/csl-citation.json"} </w:instrText>
      </w:r>
      <w:r w:rsidR="00C45EE6" w:rsidRPr="00097432">
        <w:fldChar w:fldCharType="separate"/>
      </w:r>
      <w:r w:rsidR="00C45EE6" w:rsidRPr="00097432">
        <w:rPr>
          <w:rFonts w:cs="Times New Roman"/>
          <w:vertAlign w:val="superscript"/>
        </w:rPr>
        <w:t>19</w:t>
      </w:r>
      <w:r w:rsidR="00C45EE6" w:rsidRPr="00097432">
        <w:fldChar w:fldCharType="end"/>
      </w:r>
      <w:r w:rsidR="00C95493" w:rsidRPr="00097432">
        <w:rPr>
          <w:rFonts w:hint="eastAsia"/>
        </w:rPr>
        <w:t xml:space="preserve"> </w:t>
      </w:r>
      <w:r w:rsidRPr="00097432">
        <w:t>Modelled estimates of cholera incidence and cases reported to the World Health Organization (WHO) indicate that sub-Saharan Africa bears the majority of the global burden, characterized by substantial spatial heterogeneity</w:t>
      </w:r>
      <w:r w:rsidR="00074500" w:rsidRPr="00097432">
        <w:rPr>
          <w:rFonts w:hint="eastAsia"/>
        </w:rPr>
        <w:t>.</w:t>
      </w:r>
      <w:r w:rsidR="00BC0045" w:rsidRPr="00097432">
        <w:fldChar w:fldCharType="begin"/>
      </w:r>
      <w:r w:rsidR="000B5A14" w:rsidRPr="00097432">
        <w:instrText xml:space="preserve"> ADDIN ZOTERO_ITEM CSL_CITATION {"citationID":"RqlFSadK","properties":{"formattedCitation":"\\super 20\\uc0\\u8211{}22\\nosupersub{}","plainCitation":"20–22","noteIndex":0},"citationItems":[{"id":15350,"uris":["http://zotero.org/users/7663102/items/DLLP4L4V"],"itemData":{"id":15350,"type":"article-journal","abstract":"The global burden of cholera is largely unknown because the majority of cases are not reported. The low reporting can be attributed to limited capacity of epidemiological surveillance and laboratories, as well as social, political, and economic disincentives for reporting. We previously estimated 2.8 million cases and 91,000 deaths annually due to cholera in 51 endemic countries. A major limitation in our previous estimate was that the endemic and non-endemic countries were defined based on the countries’ reported cholera cases. If a country did not report cases even though the country had cholera, the country was classified as cholera free. This time we addressed this limitation by using a spatial modelling technique, which helped us define the cholera-endemic countries based on access to improved water and sanitation in the country as well as cholera incidence in neighboring countries. Our new estimate illustrates 2.9 million of cases and 95,000 deaths in 69 endemic countries, with the majority of the burden in Sub-Saharan Africa. The sustained high burden of cholera points to the necessity for integrated and improved control efforts, and these findings may help programmatic decision-making for controlling the disease in endemic countries.","container-title":"PLoS Neglected Tropical Diseases","DOI":"10.1371/journal.pntd.0003832","ISSN":"1935-2727","issue":"6","journalAbbreviation":"PLoS Negl Trop Dis","note":"PMID: 26043000\nPMCID: PMC4455997","page":"e0003832","source":"PubMed Central","title":"Updated Global Burden of Cholera in Endemic Countries","volume":"9","author":[{"family":"Ali","given":"Mohammad"},{"family":"Nelson","given":"Allyson R."},{"family":"Lopez","given":"Anna Lena"},{"family":"Sack","given":"David A."}],"issued":{"date-parts":[["2015",6,4]]},"citation-key":"ali2015"}},{"id":15339,"uris":["http://zotero.org/users/7663102/items/DGTZE44I"],"itemData":{"id":15339,"type":"article-journal","abstract":"Cholera is an acute, watery diarrhoeal disease caused by Vibrio cholerae of the O1 or O139 serogroups. In the past two centuries, cholera has emerged and spread from the Ganges Delta six times and from Indonesia once to cause global pandemics. Rational approaches to the case management of cholera with oral and intravenous rehydration therapy have reduced the case fatality of cholera from more than 50% to much less than 1%. Despite improvements in water quality, sanitation, and hygiene, as well as in the clinical treatment of cholera, the disease is still estimated to cause about 100</w:instrText>
      </w:r>
      <w:r w:rsidR="000B5A14" w:rsidRPr="00097432">
        <w:rPr>
          <w:rFonts w:ascii="Arial" w:hAnsi="Arial"/>
        </w:rPr>
        <w:instrText> </w:instrText>
      </w:r>
      <w:r w:rsidR="000B5A14" w:rsidRPr="00097432">
        <w:instrText>000 deaths every year. Most deaths occur in cholera-endemic settings, and virtually all deaths occur in developing countries. Contemporary understanding of immune protection against cholera, which results from local intestinal immunity, has yielded safe and protective orally administered cholera vaccines that are now globally stockpiled for use in the control of both epidemic and endemic cholera.","container-title":"Lancet (London, England)","DOI":"10.1016/S0140-6736(17)30559-7","ISSN":"1474-547X","issue":"10101","journalAbbreviation":"Lancet","language":"eng","note":"PMID: 28302312","page":"1539-1549","source":"PubMed","title":"Cholera","volume":"390","author":[{"family":"Clemens","given":"John D."},{"family":"Nair","given":"G. Balakrish"},{"family":"Ahmed","given":"Tahmeed"},{"family":"Qadri","given":"Firdausi"},{"family":"Holmgren","given":"Jan"}],"issued":{"date-parts":[["2017",9,23]]},"citation-key":"clemensCholera2017"}},{"id":7242,"uris":["http://zotero.org/users/7663102/items/FWUSSHKN"],"itemData":{"id":7242,"type":"article-journal","abstract":"BACKGROUND: Cholera remains a persistent health problem in sub-Saharan Africa and worldwide. Cholera can be controlled through appropriate water and s</w:instrText>
      </w:r>
      <w:r w:rsidR="000B5A14" w:rsidRPr="00097432">
        <w:rPr>
          <w:rFonts w:hint="eastAsia"/>
        </w:rPr>
        <w:instrText>anitation, or  by oral cholera vaccination, which provides transient (</w:instrText>
      </w:r>
      <w:r w:rsidR="000B5A14" w:rsidRPr="00097432">
        <w:rPr>
          <w:rFonts w:hint="eastAsia"/>
        </w:rPr>
        <w:instrText>∼</w:instrText>
      </w:r>
      <w:r w:rsidR="000B5A14" w:rsidRPr="00097432">
        <w:rPr>
          <w:rFonts w:hint="eastAsia"/>
        </w:rPr>
        <w:instrText>3 years) protection,  although vaccine supplies remain scarce. We aimed to map cholera burden in  sub-Saharan Africa and assess how geographical targeting could lead to more  efficient</w:instrText>
      </w:r>
      <w:r w:rsidR="000B5A14" w:rsidRPr="00097432">
        <w:instrText xml:space="preserve"> interventions. METHODS: We combined information on cholera incidence in  sub-Saharan Africa (excluding Djibouti and Eritrea) from 2010 to 2016 from  datasets from WHO, Médecins Sans Frontières, ProMED, ReliefWeb, ministries of  health, and the scientific literature. We divided the study region into 20  km</w:instrText>
      </w:r>
      <w:r w:rsidR="000B5A14" w:rsidRPr="00097432">
        <w:rPr>
          <w:rFonts w:ascii="Arial" w:hAnsi="Arial"/>
        </w:rPr>
        <w:instrText> </w:instrText>
      </w:r>
      <w:r w:rsidR="000B5A14" w:rsidRPr="00097432">
        <w:rPr>
          <w:rFonts w:cs="Aptos"/>
        </w:rPr>
        <w:instrText>×</w:instrText>
      </w:r>
      <w:r w:rsidR="000B5A14" w:rsidRPr="00097432">
        <w:rPr>
          <w:rFonts w:ascii="Arial" w:hAnsi="Arial"/>
        </w:rPr>
        <w:instrText> </w:instrText>
      </w:r>
      <w:r w:rsidR="000B5A14" w:rsidRPr="00097432">
        <w:instrText>20 km grid cells and modelled annual cholera incidence in each grid cell  assuming a Poisson process adjusted for covariates and spatially correlated  random effects. We combined these findings with data on population distribution  to estimate the number of people living in areas of high cholera incidence (&gt;1  case per 1000 people per year). We further estimated the reduction in cholera  incidence that could be achieved by targeting cholera prevention and control  interventions at areas of high cholera incidence. FINDINGS: We included 279  datasets covering 2283 locations in our analyses. In sub-Saharan Africa  (excluding Djibouti and Eritrea), a mean of 141</w:instrText>
      </w:r>
      <w:r w:rsidR="000B5A14" w:rsidRPr="00097432">
        <w:rPr>
          <w:rFonts w:ascii="Arial" w:hAnsi="Arial"/>
        </w:rPr>
        <w:instrText> </w:instrText>
      </w:r>
      <w:r w:rsidR="000B5A14" w:rsidRPr="00097432">
        <w:instrText>918 cholera cases (95% credible  interval [CrI] 141</w:instrText>
      </w:r>
      <w:r w:rsidR="000B5A14" w:rsidRPr="00097432">
        <w:rPr>
          <w:rFonts w:ascii="Arial" w:hAnsi="Arial"/>
        </w:rPr>
        <w:instrText> </w:instrText>
      </w:r>
      <w:r w:rsidR="000B5A14" w:rsidRPr="00097432">
        <w:instrText>538-146</w:instrText>
      </w:r>
      <w:r w:rsidR="000B5A14" w:rsidRPr="00097432">
        <w:rPr>
          <w:rFonts w:ascii="Arial" w:hAnsi="Arial"/>
        </w:rPr>
        <w:instrText> </w:instrText>
      </w:r>
      <w:r w:rsidR="000B5A14" w:rsidRPr="00097432">
        <w:instrText>505) were reported per year. 4</w:instrText>
      </w:r>
      <w:r w:rsidR="000B5A14" w:rsidRPr="00097432">
        <w:rPr>
          <w:rFonts w:cs="Aptos"/>
        </w:rPr>
        <w:instrText>·</w:instrText>
      </w:r>
      <w:r w:rsidR="000B5A14" w:rsidRPr="00097432">
        <w:instrText>0% (95% CrI 1</w:instrText>
      </w:r>
      <w:r w:rsidR="000B5A14" w:rsidRPr="00097432">
        <w:rPr>
          <w:rFonts w:cs="Aptos"/>
        </w:rPr>
        <w:instrText>·</w:instrText>
      </w:r>
      <w:r w:rsidR="000B5A14" w:rsidRPr="00097432">
        <w:instrText>7-16</w:instrText>
      </w:r>
      <w:r w:rsidR="000B5A14" w:rsidRPr="00097432">
        <w:rPr>
          <w:rFonts w:cs="Aptos"/>
        </w:rPr>
        <w:instrText>·</w:instrText>
      </w:r>
      <w:r w:rsidR="000B5A14" w:rsidRPr="00097432">
        <w:instrText>8)  of districts, home to 87</w:instrText>
      </w:r>
      <w:r w:rsidR="000B5A14" w:rsidRPr="00097432">
        <w:rPr>
          <w:rFonts w:cs="Aptos"/>
        </w:rPr>
        <w:instrText>·</w:instrText>
      </w:r>
      <w:r w:rsidR="000B5A14" w:rsidRPr="00097432">
        <w:instrText>2 million people (95% CrI 60</w:instrText>
      </w:r>
      <w:r w:rsidR="000B5A14" w:rsidRPr="00097432">
        <w:rPr>
          <w:rFonts w:cs="Aptos"/>
        </w:rPr>
        <w:instrText>·</w:instrText>
      </w:r>
      <w:r w:rsidR="000B5A14" w:rsidRPr="00097432">
        <w:instrText>3 million to 118</w:instrText>
      </w:r>
      <w:r w:rsidR="000B5A14" w:rsidRPr="00097432">
        <w:rPr>
          <w:rFonts w:cs="Aptos"/>
        </w:rPr>
        <w:instrText>·</w:instrText>
      </w:r>
      <w:r w:rsidR="000B5A14" w:rsidRPr="00097432">
        <w:instrText>9  million), have high cholera incidence. By focusing on the highest incidence  districts first, effective targeted interventions could eliminate 50% of the  region's cholera by covering 35</w:instrText>
      </w:r>
      <w:r w:rsidR="000B5A14" w:rsidRPr="00097432">
        <w:rPr>
          <w:rFonts w:cs="Aptos"/>
        </w:rPr>
        <w:instrText>·</w:instrText>
      </w:r>
      <w:r w:rsidR="000B5A14" w:rsidRPr="00097432">
        <w:instrText>3 million people (95% CrI 26</w:instrText>
      </w:r>
      <w:r w:rsidR="000B5A14" w:rsidRPr="00097432">
        <w:rPr>
          <w:rFonts w:cs="Aptos"/>
        </w:rPr>
        <w:instrText>·</w:instrText>
      </w:r>
      <w:r w:rsidR="000B5A14" w:rsidRPr="00097432">
        <w:instrText>3 million to 62</w:instrText>
      </w:r>
      <w:r w:rsidR="000B5A14" w:rsidRPr="00097432">
        <w:rPr>
          <w:rFonts w:cs="Aptos"/>
        </w:rPr>
        <w:instrText>·</w:instrText>
      </w:r>
      <w:r w:rsidR="000B5A14" w:rsidRPr="00097432">
        <w:instrText xml:space="preserve">0  million), which is less than 4% of the total population. INTERPRETATION: Although  cholera occurs throughout sub-Saharan Africa, its highest incidence is  concentrated in a small proportion of the continent. Prioritising high-risk areas  could substantially increase the efficiency of cholera control programmes.  FUNDING: The Bill &amp; Melinda Gates Foundation.","container-title":"Lancet (London, England)","DOI":"10.1016/S0140-6736(17)33050-7","ISSN":"1474-547X 0140-6736","issue":"10133","journalAbbreviation":"Lancet","language":"eng","page":"1908-1915","title":"Mapping the burden of cholera in sub-Saharan Africa and implications for control: an analysis of data across geographical scales.","volume":"391","author":[{"family":"Lessler","given":"Justin"},{"family":"Moore","given":"Sean M."},{"family":"Luquero","given":"Francisco J."},{"family":"McKay","given":"Heather S."},{"family":"Grais","given":"Rebecca"},{"family":"Henkens","given":"Myriam"},{"family":"Mengel","given":"Martin"},{"family":"Dunoyer","given":"Jessica"},{"family":"M'bangombe","given":"Maurice"},{"family":"Lee","given":"Elizabeth C."},{"family":"Djingarey","given":"Mamoudou Harouna"},{"family":"Sudre","given":"Bertrand"},{"family":"Bompangue","given":"Didier"},{"family":"Fraser","given":"Robert S. M."},{"family":"Abubakar","given":"Abdinasir"},{"family":"Perea","given":"William"},{"family":"Legros","given":"Dominique"},{"family":"Azman","given":"Andrew S."}],"issued":{"date-parts":[["2018",5,12]]},"citation-key":"lessler2018"}}],"schema":"https://github.com/citation-style-language/schema/raw/master/csl-citation.json"} </w:instrText>
      </w:r>
      <w:r w:rsidR="00BC0045" w:rsidRPr="00097432">
        <w:fldChar w:fldCharType="separate"/>
      </w:r>
      <w:r w:rsidR="00FF65F8" w:rsidRPr="00097432">
        <w:rPr>
          <w:rFonts w:cs="Times New Roman"/>
          <w:vertAlign w:val="superscript"/>
        </w:rPr>
        <w:t>20–22</w:t>
      </w:r>
      <w:r w:rsidR="00BC0045" w:rsidRPr="00097432">
        <w:fldChar w:fldCharType="end"/>
      </w:r>
      <w:r w:rsidRPr="00097432">
        <w:t xml:space="preserve"> </w:t>
      </w:r>
      <w:r w:rsidR="004F5EC8" w:rsidRPr="00097432">
        <w:rPr>
          <w:rFonts w:hint="eastAsia"/>
        </w:rPr>
        <w:t>A</w:t>
      </w:r>
      <w:r w:rsidRPr="00097432">
        <w:t xml:space="preserve">nalysis of cholera incidence time series from 2010 to 2016 in sub-Saharan Africa identified approximately 1,000 outbreaks of varying scale across </w:t>
      </w:r>
      <w:r w:rsidRPr="00097432">
        <w:lastRenderedPageBreak/>
        <w:t>different administrative units.</w:t>
      </w:r>
      <w:r w:rsidRPr="00097432">
        <w:fldChar w:fldCharType="begin"/>
      </w:r>
      <w:r w:rsidR="000B5A14" w:rsidRPr="00097432">
        <w:instrText xml:space="preserve"> ADDIN ZOTERO_ITEM CSL_CITATION {"citationID":"zgtGFza0","properties":{"formattedCitation":"\\super 23\\nosupersub{}","plainCitation":"23","noteIndex":0},"citationItems":[{"id":7876,"uris":["http://zotero.org/users/7663102/items/CQNDTP3Y"],"itemData":{"id":7876,"type":"article-journal","container-title":"International Journal of Infectious Diseases","DOI":"10.1016/j.ijid.2022.05.039","ISSN":"1201-9712","journalAbbreviation":"IJID","language":"English","note":"publisher: Elsevier\nPMID: 35605949","page":"215-221","source":"www.ijidonline.com","title":"Cholera outbreaks in sub-Saharan Africa during 2010-2019: a descriptive analysis","title-short":"Cholera outbreaks in sub-Saharan Africa during 2010-2019","volume":"122","author":[{"family":"Zheng","given":"Qulu"},{"family":"Luquero","given":"Francisco J."},{"family":"Ciglenecki","given":"Iza"},{"family":"Wamala","given":"Joseph F."},{"family":"Abubakar","given":"Abdinasir"},{"family":"Welo","given":"Placide"},{"family":"Hussen","given":"Mukemil"},{"family":"Wossen","given":"Mesfin"},{"family":"Yennan","given":"Sebastian"},{"family":"Keita","given":"Alama"},{"family":"Lessler","given":"Justin"},{"family":"Azman","given":"Andrew S."},{"family":"Lee","given":"Elizabeth C."}],"issued":{"date-parts":[["2022",9,1]]},"citation-key":"zhengCholeraOutbreaksSubSaharan2022"}}],"schema":"https://github.com/citation-style-language/schema/raw/master/csl-citation.json"} </w:instrText>
      </w:r>
      <w:r w:rsidRPr="00097432">
        <w:fldChar w:fldCharType="separate"/>
      </w:r>
      <w:r w:rsidR="00FF65F8" w:rsidRPr="00097432">
        <w:rPr>
          <w:rFonts w:cs="Times New Roman"/>
          <w:vertAlign w:val="superscript"/>
        </w:rPr>
        <w:t>23</w:t>
      </w:r>
      <w:r w:rsidRPr="00097432">
        <w:fldChar w:fldCharType="end"/>
      </w:r>
      <w:r w:rsidRPr="00097432">
        <w:t xml:space="preserve"> These data also reveal considerable temporal heterogeneity within regions, alongside spatial variations, likely complicating intervention efforts.</w:t>
      </w:r>
    </w:p>
    <w:p w14:paraId="5B6814B3" w14:textId="77777777" w:rsidR="003A111A" w:rsidRPr="00097432" w:rsidRDefault="003A111A" w:rsidP="00B2189F"/>
    <w:p w14:paraId="5883A7A4" w14:textId="034C453F" w:rsidR="003A111A" w:rsidRPr="00097432" w:rsidRDefault="003A111A" w:rsidP="00F57F15">
      <w:r w:rsidRPr="00097432">
        <w:t xml:space="preserve">Sustainable access to adequate </w:t>
      </w:r>
      <w:proofErr w:type="spellStart"/>
      <w:r w:rsidRPr="00097432">
        <w:t>WaSH</w:t>
      </w:r>
      <w:proofErr w:type="spellEnd"/>
      <w:r w:rsidRPr="00097432">
        <w:t>, alongside case management and surveillance, remains the foundation of cholera control. However, the oral cholera vaccine (OCV) serves as a critical supplementary tool, especially in areas where other interventions are challenging to implement. The WHO recommends OCV use for controlling endemic cholera and during outbreaks, establishing a global OCV stockpile in 2013 with Gavi’s financial support</w:t>
      </w:r>
      <w:r w:rsidRPr="00097432">
        <w:rPr>
          <w:rFonts w:hint="eastAsia"/>
        </w:rPr>
        <w:t>.</w:t>
      </w:r>
      <w:r w:rsidR="001D3E8B" w:rsidRPr="00097432">
        <w:fldChar w:fldCharType="begin"/>
      </w:r>
      <w:r w:rsidR="000B5A14" w:rsidRPr="00097432">
        <w:instrText xml:space="preserve"> ADDIN ZOTERO_ITEM CSL_CITATION {"citationID":"xvRgiITD","properties":{"formattedCitation":"\\super 24\\nosupersub{}","plainCitation":"24","noteIndex":0},"citationItems":[{"id":15163,"uris":["http://zotero.org/users/7663102/items/YTZD3ZVC"],"itemData":{"id":15163,"type":"article-journal","abstract":"Global vaccine stockpiles, in which vaccines are reserved for use when needed for emergencies or supply shortages, have effectively provided countries with the capacity for rapid response to emergency situations, such as outbreaks of yellow fever and meningococcal meningitis. The high cost and insufficient supply of many vaccines, including oral cholera vaccine and pandemic influenza vaccine, have prompted discussion on expansion of the use of vaccine stockpiles to address a wider range of emerging and re-emerging diseases. However, the decision to establish and maintain a vaccine stockpile is complex and must take account of disease and vaccine characteristics, stockpile management, funding, and ethical concerns, such as equity. Past experience with global vaccine stockpiles provide valuable information about the processes for their establishment and maintenance. In this Review we explored existing literature and stockpile data to discuss the lessons learned and to inform the development of future vaccine stockpiles.","container-title":"The Lancet Infectious Diseases","DOI":"10.1016/S1473-3099(14)70999-5","ISSN":"1473-3099","issue":"3","journalAbbreviation":"Lancet Inf Dis","page":"340-347","source":"ScienceDirect","title":"The development of global vaccine stockpiles","volume":"15","author":[{"family":"Yen","given":"Catherine"},{"family":"Hyde","given":"Terri B"},{"family":"Costa","given":"Alejandro J"},{"family":"Fernandez","given":"Katya"},{"family":"Tam","given":"John S"},{"family":"Hugonnet","given":"Stéphane"},{"family":"Huvos","given":"Anne M"},{"family":"Duclos","given":"Philippe"},{"family":"Dietz","given":"Vance J"},{"family":"Burkholder","given":"Brenton T"}],"issued":{"date-parts":[["2015",3,1]]},"citation-key":"yenDevelopmentGlobalVaccine2015"}}],"schema":"https://github.com/citation-style-language/schema/raw/master/csl-citation.json"} </w:instrText>
      </w:r>
      <w:r w:rsidR="001D3E8B" w:rsidRPr="00097432">
        <w:fldChar w:fldCharType="separate"/>
      </w:r>
      <w:r w:rsidR="00FF65F8" w:rsidRPr="00097432">
        <w:rPr>
          <w:rFonts w:cs="Times New Roman"/>
          <w:vertAlign w:val="superscript"/>
        </w:rPr>
        <w:t>24</w:t>
      </w:r>
      <w:r w:rsidR="001D3E8B" w:rsidRPr="00097432">
        <w:fldChar w:fldCharType="end"/>
      </w:r>
      <w:r w:rsidR="001922C4" w:rsidRPr="00097432">
        <w:rPr>
          <w:rFonts w:hint="eastAsia"/>
        </w:rPr>
        <w:t xml:space="preserve"> </w:t>
      </w:r>
      <w:r w:rsidRPr="00097432">
        <w:t>Between 2013 and 202</w:t>
      </w:r>
      <w:r w:rsidRPr="00097432">
        <w:rPr>
          <w:rFonts w:hint="eastAsia"/>
        </w:rPr>
        <w:t>4</w:t>
      </w:r>
      <w:r w:rsidRPr="00097432">
        <w:t xml:space="preserve">, </w:t>
      </w:r>
      <w:r w:rsidRPr="00097432">
        <w:rPr>
          <w:rFonts w:hint="eastAsia"/>
        </w:rPr>
        <w:t xml:space="preserve">over 200 </w:t>
      </w:r>
      <w:r w:rsidRPr="00097432">
        <w:t xml:space="preserve">million doses </w:t>
      </w:r>
      <w:r w:rsidRPr="00097432">
        <w:rPr>
          <w:rFonts w:hint="eastAsia"/>
        </w:rPr>
        <w:t xml:space="preserve">have been </w:t>
      </w:r>
      <w:r w:rsidRPr="00097432">
        <w:t>deployed from this stockpile for both proactive and reactive vaccination campaigns</w:t>
      </w:r>
      <w:r w:rsidR="00726454" w:rsidRPr="00097432">
        <w:t>.</w:t>
      </w:r>
      <w:r w:rsidR="00726454" w:rsidRPr="00097432">
        <w:rPr>
          <w:rFonts w:eastAsia="Aptos"/>
        </w:rPr>
        <w:fldChar w:fldCharType="begin"/>
      </w:r>
      <w:r w:rsidR="00345AF1">
        <w:rPr>
          <w:rFonts w:eastAsia="Aptos"/>
        </w:rPr>
        <w:instrText xml:space="preserve"> ADDIN ZOTERO_ITEM CSL_CITATION {"citationID":"tNGxXTzf","properties":{"formattedCitation":"\\super 25\\nosupersub{}","plainCitation":"25","noteIndex":0},"citationItems":[{"id":"EgwuGF5k/nSgOin6U","uris":["http://zotero.org/users/local/xDVOxgbN/items/UK5GYXXH"],"itemData":{"id":176,"type":"dataset","title":"GTFCC OCV Dashboard","URL":"https://apps.epicentre-msf.org/public/app/gtfcc","author":[{"literal":"Global Task Force on Cholera Control"}]}}],"schema":"https://github.com/citation-style-language/schema/raw/master/csl-citation.json"} </w:instrText>
      </w:r>
      <w:r w:rsidR="00726454" w:rsidRPr="00097432">
        <w:rPr>
          <w:rFonts w:eastAsia="Aptos"/>
        </w:rPr>
        <w:fldChar w:fldCharType="separate"/>
      </w:r>
      <w:r w:rsidR="00FF65F8" w:rsidRPr="00097432">
        <w:rPr>
          <w:rFonts w:cs="Times New Roman"/>
          <w:vertAlign w:val="superscript"/>
        </w:rPr>
        <w:t>25</w:t>
      </w:r>
      <w:r w:rsidR="00726454" w:rsidRPr="00097432">
        <w:rPr>
          <w:rFonts w:eastAsia="Aptos"/>
        </w:rPr>
        <w:fldChar w:fldCharType="end"/>
      </w:r>
      <w:r w:rsidR="00726454" w:rsidRPr="00097432">
        <w:rPr>
          <w:rFonts w:hint="eastAsia"/>
        </w:rPr>
        <w:t xml:space="preserve"> </w:t>
      </w:r>
      <w:r w:rsidRPr="00097432">
        <w:t xml:space="preserve">Rising demand, outpacing global production capacity, prompted the International Coordinating Group (ICG)—which manages the stockpile for WHO and Gavi—to </w:t>
      </w:r>
      <w:r w:rsidR="006544DC" w:rsidRPr="00097432">
        <w:t xml:space="preserve">temporarily </w:t>
      </w:r>
      <w:r w:rsidRPr="00097432">
        <w:t>adopt a single-dose regimen for outbreak response in October 2022, replacing the standard two-dose schedule, to address the urgent needs of reactive campaigns</w:t>
      </w:r>
      <w:r w:rsidR="00726454" w:rsidRPr="00097432">
        <w:rPr>
          <w:rFonts w:hint="eastAsia"/>
        </w:rPr>
        <w:t>.</w:t>
      </w:r>
      <w:r w:rsidR="00726454" w:rsidRPr="00097432">
        <w:rPr>
          <w:rFonts w:eastAsia="Aptos"/>
        </w:rPr>
        <w:fldChar w:fldCharType="begin"/>
      </w:r>
      <w:r w:rsidR="00726454" w:rsidRPr="00097432">
        <w:rPr>
          <w:rFonts w:eastAsia="Aptos"/>
        </w:rPr>
        <w:instrText xml:space="preserve"> ADDIN ZOTERO_TEMP </w:instrText>
      </w:r>
      <w:r w:rsidR="00726454" w:rsidRPr="00097432">
        <w:rPr>
          <w:rFonts w:eastAsia="Aptos"/>
        </w:rPr>
        <w:fldChar w:fldCharType="separate"/>
      </w:r>
      <w:r w:rsidR="00726454" w:rsidRPr="00097432">
        <w:rPr>
          <w:vertAlign w:val="superscript"/>
          <w:lang w:val="en-US"/>
        </w:rPr>
        <w:t>26</w:t>
      </w:r>
      <w:r w:rsidR="00726454" w:rsidRPr="00097432">
        <w:rPr>
          <w:rFonts w:eastAsia="Aptos"/>
        </w:rPr>
        <w:fldChar w:fldCharType="end"/>
      </w:r>
      <w:r w:rsidR="00726454" w:rsidRPr="00097432">
        <w:rPr>
          <w:rFonts w:hint="eastAsia"/>
        </w:rPr>
        <w:t xml:space="preserve"> </w:t>
      </w:r>
      <w:r w:rsidRPr="00097432">
        <w:t>This shift underscores the need to optimize OCV impact amid constrained supply.</w:t>
      </w:r>
    </w:p>
    <w:p w14:paraId="52DF97C6" w14:textId="77777777" w:rsidR="003A111A" w:rsidRPr="00097432" w:rsidRDefault="003A111A" w:rsidP="00F57F15"/>
    <w:p w14:paraId="4ABE3967" w14:textId="7C7CA224" w:rsidR="003A111A" w:rsidRPr="00097432" w:rsidRDefault="003A111A" w:rsidP="003A111A">
      <w:pPr>
        <w:rPr>
          <w:lang w:val="en-US"/>
        </w:rPr>
      </w:pPr>
      <w:r w:rsidRPr="00097432">
        <w:t>Given limited resources, policymakers—from local governments to global funders—prioritize efficient OCV use.</w:t>
      </w:r>
      <w:r w:rsidRPr="00097432">
        <w:rPr>
          <w:rFonts w:ascii="Times New Roman" w:eastAsia="Times New Roman" w:hAnsi="Times New Roman" w:cs="Times New Roman"/>
          <w:color w:val="auto"/>
          <w:lang w:val="en-US"/>
        </w:rPr>
        <w:t xml:space="preserve"> </w:t>
      </w:r>
      <w:r w:rsidRPr="00097432">
        <w:rPr>
          <w:lang w:val="en-US"/>
        </w:rPr>
        <w:t>Studies highlighting spatial heterogeneity and cholera “hotspots” suggest that targeting high-risk areas, identified through covariates, historical incidence</w:t>
      </w:r>
      <w:r w:rsidRPr="00097432">
        <w:rPr>
          <w:lang w:val="en-US"/>
        </w:rPr>
        <w:fldChar w:fldCharType="begin"/>
      </w:r>
      <w:r w:rsidR="000B5A14" w:rsidRPr="00097432">
        <w:rPr>
          <w:lang w:val="en-US"/>
        </w:rPr>
        <w:instrText xml:space="preserve"> ADDIN ZOTERO_ITEM CSL_CITATION {"citationID":"7mhhCNU6","properties":{"formattedCitation":"\\super 26\\nosupersub{}","plainCitation":"26","noteIndex":0},"citationItems":[{"id":5403,"uris":["http://zotero.org/users/7663102/items/SCWEB8AF"],"itemData":{"id":5403,"type":"article-journal","abstract":"BACKGROUND: Cholera causes an estimated 100,000 deaths annually worldwide, with the majority of burden reported in sub-Saharan Africa. In May 2018, the World Health Assembly committed to reducing worldwide cholera deaths by 90% by 2030. Oral cholera vaccine (OCV) plays a key role in reducing the near-term risk of cholera, although global supplies are limited. Characterizing the potential impact and cost-effectiveness of mass OCV deployment strategies is critical for setting expectations and developing cholera control plans that maximize the chances of success.\nMETHODS AND FINDINGS: We compared the projected impacts of vaccination campaigns across sub-Saharan Africa from 2018 through 2030 when targeting geographically according to historical cholera burden and risk factors. We assessed the number of averted cases, deaths, and disability-adjusted life years and the cost-effectiveness of these campaigns with models that accounted for direct and indirect vaccine effects and population projections over time. Under current vaccine supply projections, an approach optimized to targeting by historical burden is projected to avert 828,971 (95% CI 803,370-859,980) cases (equivalent to 34.0% of projected cases; 95% CI 33.2%-34.8%). An approach that balances logistical feasibility with targeting historical burden is projected to avert 617,424 (95% CI 599,150-643,891) cases. In contrast, approaches optimized for targeting locations with limited access to water and sanitation are projected to avert 273,939 (95% CI 270,319-277,002) and 109,817 (95% CI 103,735-114,110) cases, respectively. We find that the most logistically feasible targeting strategy costs US$1,843 (95% CI 1,328-14,312) per DALY averted during this period and that effective geographic targeting of OCV campaigns can have a greater impact on cost-effectiveness than improvements to vaccine efficacy and moderate increases in coverage. Although our modeling approach does not project annual changes in baseline cholera risk or directly incorporate immunity from natural cholera infection, our estimates of the relative performance of different vaccination strategies should be robust to these factors.\nCONCLUSIONS: Our study suggests that geographic targeting substantially improves the cost-effectiveness and impact of oral cholera vaccination campaigns. Districts with the poorest access to improved water and sanitation are not the same as districts with the greatest historical cholera incidence. While OCV campaigns can improve cholera control in the near term, without rapid progress in developing water and sanitation services or dramatic increases in OCV supply, our results suggest that vaccine use alone is unlikely to allow us to achieve the 2030 goal.","container-title":"PLoS medicine","DOI":"10.1371/journal.pmed.1003003","ISSN":"1549-1676","issue":"12","journalAbbreviation":"PLoS Med","language":"eng","page":"e1003003","source":"PubMed","title":"The projected impact of geographic targeting of oral cholera vaccination in sub-Saharan Africa: A modeling study","title-short":"The projected impact of geographic targeting of oral cholera vaccination in sub-Saharan Africa","volume":"16","author":[{"family":"Lee","given":"Elizabeth C."},{"family":"Azman","given":"Andrew S."},{"family":"Kaminsky","given":"Joshua"},{"family":"Moore","given":"Sean M."},{"family":"McKay","given":"Heather S."},{"family":"Lessler","given":"Justin"}],"issued":{"date-parts":[["2019",12]]},"citation-key":"leeProjectedImpactGeographic2019"}}],"schema":"https://github.com/citation-style-language/schema/raw/master/csl-citation.json"} </w:instrText>
      </w:r>
      <w:r w:rsidRPr="00097432">
        <w:rPr>
          <w:lang w:val="en-US"/>
        </w:rPr>
        <w:fldChar w:fldCharType="separate"/>
      </w:r>
      <w:r w:rsidRPr="00097432">
        <w:rPr>
          <w:rFonts w:cs="Times New Roman"/>
          <w:vertAlign w:val="superscript"/>
        </w:rPr>
        <w:t>26</w:t>
      </w:r>
      <w:r w:rsidRPr="00097432">
        <w:rPr>
          <w:lang w:val="en-US"/>
        </w:rPr>
        <w:fldChar w:fldCharType="end"/>
      </w:r>
      <w:r w:rsidRPr="00097432">
        <w:rPr>
          <w:lang w:val="en-US"/>
        </w:rPr>
        <w:t>, or sensitive diagnostics,</w:t>
      </w:r>
      <w:r w:rsidRPr="00097432">
        <w:rPr>
          <w:lang w:val="en-US"/>
        </w:rPr>
        <w:fldChar w:fldCharType="begin"/>
      </w:r>
      <w:r w:rsidR="00345AF1">
        <w:rPr>
          <w:lang w:val="en-US"/>
        </w:rPr>
        <w:instrText xml:space="preserve"> ADDIN ZOTERO_ITEM CSL_CITATION {"citationID":"Q17eouH9","properties":{"formattedCitation":"\\super 17\\nosupersub{}","plainCitation":"17","noteIndex":0},"citationItems":[{"id":"EgwuGF5k/1oUObyp0","uris":["http://zotero.org/users/local/xDVOxgbN/items/ITJIZHPY"],"itemData":{"id":"5XBzLMkf/9yzJEX2N","type":"article-journal","abstract":"Abstract\n            \n              Systematic testing for\n              Vibrio cholerae\n              O1 is rare, which means that the world’s limited supply of oral cholera vaccines (OCVs) may not be delivered to areas with the highest true cholera burden. Here we used a phenomenological model with subnational geographic targeting and fine-scale vaccine effects to model how expanding\n              V. cholerae\n              testing affected impact and cost-effectiveness for preventive vaccination campaigns across different bacteriological confirmation and vaccine targeting assumptions in 35 African countries. Systematic testing followed by OCV targeting based on confirmed cholera yielded higher efficiency and cost-effectiveness and slightly fewer averted cases than status quo scenarios targeting suspected cholera. Targeting vaccine to populations with an annual incidence rate greater than 10 per 10,000, the testing scenario averted 10.8 (95% prediction interval (PI) 9.4–12.6) cases per 1,000 fully vaccinated persons while the status quo scenario averted 6.9 (95% PI 6.0–7.8) cases per 1,000 fully vaccinated persons. In the testing scenario, testing costs increased by US$31 (95% PI 25–39) while vaccination costs reduced by US$248 (95% PI 176–326) per averted case compared to the status quo. Introduction of systematic testing into cholera surveillance could improve efficiency and reach of global OCV supply for preventive vaccination.","container-title":"Nature Medicine","DOI":"10.1038/s41591-024-02852-8","ISSN":"1078-8956, 1546-170X","journalAbbreviation":"Nat Med","language":"en","source":"DOI.org (Crossref)","title":"Enhanced cholera surveillance to improve vaccination campaign efficiency","URL":"https://www.nature.com/articles/s41591-024-02852-8","author":[{"family":"Xu","given":"Hanmeng"},{"family":"Zou","given":"Kaiyue"},{"family":"Dent","given":"Juan"},{"family":"Wiens","given":"Kirsten E."},{"family":"Malembaka","given":"Espoir Bwenge"},{"family":"Bwire","given":"Godfrey"},{"family":"Okitayemba","given":"Placide Welo"},{"family":"Hampton","given":"Lee M."},{"family":"Azman","given":"Andrew S."},{"family":"Lee","given":"Elizabeth C."}],"accessed":{"date-parts":[["2024",4,16]]},"issued":{"date-parts":[["2024",3,5]]}}}],"schema":"https://github.com/citation-style-language/schema/raw/master/csl-citation.json"} </w:instrText>
      </w:r>
      <w:r w:rsidRPr="00097432">
        <w:rPr>
          <w:lang w:val="en-US"/>
        </w:rPr>
        <w:fldChar w:fldCharType="separate"/>
      </w:r>
      <w:r w:rsidRPr="00097432">
        <w:rPr>
          <w:rFonts w:cs="Times New Roman"/>
          <w:vertAlign w:val="superscript"/>
        </w:rPr>
        <w:t>17</w:t>
      </w:r>
      <w:r w:rsidRPr="00097432">
        <w:rPr>
          <w:lang w:val="en-US"/>
        </w:rPr>
        <w:fldChar w:fldCharType="end"/>
      </w:r>
      <w:r w:rsidRPr="00097432">
        <w:rPr>
          <w:lang w:val="en-US"/>
        </w:rPr>
        <w:t xml:space="preserve"> could maximize vaccine benefits. While this approach seems logical, accurately identifying high-risk populations is often hampered by temporal fluctuations in cholera incidence,</w:t>
      </w:r>
      <w:r w:rsidR="0016770F" w:rsidRPr="00097432">
        <w:rPr>
          <w:lang w:val="en-US"/>
        </w:rPr>
        <w:fldChar w:fldCharType="begin"/>
      </w:r>
      <w:r w:rsidR="000B5A14" w:rsidRPr="00097432">
        <w:rPr>
          <w:lang w:val="en-US"/>
        </w:rPr>
        <w:instrText xml:space="preserve"> ADDIN ZOTERO_ITEM CSL_CITATION {"citationID":"BuAgz2W3","properties":{"formattedCitation":"\\super 27\\nosupersub{}","plainCitation":"27","noteIndex":0},"citationItems":[{"id":7881,"uris":["http://zotero.org/users/7663102/items/C9MKCSYB"],"itemData":{"id":7881,"type":"article-journal","container-title":"The Lancet Global Health","DOI":"10.1016/S2214-109X(22)00007-9","ISSN":"2214-109X","issue":"6","journalAbbreviation":"Lancet Glob Health","language":"English","note":"publisher: Elsevier\nPMID: 35461521","page":"e831-e839","source":"www.thelancet.com","title":"The seasonality of cholera in sub-Saharan Africa: a statistical modelling study","title-short":"The seasonality of cholera in sub-Saharan Africa","volume":"10","author":[{"family":"Perez-Saez","given":"Javier"},{"family":"Lessler","given":"Justin"},{"family":"Lee","given":"Elizabeth C."},{"family":"Luquero","given":"Francisco J."},{"family":"Malembaka","given":"Espoir Bwenge"},{"family":"Finger","given":"Flavio"},{"family":"Langa","given":"José Paulo"},{"family":"Yennan","given":"Sebastian"},{"family":"Zaitchik","given":"Benjamin"},{"family":"Azman","given":"Andrew S."}],"issued":{"date-parts":[["2022",6,1]]},"citation-key":"perez-saezSeasonalityCholeraSubSaharan2022"}}],"schema":"https://github.com/citation-style-language/schema/raw/master/csl-citation.json"} </w:instrText>
      </w:r>
      <w:r w:rsidR="0016770F" w:rsidRPr="00097432">
        <w:rPr>
          <w:lang w:val="en-US"/>
        </w:rPr>
        <w:fldChar w:fldCharType="separate"/>
      </w:r>
      <w:r w:rsidR="0016770F" w:rsidRPr="00097432">
        <w:rPr>
          <w:rFonts w:cs="Times New Roman"/>
          <w:vertAlign w:val="superscript"/>
        </w:rPr>
        <w:t>27</w:t>
      </w:r>
      <w:r w:rsidR="0016770F" w:rsidRPr="00097432">
        <w:rPr>
          <w:lang w:val="en-US"/>
        </w:rPr>
        <w:fldChar w:fldCharType="end"/>
      </w:r>
      <w:r w:rsidRPr="00097432">
        <w:rPr>
          <w:lang w:val="en-US"/>
        </w:rPr>
        <w:t xml:space="preserve"> waning vaccine-derived immunity,</w:t>
      </w:r>
      <w:r w:rsidR="0016770F" w:rsidRPr="00097432">
        <w:rPr>
          <w:lang w:val="en-US"/>
        </w:rPr>
        <w:fldChar w:fldCharType="begin"/>
      </w:r>
      <w:r w:rsidR="000B5A14" w:rsidRPr="00097432">
        <w:rPr>
          <w:lang w:val="en-US"/>
        </w:rPr>
        <w:instrText xml:space="preserve"> ADDIN ZOTERO_ITEM CSL_CITATION {"citationID":"YnSqaMbk","properties":{"formattedCitation":"\\super 28\\nosupersub{}","plainCitation":"28","noteIndex":0},"citationItems":[{"id":9742,"uris":["http://zotero.org/users/7663102/items/DFCIX2GR"],"itemData":{"id":9742,"type":"article-journal","container-title":"The Lancet Infectious Diseases","DOI":"10.1016/S1473-3099(17)30359-6","ISSN":"1473-3099, 1474-4457","issue":"10","journalAbbreviation":"Lancet Inf Dis","language":"English","note":"publisher: Elsevier\nPMID: 28729167","page":"1080-1088","source":"www.thelancet.com","title":"Protection against cholera from killed whole-cell oral cholera vaccines: a systematic review and meta-analysis","title-short":"Protection against cholera from killed whole-cell oral cholera vaccines","volume":"17","author":[{"family":"Bi","given":"Qifang"},{"family":"Ferreras","given":"Eva"},{"family":"Pezzoli","given":"Lorenzo"},{"family":"Legros","given":"Dominique"},{"family":"Ivers","given":"Louise C."},{"family":"Date","given":"Kashmira"},{"family":"Qadri","given":"Firdausi"},{"family":"Digilio","given":"Laura"},{"family":"Sack","given":"David A."},{"family":"Ali","given":"Mohammad"},{"family":"Lessler","given":"Justin"},{"family":"Luquero","given":"Francisco J."},{"family":"Azman","given":"Andrew S."},{"family":"Cavailler","given":"Philippe"},{"family":"Date","given":"Kashmira"},{"family":"Sreenivasan","given":"Nandini"},{"family":"Matzger","given":"Helen"},{"family":"Luquero","given":"Francisco"},{"family":"Grais","given":"Rebecca"},{"family":"Wiesner","given":"Lale"},{"family":"Ko","given":"Melissa"},{"family":"Rouzier","given":"Vanessa"},{"family":"Peak","given":"Corey"},{"family":"Qadri","given":"Firdausi"},{"family":"Landegger","given":"Justine"},{"family":"Lynch","given":"Julia"},{"family":"Azman","given":"Andrew"},{"family":"Sack","given":"David"},{"family":"Henkens","given":"Myriam"},{"family":"Ciglenecki","given":"Iza"},{"family":"Ivers","given":"Louise"},{"family":"Diggle","given":"Emma"},{"family":"Weiss","given":"Mitchell"},{"family":"Hinman","given":"Alan"},{"family":"Maina","given":"Kahindo"},{"family":"Mirza","given":"Imran"},{"family":"Gimeno","given":"Guillermo"},{"family":"Levine","given":"Myron"}],"issued":{"date-parts":[["2017",10,1]]},"citation-key":"biProtectionCholeraKilled2017"}}],"schema":"https://github.com/citation-style-language/schema/raw/master/csl-citation.json"} </w:instrText>
      </w:r>
      <w:r w:rsidR="0016770F" w:rsidRPr="00097432">
        <w:rPr>
          <w:lang w:val="en-US"/>
        </w:rPr>
        <w:fldChar w:fldCharType="separate"/>
      </w:r>
      <w:r w:rsidR="0016770F" w:rsidRPr="00097432">
        <w:rPr>
          <w:rFonts w:cs="Times New Roman"/>
          <w:vertAlign w:val="superscript"/>
        </w:rPr>
        <w:t>28</w:t>
      </w:r>
      <w:r w:rsidR="0016770F" w:rsidRPr="00097432">
        <w:rPr>
          <w:lang w:val="en-US"/>
        </w:rPr>
        <w:fldChar w:fldCharType="end"/>
      </w:r>
      <w:r w:rsidRPr="00097432">
        <w:rPr>
          <w:lang w:val="en-US"/>
        </w:rPr>
        <w:t xml:space="preserve"> and population mobility.</w:t>
      </w:r>
      <w:r w:rsidR="00900C32" w:rsidRPr="00097432">
        <w:rPr>
          <w:lang w:val="en-US"/>
        </w:rPr>
        <w:fldChar w:fldCharType="begin"/>
      </w:r>
      <w:r w:rsidR="00345AF1">
        <w:rPr>
          <w:lang w:val="en-US"/>
        </w:rPr>
        <w:instrText xml:space="preserve"> ADDIN ZOTERO_ITEM CSL_CITATION {"citationID":"FAoRYxXD","properties":{"formattedCitation":"\\super 9,29\\nosupersub{}","plainCitation":"9,29","noteIndex":0},"citationItems":[{"id":"EgwuGF5k/MVbN3Mku","uris":["http://zotero.org/users/local/xDVOxgbN/items/ZJQSH5FR"],"itemData":{"id":"5XBzLMkf/q8Y577lX","type":"article-journal","container-title":"PLOS Neglected Tropical Diseases","DOI":"10.1371/journal.pntd.0006257","ISSN":"1935-2735","issue":"2","journalAbbreviation":"PLoS Negl Trop Dis","language":"en","page":"e0006257","source":"DOI.org (Crossref)","title":"Prolonging herd immunity to cholera via vaccination: Accounting for human mobility and waning vaccine effects","title-short":"Prolonging herd immunity to cholera via vaccination","volume":"12","author":[{"family":"Peak","given":"Corey M."},{"family":"Reilly","given":"Amanda L."},{"family":"Azman","given":"Andrew S."},{"family":"Buckee","given":"Caroline O."}],"editor":[{"family":"Marks","given":"Florian"}],"issued":{"date-parts":[["2018",2,28]]}}},{"id":15388,"uris":["http://zotero.org/users/7663102/items/6U3KMJRH"],"itemData":{"id":15388,"type":"article-journal","abstract":"Human mobility is a core component of human behavior and its quantification is critical for understanding its impact on infectious disease transmission, traffic forecasting, access to resources and care, intervention strategies, and migratory flows. When mobility data are limited, spatial interaction models have been widely used to estimate human travel, but have not been extensively validated in low- and middle-income settings. Geographic, sociodemographic, and infrastructure differences may impact the ability for models to capture these patterns, particularly in rural settings. Here, we analyzed mobility patterns inferred from mobile phone data in four Sub-Saharan African countries to investigate the ability for variants on gravity and radiation models to estimate travel. Adjusting the gravity model such that parameters were fit to different trip types, including travel between more or less populated areas and/or different regions, improved model fit in all four countries. This suggests that alternative models may be more useful in these settings and better able to capture the range of mobility patterns observed.","container-title":"eLife","DOI":"10.7554/eLife.68441","ISSN":"2050-084X","journalAbbreviation":"Elife","language":"eng","note":"PMID: 34533456\nPMCID: PMC8448534","page":"e68441","source":"PubMed","title":"Characterizing human mobility patterns in rural settings of sub-Saharan Africa","volume":"10","author":[{"family":"Meredith","given":"Hannah R."},{"family":"Giles","given":"John R."},{"family":"Perez-Saez","given":"Javier"},{"family":"Mande","given":"Théophile"},{"family":"Rinaldo","given":"Andrea"},{"family":"Mutembo","given":"Simon"},{"family":"Kabalo","given":"Elliot N."},{"family":"Makungo","given":"Kabondo"},{"family":"Buckee","given":"Caroline O."},{"family":"Tatem","given":"Andrew J."},{"family":"Metcalf","given":"C. Jessica E."},{"family":"Wesolowski","given":"Amy"}],"issued":{"date-parts":[["2021",9,17]]},"citation-key":"meredithCharacterizingHumanMobility2021"}}],"schema":"https://github.com/citation-style-language/schema/raw/master/csl-citation.json"} </w:instrText>
      </w:r>
      <w:r w:rsidR="00900C32" w:rsidRPr="00097432">
        <w:rPr>
          <w:lang w:val="en-US"/>
        </w:rPr>
        <w:fldChar w:fldCharType="separate"/>
      </w:r>
      <w:r w:rsidR="00900C32" w:rsidRPr="00097432">
        <w:rPr>
          <w:rFonts w:cs="Times New Roman"/>
          <w:vertAlign w:val="superscript"/>
        </w:rPr>
        <w:t>9,29</w:t>
      </w:r>
      <w:r w:rsidR="00900C32" w:rsidRPr="00097432">
        <w:rPr>
          <w:lang w:val="en-US"/>
        </w:rPr>
        <w:fldChar w:fldCharType="end"/>
      </w:r>
      <w:r w:rsidRPr="00097432">
        <w:rPr>
          <w:lang w:val="en-US"/>
        </w:rPr>
        <w:t xml:space="preserve"> These factors can diminish the effectiveness of targeting, even in areas with a high average risk, particularly when vaccine availability covers only a small fraction of at-risk populations. In contrast, outbreak-response immunizations (ORIs)—vaccinating populations where outbreaks are detected—reduce uncertainties tied to preemptive targeting. In practice, the OCV stockpile has primarily supported ORIs, with over </w:t>
      </w:r>
      <w:r w:rsidR="00900C32" w:rsidRPr="00097432">
        <w:rPr>
          <w:rFonts w:hint="eastAsia"/>
          <w:lang w:val="en-US"/>
        </w:rPr>
        <w:t>200</w:t>
      </w:r>
      <w:r w:rsidRPr="00097432">
        <w:rPr>
          <w:lang w:val="en-US"/>
        </w:rPr>
        <w:t xml:space="preserve"> million doses deployed by 202</w:t>
      </w:r>
      <w:r w:rsidR="00900C32" w:rsidRPr="00097432">
        <w:rPr>
          <w:rFonts w:hint="eastAsia"/>
          <w:lang w:val="en-US"/>
        </w:rPr>
        <w:t>4</w:t>
      </w:r>
      <w:r w:rsidRPr="00097432">
        <w:rPr>
          <w:lang w:val="en-US"/>
        </w:rPr>
        <w:t>, of which a substantial proportion (</w:t>
      </w:r>
      <w:r w:rsidR="00900C32" w:rsidRPr="00097432">
        <w:rPr>
          <w:rFonts w:hint="eastAsia"/>
          <w:lang w:val="en-US"/>
        </w:rPr>
        <w:t>77</w:t>
      </w:r>
      <w:r w:rsidRPr="00097432">
        <w:rPr>
          <w:lang w:val="en-US"/>
        </w:rPr>
        <w:t>%) addressed outbreaks rather than prevention.</w:t>
      </w:r>
      <w:r w:rsidR="00900C32" w:rsidRPr="00097432">
        <w:rPr>
          <w:lang w:val="en-US"/>
        </w:rPr>
        <w:fldChar w:fldCharType="begin"/>
      </w:r>
      <w:r w:rsidR="00345AF1">
        <w:rPr>
          <w:lang w:val="en-US"/>
        </w:rPr>
        <w:instrText xml:space="preserve"> ADDIN ZOTERO_ITEM CSL_CITATION {"citationID":"C8a5rL6J","properties":{"formattedCitation":"\\super 25\\nosupersub{}","plainCitation":"25","noteIndex":0},"citationItems":[{"id":"EgwuGF5k/nSgOin6U","uris":["http://zotero.org/users/local/xDVOxgbN/items/UK5GYXXH"],"itemData":{"id":"5XBzLMkf/7bbSUNqx","type":"dataset","title":"GTFCC OCV Dashboard","URL":"https://apps.epicentre-msf.org/public/app/gtfcc","author":[{"literal":"Global Task Force on Cholera Control"}]}}],"schema":"https://github.com/citation-style-language/schema/raw/master/csl-citation.json"} </w:instrText>
      </w:r>
      <w:r w:rsidR="00900C32" w:rsidRPr="00097432">
        <w:rPr>
          <w:lang w:val="en-US"/>
        </w:rPr>
        <w:fldChar w:fldCharType="separate"/>
      </w:r>
      <w:r w:rsidR="00900C32" w:rsidRPr="00097432">
        <w:rPr>
          <w:rFonts w:cs="Times New Roman"/>
          <w:vertAlign w:val="superscript"/>
        </w:rPr>
        <w:t>25</w:t>
      </w:r>
      <w:r w:rsidR="00900C32" w:rsidRPr="00097432">
        <w:rPr>
          <w:lang w:val="en-US"/>
        </w:rPr>
        <w:fldChar w:fldCharType="end"/>
      </w:r>
      <w:r w:rsidRPr="00097432">
        <w:rPr>
          <w:lang w:val="en-US"/>
        </w:rPr>
        <w:t xml:space="preserve"> Understanding the impact of ORIs, which dominate </w:t>
      </w:r>
      <w:r w:rsidRPr="00097432">
        <w:rPr>
          <w:lang w:val="en-US"/>
        </w:rPr>
        <w:lastRenderedPageBreak/>
        <w:t>vaccination efforts, and identifying strategies to enhance their effectiveness are thus critical.</w:t>
      </w:r>
    </w:p>
    <w:p w14:paraId="3BBC46C0" w14:textId="7EACF8A2" w:rsidR="003A111A" w:rsidRPr="00097432" w:rsidRDefault="003A111A" w:rsidP="00F57F15"/>
    <w:p w14:paraId="01DA66F7" w14:textId="3E92D9CD" w:rsidR="00590AF1" w:rsidRPr="00097432" w:rsidRDefault="00590AF1" w:rsidP="005F437C">
      <w:r w:rsidRPr="00097432">
        <w:rPr>
          <w:lang w:val="en-US"/>
        </w:rPr>
        <w:t>Existing studies offer valuable insights into the potential impact of preventive campaigns and ORIs, yet they lack comprehensive scope</w:t>
      </w:r>
      <w:r w:rsidR="005F437C" w:rsidRPr="00097432">
        <w:rPr>
          <w:rFonts w:hint="eastAsia"/>
        </w:rPr>
        <w:t>.</w:t>
      </w:r>
      <w:r w:rsidR="001D3E8B" w:rsidRPr="00097432">
        <w:rPr>
          <w:vertAlign w:val="superscript"/>
          <w:lang w:val="en-US"/>
        </w:rPr>
        <w:t>5</w:t>
      </w:r>
      <w:r w:rsidR="001D3E8B" w:rsidRPr="00097432">
        <w:fldChar w:fldCharType="begin"/>
      </w:r>
      <w:r w:rsidR="00345AF1">
        <w:instrText xml:space="preserve"> ADDIN ZOTERO_ITEM CSL_CITATION {"citationID":"RpMO7NJO","properties":{"formattedCitation":"\\super 1,3,5,6,10,15,23\\nosupersub{}","plainCitation":"1,3,5,6,10,15,23","noteIndex":0},"citationItems":[{"id":"EgwuGF5k/Hmz3wwbU","uris":["http://zotero.org/users/local/xDVOxgbN/items/3KCFPCDX"],"itemData":{"id":67,"type":"article-journal","container-title":"PLOS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Seidlein","given":"Lorenz"}],"issued":{"date-parts":[["2018",2,27]]}}},{"id":"EgwuGF5k/8HczsYmK","uris":["http://zotero.org/users/local/xDVOxgbN/items/Z93MZCN2"],"itemData":{"id":74,"type":"article-journal","container-title":"PLoS Neglected Tropical Diseases","DOI":"10.1371/journal.pntd.0003343","ISSN":"1935-2735","issue":"12","journalAbbreviation":"PLoS Negl Trop Dis","language":"en","page":"e3343","source":"DOI.org (Crossref)","title":"Comparative Effectiveness of Different Strategies of Oral Cholera Vaccination in Bangladesh: A Modeling Study","title-short":"Comparative Effectiveness of Different Strategies of Oral Cholera Vaccination in Bangladesh","volume":"8","author":[{"family":"Dimitrov","given":"Dobromir T."},{"family":"Troeger","given":"Christopher"},{"family":"Halloran","given":"M. Elizabeth"},{"family":"Longini","given":"Ira M."},{"family":"Chao","given":"Dennis L."}],"editor":[{"family":"Baker","given":"Stephen"}],"issued":{"date-parts":[["2014",12,4]]}}},{"id":"EgwuGF5k/NV2yGXdg","uris":["http://zotero.org/users/local/xDVOxgbN/items/YPZZPLI9"],"itemData":{"id":80,"type":"article-journal","container-title":"The Lancet Global Health","DOI":"10.1016/S2214-109X(20)30310-7","ISSN":"2214109X","issue":"8","journalAbbreviation":"The Lancet Global Health","language":"en","page":"e1081-e1089","source":"DOI.org (Crossref)","title":"Achieving coordinated national immunity and cholera elimination in Haiti through vaccination: a modelling study","title-short":"Achieving coordinated national immunity and cholera elimination in Haiti through vaccination","volume":"8","author":[{"family":"Lee","given":"Elizabeth C"},{"family":"Chao","given":"Dennis L"},{"family":"Lemaitre","given":"Joseph C"},{"family":"Matrajt","given":"Laura"},{"family":"Pasetto","given":"Damiano"},{"family":"Perez-Saez","given":"Javier"},{"family":"Finger","given":"Flavio"},{"family":"Rinaldo","given":"Andrea"},{"family":"Sugimoto","given":"Jonathan D"},{"family":"Halloran","given":"M Elizabeth"},{"family":"Longini","given":"Ira M"},{"family":"Ternier","given":"Ralph"},{"family":"Vissieres","given":"Kenia"},{"family":"Azman","given":"Andrew S"},{"family":"Lessler","given":"Justin"},{"family":"Ivers","given":"Louise C"}],"issued":{"date-parts":[["2020",8]]}}},{"id":"EgwuGF5k/lwl7uSxR","uris":["http://zotero.org/users/local/xDVOxgbN/items/C9VJ6Y9N"],"itemData":{"id":87,"type":"article-journal","abstract":"In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M."}],"issued":{"date-parts":[["2011",4,26]]}}},{"id":"EgwuGF5k/K5w3Oly2","uris":["http://zotero.org/users/local/xDVOxgbN/items/A7JBWGAG"],"itemData":{"id":97,"type":"article-journal","container-title":"PLoS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M."}],"issued":{"date-parts":[["2012",11,8]]}}},{"id":"EgwuGF5k/8rAvwhna","uris":["http://zotero.org/users/local/xDVOxgbN/items/D9HE3GUQ"],"itemData":{"id":78,"type":"article-journal","container-title":"PLOS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E."}],"issued":{"date-parts":[["2015",8,25]]}}},{"id":7876,"uris":["http://zotero.org/users/7663102/items/CQNDTP3Y"],"itemData":{"id":7876,"type":"article-journal","container-title":"International Journal of Infectious Diseases","DOI":"10.1016/j.ijid.2022.05.039","ISSN":"1201-9712","journalAbbreviation":"IJID","language":"English","note":"publisher: Elsevier\nPMID: 35605949","page":"215-221","source":"www.ijidonline.com","title":"Cholera outbreaks in sub-Saharan Africa during 2010-2019: a descriptive analysis","title-short":"Cholera outbreaks in sub-Saharan Africa during 2010-2019","volume":"122","author":[{"family":"Zheng","given":"Qulu"},{"family":"Luquero","given":"Francisco J."},{"family":"Ciglenecki","given":"Iza"},{"family":"Wamala","given":"Joseph F."},{"family":"Abubakar","given":"Abdinasir"},{"family":"Welo","given":"Placide"},{"family":"Hussen","given":"Mukemil"},{"family":"Wossen","given":"Mesfin"},{"family":"Yennan","given":"Sebastian"},{"family":"Keita","given":"Alama"},{"family":"Lessler","given":"Justin"},{"family":"Azman","given":"Andrew S."},{"family":"Lee","given":"Elizabeth C."}],"issued":{"date-parts":[["2022",9,1]]},"citation-key":"zhengCholeraOutbreaksSubSaharan2022"}}],"schema":"https://github.com/citation-style-language/schema/raw/master/csl-citation.json"} </w:instrText>
      </w:r>
      <w:r w:rsidR="001D3E8B" w:rsidRPr="00097432">
        <w:fldChar w:fldCharType="separate"/>
      </w:r>
      <w:r w:rsidR="00FF65F8" w:rsidRPr="00097432">
        <w:rPr>
          <w:rFonts w:cs="Times New Roman"/>
          <w:vertAlign w:val="superscript"/>
        </w:rPr>
        <w:t>1,3,5,6,10,15,23</w:t>
      </w:r>
      <w:r w:rsidR="001D3E8B" w:rsidRPr="00097432">
        <w:fldChar w:fldCharType="end"/>
      </w:r>
      <w:r w:rsidRPr="00097432">
        <w:rPr>
          <w:rFonts w:hint="eastAsia"/>
        </w:rPr>
        <w:t xml:space="preserve"> </w:t>
      </w:r>
      <w:r w:rsidRPr="00097432">
        <w:rPr>
          <w:lang w:val="en-US"/>
        </w:rPr>
        <w:t>Many focus on a handful of large or prolonged outbreaks,</w:t>
      </w:r>
      <w:r w:rsidRPr="00097432">
        <w:t xml:space="preserve"> </w:t>
      </w:r>
      <w:r w:rsidRPr="00097432">
        <w:fldChar w:fldCharType="begin"/>
      </w:r>
      <w:r w:rsidR="00345AF1">
        <w:instrText xml:space="preserve"> ADDIN ZOTERO_ITEM CSL_CITATION {"citationID":"Yl7qnHdA","properties":{"formattedCitation":"\\super 1,3,5,6,10,15,23\\nosupersub{}","plainCitation":"1,3,5,6,10,15,23","noteIndex":0},"citationItems":[{"id":"EgwuGF5k/Hmz3wwbU","uris":["http://zotero.org/users/local/xDVOxgbN/items/3KCFPCDX"],"itemData":{"id":67,"type":"article-journal","container-title":"PLOS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Seidlein","given":"Lorenz"}],"issued":{"date-parts":[["2018",2,27]]}}},{"id":"EgwuGF5k/8HczsYmK","uris":["http://zotero.org/users/local/xDVOxgbN/items/Z93MZCN2"],"itemData":{"id":74,"type":"article-journal","container-title":"PLoS Neglected Tropical Diseases","DOI":"10.1371/journal.pntd.0003343","ISSN":"1935-2735","issue":"12","journalAbbreviation":"PLoS Negl Trop Dis","language":"en","page":"e3343","source":"DOI.org (Crossref)","title":"Comparative Effectiveness of Different Strategies of Oral Cholera Vaccination in Bangladesh: A Modeling Study","title-short":"Comparative Effectiveness of Different Strategies of Oral Cholera Vaccination in Bangladesh","volume":"8","author":[{"family":"Dimitrov","given":"Dobromir T."},{"family":"Troeger","given":"Christopher"},{"family":"Halloran","given":"M. Elizabeth"},{"family":"Longini","given":"Ira M."},{"family":"Chao","given":"Dennis L."}],"editor":[{"family":"Baker","given":"Stephen"}],"issued":{"date-parts":[["2014",12,4]]}}},{"id":"EgwuGF5k/NV2yGXdg","uris":["http://zotero.org/users/local/xDVOxgbN/items/YPZZPLI9"],"itemData":{"id":80,"type":"article-journal","container-title":"The Lancet Global Health","DOI":"10.1016/S2214-109X(20)30310-7","ISSN":"2214109X","issue":"8","journalAbbreviation":"The Lancet Global Health","language":"en","page":"e1081-e1089","source":"DOI.org (Crossref)","title":"Achieving coordinated national immunity and cholera elimination in Haiti through vaccination: a modelling study","title-short":"Achieving coordinated national immunity and cholera elimination in Haiti through vaccination","volume":"8","author":[{"family":"Lee","given":"Elizabeth C"},{"family":"Chao","given":"Dennis L"},{"family":"Lemaitre","given":"Joseph C"},{"family":"Matrajt","given":"Laura"},{"family":"Pasetto","given":"Damiano"},{"family":"Perez-Saez","given":"Javier"},{"family":"Finger","given":"Flavio"},{"family":"Rinaldo","given":"Andrea"},{"family":"Sugimoto","given":"Jonathan D"},{"family":"Halloran","given":"M Elizabeth"},{"family":"Longini","given":"Ira M"},{"family":"Ternier","given":"Ralph"},{"family":"Vissieres","given":"Kenia"},{"family":"Azman","given":"Andrew S"},{"family":"Lessler","given":"Justin"},{"family":"Ivers","given":"Louise C"}],"issued":{"date-parts":[["2020",8]]}}},{"id":"EgwuGF5k/lwl7uSxR","uris":["http://zotero.org/users/local/xDVOxgbN/items/C9VJ6Y9N"],"itemData":{"id":87,"type":"article-journal","abstract":"In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M."}],"issued":{"date-parts":[["2011",4,26]]}}},{"id":"EgwuGF5k/K5w3Oly2","uris":["http://zotero.org/users/local/xDVOxgbN/items/A7JBWGAG"],"itemData":{"id":97,"type":"article-journal","container-title":"PLoS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M."}],"issued":{"date-parts":[["2012",11,8]]}}},{"id":"EgwuGF5k/8rAvwhna","uris":["http://zotero.org/users/local/xDVOxgbN/items/D9HE3GUQ"],"itemData":{"id":78,"type":"article-journal","container-title":"PLOS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E."}],"issued":{"date-parts":[["2015",8,25]]}}},{"id":7876,"uris":["http://zotero.org/users/7663102/items/CQNDTP3Y"],"itemData":{"id":7876,"type":"article-journal","container-title":"International Journal of Infectious Diseases","DOI":"10.1016/j.ijid.2022.05.039","ISSN":"1201-9712","journalAbbreviation":"IJID","language":"English","note":"publisher: Elsevier\nPMID: 35605949","page":"215-221","source":"www.ijidonline.com","title":"Cholera outbreaks in sub-Saharan Africa during 2010-2019: a descriptive analysis","title-short":"Cholera outbreaks in sub-Saharan Africa during 2010-2019","volume":"122","author":[{"family":"Zheng","given":"Qulu"},{"family":"Luquero","given":"Francisco J."},{"family":"Ciglenecki","given":"Iza"},{"family":"Wamala","given":"Joseph F."},{"family":"Abubakar","given":"Abdinasir"},{"family":"Welo","given":"Placide"},{"family":"Hussen","given":"Mukemil"},{"family":"Wossen","given":"Mesfin"},{"family":"Yennan","given":"Sebastian"},{"family":"Keita","given":"Alama"},{"family":"Lessler","given":"Justin"},{"family":"Azman","given":"Andrew S."},{"family":"Lee","given":"Elizabeth C."}],"issued":{"date-parts":[["2022",9,1]]},"citation-key":"zhengCholeraOutbreaksSubSaharan2022"}}],"schema":"https://github.com/citation-style-language/schema/raw/master/csl-citation.json"} </w:instrText>
      </w:r>
      <w:r w:rsidRPr="00097432">
        <w:fldChar w:fldCharType="separate"/>
      </w:r>
      <w:r w:rsidRPr="00097432">
        <w:rPr>
          <w:rFonts w:cs="Times New Roman"/>
          <w:vertAlign w:val="superscript"/>
        </w:rPr>
        <w:t>1,3,5,6,10,15,23</w:t>
      </w:r>
      <w:r w:rsidRPr="00097432">
        <w:fldChar w:fldCharType="end"/>
      </w:r>
      <w:r w:rsidRPr="00097432">
        <w:rPr>
          <w:rFonts w:hint="eastAsia"/>
        </w:rPr>
        <w:t xml:space="preserve"> </w:t>
      </w:r>
      <w:r w:rsidRPr="00097432">
        <w:rPr>
          <w:lang w:val="en-US"/>
        </w:rPr>
        <w:t>which fail to represent the diverse epidemiological profiles—size, duration, location, and attack rate—of cholera outbreaks, as evidenced by data from sub-Saharan Africa between 2010 and 202</w:t>
      </w:r>
      <w:r w:rsidRPr="00097432">
        <w:rPr>
          <w:rFonts w:hint="eastAsia"/>
          <w:lang w:val="en-US"/>
        </w:rPr>
        <w:t>3</w:t>
      </w:r>
      <w:r w:rsidR="00780C0F" w:rsidRPr="00097432">
        <w:t>.</w:t>
      </w:r>
      <w:r w:rsidR="00780C0F" w:rsidRPr="00097432">
        <w:fldChar w:fldCharType="begin"/>
      </w:r>
      <w:r w:rsidR="000B5A14" w:rsidRPr="00097432">
        <w:instrText xml:space="preserve"> ADDIN ZOTERO_ITEM CSL_CITATION {"citationID":"CjSpsH7r","properties":{"formattedCitation":"\\super 23,30\\nosupersub{}","plainCitation":"23,30","noteIndex":0},"citationItems":[{"id":7876,"uris":["http://zotero.org/users/7663102/items/CQNDTP3Y"],"itemData":{"id":7876,"type":"article-journal","container-title":"International Journal of Infectious Diseases","DOI":"10.1016/j.ijid.2022.05.039","ISSN":"1201-9712","journalAbbreviation":"IJID","language":"English","note":"publisher: Elsevier\nPMID: 35605949","page":"215-221","source":"www.ijidonline.com","title":"Cholera outbreaks in sub-Saharan Africa during 2010-2019: a descriptive analysis","title-short":"Cholera outbreaks in sub-Saharan Africa during 2010-2019","volume":"122","author":[{"family":"Zheng","given":"Qulu"},{"family":"Luquero","given":"Francisco J."},{"family":"Ciglenecki","given":"Iza"},{"family":"Wamala","given":"Joseph F."},{"family":"Abubakar","given":"Abdinasir"},{"family":"Welo","given":"Placide"},{"family":"Hussen","given":"Mukemil"},{"family":"Wossen","given":"Mesfin"},{"family":"Yennan","given":"Sebastian"},{"family":"Keita","given":"Alama"},{"family":"Lessler","given":"Justin"},{"family":"Azman","given":"Andrew S."},{"family":"Lee","given":"Elizabeth C."}],"issued":{"date-parts":[["2022",9,1]]},"citation-key":"zhengCholeraOutbreaksSubSaharan2022"}},{"id":15218,"uris":["http://zotero.org/users/7663102/items/UWYP5WF6"],"itemData":{"id":15218,"type":"manuscript","event-place":"In preparation","publisher-place":"In preparation","title":"Cholera outbreak time series in Africa between 2010 and 2023.","author":[{"family":"Zheng","given":"Q."},{"family":"Lee","given":"E. C."}],"citation-key":"zhengCholeraOutbreakTime"}}],"schema":"https://github.com/citation-style-language/schema/raw/master/csl-citation.json"} </w:instrText>
      </w:r>
      <w:r w:rsidR="00780C0F" w:rsidRPr="00097432">
        <w:fldChar w:fldCharType="separate"/>
      </w:r>
      <w:r w:rsidR="00900C32" w:rsidRPr="00097432">
        <w:rPr>
          <w:rFonts w:cs="Times New Roman"/>
          <w:vertAlign w:val="superscript"/>
        </w:rPr>
        <w:t>23,30</w:t>
      </w:r>
      <w:r w:rsidR="00780C0F" w:rsidRPr="00097432">
        <w:fldChar w:fldCharType="end"/>
      </w:r>
      <w:r w:rsidR="0065170D" w:rsidRPr="00097432">
        <w:t xml:space="preserve"> </w:t>
      </w:r>
      <w:r w:rsidRPr="00097432">
        <w:rPr>
          <w:lang w:val="en-US"/>
        </w:rPr>
        <w:t>Additionally, these studies often overlook key operational and immunological factors. For example, while some explore early-stage vaccination, real-world delays exceeding 66 days in emergencies are common,</w:t>
      </w:r>
      <w:r w:rsidR="00526A9F" w:rsidRPr="00097432">
        <w:rPr>
          <w:lang w:val="en-US"/>
        </w:rPr>
        <w:fldChar w:fldCharType="begin"/>
      </w:r>
      <w:r w:rsidR="00345AF1">
        <w:rPr>
          <w:lang w:val="en-US"/>
        </w:rPr>
        <w:instrText xml:space="preserve"> ADDIN ZOTERO_ITEM CSL_CITATION {"citationID":"e9IFkJPi","properties":{"formattedCitation":"\\super 25,31\\nosupersub{}","plainCitation":"25,31","noteIndex":0},"citationItems":[{"id":"EgwuGF5k/nSgOin6U","uris":["http://zotero.org/users/local/xDVOxgbN/items/UK5GYXXH"],"itemData":{"id":"qgjhK9ns/wTRZRA3s","type":"dataset","title":"GTFCC OCV Dashboard","URL":"https://apps.epicentre-msf.org/public/app/gtfcc","author":[{"literal":"Global Task Force on Cholera Control"}]}},{"id":"EgwuGF5k/Z2CCv85Z","uris":["http://zotero.org/users/local/xDVOxgbN/items/5UAYTNFT"],"itemData":{"id":132,"type":"article-journal","abstract":"Vaccination is a key intervention to prevent and control cholera in conjunction with water, sanitation and hygiene activities. An oral cholera vaccine (OCV) stockpile was established by the World Health Organization (WHO) in 2013. We reviewed its use from July 2013 to all of 2018 in order to assess its role in cholera control. We computed information related to OCV deployments and campaigns conducted including setting, target population, timelines, delivery strategy, reported adverse events, coverage achieved, and costs. In 2013-2018, a total of 83,509,941 OCV doses have been requested by 24 countries, of which 55,409,160 were approved and 36,066,010 eventually shipped in 83 deployments, resulting in 104 vaccination campaigns in 22 countries. OCVs had in general high uptake (mean administrative coverage 1st dose campaign at 90.3%; 2nd dose campaign at 88.2%; mean survey-estimated two-dose coverage at 69.9%, at least one dose at 84.6%) No serious adverse events were reported. Campaigns were organized quickly (five days median duration). In emergency settings, the longest delay was from the occurrence of the emergency to requesting OCV (median: 26</w:instrText>
      </w:r>
      <w:r w:rsidR="00345AF1">
        <w:rPr>
          <w:rFonts w:ascii="Arial" w:hAnsi="Arial"/>
          <w:lang w:val="en-US"/>
        </w:rPr>
        <w:instrText> </w:instrText>
      </w:r>
      <w:r w:rsidR="00345AF1">
        <w:rPr>
          <w:lang w:val="en-US"/>
        </w:rPr>
        <w:instrText xml:space="preserve">days). The mean cost of administering one dose of vaccine was 2.98 USD. The OCV stockpile is an important public health resource. OCVs were generally well accepted by the population and their use demonstrated to be safe and feasible in all settings. OCV was an inexpensive intervention, although timing was a limiting factor for emergency use. The dynamic created by the establishment of the OCV stockpile has played a role in the increased use of the vaccine by setting in motion a virtuous cycle by which better monitoring and evaluation leads to better campaign organization, better cholera control, and more requests being generated. Further work is needed to improve timeliness of response and contextualize strategies for OCV delivery in the various settings.","container-title":"Vaccine","DOI":"10.1016/j.vaccine.2019.08.086","ISSN":"1873-2518","issue":"Suppl 1","journalAbbreviation":"Vaccine","language":"eng","note":"PMID: 31519444\nPMCID: PMC10967685","page":"A132-A140","source":"PubMed","title":"Global oral cholera vaccine use, 2013-2018","volume":"38 Suppl 1","author":[{"family":"Pezzoli","given":"Lorenzo"},{"literal":"Oral Cholera Vaccine Working Group of the Global Task Force on Cholera Control"}],"issued":{"date-parts":[["2020",2,29]]}}}],"schema":"https://github.com/citation-style-language/schema/raw/master/csl-citation.json"} </w:instrText>
      </w:r>
      <w:r w:rsidR="00526A9F" w:rsidRPr="00097432">
        <w:rPr>
          <w:lang w:val="en-US"/>
        </w:rPr>
        <w:fldChar w:fldCharType="separate"/>
      </w:r>
      <w:r w:rsidR="00FD2750" w:rsidRPr="00097432">
        <w:rPr>
          <w:rFonts w:cs="Times New Roman"/>
          <w:vertAlign w:val="superscript"/>
        </w:rPr>
        <w:t>25,31</w:t>
      </w:r>
      <w:r w:rsidR="00526A9F" w:rsidRPr="00097432">
        <w:rPr>
          <w:lang w:val="en-US"/>
        </w:rPr>
        <w:fldChar w:fldCharType="end"/>
      </w:r>
      <w:r w:rsidR="00FD2750" w:rsidRPr="00097432">
        <w:rPr>
          <w:rFonts w:hint="eastAsia"/>
          <w:lang w:val="en-US"/>
        </w:rPr>
        <w:t xml:space="preserve"> </w:t>
      </w:r>
      <w:r w:rsidRPr="00097432">
        <w:rPr>
          <w:lang w:val="en-US"/>
        </w:rPr>
        <w:t>occasionally rendering vaccines irrelevant if outbreaks subside before deployment. Similarly, assumptions about vaccine protection vary: some studies presume immediate immunity,</w:t>
      </w:r>
      <w:r w:rsidRPr="00097432">
        <w:t xml:space="preserve"> </w:t>
      </w:r>
      <w:r w:rsidRPr="00097432">
        <w:fldChar w:fldCharType="begin"/>
      </w:r>
      <w:r w:rsidR="00345AF1">
        <w:instrText xml:space="preserve"> ADDIN ZOTERO_ITEM CSL_CITATION {"citationID":"p62dvBbO","properties":{"formattedCitation":"\\super 9,13\\uc0\\u8211{}15\\nosupersub{}","plainCitation":"9,13–15","noteIndex":0},"citationItems":[{"id":"EgwuGF5k/MVbN3Mku","uris":["http://zotero.org/users/local/xDVOxgbN/items/ZJQSH5FR"],"itemData":{"id":95,"type":"article-journal","container-title":"PLOS Neglected Tropical Diseases","DOI":"10.1371/journal.pntd.0006257","ISSN":"1935-2735","issue":"2","journalAbbreviation":"PLoS Negl Trop Dis","language":"en","page":"e0006257","source":"DOI.org (Crossref)","title":"Prolonging herd immunity to cholera via vaccination: Accounting for human mobility and waning vaccine effects","title-short":"Prolonging herd immunity to cholera via vaccination","volume":"12","author":[{"family":"Peak","given":"Corey M."},{"family":"Reilly","given":"Amanda L."},{"family":"Azman","given":"Andrew S."},{"family":"Buckee","given":"Caroline O."}],"editor":[{"family":"Marks","given":"Florian"}],"issued":{"date-parts":[["2018",2,28]]}}},{"id":"EgwuGF5k/vnWyEUA7","uris":["http://zotero.org/users/local/xDVOxgbN/items/P34TEJN2"],"itemData":{"id":93,"type":"article-journal","abstract":"Background\n              A global stockpile of oral cholera vaccine (OCV) was established in 2013 for use in outbreak response and are licensed as two-dose regimens. Vaccine availability, however, remains limited. Previous studies have found that a single dose of OCV may provide substantial protection against cholera.\n            \n            \n              Methods\n              Using a mathematical model with two age groups paired with optimization algorithms, we determine the optimal vaccination strategy with one and two doses of vaccine to minimize cumulative overall infections, symptomatic infections, and deaths. We explore counterfactual vaccination scenarios in three distinct settings: Maela, the largest refugee camp in Thailand, with high in- and out-migration; N’Djamena, Chad, a densely populated region; and Haiti, where departments are connected by rivers and roads.\n            \n            \n              Results\n              Over the short term under limited vaccine supply, the optimal strategies for all objectives prioritize one dose to the older age group (over five years old), irrespective of setting and level of vaccination coverage. As more vaccine becomes available, it is optimal to administer a second dose for long-term protection. With enough vaccine to cover the whole population with one dose, the optimal strategies can avert up to 30% to 90% of deaths and 36% to 92% of symptomatic infections across the three settings over one year. The one-dose optimal strategies can avert 1.2 to 1.8 times as many cases and deaths compared to the standard two-dose strategy.\n            \n            \n              Conclusions\n              In an outbreak setting, speedy vaccination campaigns with a single dose of OCV is likely to avert more cases and deaths than a two-dose pro-rata campaign under a limited vaccine supply.","container-title":"PLOS Neglected Tropical Diseases","DOI":"10.1371/journal.pntd.0010358","ISSN":"1935-2735","issue":"4","journalAbbreviation":"PLoS Negl Trop Dis","language":"en","page":"e0010358","source":"DOI.org (Crossref)","title":"Optimizing one-dose and two-dose cholera vaccine allocation in outbreak settings: A modeling study","title-short":"Optimizing one-dose and two-dose cholera vaccine allocation in outbreak settings","volume":"16","author":[{"family":"Leung","given":"Tiffany"},{"family":"Eaton","given":"Julia"},{"family":"Matrajt","given":"Laura"}],"editor":[{"family":"Fleckenstein","given":"James Michael"}],"issued":{"date-parts":[["2022",4,20]]}}},{"id":"EgwuGF5k/8rAvwhna","uris":["http://zotero.org/users/local/xDVOxgbN/items/D9HE3GUQ"],"itemData":{"id":78,"type":"article-journal","container-title":"PLOS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E."}],"issued":{"date-parts":[["2015",8,25]]}}},{"id":"EgwuGF5k/H5oox5mV","uris":["http://zotero.org/users/local/xDVOxgbN/items/I4JWC6R2"],"itemData":{"id":82,"type":"article-journal","abstract":"Reactive vaccination has recently been adopted as an outbreak response tool for cholera and other infectious diseases. Owing to the global shortage of oral cholera vaccine, health officials must quickly decide who and where to distribute limited vaccine. Targeted vaccination in transmission hotspots (i.e. areas with high transmission efficiency) may be a potential approach to efficiently allocate vaccine, however its effectiveness will likely be context-dependent. We compared strategies for allocating vaccine across multiple areas with heterogeneous transmission efficiency. We constructed metapopulation models of a cholera-like disease and compared simulated epidemics where: vaccine is targeted at areas of high or low transmission efficiency, where vaccine is distributed across the population, and where no vaccine is used. We find that connectivity between populations, transmission efficiency, vaccination timing and the amount of vaccine available all shape the performance of different allocation strategies. In highly connected settings (e.g. cities) when vaccinating early in the epidemic, targeting limited vaccine at transmission hotspots is often optimal. Once vaccination is delayed, targeting the hotspot is rarely optimal, and strategies that either spread vaccine between areas or those targeted at non-hotspots will avert more cases. Although hotspots may be an intuitive outbreak control target, we show that, in many situations, the hotspot-epidemic proceeds so fast that hotspot-targeted reactive vaccination will prevent relatively few cases, and vaccination shared across areas where transmission can be sustained is often best.","container-title":"Proceedings of the Royal Society B: Biological Sciences","DOI":"10.1098/rspb.2014.1341","ISSN":"0962-8452, 1471-2954","issue":"1798","journalAbbreviation":"Proc. R. Soc. B.","language":"en","page":"20141341","source":"DOI.org (Crossref)","title":"Reactive vaccination in the presence of disease hotspots","volume":"282","author":[{"family":"Azman","given":"Andrew S."},{"family":"Lessler","given":"Justin"}],"issued":{"date-parts":[["2015",1,7]]}}}],"schema":"https://github.com/citation-style-language/schema/raw/master/csl-citation.json"} </w:instrText>
      </w:r>
      <w:r w:rsidRPr="00097432">
        <w:fldChar w:fldCharType="separate"/>
      </w:r>
      <w:r w:rsidRPr="00097432">
        <w:rPr>
          <w:vertAlign w:val="superscript"/>
          <w:lang w:val="en-US"/>
        </w:rPr>
        <w:t>9,13–15</w:t>
      </w:r>
      <w:r w:rsidRPr="00097432">
        <w:fldChar w:fldCharType="end"/>
      </w:r>
      <w:r w:rsidRPr="00097432">
        <w:rPr>
          <w:lang w:val="en-US"/>
        </w:rPr>
        <w:t xml:space="preserve"> while others account for delays in immunogenicity, reflecting the time required for immunity to develop.</w:t>
      </w:r>
      <w:r w:rsidRPr="00097432">
        <w:t xml:space="preserve"> </w:t>
      </w:r>
      <w:r w:rsidRPr="00097432">
        <w:fldChar w:fldCharType="begin"/>
      </w:r>
      <w:r w:rsidR="00345AF1">
        <w:instrText xml:space="preserve"> ADDIN ZOTERO_ITEM CSL_CITATION {"citationID":"USI3FPwN","properties":{"formattedCitation":"\\super 1,6,8,10\\nosupersub{}","plainCitation":"1,6,8,10","noteIndex":0},"citationItems":[{"id":"EgwuGF5k/Hmz3wwbU","uris":["http://zotero.org/users/local/xDVOxgbN/items/3KCFPCDX"],"itemData":{"id":67,"type":"article-journal","container-title":"PLOS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Seidlein","given":"Lorenz"}],"issued":{"date-parts":[["2018",2,27]]}}},{"id":"EgwuGF5k/lwl7uSxR","uris":["http://zotero.org/users/local/xDVOxgbN/items/C9VJ6Y9N"],"itemData":{"id":87,"type":"article-journal","abstract":"In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M."}],"issued":{"date-parts":[["2011",4,26]]}}},{"id":"EgwuGF5k/o2xX9Gov","uris":["http://zotero.org/users/local/xDVOxgbN/items/TR5894IS"],"itemData":{"id":91,"type":"article-journal","abstract":"Abstract\n            \n              Background\n              Cholera is a major public health concern in displaced-person camps, which often contend with overcrowding and scarcity of resources. Maela, the largest and longest-standing refugee camp in Thailand, located along the Thai-Burmese border, experienced four cholera outbreaks between 2005 and 2010. In 2013, a cholera vaccine campaign was implemented in the camp. To assist in the evaluation of the campaign and planning for subsequent campaigns, we developed a mathematical model of cholera in Maela.\n            \n            \n              Methods\n              We formulated a Susceptible-Infectious-Water-Recovered-based transmission model and estimated parameters using incidence data from 2010. We next evaluated the reduction in cases conferred by several immunization strategies, varying timing, effectiveness, and resources (i.e., vaccine availability). After the vaccine campaign, we generated case forecasts for the next year, to inform on-the-ground decision-making regarding whether a booster campaign was needed.\n            \n            \n              Results\n              \n                We found that preexposure vaccination can substantially reduce the risk of cholera even when &lt;50\n                %\n                of the population is given the full two-dose series. Additionally, the preferred number of doses per person should be considered in the context of one vs. two dose effectiveness and vaccine availability. For reactive vaccination, a trade-off between timing and effectiveness was revealed, indicating that it may be beneficial to give one dose to more people rather than two doses to fewer people, given that a two-dose schedule would incur a delay in administration of the second dose. Forecasting using realistic coverage levels predicted that there was no need for a booster campaign in 2014 (consistent with our predictions, there was not a cholera epidemic in 2014).\n              \n            \n            \n              Conclusions\n              Our analyses suggest that vaccination in conjunction with ongoing water sanitation and hygiene efforts provides an effective strategy for controlling cholera outbreaks in refugee camps. Effective preexposure vaccination depends on timing and effectiveness. If a camp is facing an outbreak, delayed distribution of vaccines can substantially alter the effectiveness of reactive vaccination, suggesting that quick distribution of vaccines may be more important than ensuring every individual receives both vaccine doses. Overall, this analysis illustrates how mathematical models can be applied in public health practice, to assist in evaluating alternative intervention strategies and inform decision-making.","container-title":"BMC Infectious Diseases","DOI":"10.1186/s12879-019-4688-6","ISSN":"1471-2334","issue":"1","journalAbbreviation":"BMC Infect Dis","language":"en","page":"1075","source":"DOI.org (Crossref)","title":"Comparing alternative cholera vaccination strategies in Maela refugee camp: using a transmission model in public health practice","title-short":"Comparing alternative cholera vaccination strategies in Maela refugee camp","volume":"19","author":[{"family":"Havumaki","given":"Joshua"},{"family":"Meza","given":"Rafael"},{"family":"Phares","given":"Christina R."},{"family":"Date","given":"Kashmira"},{"family":"Eisenberg","given":"Marisa C."}],"issued":{"date-parts":[["2019",12]]}}},{"id":"EgwuGF5k/K5w3Oly2","uris":["http://zotero.org/users/local/xDVOxgbN/items/A7JBWGAG"],"itemData":{"id":97,"type":"article-journal","container-title":"PLoS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M."}],"issued":{"date-parts":[["2012",11,8]]}}}],"schema":"https://github.com/citation-style-language/schema/raw/master/csl-citation.json"} </w:instrText>
      </w:r>
      <w:r w:rsidRPr="00097432">
        <w:fldChar w:fldCharType="separate"/>
      </w:r>
      <w:r w:rsidRPr="00097432">
        <w:rPr>
          <w:vertAlign w:val="superscript"/>
          <w:lang w:val="en-US"/>
        </w:rPr>
        <w:t>1,6,8,10</w:t>
      </w:r>
      <w:r w:rsidRPr="00097432">
        <w:fldChar w:fldCharType="end"/>
      </w:r>
      <w:r w:rsidRPr="00097432">
        <w:rPr>
          <w:rFonts w:hint="eastAsia"/>
        </w:rPr>
        <w:t xml:space="preserve"> </w:t>
      </w:r>
      <w:r w:rsidRPr="00097432">
        <w:rPr>
          <w:lang w:val="en-US"/>
        </w:rPr>
        <w:t xml:space="preserve"> A modeling approach integrating realistic epidemiological diversity, immunological delays, and operational constraints of ORIs is essential to assess their impact and inform global cholera control strategies.</w:t>
      </w:r>
    </w:p>
    <w:p w14:paraId="0724CE47" w14:textId="77777777" w:rsidR="00C06B4A" w:rsidRPr="00097432" w:rsidRDefault="00C06B4A" w:rsidP="00F57F15">
      <w:pPr>
        <w:rPr>
          <w:lang w:val="en-US"/>
        </w:rPr>
      </w:pPr>
    </w:p>
    <w:p w14:paraId="22C26A0D" w14:textId="4D1BD1EA" w:rsidR="00B30966" w:rsidRDefault="00526A9F" w:rsidP="00F57F15">
      <w:pPr>
        <w:rPr>
          <w:lang w:val="en-US"/>
        </w:rPr>
      </w:pPr>
      <w:r w:rsidRPr="00097432">
        <w:rPr>
          <w:lang w:val="en-US"/>
        </w:rPr>
        <w:t xml:space="preserve">This study addresses </w:t>
      </w:r>
      <w:r w:rsidR="00EE21FD" w:rsidRPr="00097432">
        <w:rPr>
          <w:rFonts w:hint="eastAsia"/>
          <w:lang w:val="en-US"/>
        </w:rPr>
        <w:t>key evidence</w:t>
      </w:r>
      <w:r w:rsidRPr="00097432">
        <w:rPr>
          <w:lang w:val="en-US"/>
        </w:rPr>
        <w:t xml:space="preserve"> gaps by evaluating the </w:t>
      </w:r>
      <w:r w:rsidR="00EE21FD" w:rsidRPr="00097432">
        <w:rPr>
          <w:rFonts w:hint="eastAsia"/>
          <w:lang w:val="en-US"/>
        </w:rPr>
        <w:t xml:space="preserve">health and economic </w:t>
      </w:r>
      <w:r w:rsidRPr="00097432">
        <w:rPr>
          <w:lang w:val="en-US"/>
        </w:rPr>
        <w:t>impact of OCV campaigns across 1,192 cholera outbreaks in sub-Saharan Africa from 2010 to 202</w:t>
      </w:r>
      <w:r w:rsidRPr="00097432">
        <w:rPr>
          <w:rFonts w:hint="eastAsia"/>
          <w:lang w:val="en-US"/>
        </w:rPr>
        <w:t>0</w:t>
      </w:r>
      <w:r w:rsidR="00EE21FD" w:rsidRPr="00097432">
        <w:rPr>
          <w:rFonts w:hint="eastAsia"/>
          <w:lang w:val="en-US"/>
        </w:rPr>
        <w:t xml:space="preserve">. These outbreaks spanned a wide range of setting in terms of </w:t>
      </w:r>
      <w:r w:rsidRPr="00097432">
        <w:rPr>
          <w:lang w:val="en-US"/>
        </w:rPr>
        <w:t xml:space="preserve">size, duration, attack rate, and spatiotemporal distribution. </w:t>
      </w:r>
      <w:r w:rsidR="001E41A9" w:rsidRPr="00CA06A0">
        <w:rPr>
          <w:highlight w:val="yellow"/>
        </w:rPr>
        <w:t xml:space="preserve">Our analysis was guided by two key questions. First, how effective are reactive OCV campaigns when implemented during individual outbreaks, particularly under varying delays and levels of vaccination coverage? Second, what has been the overall impact of OCV deployments since the establishment of the global stockpile, when campaigns are considered collectively across multiple outbreaks? To address these questions, we conducted two complementary analyses: one estimating per-outbreak vaccine impact across a range of implementation scenarios, and another estimating overall impact by simulating vaccine deployments across a subset of outbreaks </w:t>
      </w:r>
      <w:r w:rsidR="001E41A9" w:rsidRPr="00CA06A0">
        <w:rPr>
          <w:highlight w:val="yellow"/>
        </w:rPr>
        <w:lastRenderedPageBreak/>
        <w:t>whose combined population size matched the number of OCV doses deployed globally between 2013 and 2020.</w:t>
      </w:r>
    </w:p>
    <w:p w14:paraId="3AC5626F" w14:textId="2D918828" w:rsidR="006B31C6" w:rsidRPr="00097432" w:rsidRDefault="0091383D" w:rsidP="00F57F15">
      <w:pPr>
        <w:pStyle w:val="Heading2"/>
      </w:pPr>
      <w:bookmarkStart w:id="11" w:name="_heading=h.lnxbz9" w:colFirst="0" w:colLast="0"/>
      <w:bookmarkStart w:id="12" w:name="_Toc184909199"/>
      <w:bookmarkStart w:id="13" w:name="_Hlk162276114"/>
      <w:bookmarkEnd w:id="11"/>
      <w:r w:rsidRPr="00097432">
        <w:t>Methods</w:t>
      </w:r>
      <w:bookmarkStart w:id="14" w:name="_heading=h.35nkun2" w:colFirst="0" w:colLast="0"/>
      <w:bookmarkEnd w:id="12"/>
      <w:bookmarkEnd w:id="14"/>
    </w:p>
    <w:p w14:paraId="5746FF8B" w14:textId="1BF498F2" w:rsidR="00D45E30" w:rsidRPr="00097432" w:rsidRDefault="00D45E30" w:rsidP="00C941FB">
      <w:pPr>
        <w:pStyle w:val="Heading3"/>
      </w:pPr>
      <w:bookmarkStart w:id="15" w:name="_Toc184909200"/>
      <w:r w:rsidRPr="00097432">
        <w:t>Outbreak data</w:t>
      </w:r>
      <w:bookmarkEnd w:id="15"/>
    </w:p>
    <w:p w14:paraId="291E45FF" w14:textId="32555D2A" w:rsidR="00B57CC1" w:rsidRPr="00097432" w:rsidRDefault="00BA69CB" w:rsidP="00F57F15">
      <w:r w:rsidRPr="00097432">
        <w:rPr>
          <w:rFonts w:hint="eastAsia"/>
        </w:rPr>
        <w:t>We compiled w</w:t>
      </w:r>
      <w:r w:rsidR="00743304" w:rsidRPr="00097432">
        <w:t xml:space="preserve">eekly </w:t>
      </w:r>
      <w:r w:rsidR="00994CA3" w:rsidRPr="00097432">
        <w:t xml:space="preserve">suspected </w:t>
      </w:r>
      <w:r w:rsidR="00743304" w:rsidRPr="00097432">
        <w:t xml:space="preserve">cholera incidence data from the </w:t>
      </w:r>
      <w:r w:rsidR="00B8058D" w:rsidRPr="00097432">
        <w:rPr>
          <w:rFonts w:hint="eastAsia"/>
        </w:rPr>
        <w:t>Cholera Taxonomy Data</w:t>
      </w:r>
      <w:r w:rsidRPr="00097432">
        <w:rPr>
          <w:rFonts w:hint="eastAsia"/>
        </w:rPr>
        <w:t>,</w:t>
      </w:r>
      <w:r w:rsidR="00B8058D" w:rsidRPr="00097432">
        <w:fldChar w:fldCharType="begin"/>
      </w:r>
      <w:r w:rsidR="000B5A14" w:rsidRPr="00097432">
        <w:instrText xml:space="preserve"> ADDIN ZOTERO_ITEM CSL_CITATION {"citationID":"oWyJX6gc","properties":{"formattedCitation":"\\super 32\\nosupersub{}","plainCitation":"32","noteIndex":0},"citationItems":[{"id":15237,"uris":["http://zotero.org/users/7663102/items/A7V925WC"],"itemData":{"id":15237,"type":"webpage","title":"CholeraTaxonomy","URL":"https://cholera-taxonomy.middle-distance.com/","author":[{"family":"Johns Hopkins Cholera Dynamics Team","given":""}],"accessed":{"date-parts":[["2025",1,2]]},"citation-key":"johnshopkinscholeradynamicsteamCholeraTaxonomy"}}],"schema":"https://github.com/citation-style-language/schema/raw/master/csl-citation.json"} </w:instrText>
      </w:r>
      <w:r w:rsidR="00B8058D" w:rsidRPr="00097432">
        <w:fldChar w:fldCharType="separate"/>
      </w:r>
      <w:r w:rsidR="000B5A14" w:rsidRPr="00097432">
        <w:rPr>
          <w:rFonts w:cs="Times New Roman"/>
          <w:vertAlign w:val="superscript"/>
        </w:rPr>
        <w:t>32</w:t>
      </w:r>
      <w:r w:rsidR="00B8058D" w:rsidRPr="00097432">
        <w:fldChar w:fldCharType="end"/>
      </w:r>
      <w:r w:rsidR="00F91B5E" w:rsidRPr="00097432">
        <w:t xml:space="preserve"> </w:t>
      </w:r>
      <w:r w:rsidRPr="00097432">
        <w:rPr>
          <w:rFonts w:hint="eastAsia"/>
        </w:rPr>
        <w:t xml:space="preserve">an </w:t>
      </w:r>
      <w:r w:rsidR="00F91B5E" w:rsidRPr="00097432">
        <w:t xml:space="preserve">expanded </w:t>
      </w:r>
      <w:r w:rsidRPr="00097432">
        <w:rPr>
          <w:rFonts w:hint="eastAsia"/>
        </w:rPr>
        <w:t xml:space="preserve">dataset derived </w:t>
      </w:r>
      <w:r w:rsidR="00F91B5E" w:rsidRPr="00097432">
        <w:t>from the existing database</w:t>
      </w:r>
      <w:r w:rsidRPr="00097432">
        <w:rPr>
          <w:rFonts w:hint="eastAsia"/>
        </w:rPr>
        <w:t xml:space="preserve">. This </w:t>
      </w:r>
      <w:r w:rsidR="00844022" w:rsidRPr="00097432">
        <w:rPr>
          <w:rFonts w:hint="eastAsia"/>
        </w:rPr>
        <w:t>data</w:t>
      </w:r>
      <w:r w:rsidRPr="00097432">
        <w:rPr>
          <w:rFonts w:hint="eastAsia"/>
        </w:rPr>
        <w:t xml:space="preserve"> encompasses </w:t>
      </w:r>
      <w:r w:rsidR="00763376" w:rsidRPr="00097432">
        <w:t xml:space="preserve">1,664 outbreaks </w:t>
      </w:r>
      <w:r w:rsidR="003F7829" w:rsidRPr="00097432">
        <w:t xml:space="preserve">reported </w:t>
      </w:r>
      <w:r w:rsidRPr="00097432">
        <w:rPr>
          <w:rFonts w:hint="eastAsia"/>
        </w:rPr>
        <w:t xml:space="preserve">in </w:t>
      </w:r>
      <w:r w:rsidR="0065170D" w:rsidRPr="00097432">
        <w:t xml:space="preserve">various </w:t>
      </w:r>
      <w:r w:rsidR="003F7829" w:rsidRPr="00097432">
        <w:t xml:space="preserve">administrative units </w:t>
      </w:r>
      <w:r w:rsidR="00763376" w:rsidRPr="00097432">
        <w:t>across 30 countries in sub-Saharan Africa from January 2010 to July 2023</w:t>
      </w:r>
      <w:r w:rsidR="00F91B5E" w:rsidRPr="00097432">
        <w:t>.</w:t>
      </w:r>
      <w:r w:rsidR="00286E84" w:rsidRPr="00097432">
        <w:fldChar w:fldCharType="begin"/>
      </w:r>
      <w:r w:rsidR="00426D3F" w:rsidRPr="00097432">
        <w:instrText xml:space="preserve"> ADDIN ZOTERO_ITEM CSL_CITATION {"citationID":"jdcYw5wM","properties":{"formattedCitation":"\\super 23,33\\nosupersub{}","plainCitation":"23,33","noteIndex":0},"citationItems":[{"id":7876,"uris":["http://zotero.org/users/7663102/items/CQNDTP3Y"],"itemData":{"id":7876,"type":"article-journal","container-title":"International Journal of Infectious Diseases","DOI":"10.1016/j.ijid.2022.05.039","ISSN":"1201-9712","journalAbbreviation":"IJID","language":"English","note":"publisher: Elsevier\nPMID: 35605949","page":"215-221","source":"www.ijidonline.com","title":"Cholera outbreaks in sub-Saharan Africa during 2010-2019: a descriptive analysis","title-short":"Cholera outbreaks in sub-Saharan Africa during 2010-2019","volume":"122","author":[{"family":"Zheng","given":"Qulu"},{"family":"Luquero","given":"Francisco J."},{"family":"Ciglenecki","given":"Iza"},{"family":"Wamala","given":"Joseph F."},{"family":"Abubakar","given":"Abdinasir"},{"family":"Welo","given":"Placide"},{"family":"Hussen","given":"Mukemil"},{"family":"Wossen","given":"Mesfin"},{"family":"Yennan","given":"Sebastian"},{"family":"Keita","given":"Alama"},{"family":"Lessler","given":"Justin"},{"family":"Azman","given":"Andrew S."},{"family":"Lee","given":"Elizabeth C."}],"issued":{"date-parts":[["2022",9,1]]},"citation-key":"zhengCholeraOutbreaksSubSaharan2022"}},{"id":15761,"uris":["http://zotero.org/users/7663102/items/JCYGWDIF"],"itemData":{"id":15761,"type":"article-journal","abstract":"Background Cholera remains a significant public health challenge in Africa, where outbreaks routinely strain public health and healthcare systems. Cholera surveillance time series data could be used to inform the efficient distribution of resources like oral cholera vaccine (OCV) and emergency response personnel, spur research on the impacts of different cholera control activities, and investigate longer-term epidemiologic patterns in cholera dynamics in this region. However, public reporting of cholera surveillance data historically has been sporadic and often limited to outbreak periods, thus limiting the availability of these useful time series datasets. We sought to fill this gap by preparing, cleaning, and processing weekly consecutive time series and outbreak-specific time series from 2010 to 2023 for African countries from heterogeneous data contributed to a global cholera surveillance database.","container-title":"VeriXiv","DOI":"https://doi.org/10.12688/verixiv.1061.1","issue":"116","language":"en","source":"Zotero","title":"Cholera surveillance time series in Africa between 2010 and 2023","volume":"2","author":[{"family":"Zheng","given":"Qulu"},{"family":"DePencier","given":"Rachel"},{"family":"Demby","given":"Maya N"},{"family":"Azman","given":"Andrew S"},{"family":"Lee","given":"Elizabeth C"}],"issued":{"date-parts":[["2025"]]},"citation-key":"zheng2025"}}],"schema":"https://github.com/citation-style-language/schema/raw/master/csl-citation.json"} </w:instrText>
      </w:r>
      <w:r w:rsidR="00286E84" w:rsidRPr="00097432">
        <w:fldChar w:fldCharType="separate"/>
      </w:r>
      <w:r w:rsidR="005377FB" w:rsidRPr="00097432">
        <w:rPr>
          <w:rFonts w:cs="Times New Roman"/>
          <w:vertAlign w:val="superscript"/>
        </w:rPr>
        <w:t>23,33</w:t>
      </w:r>
      <w:r w:rsidR="00286E84" w:rsidRPr="00097432">
        <w:fldChar w:fldCharType="end"/>
      </w:r>
      <w:r w:rsidR="00743304" w:rsidRPr="00097432">
        <w:t xml:space="preserve"> Outbreaks were defined by location-specific average weekly incidence thresholds, spanning from the first to the last reported suspected case</w:t>
      </w:r>
      <w:r w:rsidR="009C63EF" w:rsidRPr="00097432">
        <w:t xml:space="preserve">, with </w:t>
      </w:r>
      <w:r w:rsidRPr="00097432">
        <w:rPr>
          <w:rFonts w:hint="eastAsia"/>
        </w:rPr>
        <w:t xml:space="preserve">any </w:t>
      </w:r>
      <w:r w:rsidR="009C63EF" w:rsidRPr="00097432">
        <w:t xml:space="preserve">weeks </w:t>
      </w:r>
      <w:r w:rsidRPr="00097432">
        <w:rPr>
          <w:rFonts w:hint="eastAsia"/>
        </w:rPr>
        <w:t>lacking data</w:t>
      </w:r>
      <w:r w:rsidR="009C63EF" w:rsidRPr="00097432">
        <w:t xml:space="preserve"> assumed to have zero cases</w:t>
      </w:r>
      <w:r w:rsidR="00743304" w:rsidRPr="00097432">
        <w:t>.</w:t>
      </w:r>
      <w:r w:rsidR="000B2C70" w:rsidRPr="00097432">
        <w:fldChar w:fldCharType="begin"/>
      </w:r>
      <w:r w:rsidR="000B5A14" w:rsidRPr="00097432">
        <w:instrText xml:space="preserve"> ADDIN ZOTERO_ITEM CSL_CITATION {"citationID":"S20QoVfg","properties":{"formattedCitation":"\\super 30\\nosupersub{}","plainCitation":"30","noteIndex":0},"citationItems":[{"id":15218,"uris":["http://zotero.org/users/7663102/items/UWYP5WF6"],"itemData":{"id":15218,"type":"manuscript","event-place":"In preparation","publisher-place":"In preparation","title":"Cholera outbreak time series in Africa between 2010 and 2023.","author":[{"family":"Zheng","given":"Q."},{"family":"Lee","given":"E. C."}],"citation-key":"zhengCholeraOutbreakTime"}}],"schema":"https://github.com/citation-style-language/schema/raw/master/csl-citation.json"} </w:instrText>
      </w:r>
      <w:r w:rsidR="000B2C70" w:rsidRPr="00097432">
        <w:fldChar w:fldCharType="separate"/>
      </w:r>
      <w:r w:rsidR="00900C32" w:rsidRPr="00097432">
        <w:rPr>
          <w:rFonts w:cs="Times New Roman"/>
          <w:vertAlign w:val="superscript"/>
        </w:rPr>
        <w:t>30</w:t>
      </w:r>
      <w:r w:rsidR="000B2C70" w:rsidRPr="00097432">
        <w:fldChar w:fldCharType="end"/>
      </w:r>
      <w:r w:rsidR="00763376" w:rsidRPr="00097432">
        <w:t xml:space="preserve"> </w:t>
      </w:r>
      <w:r w:rsidR="00B57CC1" w:rsidRPr="00097432">
        <w:rPr>
          <w:rFonts w:hint="eastAsia"/>
        </w:rPr>
        <w:t>Out of 1,664 outbreaks</w:t>
      </w:r>
      <w:r w:rsidR="00844022" w:rsidRPr="00097432">
        <w:rPr>
          <w:rFonts w:hint="eastAsia"/>
        </w:rPr>
        <w:t>, w</w:t>
      </w:r>
      <w:r w:rsidR="00C941FB" w:rsidRPr="00097432">
        <w:rPr>
          <w:rFonts w:hint="eastAsia"/>
        </w:rPr>
        <w:t xml:space="preserve">e excluded </w:t>
      </w:r>
      <w:r w:rsidR="005706E9" w:rsidRPr="00097432">
        <w:rPr>
          <w:rFonts w:hint="eastAsia"/>
        </w:rPr>
        <w:t>the ones</w:t>
      </w:r>
      <w:r w:rsidR="00C941FB" w:rsidRPr="00097432">
        <w:rPr>
          <w:rFonts w:hint="eastAsia"/>
        </w:rPr>
        <w:t xml:space="preserve"> that</w:t>
      </w:r>
      <w:r w:rsidR="005706E9" w:rsidRPr="00097432">
        <w:rPr>
          <w:rFonts w:hint="eastAsia"/>
        </w:rPr>
        <w:t xml:space="preserve"> are not </w:t>
      </w:r>
      <w:r w:rsidR="00C941FB" w:rsidRPr="00097432">
        <w:rPr>
          <w:rFonts w:hint="eastAsia"/>
        </w:rPr>
        <w:t>appropriate for modeling the impact of ORI</w:t>
      </w:r>
      <w:r w:rsidR="00AC65FA" w:rsidRPr="00097432">
        <w:rPr>
          <w:rFonts w:hint="eastAsia"/>
        </w:rPr>
        <w:t>s</w:t>
      </w:r>
      <w:r w:rsidR="00C941FB" w:rsidRPr="00097432">
        <w:rPr>
          <w:rFonts w:hint="eastAsia"/>
        </w:rPr>
        <w:t xml:space="preserve">. First, </w:t>
      </w:r>
      <w:r w:rsidR="00AC4336" w:rsidRPr="00097432">
        <w:rPr>
          <w:rFonts w:hint="eastAsia"/>
        </w:rPr>
        <w:t xml:space="preserve">to include </w:t>
      </w:r>
      <w:r w:rsidR="00AC4336" w:rsidRPr="00097432">
        <w:t xml:space="preserve">outbreaks that </w:t>
      </w:r>
      <w:r w:rsidR="00AC4336" w:rsidRPr="00097432">
        <w:rPr>
          <w:rFonts w:hint="eastAsia"/>
        </w:rPr>
        <w:t xml:space="preserve">match </w:t>
      </w:r>
      <w:r w:rsidR="00AC4336" w:rsidRPr="00097432">
        <w:t>with historical OCV deployment scales</w:t>
      </w:r>
      <w:r w:rsidR="00AC4336" w:rsidRPr="00097432">
        <w:rPr>
          <w:rFonts w:hint="eastAsia"/>
        </w:rPr>
        <w:t xml:space="preserve">, </w:t>
      </w:r>
      <w:r w:rsidR="00C941FB" w:rsidRPr="00097432">
        <w:rPr>
          <w:rFonts w:hint="eastAsia"/>
        </w:rPr>
        <w:t xml:space="preserve">we excluded outbreaks reported at the administrative units </w:t>
      </w:r>
      <w:r w:rsidR="005706E9" w:rsidRPr="00097432">
        <w:rPr>
          <w:rFonts w:hint="eastAsia"/>
        </w:rPr>
        <w:t xml:space="preserve">with </w:t>
      </w:r>
      <w:r w:rsidR="00C941FB" w:rsidRPr="00097432">
        <w:rPr>
          <w:rFonts w:hint="eastAsia"/>
        </w:rPr>
        <w:t>population size</w:t>
      </w:r>
      <w:r w:rsidR="00AC4336" w:rsidRPr="00097432">
        <w:rPr>
          <w:rFonts w:hint="eastAsia"/>
        </w:rPr>
        <w:t xml:space="preserve"> that is</w:t>
      </w:r>
      <w:r w:rsidR="00AC4336" w:rsidRPr="00097432">
        <w:t xml:space="preserve"> bigger than the reported maximum doses (5 million doses) </w:t>
      </w:r>
      <w:r w:rsidR="00AC4336" w:rsidRPr="00097432">
        <w:rPr>
          <w:rFonts w:hint="eastAsia"/>
        </w:rPr>
        <w:t>or</w:t>
      </w:r>
      <w:r w:rsidR="00AC4336" w:rsidRPr="00097432">
        <w:t xml:space="preserve"> smaller th</w:t>
      </w:r>
      <w:r w:rsidR="00AC4336" w:rsidRPr="00097432">
        <w:rPr>
          <w:rFonts w:hint="eastAsia"/>
        </w:rPr>
        <w:t>a</w:t>
      </w:r>
      <w:r w:rsidR="00AC4336" w:rsidRPr="00097432">
        <w:t>n the minimum doses (16,500 doses) of historic OCV deployment.</w:t>
      </w:r>
      <w:r w:rsidR="003D795F" w:rsidRPr="00097432">
        <w:fldChar w:fldCharType="begin"/>
      </w:r>
      <w:r w:rsidR="005377FB" w:rsidRPr="00097432">
        <w:instrText xml:space="preserve"> ADDIN ZOTERO_ITEM CSL_CITATION {"citationID":"z6G6liP1","properties":{"formattedCitation":"\\super 34\\nosupersub{}","plainCitation":"34","noteIndex":0},"citationItems":[{"id":15101,"uris":["http://zotero.org/users/7663102/items/TX7JU4AF"],"itemData":{"id":15101,"type":"webpage","title":"GTFCC OCV Dashboard","URL":"https://apps.epicentre-msf.org/public/app/gtfcc","accessed":{"date-parts":[["2024",11,7]]},"citation-key":"GTFCCOCVDashboard"}}],"schema":"https://github.com/citation-style-language/schema/raw/master/csl-citation.json"} </w:instrText>
      </w:r>
      <w:r w:rsidR="003D795F" w:rsidRPr="00097432">
        <w:fldChar w:fldCharType="separate"/>
      </w:r>
      <w:r w:rsidR="005377FB" w:rsidRPr="00097432">
        <w:rPr>
          <w:rFonts w:cs="Times New Roman"/>
          <w:vertAlign w:val="superscript"/>
        </w:rPr>
        <w:t>34</w:t>
      </w:r>
      <w:r w:rsidR="003D795F" w:rsidRPr="00097432">
        <w:fldChar w:fldCharType="end"/>
      </w:r>
      <w:r w:rsidR="00844022" w:rsidRPr="00097432">
        <w:rPr>
          <w:rFonts w:hint="eastAsia"/>
        </w:rPr>
        <w:t xml:space="preserve"> </w:t>
      </w:r>
      <w:r w:rsidR="00C941FB" w:rsidRPr="00097432">
        <w:rPr>
          <w:rFonts w:hint="eastAsia"/>
        </w:rPr>
        <w:t xml:space="preserve">Second, when outbreaks were reported across multiple administrative unit levels, we excluded smaller </w:t>
      </w:r>
      <w:r w:rsidR="009140DE" w:rsidRPr="00097432">
        <w:rPr>
          <w:rFonts w:hint="eastAsia"/>
        </w:rPr>
        <w:t xml:space="preserve">nested </w:t>
      </w:r>
      <w:r w:rsidR="00C941FB" w:rsidRPr="00097432">
        <w:rPr>
          <w:rFonts w:hint="eastAsia"/>
        </w:rPr>
        <w:t>outbreaks</w:t>
      </w:r>
      <w:r w:rsidR="009140DE" w:rsidRPr="00097432">
        <w:rPr>
          <w:rFonts w:hint="eastAsia"/>
        </w:rPr>
        <w:t xml:space="preserve"> within the largest outbreak</w:t>
      </w:r>
      <w:r w:rsidR="00C941FB" w:rsidRPr="00097432">
        <w:rPr>
          <w:rFonts w:hint="eastAsia"/>
        </w:rPr>
        <w:t xml:space="preserve"> while keeping only the largest outbreak</w:t>
      </w:r>
      <w:r w:rsidR="00AC65FA" w:rsidRPr="00097432">
        <w:rPr>
          <w:rFonts w:hint="eastAsia"/>
        </w:rPr>
        <w:t xml:space="preserve">. Nested outbreaks were </w:t>
      </w:r>
      <w:r w:rsidR="009140DE" w:rsidRPr="00097432">
        <w:rPr>
          <w:rFonts w:hint="eastAsia"/>
        </w:rPr>
        <w:t>defined as those of which start date, end date, case count, and locations are encapsulated by the largest outbreak.</w:t>
      </w:r>
      <w:r w:rsidR="001946A6" w:rsidRPr="00097432">
        <w:rPr>
          <w:rFonts w:hint="eastAsia"/>
        </w:rPr>
        <w:t xml:space="preserve"> For some outbreaks, </w:t>
      </w:r>
      <w:r w:rsidR="00C941FB" w:rsidRPr="00097432">
        <w:rPr>
          <w:rFonts w:hint="eastAsia"/>
        </w:rPr>
        <w:t xml:space="preserve">the same or even </w:t>
      </w:r>
      <w:r w:rsidR="00072756" w:rsidRPr="00097432">
        <w:t>larger</w:t>
      </w:r>
      <w:r w:rsidR="00C941FB" w:rsidRPr="00097432">
        <w:rPr>
          <w:rFonts w:hint="eastAsia"/>
        </w:rPr>
        <w:t xml:space="preserve"> number of cases were reported at smaller administrative units,</w:t>
      </w:r>
      <w:r w:rsidR="001946A6" w:rsidRPr="00097432">
        <w:rPr>
          <w:rFonts w:hint="eastAsia"/>
        </w:rPr>
        <w:t xml:space="preserve"> and in these cases,</w:t>
      </w:r>
      <w:r w:rsidR="00C941FB" w:rsidRPr="00097432">
        <w:rPr>
          <w:rFonts w:hint="eastAsia"/>
        </w:rPr>
        <w:t xml:space="preserve"> smaller outbreaks were retained while larger outbreaks were excluded. </w:t>
      </w:r>
      <w:r w:rsidR="00825644" w:rsidRPr="00825644">
        <w:rPr>
          <w:highlight w:val="yellow"/>
        </w:rPr>
        <w:t>Third, we excluded outbreaks that may have already been influenced by OCVs, defined as those where vaccination campaigns occurred within the three years prior to or during the outbreak.</w:t>
      </w:r>
      <w:r w:rsidR="00825644">
        <w:rPr>
          <w:rFonts w:hint="eastAsia"/>
        </w:rPr>
        <w:t xml:space="preserve"> </w:t>
      </w:r>
      <w:r w:rsidR="00AC4336" w:rsidRPr="00097432">
        <w:rPr>
          <w:rFonts w:hint="eastAsia"/>
        </w:rPr>
        <w:t xml:space="preserve">Finally, we also excluded outbreaks that were reported after 1 </w:t>
      </w:r>
      <w:r w:rsidR="00AC4336" w:rsidRPr="00097432">
        <w:t>January</w:t>
      </w:r>
      <w:r w:rsidR="00AC4336" w:rsidRPr="00097432">
        <w:rPr>
          <w:rFonts w:hint="eastAsia"/>
        </w:rPr>
        <w:t xml:space="preserve"> 202</w:t>
      </w:r>
      <w:r w:rsidR="00DB6486" w:rsidRPr="00097432">
        <w:rPr>
          <w:rFonts w:hint="eastAsia"/>
        </w:rPr>
        <w:t>2</w:t>
      </w:r>
      <w:r w:rsidR="00AC4336" w:rsidRPr="00097432">
        <w:rPr>
          <w:rFonts w:hint="eastAsia"/>
        </w:rPr>
        <w:t xml:space="preserve"> for </w:t>
      </w:r>
      <w:r w:rsidR="00AC4336" w:rsidRPr="00097432">
        <w:t>which</w:t>
      </w:r>
      <w:r w:rsidR="00AC4336" w:rsidRPr="00097432">
        <w:rPr>
          <w:rFonts w:hint="eastAsia"/>
        </w:rPr>
        <w:t xml:space="preserve"> OCV campaign information is not available.</w:t>
      </w:r>
      <w:r w:rsidR="00685FA9" w:rsidRPr="00097432">
        <w:rPr>
          <w:rFonts w:hint="eastAsia"/>
        </w:rPr>
        <w:t xml:space="preserve"> </w:t>
      </w:r>
      <w:r w:rsidR="001946A6" w:rsidRPr="00097432">
        <w:rPr>
          <w:rFonts w:hint="eastAsia"/>
        </w:rPr>
        <w:t xml:space="preserve">After excluding these </w:t>
      </w:r>
      <w:r w:rsidR="00D95409" w:rsidRPr="00097432">
        <w:rPr>
          <w:rFonts w:hint="eastAsia"/>
        </w:rPr>
        <w:t>472</w:t>
      </w:r>
      <w:r w:rsidR="001946A6" w:rsidRPr="00097432">
        <w:rPr>
          <w:rFonts w:hint="eastAsia"/>
        </w:rPr>
        <w:t xml:space="preserve"> outbreaks, </w:t>
      </w:r>
      <w:r w:rsidR="00685FA9" w:rsidRPr="00097432">
        <w:rPr>
          <w:rFonts w:hint="eastAsia"/>
        </w:rPr>
        <w:t>we</w:t>
      </w:r>
      <w:r w:rsidR="001946A6" w:rsidRPr="00097432">
        <w:rPr>
          <w:rFonts w:hint="eastAsia"/>
        </w:rPr>
        <w:t xml:space="preserve"> evaluated the impact of </w:t>
      </w:r>
      <w:r w:rsidR="00685FA9" w:rsidRPr="00097432">
        <w:rPr>
          <w:rFonts w:hint="eastAsia"/>
        </w:rPr>
        <w:t xml:space="preserve">ORIs in </w:t>
      </w:r>
      <w:r w:rsidR="007F20C7" w:rsidRPr="00097432">
        <w:rPr>
          <w:rFonts w:hint="eastAsia"/>
        </w:rPr>
        <w:t>1,192</w:t>
      </w:r>
      <w:r w:rsidR="00685FA9" w:rsidRPr="00097432">
        <w:rPr>
          <w:rFonts w:hint="eastAsia"/>
        </w:rPr>
        <w:t xml:space="preserve"> outbreaks</w:t>
      </w:r>
      <w:r w:rsidR="004B3898" w:rsidRPr="00097432">
        <w:rPr>
          <w:rFonts w:hint="eastAsia"/>
        </w:rPr>
        <w:t>.</w:t>
      </w:r>
      <w:r w:rsidR="00C941FB" w:rsidRPr="00097432">
        <w:rPr>
          <w:rFonts w:hint="eastAsia"/>
        </w:rPr>
        <w:t xml:space="preserve"> </w:t>
      </w:r>
      <w:r w:rsidR="004B3898" w:rsidRPr="00097432">
        <w:rPr>
          <w:rFonts w:hint="eastAsia"/>
        </w:rPr>
        <w:t>The outcomes were reported as</w:t>
      </w:r>
      <w:r w:rsidR="004B3898" w:rsidRPr="00097432">
        <w:t xml:space="preserve"> cases, deaths, and disability-adjusted life years (DALY</w:t>
      </w:r>
      <w:r w:rsidR="004B3898" w:rsidRPr="00097432">
        <w:rPr>
          <w:rFonts w:hint="eastAsia"/>
        </w:rPr>
        <w:t>s</w:t>
      </w:r>
      <w:r w:rsidR="004B3898" w:rsidRPr="00097432">
        <w:t>)</w:t>
      </w:r>
      <w:r w:rsidR="004B3898" w:rsidRPr="00097432">
        <w:rPr>
          <w:rFonts w:hint="eastAsia"/>
        </w:rPr>
        <w:t xml:space="preserve"> averted, which were</w:t>
      </w:r>
      <w:r w:rsidR="001946A6" w:rsidRPr="00097432">
        <w:rPr>
          <w:rFonts w:hint="eastAsia"/>
        </w:rPr>
        <w:t xml:space="preserve"> also</w:t>
      </w:r>
      <w:r w:rsidR="004B3898" w:rsidRPr="00097432">
        <w:rPr>
          <w:rFonts w:hint="eastAsia"/>
        </w:rPr>
        <w:t xml:space="preserve"> converted to </w:t>
      </w:r>
      <w:r w:rsidR="004B3898" w:rsidRPr="00097432">
        <w:t>vaccination campaign efficiency</w:t>
      </w:r>
      <w:r w:rsidR="004B3898" w:rsidRPr="00097432">
        <w:rPr>
          <w:rFonts w:hint="eastAsia"/>
        </w:rPr>
        <w:t xml:space="preserve"> metrics (e.g., cases,</w:t>
      </w:r>
      <w:r w:rsidR="004B3898" w:rsidRPr="00097432">
        <w:t xml:space="preserve"> </w:t>
      </w:r>
      <w:r w:rsidR="004B3898" w:rsidRPr="00097432">
        <w:lastRenderedPageBreak/>
        <w:t xml:space="preserve">deaths, </w:t>
      </w:r>
      <w:r w:rsidR="004B3898" w:rsidRPr="00097432">
        <w:rPr>
          <w:rFonts w:hint="eastAsia"/>
        </w:rPr>
        <w:t>and</w:t>
      </w:r>
      <w:r w:rsidR="004B3898" w:rsidRPr="00097432">
        <w:t xml:space="preserve"> DALYs averted per 1,000 OCVs</w:t>
      </w:r>
      <w:r w:rsidR="004B3898" w:rsidRPr="00097432">
        <w:rPr>
          <w:rFonts w:hint="eastAsia"/>
        </w:rPr>
        <w:t>)</w:t>
      </w:r>
      <w:r w:rsidR="004B3898" w:rsidRPr="00097432">
        <w:t xml:space="preserve"> and cost-effectiveness</w:t>
      </w:r>
      <w:r w:rsidR="004B3898" w:rsidRPr="00097432">
        <w:rPr>
          <w:rFonts w:hint="eastAsia"/>
        </w:rPr>
        <w:t xml:space="preserve"> metrics (e.g., </w:t>
      </w:r>
      <w:r w:rsidR="004B3898" w:rsidRPr="00097432">
        <w:t>cost per case, death, or DALY averted</w:t>
      </w:r>
      <w:r w:rsidR="004B3898" w:rsidRPr="00097432">
        <w:rPr>
          <w:rFonts w:hint="eastAsia"/>
        </w:rPr>
        <w:t xml:space="preserve">) </w:t>
      </w:r>
      <w:r w:rsidR="00C941FB" w:rsidRPr="00097432">
        <w:rPr>
          <w:rFonts w:hint="eastAsia"/>
        </w:rPr>
        <w:t>(</w:t>
      </w:r>
      <w:r w:rsidR="00C941FB" w:rsidRPr="00097432">
        <w:rPr>
          <w:rFonts w:hint="eastAsia"/>
          <w:b/>
          <w:bCs/>
        </w:rPr>
        <w:t>Figure 1A</w:t>
      </w:r>
      <w:r w:rsidR="00C941FB" w:rsidRPr="00097432">
        <w:rPr>
          <w:rFonts w:hint="eastAsia"/>
        </w:rPr>
        <w:t>)</w:t>
      </w:r>
      <w:r w:rsidR="00C941FB" w:rsidRPr="00097432">
        <w:t>.</w:t>
      </w:r>
      <w:r w:rsidR="00685FA9" w:rsidRPr="00097432">
        <w:rPr>
          <w:rFonts w:hint="eastAsia"/>
        </w:rPr>
        <w:t xml:space="preserve"> </w:t>
      </w:r>
    </w:p>
    <w:p w14:paraId="7C54179F" w14:textId="1156DF7A" w:rsidR="00763376" w:rsidRPr="00097432" w:rsidRDefault="00D951EA" w:rsidP="00C941FB">
      <w:pPr>
        <w:pStyle w:val="Heading3"/>
      </w:pPr>
      <w:bookmarkStart w:id="16" w:name="_Toc184909201"/>
      <w:r w:rsidRPr="00097432">
        <w:t xml:space="preserve">Modeling the </w:t>
      </w:r>
      <w:r w:rsidR="00763376" w:rsidRPr="00097432">
        <w:t xml:space="preserve">vaccine </w:t>
      </w:r>
      <w:r w:rsidRPr="00097432">
        <w:t>impact</w:t>
      </w:r>
      <w:bookmarkEnd w:id="16"/>
    </w:p>
    <w:p w14:paraId="21E88AB6" w14:textId="0663BBEB" w:rsidR="00B239A5" w:rsidRPr="00097432" w:rsidRDefault="00EB7971" w:rsidP="00B239A5">
      <w:r w:rsidRPr="00097432">
        <w:rPr>
          <w:rFonts w:hint="eastAsia"/>
        </w:rPr>
        <w:t>Our model simulated</w:t>
      </w:r>
      <w:r w:rsidR="00D937AF" w:rsidRPr="00097432">
        <w:rPr>
          <w:rFonts w:hint="eastAsia"/>
        </w:rPr>
        <w:t xml:space="preserve"> weekly</w:t>
      </w:r>
      <w:r w:rsidRPr="00097432">
        <w:rPr>
          <w:rFonts w:hint="eastAsia"/>
        </w:rPr>
        <w:t xml:space="preserve"> c</w:t>
      </w:r>
      <w:r w:rsidRPr="00097432">
        <w:t>ase counts under counterfactual vaccination scenarios</w:t>
      </w:r>
      <w:r w:rsidR="00B239A5" w:rsidRPr="00097432">
        <w:rPr>
          <w:rFonts w:hint="eastAsia"/>
        </w:rPr>
        <w:t xml:space="preserve"> in which all conditions are the same except for the presence of vaccination</w:t>
      </w:r>
      <w:r w:rsidR="00F955AB" w:rsidRPr="00097432">
        <w:rPr>
          <w:rFonts w:hint="eastAsia"/>
        </w:rPr>
        <w:t xml:space="preserve"> campaigns</w:t>
      </w:r>
      <w:r w:rsidR="00B239A5" w:rsidRPr="00097432">
        <w:rPr>
          <w:rFonts w:hint="eastAsia"/>
        </w:rPr>
        <w:t xml:space="preserve">. The impact of ORIs </w:t>
      </w:r>
      <w:r w:rsidR="008E4AD4" w:rsidRPr="00097432">
        <w:rPr>
          <w:rFonts w:hint="eastAsia"/>
        </w:rPr>
        <w:t xml:space="preserve">is based on </w:t>
      </w:r>
      <w:r w:rsidR="00B239A5" w:rsidRPr="00097432">
        <w:t>cases averted</w:t>
      </w:r>
      <w:r w:rsidR="00B239A5" w:rsidRPr="00097432">
        <w:rPr>
          <w:rFonts w:hint="eastAsia"/>
        </w:rPr>
        <w:t xml:space="preserve"> </w:t>
      </w:r>
      <w:r w:rsidR="00D937AF" w:rsidRPr="00097432">
        <w:rPr>
          <w:rFonts w:hint="eastAsia"/>
        </w:rPr>
        <w:t xml:space="preserve">through vaccination </w:t>
      </w:r>
      <w:r w:rsidR="00B239A5" w:rsidRPr="00097432">
        <w:rPr>
          <w:rFonts w:hint="eastAsia"/>
        </w:rPr>
        <w:t>(</w:t>
      </w:r>
      <w:r w:rsidR="008E6CE0" w:rsidRPr="00097432">
        <w:rPr>
          <w:rFonts w:hint="eastAsia"/>
        </w:rPr>
        <w:t>Top panel in</w:t>
      </w:r>
      <w:r w:rsidR="008E6CE0" w:rsidRPr="00097432">
        <w:rPr>
          <w:rFonts w:hint="eastAsia"/>
          <w:b/>
          <w:bCs/>
        </w:rPr>
        <w:t xml:space="preserve"> </w:t>
      </w:r>
      <w:r w:rsidR="00B239A5" w:rsidRPr="00097432">
        <w:rPr>
          <w:rFonts w:hint="eastAsia"/>
          <w:b/>
          <w:bCs/>
        </w:rPr>
        <w:t>Figure</w:t>
      </w:r>
      <w:r w:rsidR="00B239A5" w:rsidRPr="00097432">
        <w:rPr>
          <w:rFonts w:hint="eastAsia"/>
        </w:rPr>
        <w:t xml:space="preserve"> </w:t>
      </w:r>
      <w:r w:rsidR="00B239A5" w:rsidRPr="00097432">
        <w:rPr>
          <w:rFonts w:hint="eastAsia"/>
          <w:b/>
          <w:bCs/>
        </w:rPr>
        <w:t>1B</w:t>
      </w:r>
      <w:r w:rsidR="00B239A5" w:rsidRPr="00097432">
        <w:rPr>
          <w:rFonts w:hint="eastAsia"/>
        </w:rPr>
        <w:t>)</w:t>
      </w:r>
      <w:r w:rsidR="00B239A5" w:rsidRPr="00097432">
        <w:t>.</w:t>
      </w:r>
      <w:r w:rsidR="00B239A5" w:rsidRPr="00097432">
        <w:rPr>
          <w:rFonts w:hint="eastAsia"/>
        </w:rPr>
        <w:t xml:space="preserve"> </w:t>
      </w:r>
      <w:r w:rsidR="008E6CE0" w:rsidRPr="004F0994">
        <w:rPr>
          <w:rFonts w:hint="eastAsia"/>
          <w:highlight w:val="yellow"/>
        </w:rPr>
        <w:t>ORI</w:t>
      </w:r>
      <w:r w:rsidR="004F0994" w:rsidRPr="004F0994">
        <w:rPr>
          <w:rFonts w:hint="eastAsia"/>
          <w:highlight w:val="yellow"/>
        </w:rPr>
        <w:t xml:space="preserve"> may not take place because </w:t>
      </w:r>
      <w:r w:rsidR="001D33D5" w:rsidRPr="004F0994">
        <w:rPr>
          <w:rFonts w:hint="eastAsia"/>
          <w:highlight w:val="yellow"/>
        </w:rPr>
        <w:t xml:space="preserve">outbreaks </w:t>
      </w:r>
      <w:r w:rsidR="004F0994" w:rsidRPr="004F0994">
        <w:rPr>
          <w:rFonts w:hint="eastAsia"/>
          <w:highlight w:val="yellow"/>
        </w:rPr>
        <w:t>ended</w:t>
      </w:r>
      <w:r w:rsidR="004F0994">
        <w:rPr>
          <w:rFonts w:hint="eastAsia"/>
        </w:rPr>
        <w:t xml:space="preserve"> </w:t>
      </w:r>
      <w:r w:rsidR="008E4AD4" w:rsidRPr="00097432">
        <w:rPr>
          <w:rFonts w:hint="eastAsia"/>
        </w:rPr>
        <w:t>or</w:t>
      </w:r>
      <w:r w:rsidR="008E6CE0" w:rsidRPr="00097432">
        <w:rPr>
          <w:rFonts w:hint="eastAsia"/>
        </w:rPr>
        <w:t xml:space="preserve"> m</w:t>
      </w:r>
      <w:r w:rsidR="001D33D5" w:rsidRPr="00097432">
        <w:rPr>
          <w:rFonts w:hint="eastAsia"/>
        </w:rPr>
        <w:t>ay</w:t>
      </w:r>
      <w:r w:rsidR="008E4AD4" w:rsidRPr="00097432">
        <w:rPr>
          <w:rFonts w:hint="eastAsia"/>
        </w:rPr>
        <w:t xml:space="preserve"> </w:t>
      </w:r>
      <w:r w:rsidR="003A519B" w:rsidRPr="00097432">
        <w:rPr>
          <w:rFonts w:hint="eastAsia"/>
        </w:rPr>
        <w:t>begin</w:t>
      </w:r>
      <w:r w:rsidR="008E4AD4" w:rsidRPr="00097432">
        <w:rPr>
          <w:rFonts w:hint="eastAsia"/>
        </w:rPr>
        <w:t xml:space="preserve"> before the outbreak </w:t>
      </w:r>
      <w:proofErr w:type="gramStart"/>
      <w:r w:rsidR="008E4AD4" w:rsidRPr="00097432">
        <w:rPr>
          <w:rFonts w:hint="eastAsia"/>
        </w:rPr>
        <w:t>ended</w:t>
      </w:r>
      <w:r w:rsidR="003A519B" w:rsidRPr="00097432">
        <w:rPr>
          <w:rFonts w:hint="eastAsia"/>
        </w:rPr>
        <w:t>, ye</w:t>
      </w:r>
      <w:r w:rsidR="008E4AD4" w:rsidRPr="00097432">
        <w:rPr>
          <w:rFonts w:hint="eastAsia"/>
        </w:rPr>
        <w:t>t</w:t>
      </w:r>
      <w:proofErr w:type="gramEnd"/>
      <w:r w:rsidR="001D33D5" w:rsidRPr="00097432">
        <w:rPr>
          <w:rFonts w:hint="eastAsia"/>
        </w:rPr>
        <w:t xml:space="preserve"> </w:t>
      </w:r>
      <w:r w:rsidR="003A519B" w:rsidRPr="00097432">
        <w:rPr>
          <w:rFonts w:hint="eastAsia"/>
        </w:rPr>
        <w:t>produce no</w:t>
      </w:r>
      <w:r w:rsidR="001D33D5" w:rsidRPr="00097432">
        <w:rPr>
          <w:rFonts w:hint="eastAsia"/>
        </w:rPr>
        <w:t xml:space="preserve"> impact </w:t>
      </w:r>
      <w:r w:rsidR="003A519B" w:rsidRPr="00097432">
        <w:rPr>
          <w:rFonts w:hint="eastAsia"/>
        </w:rPr>
        <w:t xml:space="preserve">due to the time </w:t>
      </w:r>
      <w:r w:rsidR="003A519B" w:rsidRPr="00097432">
        <w:t>required for implementation and the delay in conferring vaccine-derived immunity to recipients</w:t>
      </w:r>
      <w:r w:rsidR="003A519B" w:rsidRPr="00097432">
        <w:rPr>
          <w:rFonts w:hint="eastAsia"/>
        </w:rPr>
        <w:t xml:space="preserve"> </w:t>
      </w:r>
      <w:r w:rsidR="008E6CE0" w:rsidRPr="00097432">
        <w:rPr>
          <w:rFonts w:hint="eastAsia"/>
        </w:rPr>
        <w:t>(Second panel in</w:t>
      </w:r>
      <w:r w:rsidR="008E6CE0" w:rsidRPr="00097432">
        <w:rPr>
          <w:rFonts w:hint="eastAsia"/>
          <w:b/>
          <w:bCs/>
        </w:rPr>
        <w:t xml:space="preserve"> Figure</w:t>
      </w:r>
      <w:r w:rsidR="008E6CE0" w:rsidRPr="00097432">
        <w:rPr>
          <w:rFonts w:hint="eastAsia"/>
        </w:rPr>
        <w:t xml:space="preserve"> </w:t>
      </w:r>
      <w:r w:rsidR="008E6CE0" w:rsidRPr="00097432">
        <w:rPr>
          <w:rFonts w:hint="eastAsia"/>
          <w:b/>
          <w:bCs/>
        </w:rPr>
        <w:t>1B</w:t>
      </w:r>
      <w:r w:rsidR="008E6CE0" w:rsidRPr="00097432">
        <w:rPr>
          <w:rFonts w:hint="eastAsia"/>
        </w:rPr>
        <w:t>)</w:t>
      </w:r>
      <w:r w:rsidR="001D33D5" w:rsidRPr="00097432">
        <w:rPr>
          <w:rFonts w:hint="eastAsia"/>
        </w:rPr>
        <w:t xml:space="preserve">. </w:t>
      </w:r>
      <w:r w:rsidR="00B239A5" w:rsidRPr="00097432">
        <w:rPr>
          <w:rFonts w:hint="eastAsia"/>
        </w:rPr>
        <w:t xml:space="preserve">The impact of ORI </w:t>
      </w:r>
      <w:r w:rsidR="008E6CE0" w:rsidRPr="00097432">
        <w:rPr>
          <w:rFonts w:hint="eastAsia"/>
        </w:rPr>
        <w:t>can</w:t>
      </w:r>
      <w:r w:rsidR="00B239A5" w:rsidRPr="00097432">
        <w:rPr>
          <w:rFonts w:hint="eastAsia"/>
        </w:rPr>
        <w:t xml:space="preserve"> be </w:t>
      </w:r>
      <w:r w:rsidR="008E6CE0" w:rsidRPr="00097432">
        <w:rPr>
          <w:rFonts w:hint="eastAsia"/>
        </w:rPr>
        <w:t xml:space="preserve">evaluated </w:t>
      </w:r>
      <w:r w:rsidR="00B239A5" w:rsidRPr="00097432">
        <w:rPr>
          <w:rFonts w:hint="eastAsia"/>
        </w:rPr>
        <w:t xml:space="preserve">at the individual outbreak level and collectively across multiple outbreaks. </w:t>
      </w:r>
      <w:r w:rsidR="00D95409" w:rsidRPr="00097432">
        <w:rPr>
          <w:rFonts w:hint="eastAsia"/>
        </w:rPr>
        <w:t>T</w:t>
      </w:r>
      <w:r w:rsidR="00B239A5" w:rsidRPr="00097432">
        <w:rPr>
          <w:rFonts w:hint="eastAsia"/>
        </w:rPr>
        <w:t>he impact of ORIs tends to be larger for a larger outbreak (</w:t>
      </w:r>
      <w:r w:rsidR="001D33D5" w:rsidRPr="00097432">
        <w:rPr>
          <w:rFonts w:hint="eastAsia"/>
        </w:rPr>
        <w:t>third</w:t>
      </w:r>
      <w:r w:rsidR="00D937AF" w:rsidRPr="00097432">
        <w:rPr>
          <w:rFonts w:hint="eastAsia"/>
        </w:rPr>
        <w:t xml:space="preserve"> panel of </w:t>
      </w:r>
      <w:r w:rsidR="00B239A5" w:rsidRPr="00097432">
        <w:rPr>
          <w:rFonts w:hint="eastAsia"/>
          <w:b/>
          <w:bCs/>
        </w:rPr>
        <w:t>Figure 1B</w:t>
      </w:r>
      <w:r w:rsidR="00D937AF" w:rsidRPr="00097432">
        <w:rPr>
          <w:rFonts w:hint="eastAsia"/>
          <w:b/>
          <w:bCs/>
        </w:rPr>
        <w:t>)</w:t>
      </w:r>
      <w:r w:rsidR="00D95409" w:rsidRPr="00097432">
        <w:rPr>
          <w:rFonts w:hint="eastAsia"/>
        </w:rPr>
        <w:t xml:space="preserve"> and therefore th</w:t>
      </w:r>
      <w:r w:rsidR="00B239A5" w:rsidRPr="00097432">
        <w:rPr>
          <w:rFonts w:hint="eastAsia"/>
        </w:rPr>
        <w:t xml:space="preserve">e overall impact across multiple heterogeneous outbreaks tends to be larger when it </w:t>
      </w:r>
      <w:r w:rsidR="00B239A5" w:rsidRPr="00097432">
        <w:t>is</w:t>
      </w:r>
      <w:r w:rsidR="00B239A5" w:rsidRPr="00097432">
        <w:rPr>
          <w:rFonts w:hint="eastAsia"/>
        </w:rPr>
        <w:t xml:space="preserve"> weighted by the number of cases compared to the unweighted average </w:t>
      </w:r>
      <w:r w:rsidR="00D937AF" w:rsidRPr="00097432">
        <w:rPr>
          <w:rFonts w:hint="eastAsia"/>
        </w:rPr>
        <w:t>across</w:t>
      </w:r>
      <w:r w:rsidR="00B239A5" w:rsidRPr="00097432">
        <w:rPr>
          <w:rFonts w:hint="eastAsia"/>
        </w:rPr>
        <w:t xml:space="preserve"> individual-level impacts (</w:t>
      </w:r>
      <w:r w:rsidR="00D937AF" w:rsidRPr="00097432">
        <w:rPr>
          <w:rFonts w:hint="eastAsia"/>
        </w:rPr>
        <w:t xml:space="preserve">fourth panels in </w:t>
      </w:r>
      <w:r w:rsidR="00B239A5" w:rsidRPr="00097432">
        <w:rPr>
          <w:rFonts w:hint="eastAsia"/>
          <w:b/>
          <w:bCs/>
        </w:rPr>
        <w:t>Figure 1B</w:t>
      </w:r>
      <w:r w:rsidR="00B239A5" w:rsidRPr="00097432">
        <w:rPr>
          <w:rFonts w:hint="eastAsia"/>
        </w:rPr>
        <w:t xml:space="preserve">). </w:t>
      </w:r>
    </w:p>
    <w:p w14:paraId="283822D2" w14:textId="77777777" w:rsidR="001D33D5" w:rsidRPr="00097432" w:rsidRDefault="001D33D5" w:rsidP="001D33D5"/>
    <w:p w14:paraId="3BBE008B" w14:textId="02491630" w:rsidR="00D951EA" w:rsidRPr="00097432" w:rsidRDefault="008E6CE0" w:rsidP="00F57F15">
      <w:r w:rsidRPr="00097432">
        <w:rPr>
          <w:rFonts w:hint="eastAsia"/>
        </w:rPr>
        <w:t xml:space="preserve">To make the predicted impact more realistic, our model accounts for direct and indirect effects of OCV </w:t>
      </w:r>
      <w:r w:rsidRPr="00097432">
        <w:t>(</w:t>
      </w:r>
      <w:r w:rsidR="003A519B" w:rsidRPr="00097432">
        <w:rPr>
          <w:rFonts w:hint="eastAsia"/>
        </w:rPr>
        <w:t>overall effectiveness</w:t>
      </w:r>
      <w:r w:rsidR="003A519B" w:rsidRPr="00097432">
        <w:fldChar w:fldCharType="begin"/>
      </w:r>
      <w:r w:rsidR="005377FB" w:rsidRPr="00097432">
        <w:instrText xml:space="preserve"> ADDIN ZOTERO_ITEM CSL_CITATION {"citationID":"aSoaptEv","properties":{"formattedCitation":"\\super 35\\nosupersub{}","plainCitation":"35","noteIndex":0},"citationItems":[{"id":7130,"uris":["http://zotero.org/users/7663102/items/6A9TXNJW"],"itemData":{"id":7130,"type":"article-journal","abstract":"In 1916, Sir Ronald Ross defined \"dependent happenings\" as events where the number affected in a unit of time depends on the number already affected. That is, the incidence depends on the prevalence, a characteristic of many infectious diseases. Because of this dependence, interventions against infectious diseases can have not only direct protective effects for the person receiving an intervention, but also indirect effects resulting from changes in the intensity of transmission in the population. This paper develops the conceptual framework for four types of study designs that differentiate and account for direct and indirect effects of intervention programs in dependent happenings.","container-title":"Epidemiology (Cambridge, Mass.)","DOI":"10.1097/00001648-199109000-00004","ISSN":"1044-3983","issue":"5","journalAbbreviation":"Epidemiology","language":"eng","page":"331-338","source":"PubMed","title":"Study designs for dependent happenings","volume":"2","author":[{"family":"Halloran","given":"M. E."},{"family":"Struchiner","given":"C. J."}],"issued":{"date-parts":[["1991",9]]},"citation-key":"halloranStudyDesignsDependent1991"}}],"schema":"https://github.com/citation-style-language/schema/raw/master/csl-citation.json"} </w:instrText>
      </w:r>
      <w:r w:rsidR="003A519B" w:rsidRPr="00097432">
        <w:fldChar w:fldCharType="separate"/>
      </w:r>
      <w:r w:rsidR="005377FB" w:rsidRPr="00097432">
        <w:rPr>
          <w:rFonts w:cs="Times New Roman"/>
          <w:vertAlign w:val="superscript"/>
        </w:rPr>
        <w:t>35</w:t>
      </w:r>
      <w:r w:rsidR="003A519B" w:rsidRPr="00097432">
        <w:fldChar w:fldCharType="end"/>
      </w:r>
      <w:r w:rsidR="003A519B" w:rsidRPr="00097432">
        <w:rPr>
          <w:rFonts w:hint="eastAsia"/>
        </w:rPr>
        <w:t>; s</w:t>
      </w:r>
      <w:r w:rsidRPr="00097432">
        <w:t xml:space="preserve">ee Supplementary Information </w:t>
      </w:r>
      <w:r w:rsidRPr="00097432">
        <w:rPr>
          <w:b/>
          <w:bCs/>
        </w:rPr>
        <w:t>S1</w:t>
      </w:r>
      <w:r w:rsidRPr="00097432">
        <w:t>)</w:t>
      </w:r>
      <w:r w:rsidR="00523E62" w:rsidRPr="00097432">
        <w:rPr>
          <w:rFonts w:hint="eastAsia"/>
        </w:rPr>
        <w:t xml:space="preserve"> in the target population</w:t>
      </w:r>
      <w:r w:rsidRPr="00097432">
        <w:rPr>
          <w:rFonts w:hint="eastAsia"/>
        </w:rPr>
        <w:t xml:space="preserve">, </w:t>
      </w:r>
      <w:r w:rsidRPr="00097432">
        <w:t xml:space="preserve">age-specific vaccine </w:t>
      </w:r>
      <w:r w:rsidRPr="00097432">
        <w:rPr>
          <w:rFonts w:hint="eastAsia"/>
        </w:rPr>
        <w:t>effectiveness (&lt; 5 and 5+ yo), delays in</w:t>
      </w:r>
      <w:r w:rsidRPr="00097432">
        <w:t xml:space="preserve"> vaccine deployment</w:t>
      </w:r>
      <w:r w:rsidRPr="00097432">
        <w:rPr>
          <w:rFonts w:hint="eastAsia"/>
        </w:rPr>
        <w:t xml:space="preserve"> and administration</w:t>
      </w:r>
      <w:r w:rsidRPr="00097432">
        <w:t>,</w:t>
      </w:r>
      <w:r w:rsidRPr="00097432">
        <w:rPr>
          <w:rFonts w:hint="eastAsia"/>
        </w:rPr>
        <w:t xml:space="preserve"> and the delays in the vaccine-induced immunity </w:t>
      </w:r>
      <w:r w:rsidRPr="00097432">
        <w:t>(</w:t>
      </w:r>
      <w:r w:rsidRPr="00097432">
        <w:rPr>
          <w:b/>
          <w:bCs/>
        </w:rPr>
        <w:t>Table 1</w:t>
      </w:r>
      <w:r w:rsidRPr="00097432">
        <w:t>).</w:t>
      </w:r>
      <w:r w:rsidR="00523E62" w:rsidRPr="00097432">
        <w:rPr>
          <w:rFonts w:hint="eastAsia"/>
        </w:rPr>
        <w:t xml:space="preserve"> </w:t>
      </w:r>
      <w:r w:rsidR="008336BE" w:rsidRPr="00097432">
        <w:rPr>
          <w:rFonts w:hint="eastAsia"/>
        </w:rPr>
        <w:t xml:space="preserve"> </w:t>
      </w:r>
      <w:r w:rsidR="009F0610" w:rsidRPr="00097432">
        <w:t>The</w:t>
      </w:r>
      <w:r w:rsidR="00DA4F85" w:rsidRPr="00097432">
        <w:t xml:space="preserve"> </w:t>
      </w:r>
      <w:r w:rsidR="00B112A9" w:rsidRPr="00097432">
        <w:t xml:space="preserve">proportion of </w:t>
      </w:r>
      <w:r w:rsidR="00DA4F85" w:rsidRPr="00097432">
        <w:t xml:space="preserve">cases </w:t>
      </w:r>
      <w:r w:rsidR="00763376" w:rsidRPr="00097432">
        <w:t>averted</w:t>
      </w:r>
      <w:r w:rsidR="00B112A9" w:rsidRPr="00097432">
        <w:t xml:space="preserve">,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 xml:space="preserve">, </m:t>
            </m:r>
            <m:r>
              <w:rPr>
                <w:rFonts w:ascii="Cambria Math" w:hAnsi="Cambria Math"/>
              </w:rPr>
              <m:t>π</m:t>
            </m:r>
          </m:sub>
        </m:sSub>
      </m:oMath>
      <w:r w:rsidR="00B112A9" w:rsidRPr="00097432">
        <w:t xml:space="preserve">, </w:t>
      </w:r>
      <w:r w:rsidR="0000324B" w:rsidRPr="00097432">
        <w:t>at a gi</w:t>
      </w:r>
      <w:r w:rsidR="00B112A9" w:rsidRPr="00097432">
        <w:t xml:space="preserve">ven vaccine coverage </w:t>
      </w:r>
      <w:r w:rsidR="007257B4" w:rsidRPr="00097432">
        <w:rPr>
          <w:rFonts w:hint="eastAsia"/>
        </w:rPr>
        <w:t xml:space="preserve">proportion </w:t>
      </w:r>
      <m:oMath>
        <m:r>
          <w:rPr>
            <w:rFonts w:ascii="Cambria Math" w:hAnsi="Cambria Math"/>
          </w:rPr>
          <m:t>π</m:t>
        </m:r>
      </m:oMath>
      <w:r w:rsidR="00B112A9" w:rsidRPr="00097432">
        <w:t xml:space="preserve"> </w:t>
      </w:r>
      <w:r w:rsidR="0078144B" w:rsidRPr="00097432">
        <w:t xml:space="preserve">was calculated </w:t>
      </w:r>
      <w:r w:rsidR="002F33F3" w:rsidRPr="00097432">
        <w:t xml:space="preserve">for </w:t>
      </w:r>
      <w:r w:rsidR="0000324B" w:rsidRPr="00097432">
        <w:t>two age groups</w:t>
      </w:r>
      <w:r w:rsidR="0078144B" w:rsidRPr="00097432">
        <w:t>—</w:t>
      </w:r>
      <w:r w:rsidR="0000324B" w:rsidRPr="00097432">
        <w:t xml:space="preserve">children under five </w:t>
      </w:r>
      <w:r w:rsidR="002F33F3" w:rsidRPr="00097432">
        <w:t>(</w:t>
      </w:r>
      <w:bookmarkStart w:id="17" w:name="_Hlk171429659"/>
      <m:oMath>
        <m:r>
          <w:rPr>
            <w:rFonts w:ascii="Cambria Math" w:hAnsi="Cambria Math"/>
          </w:rPr>
          <m:t>i</m:t>
        </m:r>
        <w:bookmarkEnd w:id="17"/>
        <m:r>
          <m:rPr>
            <m:sty m:val="p"/>
          </m:rPr>
          <w:rPr>
            <w:rFonts w:ascii="Cambria Math" w:hAnsi="Cambria Math"/>
          </w:rPr>
          <m:t>=1</m:t>
        </m:r>
      </m:oMath>
      <w:r w:rsidR="002F33F3" w:rsidRPr="00097432">
        <w:t xml:space="preserve">) </w:t>
      </w:r>
      <w:r w:rsidR="0000324B" w:rsidRPr="00097432">
        <w:t xml:space="preserve">and </w:t>
      </w:r>
      <w:r w:rsidR="0078144B" w:rsidRPr="00097432">
        <w:rPr>
          <w:rFonts w:hint="eastAsia"/>
        </w:rPr>
        <w:t xml:space="preserve">individuals </w:t>
      </w:r>
      <w:r w:rsidR="0000324B" w:rsidRPr="00097432">
        <w:t>aged five and older</w:t>
      </w:r>
      <w:r w:rsidR="002F33F3" w:rsidRPr="00097432">
        <w:t xml:space="preserve"> (</w:t>
      </w:r>
      <m:oMath>
        <m:r>
          <w:rPr>
            <w:rFonts w:ascii="Cambria Math" w:hAnsi="Cambria Math"/>
          </w:rPr>
          <m:t>i</m:t>
        </m:r>
        <m:r>
          <m:rPr>
            <m:sty m:val="p"/>
          </m:rPr>
          <w:rPr>
            <w:rFonts w:ascii="Cambria Math" w:hAnsi="Cambria Math"/>
          </w:rPr>
          <m:t>=2</m:t>
        </m:r>
      </m:oMath>
      <w:r w:rsidR="002F33F3" w:rsidRPr="00097432">
        <w:t>)</w:t>
      </w:r>
      <w:r w:rsidR="0078144B" w:rsidRPr="00097432">
        <w:t>—</w:t>
      </w:r>
      <w:r w:rsidR="0000324B" w:rsidRPr="00097432">
        <w:t>using</w:t>
      </w:r>
      <w:r w:rsidR="007257B4" w:rsidRPr="00097432">
        <w:rPr>
          <w:rFonts w:hint="eastAsia"/>
        </w:rPr>
        <w:t xml:space="preserve"> the following equation</w:t>
      </w:r>
      <w:r w:rsidR="00DA4F85" w:rsidRPr="00097432">
        <w:t>:</w:t>
      </w:r>
    </w:p>
    <w:p w14:paraId="58C506C0" w14:textId="77777777" w:rsidR="00747E9A" w:rsidRPr="00097432" w:rsidRDefault="00747E9A" w:rsidP="00F57F15"/>
    <w:bookmarkStart w:id="18" w:name="_Hlk171429672"/>
    <w:bookmarkStart w:id="19" w:name="_Hlk171429827"/>
    <w:p w14:paraId="0327A473" w14:textId="26B80A4F" w:rsidR="00D951EA" w:rsidRPr="00097432" w:rsidRDefault="00000000" w:rsidP="00F57F15">
      <m:oMathPara>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 xml:space="preserve">, </m:t>
              </m:r>
              <m:r>
                <w:rPr>
                  <w:rFonts w:ascii="Cambria Math" w:hAnsi="Cambria Math"/>
                </w:rPr>
                <m:t>π</m:t>
              </m:r>
            </m:sub>
          </m:sSub>
          <m:r>
            <m:rPr>
              <m:sty m:val="p"/>
            </m:rPr>
            <w:rPr>
              <w:rFonts w:ascii="Cambria Math" w:hAnsi="Cambria Math"/>
            </w:rPr>
            <m:t>=1-</m:t>
          </m:r>
          <m:d>
            <m:dPr>
              <m:begChr m:val="["/>
              <m:endChr m:val="]"/>
              <m:ctrlPr>
                <w:rPr>
                  <w:rFonts w:ascii="Cambria Math" w:hAnsi="Cambria Math"/>
                </w:rPr>
              </m:ctrlPr>
            </m:dPr>
            <m:e>
              <m:r>
                <w:rPr>
                  <w:rFonts w:ascii="Cambria Math" w:hAnsi="Cambria Math"/>
                </w:rPr>
                <m:t>π</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ψ</m:t>
                      </m:r>
                    </m:e>
                    <m:sub>
                      <m:r>
                        <w:rPr>
                          <w:rFonts w:ascii="Cambria Math" w:hAnsi="Cambria Math"/>
                        </w:rPr>
                        <m:t>i</m:t>
                      </m:r>
                    </m:sub>
                  </m:sSub>
                </m:e>
              </m:d>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η</m:t>
                      </m:r>
                    </m:e>
                    <m:sub>
                      <m:r>
                        <w:rPr>
                          <w:rFonts w:ascii="Cambria Math" w:hAnsi="Cambria Math"/>
                        </w:rPr>
                        <m:t>π</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π</m:t>
                  </m:r>
                </m:e>
              </m:d>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η</m:t>
                      </m:r>
                    </m:e>
                    <m:sub>
                      <m:r>
                        <w:rPr>
                          <w:rFonts w:ascii="Cambria Math" w:hAnsi="Cambria Math"/>
                        </w:rPr>
                        <m:t>π</m:t>
                      </m:r>
                    </m:sub>
                  </m:sSub>
                </m:e>
              </m:d>
            </m:e>
          </m:d>
          <w:bookmarkEnd w:id="18"/>
          <m:r>
            <w:rPr>
              <w:rFonts w:ascii="Cambria Math" w:hAnsi="Cambria Math"/>
            </w:rPr>
            <m:t>,</m:t>
          </m:r>
        </m:oMath>
      </m:oMathPara>
    </w:p>
    <w:bookmarkEnd w:id="19"/>
    <w:p w14:paraId="486C31FE" w14:textId="77777777" w:rsidR="00747E9A" w:rsidRPr="00097432" w:rsidRDefault="00747E9A" w:rsidP="00F57F15">
      <w:pPr>
        <w:rPr>
          <w:lang w:val="en-US"/>
        </w:rPr>
      </w:pPr>
    </w:p>
    <w:p w14:paraId="7659F427" w14:textId="2F181D83" w:rsidR="00922420" w:rsidRPr="00097432" w:rsidRDefault="0078144B" w:rsidP="00F57F15">
      <w:r w:rsidRPr="00097432">
        <w:rPr>
          <w:rFonts w:hint="eastAsia"/>
        </w:rPr>
        <w:t>where</w:t>
      </w:r>
      <w:r w:rsidR="00D951EA" w:rsidRPr="00097432">
        <w:t xml:space="preserve"> </w:t>
      </w:r>
      <m:oMath>
        <m:sSub>
          <m:sSubPr>
            <m:ctrlPr>
              <w:rPr>
                <w:rFonts w:ascii="Cambria Math" w:hAnsi="Cambria Math"/>
              </w:rPr>
            </m:ctrlPr>
          </m:sSubPr>
          <m:e>
            <m:r>
              <w:rPr>
                <w:rFonts w:ascii="Cambria Math" w:hAnsi="Cambria Math"/>
              </w:rPr>
              <m:t>ψ</m:t>
            </m:r>
          </m:e>
          <m:sub>
            <m:r>
              <w:rPr>
                <w:rFonts w:ascii="Cambria Math" w:hAnsi="Cambria Math"/>
              </w:rPr>
              <m:t>i</m:t>
            </m:r>
          </m:sub>
        </m:sSub>
      </m:oMath>
      <w:r w:rsidR="00284399" w:rsidRPr="00097432">
        <w:t xml:space="preserve"> </w:t>
      </w:r>
      <w:r w:rsidR="0000324B" w:rsidRPr="00097432">
        <w:t>represents</w:t>
      </w:r>
      <w:r w:rsidR="00284399" w:rsidRPr="00097432">
        <w:t xml:space="preserve"> </w:t>
      </w:r>
      <w:r w:rsidRPr="00097432">
        <w:rPr>
          <w:rFonts w:hint="eastAsia"/>
        </w:rPr>
        <w:t xml:space="preserve">direct </w:t>
      </w:r>
      <w:r w:rsidR="001634F3" w:rsidRPr="00097432">
        <w:t xml:space="preserve">vaccine </w:t>
      </w:r>
      <w:r w:rsidR="00412CDE" w:rsidRPr="00097432">
        <w:t>effectiveness</w:t>
      </w:r>
      <w:r w:rsidR="00B9598A" w:rsidRPr="00097432">
        <w:t xml:space="preserve"> </w:t>
      </w:r>
      <w:r w:rsidR="0000324B" w:rsidRPr="00097432">
        <w:t>for</w:t>
      </w:r>
      <w:r w:rsidR="00103C17" w:rsidRPr="00097432">
        <w:t xml:space="preserve"> age group</w:t>
      </w:r>
      <w:r w:rsidR="001634F3" w:rsidRPr="00097432">
        <w:t xml:space="preserve"> </w:t>
      </w:r>
      <m:oMath>
        <m:r>
          <w:rPr>
            <w:rFonts w:ascii="Cambria Math" w:hAnsi="Cambria Math"/>
          </w:rPr>
          <m:t>i</m:t>
        </m:r>
      </m:oMath>
      <w:r w:rsidR="00D951EA" w:rsidRPr="00097432">
        <w:t xml:space="preserve">  </w:t>
      </w:r>
      <w:r w:rsidR="00367F77" w:rsidRPr="00097432">
        <w:t xml:space="preserve">and </w:t>
      </w:r>
      <m:oMath>
        <m:sSub>
          <m:sSubPr>
            <m:ctrlPr>
              <w:rPr>
                <w:rFonts w:ascii="Cambria Math" w:hAnsi="Cambria Math"/>
              </w:rPr>
            </m:ctrlPr>
          </m:sSubPr>
          <m:e>
            <m:r>
              <w:rPr>
                <w:rFonts w:ascii="Cambria Math" w:hAnsi="Cambria Math"/>
              </w:rPr>
              <m:t>η</m:t>
            </m:r>
          </m:e>
          <m:sub>
            <m:r>
              <w:rPr>
                <w:rFonts w:ascii="Cambria Math" w:hAnsi="Cambria Math"/>
              </w:rPr>
              <m:t>π</m:t>
            </m:r>
          </m:sub>
        </m:sSub>
      </m:oMath>
      <w:r w:rsidR="00284399" w:rsidRPr="00097432">
        <w:t xml:space="preserve"> </w:t>
      </w:r>
      <w:r w:rsidR="0000324B" w:rsidRPr="00097432">
        <w:t xml:space="preserve">denotes </w:t>
      </w:r>
      <w:r w:rsidR="00367F77" w:rsidRPr="00097432">
        <w:t>the</w:t>
      </w:r>
      <w:r w:rsidR="00284399" w:rsidRPr="00097432">
        <w:t xml:space="preserve"> </w:t>
      </w:r>
      <w:r w:rsidR="00D951EA" w:rsidRPr="00097432">
        <w:t>indirect</w:t>
      </w:r>
      <w:r w:rsidR="001634F3" w:rsidRPr="00097432">
        <w:t xml:space="preserve"> vaccine effectiveness</w:t>
      </w:r>
      <w:r w:rsidR="00D92215" w:rsidRPr="00097432">
        <w:t xml:space="preserve"> at </w:t>
      </w:r>
      <w:r w:rsidRPr="00097432">
        <w:rPr>
          <w:rFonts w:hint="eastAsia"/>
        </w:rPr>
        <w:t xml:space="preserve">coverage </w:t>
      </w:r>
      <m:oMath>
        <m:r>
          <w:rPr>
            <w:rFonts w:ascii="Cambria Math" w:hAnsi="Cambria Math"/>
          </w:rPr>
          <m:t>π</m:t>
        </m:r>
      </m:oMath>
      <w:r w:rsidR="001634F3" w:rsidRPr="00097432">
        <w:t xml:space="preserve">. </w:t>
      </w:r>
      <w:r w:rsidRPr="00097432">
        <w:rPr>
          <w:rFonts w:hint="eastAsia"/>
        </w:rPr>
        <w:t xml:space="preserve">Thus, </w:t>
      </w:r>
      <w:r w:rsidR="002363B7" w:rsidRPr="00097432">
        <w:rPr>
          <w:rFonts w:hint="eastAsia"/>
        </w:rPr>
        <w:t>u</w:t>
      </w:r>
      <w:r w:rsidR="001E5B2B" w:rsidRPr="00097432">
        <w:t>nvaccinated</w:t>
      </w:r>
      <w:r w:rsidR="001634F3" w:rsidRPr="00097432">
        <w:t xml:space="preserve"> individuals</w:t>
      </w:r>
      <w:r w:rsidR="000F5F59" w:rsidRPr="00097432">
        <w:t xml:space="preserve">, </w:t>
      </w:r>
      <w:r w:rsidR="00412CDE" w:rsidRPr="00097432">
        <w:t xml:space="preserve">comprising   </w:t>
      </w:r>
      <m:oMath>
        <m:r>
          <m:rPr>
            <m:sty m:val="p"/>
          </m:rPr>
          <w:rPr>
            <w:rFonts w:ascii="Cambria Math" w:hAnsi="Cambria Math"/>
          </w:rPr>
          <m:t>1-</m:t>
        </m:r>
        <m:r>
          <w:rPr>
            <w:rFonts w:ascii="Cambria Math" w:hAnsi="Cambria Math"/>
          </w:rPr>
          <m:t>π</m:t>
        </m:r>
      </m:oMath>
      <w:r w:rsidR="00412CDE" w:rsidRPr="00097432">
        <w:rPr>
          <w:rFonts w:hint="eastAsia"/>
        </w:rPr>
        <w:t xml:space="preserve"> of the population</w:t>
      </w:r>
      <w:r w:rsidR="002363B7" w:rsidRPr="00097432">
        <w:rPr>
          <w:rFonts w:hint="eastAsia"/>
        </w:rPr>
        <w:t>,</w:t>
      </w:r>
      <w:r w:rsidR="0040123F" w:rsidRPr="00097432">
        <w:t xml:space="preserve"> </w:t>
      </w:r>
      <w:r w:rsidR="002363B7" w:rsidRPr="00097432">
        <w:rPr>
          <w:rFonts w:hint="eastAsia"/>
        </w:rPr>
        <w:t>s</w:t>
      </w:r>
      <w:r w:rsidR="000F5F59" w:rsidRPr="00097432">
        <w:t xml:space="preserve">till benefit from </w:t>
      </w:r>
      <w:r w:rsidR="00D951EA" w:rsidRPr="00097432">
        <w:t>indirect</w:t>
      </w:r>
      <w:r w:rsidR="000F5F59" w:rsidRPr="00097432">
        <w:t xml:space="preserve"> </w:t>
      </w:r>
      <w:r w:rsidR="002363B7" w:rsidRPr="00097432">
        <w:rPr>
          <w:rFonts w:hint="eastAsia"/>
        </w:rPr>
        <w:t xml:space="preserve">protection </w:t>
      </w:r>
      <m:oMath>
        <m:r>
          <m:rPr>
            <m:sty m:val="p"/>
          </m:rPr>
          <w:rPr>
            <w:rFonts w:ascii="Cambria Math" w:hAnsi="Cambria Math"/>
          </w:rPr>
          <m:t>1-</m:t>
        </m:r>
        <m:sSub>
          <m:sSubPr>
            <m:ctrlPr>
              <w:rPr>
                <w:rFonts w:ascii="Cambria Math" w:hAnsi="Cambria Math"/>
              </w:rPr>
            </m:ctrlPr>
          </m:sSubPr>
          <m:e>
            <m:r>
              <w:rPr>
                <w:rFonts w:ascii="Cambria Math" w:hAnsi="Cambria Math"/>
              </w:rPr>
              <m:t>η</m:t>
            </m:r>
          </m:e>
          <m:sub>
            <m:r>
              <w:rPr>
                <w:rFonts w:ascii="Cambria Math" w:hAnsi="Cambria Math"/>
              </w:rPr>
              <m:t>π</m:t>
            </m:r>
          </m:sub>
        </m:sSub>
      </m:oMath>
      <w:r w:rsidR="00F91B5E" w:rsidRPr="00097432">
        <w:t>.</w:t>
      </w:r>
      <w:r w:rsidR="00D7029B" w:rsidRPr="00097432">
        <w:t xml:space="preserve"> </w:t>
      </w:r>
      <w:r w:rsidR="002363B7" w:rsidRPr="00097432">
        <w:rPr>
          <w:rFonts w:hint="eastAsia"/>
        </w:rPr>
        <w:t xml:space="preserve">We estimated </w:t>
      </w:r>
      <m:oMath>
        <m:sSub>
          <m:sSubPr>
            <m:ctrlPr>
              <w:rPr>
                <w:rFonts w:ascii="Cambria Math" w:hAnsi="Cambria Math"/>
              </w:rPr>
            </m:ctrlPr>
          </m:sSubPr>
          <m:e>
            <m:r>
              <w:rPr>
                <w:rFonts w:ascii="Cambria Math" w:hAnsi="Cambria Math"/>
              </w:rPr>
              <m:t>η</m:t>
            </m:r>
          </m:e>
          <m:sub>
            <m:r>
              <w:rPr>
                <w:rFonts w:ascii="Cambria Math" w:hAnsi="Cambria Math"/>
              </w:rPr>
              <m:t>π</m:t>
            </m:r>
          </m:sub>
        </m:sSub>
      </m:oMath>
      <w:r w:rsidR="000F5F59" w:rsidRPr="00097432">
        <w:t xml:space="preserve"> </w:t>
      </w:r>
      <w:r w:rsidR="00FA02DE" w:rsidRPr="00097432">
        <w:rPr>
          <w:rFonts w:hint="eastAsia"/>
        </w:rPr>
        <w:t xml:space="preserve">from </w:t>
      </w:r>
      <w:r w:rsidR="00FA02DE" w:rsidRPr="00097432">
        <w:rPr>
          <w:rFonts w:hint="eastAsia"/>
        </w:rPr>
        <w:lastRenderedPageBreak/>
        <w:t xml:space="preserve">reduction in </w:t>
      </w:r>
      <w:r w:rsidR="00D80970" w:rsidRPr="00097432">
        <w:rPr>
          <w:rFonts w:hint="eastAsia"/>
        </w:rPr>
        <w:t>incide</w:t>
      </w:r>
      <w:r w:rsidR="006E435E" w:rsidRPr="00097432">
        <w:t xml:space="preserve">nce rates among unvaccinated individuals </w:t>
      </w:r>
      <w:r w:rsidR="00FA02DE" w:rsidRPr="00097432">
        <w:rPr>
          <w:rFonts w:hint="eastAsia"/>
        </w:rPr>
        <w:t xml:space="preserve">observed </w:t>
      </w:r>
      <w:r w:rsidR="00986407" w:rsidRPr="00097432">
        <w:t>in a</w:t>
      </w:r>
      <w:r w:rsidR="006E435E" w:rsidRPr="00097432">
        <w:t xml:space="preserve"> randomized trial</w:t>
      </w:r>
      <w:r w:rsidR="00FA02DE" w:rsidRPr="00097432">
        <w:rPr>
          <w:rFonts w:hint="eastAsia"/>
        </w:rPr>
        <w:t xml:space="preserve"> </w:t>
      </w:r>
      <w:r w:rsidR="006E435E" w:rsidRPr="00097432">
        <w:t>conducted in Matlab, Bangladesh</w:t>
      </w:r>
      <w:r w:rsidR="00FA02DE" w:rsidRPr="00097432">
        <w:rPr>
          <w:rFonts w:hint="eastAsia"/>
        </w:rPr>
        <w:t xml:space="preserve"> using </w:t>
      </w:r>
      <w:r w:rsidR="00FA02DE" w:rsidRPr="00097432">
        <w:t>Bayesian beta regression</w:t>
      </w:r>
      <w:r w:rsidR="00FA02DE" w:rsidRPr="00097432">
        <w:rPr>
          <w:rFonts w:hint="eastAsia"/>
        </w:rPr>
        <w:t>.</w:t>
      </w:r>
      <w:r w:rsidR="006E435E" w:rsidRPr="00097432">
        <w:fldChar w:fldCharType="begin"/>
      </w:r>
      <w:r w:rsidR="00345AF1">
        <w:instrText xml:space="preserve"> ADDIN ZOTERO_ITEM CSL_CITATION {"citationID":"4VFwGMEW","properties":{"formattedCitation":"\\super 11,36\\nosupersub{}","plainCitation":"11,36","noteIndex":0},"citationItems":[{"id":"EgwuGF5k/N5wRjVQd","uris":["http://zotero.org/users/local/xDVOxgbN/items/37LE7P3K"],"itemData":{"id":"PKsbrXh4/qtt9F9M4","type":"article-journal","container-title":"PLoS Medicine","DOI":"10.1371/journal.pmed.0040336","ISSN":"1549-1676","issue":"11","journalAbbreviation":"PLoS Med","language":"en","page":"e336","source":"DOI.org (Crossref)","title":"Controlling Endemic Cholera with Oral Vaccines","volume":"4","author":[{"family":"Longini","given":"Ira M"},{"family":"Nizam","given":"Azhar"},{"family":"Ali","given":"Mohammad"},{"family":"Yunus","given":"Mohammad"},{"family":"Shenvi","given":"Neeta"},{"family":"Clemens","given":"John D"}],"editor":[{"family":"Von Seidlein","given":"Lorenz"}],"issued":{"date-parts":[["2007",11,27]]}}},{"id":"EgwuGF5k/bVyeal5U","uris":["http://zotero.org/users/local/xDVOxgbN/items/3QIMSM7G"],"itemData":{"id":"PKsbrXh4/0QHTqP8j","type":"article-journal","container-title":"The Lancet","DOI":"10.1016/S0140-6736(05)66550-6","ISSN":"01406736","issue":"9479","journalAbbreviation":"The Lancet","language":"en","license":"https://www.elsevier.com/tdm/userlicense/1.0/","page":"44-49","source":"DOI.org (Crossref)","title":"Herd immunity conferred by killed oral cholera vaccines in Bangladesh: a reanalysis","title-short":"Herd immunity conferred by killed oral cholera vaccines in Bangladesh","volume":"366","author":[{"family":"Ali","given":"Mohammad"},{"family":"Emch","given":"Michael"},{"family":"Von Seidlein","given":"Lorenz"},{"family":"Yunus","given":"Mohammad"},{"family":"Sack","given":"David A"},{"family":"Rao","given":"Malla"},{"family":"Holmgren","given":"Jan"},{"family":"Clemens","given":"John D"}],"issued":{"date-parts":[["2005",7]]}}}],"schema":"https://github.com/citation-style-language/schema/raw/master/csl-citation.json"} </w:instrText>
      </w:r>
      <w:r w:rsidR="006E435E" w:rsidRPr="00097432">
        <w:fldChar w:fldCharType="separate"/>
      </w:r>
      <w:r w:rsidR="005377FB" w:rsidRPr="00097432">
        <w:rPr>
          <w:rFonts w:cs="Times New Roman"/>
          <w:vertAlign w:val="superscript"/>
        </w:rPr>
        <w:t>11,36</w:t>
      </w:r>
      <w:r w:rsidR="006E435E" w:rsidRPr="00097432">
        <w:fldChar w:fldCharType="end"/>
      </w:r>
      <w:r w:rsidR="000F5F59" w:rsidRPr="00097432">
        <w:t xml:space="preserve"> (</w:t>
      </w:r>
      <w:r w:rsidR="0007624C" w:rsidRPr="00097432">
        <w:t xml:space="preserve">Supplementary Information </w:t>
      </w:r>
      <w:r w:rsidR="00F91B5E" w:rsidRPr="00097432">
        <w:rPr>
          <w:b/>
          <w:bCs/>
        </w:rPr>
        <w:t xml:space="preserve">S2 </w:t>
      </w:r>
      <w:r w:rsidR="00F91B5E" w:rsidRPr="00097432">
        <w:t>and</w:t>
      </w:r>
      <w:r w:rsidR="00F91B5E" w:rsidRPr="00097432">
        <w:rPr>
          <w:b/>
          <w:bCs/>
        </w:rPr>
        <w:t xml:space="preserve"> </w:t>
      </w:r>
      <w:r w:rsidR="00FE65CE" w:rsidRPr="00097432">
        <w:rPr>
          <w:b/>
          <w:bCs/>
        </w:rPr>
        <w:t>Figure</w:t>
      </w:r>
      <w:r w:rsidR="000F5F59" w:rsidRPr="00097432">
        <w:rPr>
          <w:b/>
          <w:bCs/>
        </w:rPr>
        <w:t xml:space="preserve"> S</w:t>
      </w:r>
      <w:r w:rsidR="001571FC" w:rsidRPr="00097432">
        <w:rPr>
          <w:b/>
          <w:bCs/>
        </w:rPr>
        <w:t>1</w:t>
      </w:r>
      <w:r w:rsidR="000F5F59" w:rsidRPr="00097432">
        <w:t>)</w:t>
      </w:r>
      <w:r w:rsidR="00FA02DE" w:rsidRPr="00097432">
        <w:rPr>
          <w:rFonts w:hint="eastAsia"/>
        </w:rPr>
        <w:t>.</w:t>
      </w:r>
      <w:r w:rsidR="00BF0842" w:rsidRPr="00097432">
        <w:rPr>
          <w:rFonts w:hint="eastAsia"/>
        </w:rPr>
        <w:t xml:space="preserve"> </w:t>
      </w:r>
      <w:r w:rsidR="00747E9A" w:rsidRPr="00097432">
        <w:t xml:space="preserve">The </w:t>
      </w:r>
      <w:r w:rsidR="00FC3D58" w:rsidRPr="00097432">
        <w:t xml:space="preserve">cumulative </w:t>
      </w:r>
      <w:r w:rsidR="00747E9A" w:rsidRPr="00097432">
        <w:t>number of cases</w:t>
      </w:r>
      <w:r w:rsidR="009F0610" w:rsidRPr="00097432">
        <w:t xml:space="preserve">, </w:t>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τ</m:t>
            </m:r>
          </m:sub>
        </m:sSub>
      </m:oMath>
      <w:r w:rsidR="009F0610" w:rsidRPr="00097432">
        <w:t xml:space="preserve">, </w:t>
      </w:r>
      <w:r w:rsidR="0000324B" w:rsidRPr="00097432">
        <w:t xml:space="preserve">for age group </w:t>
      </w:r>
      <m:oMath>
        <m:r>
          <w:rPr>
            <w:rFonts w:ascii="Cambria Math" w:hAnsi="Cambria Math"/>
          </w:rPr>
          <m:t>i</m:t>
        </m:r>
      </m:oMath>
      <w:r w:rsidR="00A22AAC" w:rsidRPr="00097432">
        <w:rPr>
          <w:rFonts w:hint="eastAsia"/>
        </w:rPr>
        <w:t>,</w:t>
      </w:r>
      <w:r w:rsidR="0000324B" w:rsidRPr="00097432">
        <w:t xml:space="preserve"> </w:t>
      </w:r>
      <w:r w:rsidR="00747E9A" w:rsidRPr="00097432">
        <w:t xml:space="preserve">under </w:t>
      </w:r>
      <w:r w:rsidR="009F0610" w:rsidRPr="00097432">
        <w:t>a</w:t>
      </w:r>
      <w:r w:rsidR="00747E9A" w:rsidRPr="00097432">
        <w:t xml:space="preserve"> vaccination campaign</w:t>
      </w:r>
      <w:r w:rsidR="0000324B" w:rsidRPr="00097432">
        <w:t xml:space="preserve"> initiated at time </w:t>
      </w:r>
      <m:oMath>
        <m:r>
          <w:rPr>
            <w:rFonts w:ascii="Cambria Math" w:hAnsi="Cambria Math"/>
          </w:rPr>
          <m:t>τ</m:t>
        </m:r>
      </m:oMath>
      <w:r w:rsidR="00747E9A" w:rsidRPr="00097432">
        <w:t xml:space="preserve"> with coverage </w:t>
      </w:r>
      <m:oMath>
        <m:r>
          <w:rPr>
            <w:rFonts w:ascii="Cambria Math" w:hAnsi="Cambria Math"/>
          </w:rPr>
          <m:t>π</m:t>
        </m:r>
      </m:oMath>
      <w:r w:rsidR="00A22AAC" w:rsidRPr="00097432">
        <w:rPr>
          <w:rFonts w:hint="eastAsia"/>
        </w:rPr>
        <w:t xml:space="preserve"> </w:t>
      </w:r>
      <w:r w:rsidR="00461F83" w:rsidRPr="00097432">
        <w:rPr>
          <w:rFonts w:hint="eastAsia"/>
        </w:rPr>
        <w:t>was c</w:t>
      </w:r>
      <w:r w:rsidR="00856B6B" w:rsidRPr="00097432">
        <w:rPr>
          <w:rFonts w:hint="eastAsia"/>
        </w:rPr>
        <w:t xml:space="preserve">alculated </w:t>
      </w:r>
      <w:r w:rsidR="00747E9A" w:rsidRPr="00097432">
        <w:t>as</w:t>
      </w:r>
      <w:r w:rsidR="000F5F59" w:rsidRPr="00097432">
        <w:t>:</w:t>
      </w:r>
    </w:p>
    <w:p w14:paraId="627A9D1A" w14:textId="77777777" w:rsidR="0000324B" w:rsidRPr="00097432" w:rsidRDefault="0000324B" w:rsidP="00F57F15"/>
    <w:p w14:paraId="4C0ABF4C" w14:textId="07A910A9" w:rsidR="00922420" w:rsidRPr="00097432" w:rsidRDefault="00000000" w:rsidP="00F57F15">
      <m:oMathPara>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τ</m:t>
              </m:r>
            </m:sub>
          </m:sSub>
          <m:r>
            <m:rPr>
              <m:sty m:val="p"/>
            </m:rPr>
            <w:rPr>
              <w:rFonts w:ascii="Cambria Math"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i</m:t>
                  </m:r>
                </m:sub>
              </m:sSub>
              <m:d>
                <m:dPr>
                  <m:begChr m:val="["/>
                  <m:endChr m:val="]"/>
                  <m:ctrlPr>
                    <w:rPr>
                      <w:rFonts w:ascii="Cambria Math" w:hAnsi="Cambria Math"/>
                      <w:i/>
                    </w:rPr>
                  </m:ctrlPr>
                </m:dPr>
                <m:e>
                  <m:r>
                    <m:rPr>
                      <m:sty m:val="p"/>
                    </m:rPr>
                    <w:rPr>
                      <w:rFonts w:ascii="Cambria Math" w:hAnsi="Cambria Math"/>
                    </w:rPr>
                    <m:t>1-</m:t>
                  </m:r>
                  <m:r>
                    <m:rPr>
                      <m:sty m:val="b"/>
                    </m:rPr>
                    <w:rPr>
                      <w:rFonts w:ascii="Cambria Math" w:hAnsi="Cambria Math"/>
                    </w:rPr>
                    <m:t>1</m:t>
                  </m:r>
                  <m:d>
                    <m:dPr>
                      <m:ctrlPr>
                        <w:rPr>
                          <w:rFonts w:ascii="Cambria Math" w:hAnsi="Cambria Math"/>
                          <w:b/>
                          <w:bCs/>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δ</m:t>
                      </m:r>
                    </m:e>
                  </m:d>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 xml:space="preserve">, </m:t>
                      </m:r>
                      <m:r>
                        <w:rPr>
                          <w:rFonts w:ascii="Cambria Math" w:hAnsi="Cambria Math"/>
                        </w:rPr>
                        <m:t>π</m:t>
                      </m:r>
                    </m:sub>
                  </m:sSub>
                </m:e>
              </m:d>
            </m:e>
          </m:nary>
          <m:r>
            <w:rPr>
              <w:rFonts w:ascii="Cambria Math" w:hAnsi="Cambria Math"/>
            </w:rPr>
            <m:t>,</m:t>
          </m:r>
        </m:oMath>
      </m:oMathPara>
    </w:p>
    <w:p w14:paraId="505DEA06" w14:textId="77777777" w:rsidR="00FC3D58" w:rsidRPr="00097432" w:rsidRDefault="00FC3D58" w:rsidP="00F57F15"/>
    <w:p w14:paraId="1C038619" w14:textId="3CC6BCAA" w:rsidR="00BF0842" w:rsidRPr="00097432" w:rsidRDefault="008F0DD3" w:rsidP="007B6AC6">
      <w:pPr>
        <w:rPr>
          <w:lang w:val="en-US"/>
        </w:rPr>
      </w:pPr>
      <w:r w:rsidRPr="00097432">
        <w:rPr>
          <w:rFonts w:hint="eastAsia"/>
        </w:rPr>
        <w:t>where</w:t>
      </w:r>
      <w:r w:rsidR="000F5F59" w:rsidRPr="00097432">
        <w:t xml:space="preserve"> </w:t>
      </w:r>
      <m:oMath>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oMath>
      <w:r w:rsidR="00763376" w:rsidRPr="00097432">
        <w:t xml:space="preserve"> </w:t>
      </w:r>
      <w:r w:rsidRPr="00097432">
        <w:rPr>
          <w:rFonts w:hint="eastAsia"/>
        </w:rPr>
        <w:t xml:space="preserve">is the </w:t>
      </w:r>
      <w:r w:rsidR="00747E9A" w:rsidRPr="00097432">
        <w:t xml:space="preserve">incidence at time </w:t>
      </w:r>
      <m:oMath>
        <m:r>
          <w:rPr>
            <w:rFonts w:ascii="Cambria Math" w:hAnsi="Cambria Math"/>
          </w:rPr>
          <m:t>t</m:t>
        </m:r>
      </m:oMath>
      <w:r w:rsidR="00FC3D58" w:rsidRPr="00097432">
        <w:t xml:space="preserve"> for age group </w:t>
      </w:r>
      <m:oMath>
        <m:r>
          <w:rPr>
            <w:rFonts w:ascii="Cambria Math" w:hAnsi="Cambria Math"/>
          </w:rPr>
          <m:t>i</m:t>
        </m:r>
      </m:oMath>
      <w:r w:rsidR="00FC3D58" w:rsidRPr="00097432">
        <w:t xml:space="preserve"> and</w:t>
      </w:r>
      <w:r w:rsidR="009F0610" w:rsidRPr="00097432">
        <w:t xml:space="preserve"> </w:t>
      </w:r>
      <m:oMath>
        <m:r>
          <m:rPr>
            <m:sty m:val="b"/>
          </m:rPr>
          <w:rPr>
            <w:rFonts w:ascii="Cambria Math" w:hAnsi="Cambria Math"/>
          </w:rPr>
          <m:t>1</m:t>
        </m:r>
        <m:d>
          <m:dPr>
            <m:ctrlPr>
              <w:rPr>
                <w:rFonts w:ascii="Cambria Math" w:hAnsi="Cambria Math"/>
                <w:b/>
                <w:bCs/>
              </w:rPr>
            </m:ctrlPr>
          </m:dPr>
          <m:e>
            <m:r>
              <w:rPr>
                <w:rFonts w:ascii="Cambria Math" w:hAnsi="Cambria Math"/>
              </w:rPr>
              <m:t>x</m:t>
            </m:r>
          </m:e>
        </m:d>
      </m:oMath>
      <w:r w:rsidRPr="00097432">
        <w:rPr>
          <w:rFonts w:hint="eastAsia"/>
          <w:b/>
          <w:bCs/>
        </w:rPr>
        <w:t xml:space="preserve"> </w:t>
      </w:r>
      <w:r w:rsidRPr="00097432">
        <w:rPr>
          <w:rFonts w:hint="eastAsia"/>
        </w:rPr>
        <w:t>is an i</w:t>
      </w:r>
      <w:r w:rsidR="00FC3D58" w:rsidRPr="00097432">
        <w:t xml:space="preserve">ndicator function </w:t>
      </w:r>
      <w:r w:rsidR="000F5F59" w:rsidRPr="00097432">
        <w:t xml:space="preserve">that </w:t>
      </w:r>
      <w:r w:rsidR="00FC3D58" w:rsidRPr="00097432">
        <w:t xml:space="preserve">equals 1 if </w:t>
      </w:r>
      <m:oMath>
        <m:r>
          <w:rPr>
            <w:rFonts w:ascii="Cambria Math" w:hAnsi="Cambria Math"/>
          </w:rPr>
          <m:t>x</m:t>
        </m:r>
      </m:oMath>
      <w:r w:rsidR="00FC3D58" w:rsidRPr="00097432">
        <w:t xml:space="preserve"> is true and </w:t>
      </w:r>
      <w:r w:rsidR="000F5F59" w:rsidRPr="00097432">
        <w:t>0</w:t>
      </w:r>
      <w:r w:rsidR="00FC3D58" w:rsidRPr="00097432">
        <w:t xml:space="preserve"> otherwise.</w:t>
      </w:r>
      <w:r w:rsidR="0000324B" w:rsidRPr="00097432">
        <w:t xml:space="preserve"> </w:t>
      </w:r>
      <w:r w:rsidR="000F5F59" w:rsidRPr="00097432">
        <w:t xml:space="preserve">The </w:t>
      </w:r>
      <w:r w:rsidRPr="00097432">
        <w:rPr>
          <w:rFonts w:hint="eastAsia"/>
        </w:rPr>
        <w:t>term</w:t>
      </w:r>
      <w:r w:rsidR="000F5F59" w:rsidRPr="00097432">
        <w:t xml:space="preserve"> </w:t>
      </w:r>
      <m:oMath>
        <m:r>
          <w:rPr>
            <w:rFonts w:ascii="Cambria Math" w:hAnsi="Cambria Math"/>
          </w:rPr>
          <m:t>δ</m:t>
        </m:r>
      </m:oMath>
      <w:r w:rsidR="000F5F59" w:rsidRPr="00097432">
        <w:t xml:space="preserve"> </w:t>
      </w:r>
      <w:r w:rsidRPr="00097432">
        <w:rPr>
          <w:rFonts w:hint="eastAsia"/>
        </w:rPr>
        <w:t xml:space="preserve">captures </w:t>
      </w:r>
      <w:r w:rsidR="000F5F59" w:rsidRPr="00097432">
        <w:t>delay</w:t>
      </w:r>
      <w:r w:rsidR="00B44701" w:rsidRPr="00097432">
        <w:t>s</w:t>
      </w:r>
      <w:r w:rsidRPr="00097432">
        <w:rPr>
          <w:rFonts w:hint="eastAsia"/>
        </w:rPr>
        <w:t xml:space="preserve"> for c</w:t>
      </w:r>
      <w:r w:rsidR="005107E2" w:rsidRPr="00097432">
        <w:rPr>
          <w:rFonts w:hint="eastAsia"/>
        </w:rPr>
        <w:t>a</w:t>
      </w:r>
      <w:r w:rsidRPr="00097432">
        <w:rPr>
          <w:rFonts w:hint="eastAsia"/>
        </w:rPr>
        <w:t xml:space="preserve">mpaign implementation and the development of vaccine-derived immunity, and </w:t>
      </w:r>
      <m:oMath>
        <m:r>
          <w:rPr>
            <w:rFonts w:ascii="Cambria Math" w:hAnsi="Cambria Math"/>
          </w:rPr>
          <m:t>T</m:t>
        </m:r>
      </m:oMath>
      <w:r w:rsidR="000F5F59" w:rsidRPr="00097432">
        <w:t xml:space="preserve"> denotes the outbreak's end date. </w:t>
      </w:r>
      <w:r w:rsidR="009F0610" w:rsidRPr="00097432">
        <w:rPr>
          <w:lang w:val="en-US"/>
        </w:rPr>
        <w:t xml:space="preserve">Overall, </w:t>
      </w:r>
      <w:r w:rsidRPr="00097432">
        <w:rPr>
          <w:rFonts w:hint="eastAsia"/>
          <w:lang w:val="en-US"/>
        </w:rPr>
        <w:t>we</w:t>
      </w:r>
      <w:r w:rsidR="009F0610" w:rsidRPr="00097432">
        <w:rPr>
          <w:lang w:val="en-US"/>
        </w:rPr>
        <w:t xml:space="preserve"> simulated</w:t>
      </w:r>
      <w:r w:rsidR="00CB3517" w:rsidRPr="00097432">
        <w:rPr>
          <w:lang w:val="en-US"/>
        </w:rPr>
        <w:t xml:space="preserve"> </w:t>
      </w:r>
      <w:r w:rsidR="00461F83" w:rsidRPr="00097432">
        <w:rPr>
          <w:rFonts w:hint="eastAsia"/>
          <w:lang w:val="en-US"/>
        </w:rPr>
        <w:t>ORIs</w:t>
      </w:r>
      <w:r w:rsidR="00CB3517" w:rsidRPr="00097432">
        <w:rPr>
          <w:lang w:val="en-US"/>
        </w:rPr>
        <w:t xml:space="preserve"> in</w:t>
      </w:r>
      <w:r w:rsidR="009F0610" w:rsidRPr="00097432">
        <w:rPr>
          <w:lang w:val="en-US"/>
        </w:rPr>
        <w:t xml:space="preserve"> each of </w:t>
      </w:r>
      <w:r w:rsidR="00CB3517" w:rsidRPr="00097432">
        <w:rPr>
          <w:lang w:val="en-US"/>
        </w:rPr>
        <w:t xml:space="preserve">the </w:t>
      </w:r>
      <w:r w:rsidR="009F0610" w:rsidRPr="00097432">
        <w:rPr>
          <w:lang w:val="en-US"/>
        </w:rPr>
        <w:t>1,</w:t>
      </w:r>
      <w:r w:rsidR="00C56397" w:rsidRPr="00097432">
        <w:rPr>
          <w:rFonts w:hint="eastAsia"/>
          <w:lang w:val="en-US"/>
        </w:rPr>
        <w:t xml:space="preserve">192 </w:t>
      </w:r>
      <w:r w:rsidR="009F0610" w:rsidRPr="00097432">
        <w:rPr>
          <w:lang w:val="en-US"/>
        </w:rPr>
        <w:t>outbreaks</w:t>
      </w:r>
      <w:r w:rsidRPr="00097432">
        <w:rPr>
          <w:rFonts w:hint="eastAsia"/>
          <w:lang w:val="en-US"/>
        </w:rPr>
        <w:t xml:space="preserve">, exploring </w:t>
      </w:r>
      <w:r w:rsidRPr="00097432">
        <w:rPr>
          <w:lang w:val="en-US"/>
        </w:rPr>
        <w:t>various</w:t>
      </w:r>
      <w:r w:rsidRPr="00097432">
        <w:rPr>
          <w:rFonts w:hint="eastAsia"/>
          <w:lang w:val="en-US"/>
        </w:rPr>
        <w:t xml:space="preserve"> </w:t>
      </w:r>
      <w:r w:rsidR="009F0610" w:rsidRPr="00097432">
        <w:rPr>
          <w:lang w:val="en-US"/>
        </w:rPr>
        <w:t>vaccination coverage</w:t>
      </w:r>
      <w:r w:rsidR="00D80970" w:rsidRPr="00097432">
        <w:rPr>
          <w:rFonts w:hint="eastAsia"/>
          <w:lang w:val="en-US"/>
        </w:rPr>
        <w:t xml:space="preserve"> level</w:t>
      </w:r>
      <w:r w:rsidR="00274651" w:rsidRPr="00097432">
        <w:rPr>
          <w:lang w:val="en-US"/>
        </w:rPr>
        <w:t>s</w:t>
      </w:r>
      <w:r w:rsidR="00CB3517" w:rsidRPr="00097432">
        <w:rPr>
          <w:lang w:val="en-US"/>
        </w:rPr>
        <w:t xml:space="preserve">, </w:t>
      </w:r>
      <w:r w:rsidR="009F0610" w:rsidRPr="00097432">
        <w:rPr>
          <w:lang w:val="en-US"/>
        </w:rPr>
        <w:t xml:space="preserve">campaign timing, </w:t>
      </w:r>
      <w:r w:rsidR="00CB3517" w:rsidRPr="00097432">
        <w:rPr>
          <w:lang w:val="en-US"/>
        </w:rPr>
        <w:t xml:space="preserve">and </w:t>
      </w:r>
      <w:r w:rsidRPr="00097432">
        <w:rPr>
          <w:rFonts w:hint="eastAsia"/>
          <w:lang w:val="en-US"/>
        </w:rPr>
        <w:t>tr</w:t>
      </w:r>
      <w:r w:rsidR="00CB3517" w:rsidRPr="00097432">
        <w:rPr>
          <w:lang w:val="en-US"/>
        </w:rPr>
        <w:t>iggers (</w:t>
      </w:r>
      <w:r w:rsidR="00CE75ED" w:rsidRPr="00097432">
        <w:rPr>
          <w:lang w:val="en-US"/>
        </w:rPr>
        <w:t>outbreak onset-triggered</w:t>
      </w:r>
      <w:r w:rsidR="009F0610" w:rsidRPr="00097432">
        <w:rPr>
          <w:lang w:val="en-US"/>
        </w:rPr>
        <w:t xml:space="preserve"> or case-triggered</w:t>
      </w:r>
      <w:r w:rsidR="00CB3517" w:rsidRPr="00097432">
        <w:rPr>
          <w:lang w:val="en-US"/>
        </w:rPr>
        <w:t>)</w:t>
      </w:r>
      <w:r w:rsidR="00523E62" w:rsidRPr="00097432">
        <w:t xml:space="preserve"> (</w:t>
      </w:r>
      <w:r w:rsidR="00523E62" w:rsidRPr="00097432">
        <w:rPr>
          <w:b/>
          <w:bCs/>
        </w:rPr>
        <w:t xml:space="preserve">Table </w:t>
      </w:r>
      <w:r w:rsidR="00523E62" w:rsidRPr="00097432">
        <w:rPr>
          <w:rFonts w:hint="eastAsia"/>
          <w:b/>
          <w:bCs/>
        </w:rPr>
        <w:t>2</w:t>
      </w:r>
      <w:r w:rsidR="00523E62" w:rsidRPr="00097432">
        <w:t>)</w:t>
      </w:r>
      <w:r w:rsidRPr="00097432">
        <w:rPr>
          <w:rFonts w:hint="eastAsia"/>
          <w:lang w:val="en-US"/>
        </w:rPr>
        <w:t>. We sampled</w:t>
      </w:r>
      <w:r w:rsidR="009F0610" w:rsidRPr="00097432">
        <w:rPr>
          <w:lang w:val="en-US"/>
        </w:rPr>
        <w:t xml:space="preserve"> 200 parameter sets </w:t>
      </w:r>
      <w:r w:rsidRPr="00097432">
        <w:rPr>
          <w:rFonts w:hint="eastAsia"/>
          <w:lang w:val="en-US"/>
        </w:rPr>
        <w:t>via a</w:t>
      </w:r>
      <w:r w:rsidR="009F0610" w:rsidRPr="00097432">
        <w:rPr>
          <w:lang w:val="en-US"/>
        </w:rPr>
        <w:t xml:space="preserve"> Sobol low-discrepancy sequence</w:t>
      </w:r>
      <w:r w:rsidR="00CB3517" w:rsidRPr="00097432">
        <w:rPr>
          <w:lang w:val="en-US"/>
        </w:rPr>
        <w:t xml:space="preserve"> (</w:t>
      </w:r>
      <w:r w:rsidR="00CB3517" w:rsidRPr="00097432">
        <w:rPr>
          <w:b/>
          <w:bCs/>
          <w:lang w:val="en-US"/>
        </w:rPr>
        <w:t xml:space="preserve">Table </w:t>
      </w:r>
      <w:r w:rsidR="00523E62" w:rsidRPr="00097432">
        <w:rPr>
          <w:rFonts w:hint="eastAsia"/>
          <w:b/>
          <w:bCs/>
          <w:lang w:val="en-US"/>
        </w:rPr>
        <w:t>3</w:t>
      </w:r>
      <w:r w:rsidR="00D80970" w:rsidRPr="00097432">
        <w:rPr>
          <w:rFonts w:hint="eastAsia"/>
          <w:lang w:val="en-US"/>
        </w:rPr>
        <w:t xml:space="preserve"> and </w:t>
      </w:r>
      <w:r w:rsidR="0007624C" w:rsidRPr="00097432">
        <w:rPr>
          <w:lang w:val="en-US"/>
        </w:rPr>
        <w:t xml:space="preserve">Supplementary Information </w:t>
      </w:r>
      <w:r w:rsidR="00F95618" w:rsidRPr="00097432">
        <w:rPr>
          <w:b/>
          <w:bCs/>
          <w:lang w:val="en-US"/>
        </w:rPr>
        <w:t>S3</w:t>
      </w:r>
      <w:r w:rsidR="00CB3517" w:rsidRPr="00097432">
        <w:rPr>
          <w:lang w:val="en-US"/>
        </w:rPr>
        <w:t>)</w:t>
      </w:r>
      <w:r w:rsidRPr="00097432">
        <w:rPr>
          <w:rFonts w:hint="eastAsia"/>
          <w:lang w:val="en-US"/>
        </w:rPr>
        <w:t xml:space="preserve">, yielding varying estimates of ORI impact. </w:t>
      </w:r>
      <w:r w:rsidR="005107E2" w:rsidRPr="00097432">
        <w:rPr>
          <w:lang w:val="en-US"/>
        </w:rPr>
        <w:t>Results</w:t>
      </w:r>
      <w:r w:rsidRPr="00097432">
        <w:rPr>
          <w:rFonts w:hint="eastAsia"/>
          <w:lang w:val="en-US"/>
        </w:rPr>
        <w:t xml:space="preserve"> ar</w:t>
      </w:r>
      <w:r w:rsidR="00A44904" w:rsidRPr="00097432">
        <w:rPr>
          <w:lang w:val="en-US"/>
        </w:rPr>
        <w:t xml:space="preserve">e </w:t>
      </w:r>
      <w:r w:rsidRPr="00097432">
        <w:rPr>
          <w:rFonts w:hint="eastAsia"/>
          <w:lang w:val="en-US"/>
        </w:rPr>
        <w:t xml:space="preserve">reported </w:t>
      </w:r>
      <w:r w:rsidR="00427DD4" w:rsidRPr="00097432">
        <w:rPr>
          <w:lang w:val="en-US"/>
        </w:rPr>
        <w:t xml:space="preserve">as </w:t>
      </w:r>
      <w:r w:rsidR="00FB487E" w:rsidRPr="00097432">
        <w:rPr>
          <w:lang w:val="en-US"/>
        </w:rPr>
        <w:t>median</w:t>
      </w:r>
      <w:r w:rsidR="00427DD4" w:rsidRPr="00097432">
        <w:rPr>
          <w:lang w:val="en-US"/>
        </w:rPr>
        <w:t>s</w:t>
      </w:r>
      <w:r w:rsidR="00FB487E" w:rsidRPr="00097432">
        <w:rPr>
          <w:lang w:val="en-US"/>
        </w:rPr>
        <w:t xml:space="preserve"> with </w:t>
      </w:r>
      <w:r w:rsidR="009130AF" w:rsidRPr="00097432">
        <w:rPr>
          <w:rFonts w:hint="eastAsia"/>
          <w:lang w:val="en-US"/>
        </w:rPr>
        <w:t>interquartile range (IQR)</w:t>
      </w:r>
      <w:r w:rsidR="00FB487E" w:rsidRPr="00097432">
        <w:rPr>
          <w:lang w:val="en-US"/>
        </w:rPr>
        <w:t xml:space="preserve">. </w:t>
      </w:r>
      <w:r w:rsidR="00BF0842" w:rsidRPr="00097432">
        <w:rPr>
          <w:rFonts w:hint="eastAsia"/>
          <w:lang w:val="en-US"/>
        </w:rPr>
        <w:t xml:space="preserve"> </w:t>
      </w:r>
    </w:p>
    <w:p w14:paraId="7B3E9384" w14:textId="77777777" w:rsidR="008F5A35" w:rsidRPr="00097432" w:rsidRDefault="008F5A35" w:rsidP="007B6AC6"/>
    <w:p w14:paraId="7F43ACC4" w14:textId="6B6A7FF3" w:rsidR="007B6AC6" w:rsidRPr="00097432" w:rsidRDefault="008F5A35" w:rsidP="007B6AC6">
      <w:r w:rsidRPr="001E41A9">
        <w:rPr>
          <w:rFonts w:hint="eastAsia"/>
          <w:highlight w:val="yellow"/>
        </w:rPr>
        <w:t xml:space="preserve">In addition to </w:t>
      </w:r>
      <w:r w:rsidRPr="001E41A9">
        <w:rPr>
          <w:highlight w:val="yellow"/>
        </w:rPr>
        <w:t>evaluating the impact of ORIs at the level</w:t>
      </w:r>
      <w:r w:rsidR="002007F1" w:rsidRPr="002007F1">
        <w:rPr>
          <w:highlight w:val="yellow"/>
        </w:rPr>
        <w:t xml:space="preserve"> </w:t>
      </w:r>
      <w:r w:rsidR="002007F1">
        <w:rPr>
          <w:rFonts w:hint="eastAsia"/>
          <w:highlight w:val="yellow"/>
        </w:rPr>
        <w:t xml:space="preserve">of </w:t>
      </w:r>
      <w:r w:rsidR="002007F1" w:rsidRPr="001E41A9">
        <w:rPr>
          <w:highlight w:val="yellow"/>
        </w:rPr>
        <w:t>individual outbreak</w:t>
      </w:r>
      <w:r w:rsidR="002007F1">
        <w:rPr>
          <w:rFonts w:hint="eastAsia"/>
          <w:highlight w:val="yellow"/>
        </w:rPr>
        <w:t>s</w:t>
      </w:r>
      <w:r w:rsidRPr="001E41A9">
        <w:rPr>
          <w:highlight w:val="yellow"/>
        </w:rPr>
        <w:t>,</w:t>
      </w:r>
      <w:r w:rsidRPr="001E41A9">
        <w:rPr>
          <w:rFonts w:hint="eastAsia"/>
          <w:highlight w:val="yellow"/>
        </w:rPr>
        <w:t xml:space="preserve"> </w:t>
      </w:r>
      <w:r w:rsidRPr="001E41A9">
        <w:rPr>
          <w:highlight w:val="yellow"/>
        </w:rPr>
        <w:t xml:space="preserve">we also estimated their </w:t>
      </w:r>
      <w:r w:rsidR="002007F1">
        <w:rPr>
          <w:rFonts w:hint="eastAsia"/>
          <w:highlight w:val="yellow"/>
        </w:rPr>
        <w:t xml:space="preserve">overall global </w:t>
      </w:r>
      <w:r w:rsidR="001E41A9" w:rsidRPr="001E41A9">
        <w:rPr>
          <w:rFonts w:hint="eastAsia"/>
          <w:highlight w:val="yellow"/>
        </w:rPr>
        <w:t>i</w:t>
      </w:r>
      <w:r w:rsidRPr="001E41A9">
        <w:rPr>
          <w:highlight w:val="yellow"/>
        </w:rPr>
        <w:t>mpact</w:t>
      </w:r>
      <w:r w:rsidR="001E41A9" w:rsidRPr="001E41A9">
        <w:rPr>
          <w:rFonts w:hint="eastAsia"/>
          <w:highlight w:val="yellow"/>
        </w:rPr>
        <w:t xml:space="preserve"> </w:t>
      </w:r>
      <w:r w:rsidR="002007F1">
        <w:rPr>
          <w:rFonts w:hint="eastAsia"/>
          <w:highlight w:val="yellow"/>
        </w:rPr>
        <w:t xml:space="preserve">by aggregating the effects </w:t>
      </w:r>
      <w:r w:rsidR="001E41A9" w:rsidRPr="001E41A9">
        <w:rPr>
          <w:rFonts w:hint="eastAsia"/>
          <w:highlight w:val="yellow"/>
        </w:rPr>
        <w:t xml:space="preserve">across multiple outbreaks </w:t>
      </w:r>
      <w:r w:rsidR="002007F1">
        <w:rPr>
          <w:rFonts w:hint="eastAsia"/>
          <w:highlight w:val="yellow"/>
        </w:rPr>
        <w:t xml:space="preserve">under a constrained </w:t>
      </w:r>
      <w:r w:rsidR="001E41A9" w:rsidRPr="001E41A9">
        <w:rPr>
          <w:rFonts w:hint="eastAsia"/>
          <w:highlight w:val="yellow"/>
        </w:rPr>
        <w:t>OCV supply</w:t>
      </w:r>
      <w:r w:rsidRPr="001E41A9">
        <w:rPr>
          <w:highlight w:val="yellow"/>
        </w:rPr>
        <w:t>.</w:t>
      </w:r>
      <w:r w:rsidRPr="00097432">
        <w:rPr>
          <w:rFonts w:hint="eastAsia"/>
        </w:rPr>
        <w:t xml:space="preserve"> Specifically, we</w:t>
      </w:r>
      <w:r w:rsidR="007B6AC6" w:rsidRPr="00097432">
        <w:t xml:space="preserve"> modeled the deployment of approximately 38 million </w:t>
      </w:r>
      <w:r w:rsidR="001E41A9">
        <w:rPr>
          <w:rFonts w:hint="eastAsia"/>
        </w:rPr>
        <w:t xml:space="preserve">doses of OCVs </w:t>
      </w:r>
      <w:r w:rsidR="007B6AC6" w:rsidRPr="00097432">
        <w:t xml:space="preserve">administered </w:t>
      </w:r>
      <w:r w:rsidR="001E41A9" w:rsidRPr="0020460F">
        <w:rPr>
          <w:rFonts w:hint="eastAsia"/>
          <w:highlight w:val="yellow"/>
        </w:rPr>
        <w:t xml:space="preserve">in </w:t>
      </w:r>
      <w:r w:rsidR="0020460F" w:rsidRPr="0020460F">
        <w:rPr>
          <w:rFonts w:hint="eastAsia"/>
          <w:highlight w:val="yellow"/>
        </w:rPr>
        <w:t>reactive c</w:t>
      </w:r>
      <w:r w:rsidR="001E41A9" w:rsidRPr="0020460F">
        <w:rPr>
          <w:rFonts w:hint="eastAsia"/>
          <w:highlight w:val="yellow"/>
        </w:rPr>
        <w:t>ampaigns</w:t>
      </w:r>
      <w:r w:rsidR="001E41A9">
        <w:rPr>
          <w:rFonts w:hint="eastAsia"/>
        </w:rPr>
        <w:t xml:space="preserve"> </w:t>
      </w:r>
      <w:r w:rsidR="007B6AC6" w:rsidRPr="00097432">
        <w:t xml:space="preserve">globally from the creation of the stockpile through 2020, based on the </w:t>
      </w:r>
      <w:r w:rsidR="0001799C" w:rsidRPr="0001799C">
        <w:rPr>
          <w:rFonts w:hint="eastAsia"/>
          <w:highlight w:val="yellow"/>
        </w:rPr>
        <w:t>Global Task Force on Cholera Control (</w:t>
      </w:r>
      <w:r w:rsidR="007B6AC6" w:rsidRPr="0001799C">
        <w:rPr>
          <w:highlight w:val="yellow"/>
        </w:rPr>
        <w:t>GTFCC</w:t>
      </w:r>
      <w:r w:rsidR="0001799C" w:rsidRPr="0001799C">
        <w:rPr>
          <w:rFonts w:hint="eastAsia"/>
          <w:highlight w:val="yellow"/>
        </w:rPr>
        <w:t>)</w:t>
      </w:r>
      <w:r w:rsidR="007B6AC6" w:rsidRPr="00097432">
        <w:t xml:space="preserve"> dashboard</w:t>
      </w:r>
      <w:r w:rsidR="007B6AC6" w:rsidRPr="00097432">
        <w:rPr>
          <w:rFonts w:hint="eastAsia"/>
        </w:rPr>
        <w:t>.</w:t>
      </w:r>
      <w:r w:rsidR="007B6AC6" w:rsidRPr="00097432">
        <w:fldChar w:fldCharType="begin"/>
      </w:r>
      <w:r w:rsidR="007B6AC6" w:rsidRPr="00097432">
        <w:instrText xml:space="preserve"> ADDIN ZOTERO_ITEM CSL_CITATION {"citationID":"sRbe03pR","properties":{"formattedCitation":"\\super 34\\nosupersub{}","plainCitation":"34","noteIndex":0},"citationItems":[{"id":15101,"uris":["http://zotero.org/users/7663102/items/TX7JU4AF"],"itemData":{"id":15101,"type":"webpage","title":"GTFCC OCV Dashboard","URL":"https://apps.epicentre-msf.org/public/app/gtfcc","accessed":{"date-parts":[["2024",11,7]]},"citation-key":"GTFCCOCVDashboard"}}],"schema":"https://github.com/citation-style-language/schema/raw/master/csl-citation.json"} </w:instrText>
      </w:r>
      <w:r w:rsidR="007B6AC6" w:rsidRPr="00097432">
        <w:fldChar w:fldCharType="separate"/>
      </w:r>
      <w:r w:rsidR="007B6AC6" w:rsidRPr="00097432">
        <w:rPr>
          <w:rFonts w:cs="Times New Roman"/>
          <w:vertAlign w:val="superscript"/>
        </w:rPr>
        <w:t>34</w:t>
      </w:r>
      <w:r w:rsidR="007B6AC6" w:rsidRPr="00097432">
        <w:fldChar w:fldCharType="end"/>
      </w:r>
      <w:r w:rsidR="007B6AC6" w:rsidRPr="00097432">
        <w:rPr>
          <w:rFonts w:hint="eastAsia"/>
        </w:rPr>
        <w:t xml:space="preserve"> </w:t>
      </w:r>
      <w:r w:rsidR="007B6AC6" w:rsidRPr="00097432">
        <w:t xml:space="preserve">Because this supply was insufficient to cover all outbreaks in the dataset, we simulated historical vaccine allocation by year. Specifically, for each year, we randomly sampled outbreaks (without replacement) that began in that year and assigned each enough vaccine to cover its target population, continuing this process until the annual number of doses deployed was matched. This sampling procedure was repeated for all years, and the entire process was iterated 200 times. For each iteration, we calculated the overall health impact by aggregating the effect across sampled outbreaks. </w:t>
      </w:r>
      <w:r w:rsidR="007B6AC6" w:rsidRPr="00097432">
        <w:lastRenderedPageBreak/>
        <w:t xml:space="preserve">These results were then summarized to estimate the </w:t>
      </w:r>
      <w:r w:rsidR="004647EB" w:rsidRPr="004647EB">
        <w:rPr>
          <w:rFonts w:hint="eastAsia"/>
          <w:highlight w:val="yellow"/>
        </w:rPr>
        <w:t>overall</w:t>
      </w:r>
      <w:r w:rsidR="007B6AC6" w:rsidRPr="004647EB">
        <w:rPr>
          <w:highlight w:val="yellow"/>
        </w:rPr>
        <w:t xml:space="preserve"> impact</w:t>
      </w:r>
      <w:r w:rsidR="007B6AC6" w:rsidRPr="00097432">
        <w:t xml:space="preserve"> of global OCV use through 2020</w:t>
      </w:r>
      <w:r w:rsidR="007B6AC6" w:rsidRPr="00097432">
        <w:rPr>
          <w:rFonts w:hint="eastAsia"/>
        </w:rPr>
        <w:t>.</w:t>
      </w:r>
    </w:p>
    <w:p w14:paraId="351F8BC9" w14:textId="77777777" w:rsidR="007B6AC6" w:rsidRPr="00097432" w:rsidRDefault="007B6AC6" w:rsidP="00F57F15"/>
    <w:p w14:paraId="650C961B" w14:textId="2100EE5B" w:rsidR="00573D44" w:rsidRPr="00097432" w:rsidRDefault="00926006" w:rsidP="00F57F15">
      <w:pPr>
        <w:rPr>
          <w:lang w:val="en-US"/>
        </w:rPr>
      </w:pPr>
      <w:r w:rsidRPr="00097432">
        <w:rPr>
          <w:rFonts w:hint="eastAsia"/>
        </w:rPr>
        <w:t>O</w:t>
      </w:r>
      <w:r w:rsidR="008F0DD3" w:rsidRPr="00097432">
        <w:rPr>
          <w:rFonts w:hint="eastAsia"/>
        </w:rPr>
        <w:t>ur</w:t>
      </w:r>
      <w:r w:rsidR="00F40085" w:rsidRPr="00097432">
        <w:rPr>
          <w:rFonts w:hint="eastAsia"/>
          <w:lang w:val="en-US"/>
        </w:rPr>
        <w:t xml:space="preserve"> </w:t>
      </w:r>
      <w:r w:rsidR="000F5F59" w:rsidRPr="00097432">
        <w:rPr>
          <w:lang w:val="en-US"/>
        </w:rPr>
        <w:t xml:space="preserve">modeling </w:t>
      </w:r>
      <w:r w:rsidR="002F33F3" w:rsidRPr="00097432">
        <w:rPr>
          <w:lang w:val="en-US"/>
        </w:rPr>
        <w:t>approach</w:t>
      </w:r>
      <w:r w:rsidR="000F5F59" w:rsidRPr="00097432">
        <w:rPr>
          <w:lang w:val="en-US"/>
        </w:rPr>
        <w:t xml:space="preserve"> </w:t>
      </w:r>
      <w:r w:rsidR="001F327A" w:rsidRPr="00097432">
        <w:rPr>
          <w:rFonts w:hint="eastAsia"/>
        </w:rPr>
        <w:t xml:space="preserve">focuses on the immediate impact of </w:t>
      </w:r>
      <w:r w:rsidR="00683CD6" w:rsidRPr="00097432">
        <w:t>ORI</w:t>
      </w:r>
      <w:r w:rsidR="001F327A" w:rsidRPr="00097432">
        <w:rPr>
          <w:rFonts w:hint="eastAsia"/>
        </w:rPr>
        <w:t xml:space="preserve"> during ongoing outbreaks and </w:t>
      </w:r>
      <w:r w:rsidR="008F5A35" w:rsidRPr="00097432">
        <w:rPr>
          <w:rFonts w:hint="eastAsia"/>
        </w:rPr>
        <w:t xml:space="preserve">does not account for </w:t>
      </w:r>
      <w:r w:rsidR="00683CD6" w:rsidRPr="00097432">
        <w:rPr>
          <w:rFonts w:hint="eastAsia"/>
        </w:rPr>
        <w:t>potential additional benefits</w:t>
      </w:r>
      <w:r w:rsidR="004A1600" w:rsidRPr="00097432">
        <w:rPr>
          <w:rFonts w:hint="eastAsia"/>
        </w:rPr>
        <w:t>,</w:t>
      </w:r>
      <w:r w:rsidR="004A1600" w:rsidRPr="00097432">
        <w:t xml:space="preserve"> such as the prevention of future outbreaks in the same population. </w:t>
      </w:r>
      <w:r w:rsidR="001F327A" w:rsidRPr="00097432">
        <w:rPr>
          <w:rFonts w:hint="eastAsia"/>
        </w:rPr>
        <w:t xml:space="preserve">This assumption reflects the </w:t>
      </w:r>
      <w:r w:rsidR="004A1600" w:rsidRPr="00097432">
        <w:rPr>
          <w:rFonts w:hint="eastAsia"/>
        </w:rPr>
        <w:t>l</w:t>
      </w:r>
      <w:r w:rsidR="004A1600" w:rsidRPr="00097432">
        <w:t>imited duration of population-level protection expected from single-dose campaigns</w:t>
      </w:r>
      <w:r w:rsidR="004A1600" w:rsidRPr="00097432">
        <w:rPr>
          <w:rFonts w:hint="eastAsia"/>
        </w:rPr>
        <w:t xml:space="preserve">, </w:t>
      </w:r>
      <w:r w:rsidR="001F327A" w:rsidRPr="00097432">
        <w:rPr>
          <w:rFonts w:hint="eastAsia"/>
        </w:rPr>
        <w:t>given the waning of immunity conferred by single-dose regimens</w:t>
      </w:r>
      <w:r w:rsidR="004A1600" w:rsidRPr="00097432">
        <w:rPr>
          <w:rFonts w:hint="eastAsia"/>
        </w:rPr>
        <w:t xml:space="preserve"> and</w:t>
      </w:r>
      <w:r w:rsidR="001F327A" w:rsidRPr="00097432">
        <w:rPr>
          <w:rFonts w:hint="eastAsia"/>
        </w:rPr>
        <w:t xml:space="preserve"> population mobility</w:t>
      </w:r>
      <w:r w:rsidR="00345AF1">
        <w:rPr>
          <w:rFonts w:hint="eastAsia"/>
        </w:rPr>
        <w:t>.</w:t>
      </w:r>
      <w:r w:rsidR="00345AF1">
        <w:fldChar w:fldCharType="begin"/>
      </w:r>
      <w:r w:rsidR="00345AF1">
        <w:instrText xml:space="preserve"> ADDIN ZOTERO_ITEM CSL_CITATION {"citationID":"zg76TUrS","properties":{"formattedCitation":"\\super 37\\nosupersub{}","plainCitation":"37","noteIndex":0},"citationItems":[{"id":9927,"uris":["http://zotero.org/users/7663102/items/VME6ZAW8"],"itemData":{"id":9927,"type":"article-journal","abstract":"Background Oral cholera vaccination is an approach to preventing outbreaks in at-risk settings and controlling cholera in endemic settings. However, vaccine-derived herd immunity may be short-lived due to interactions between human mobility and imperfect or waning vaccine efficacy. As the supply and utilization of oral cholera vaccines grows, critical questions related to herd immunity are emerging, including: who should be targeted; when should revaccination be performed; and why have cholera outbreaks occurred in recently vaccinated populations? Methods and findings We use mathematical models to simulate routine and mass oral cholera vaccination in populations with varying degrees of migration, transmission intensity, and vaccine coverage. We show that migration and waning vaccine efficacy strongly influence the duration of herd immunity while birth and death rates have relatively minimal impacts. As compared to either periodic mass vaccination or routine vaccination alone, a community could be protected longer by a blended “Mass and Maintain” strategy. We show that vaccination may be best targeted at populations with intermediate degrees of mobility as compared to communities with very high or very low population turnover. Using a case study of an internally displaced person camp in South Sudan which underwent high-coverage mass vaccination in 2014 and 2015, we show that waning vaccine direct effects and high population turnover rendered the camp over 80% susceptible at the time of the cholera outbreak beginning in October 2016. Conclusions Oral cholera vaccines can be powerful tools for quickly protecting a population for a period of time that depends critically on vaccine coverage, vaccine efficacy over time, and the rate of population turnover through human mobility. Due to waning herd immunity, epidemics in vaccinated communities are possible but become less likely through complementary interventions or data-driven revaccination strategies.","container-title":"PLOS Neglected Tropical Diseases","DOI":"10.1371/journal.pntd.0006257","ISSN":"1935-2735","issue":"2","journalAbbreviation":"PLOS Neglected Tropical Diseases","language":"en","note":"publisher: Public Library of Science","page":"e0006257","source":"PLoS Journals","title":"Prolonging herd immunity to cholera via vaccination: Accounting for human mobility and waning vaccine effects","title-short":"Prolonging herd immunity to cholera via vaccination","volume":"12","author":[{"family":"Peak","given":"Corey M."},{"family":"Reilly","given":"Amanda L."},{"family":"Azman","given":"Andrew S."},{"family":"Buckee","given":"Caroline O."}],"issued":{"date-parts":[["2018",2,28]]},"citation-key":"peakProlongingHerdImmunity2018a"}}],"schema":"https://github.com/citation-style-language/schema/raw/master/csl-citation.json"} </w:instrText>
      </w:r>
      <w:r w:rsidR="00345AF1">
        <w:fldChar w:fldCharType="separate"/>
      </w:r>
      <w:r w:rsidR="00345AF1" w:rsidRPr="00345AF1">
        <w:rPr>
          <w:rFonts w:cs="Times New Roman"/>
          <w:vertAlign w:val="superscript"/>
        </w:rPr>
        <w:t>37</w:t>
      </w:r>
      <w:r w:rsidR="00345AF1">
        <w:fldChar w:fldCharType="end"/>
      </w:r>
      <w:r w:rsidR="00573D44" w:rsidRPr="00097432">
        <w:rPr>
          <w:rFonts w:hint="eastAsia"/>
          <w:lang w:val="en-US"/>
        </w:rPr>
        <w:t xml:space="preserve"> </w:t>
      </w:r>
      <w:r w:rsidR="004A1600" w:rsidRPr="00097432">
        <w:rPr>
          <w:rFonts w:hint="eastAsia"/>
          <w:lang w:val="en-US"/>
        </w:rPr>
        <w:t>Moreover,</w:t>
      </w:r>
      <w:r w:rsidR="008F5A35" w:rsidRPr="00097432">
        <w:rPr>
          <w:rFonts w:hint="eastAsia"/>
          <w:lang w:val="en-US"/>
        </w:rPr>
        <w:t xml:space="preserve"> </w:t>
      </w:r>
      <w:r w:rsidR="004A1600" w:rsidRPr="00097432">
        <w:rPr>
          <w:rFonts w:hint="eastAsia"/>
          <w:lang w:val="en-US"/>
        </w:rPr>
        <w:t>we modeled</w:t>
      </w:r>
      <w:r w:rsidR="008F5A35" w:rsidRPr="00097432">
        <w:rPr>
          <w:rFonts w:hint="eastAsia"/>
        </w:rPr>
        <w:t xml:space="preserve"> each population independently</w:t>
      </w:r>
      <w:r w:rsidR="004A1600" w:rsidRPr="00097432">
        <w:rPr>
          <w:rFonts w:hint="eastAsia"/>
        </w:rPr>
        <w:t xml:space="preserve">, without considering </w:t>
      </w:r>
      <w:r w:rsidR="008F5A35" w:rsidRPr="00097432">
        <w:rPr>
          <w:rFonts w:hint="eastAsia"/>
        </w:rPr>
        <w:t xml:space="preserve">potential cross-population effects </w:t>
      </w:r>
      <w:r w:rsidR="008F5A35" w:rsidRPr="00097432">
        <w:t>from outbreaks or vaccination campaigns</w:t>
      </w:r>
      <w:r w:rsidR="008F5A35" w:rsidRPr="00097432">
        <w:rPr>
          <w:rFonts w:hint="eastAsia"/>
        </w:rPr>
        <w:t xml:space="preserve">. </w:t>
      </w:r>
      <w:r w:rsidR="004A1600" w:rsidRPr="00097432">
        <w:t>All code and datasets used in the analysis</w:t>
      </w:r>
      <w:r w:rsidR="004A1600" w:rsidRPr="00097432">
        <w:rPr>
          <w:lang w:val="en-US"/>
        </w:rPr>
        <w:t xml:space="preserve"> </w:t>
      </w:r>
      <w:r w:rsidR="004A1600" w:rsidRPr="00097432">
        <w:rPr>
          <w:rFonts w:hint="eastAsia"/>
          <w:lang w:val="en-US"/>
        </w:rPr>
        <w:t xml:space="preserve">are publicly available </w:t>
      </w:r>
      <w:r w:rsidR="003D2B3E" w:rsidRPr="00097432">
        <w:rPr>
          <w:lang w:val="en-US"/>
        </w:rPr>
        <w:t xml:space="preserve">in a </w:t>
      </w:r>
      <w:r w:rsidR="00573D44" w:rsidRPr="00097432">
        <w:rPr>
          <w:lang w:val="en-US"/>
        </w:rPr>
        <w:t>GitHub repository.</w:t>
      </w:r>
      <w:r w:rsidR="00573D44" w:rsidRPr="00097432">
        <w:rPr>
          <w:lang w:val="en-US"/>
        </w:rPr>
        <w:fldChar w:fldCharType="begin"/>
      </w:r>
      <w:r w:rsidR="00345AF1">
        <w:rPr>
          <w:lang w:val="en-US"/>
        </w:rPr>
        <w:instrText xml:space="preserve"> ADDIN ZOTERO_ITEM CSL_CITATION {"citationID":"oEswjDVR","properties":{"formattedCitation":"\\super 38\\nosupersub{}","plainCitation":"38","noteIndex":0},"citationItems":[{"id":15236,"uris":["http://zotero.org/users/7663102/items/45PHHFTZ"],"itemData":{"id":15236,"type":"software","title":"cholera-outbreak-vaccine-impact-modeling","URL":"https://github.com/kimfinale/cholera-outbreak-vaccine-impact-modeling","author":[{"family":"Kim","given":"Jong-Hoon"}],"issued":{"date-parts":[["2024"]]},"citation-key":"kimCholeraoutbreakvaccineimpactmodeling2024"}}],"schema":"https://github.com/citation-style-language/schema/raw/master/csl-citation.json"} </w:instrText>
      </w:r>
      <w:r w:rsidR="00573D44" w:rsidRPr="00097432">
        <w:rPr>
          <w:lang w:val="en-US"/>
        </w:rPr>
        <w:fldChar w:fldCharType="separate"/>
      </w:r>
      <w:r w:rsidR="00345AF1" w:rsidRPr="00345AF1">
        <w:rPr>
          <w:rFonts w:cs="Times New Roman"/>
          <w:vertAlign w:val="superscript"/>
        </w:rPr>
        <w:t>38</w:t>
      </w:r>
      <w:r w:rsidR="00573D44" w:rsidRPr="00097432">
        <w:rPr>
          <w:lang w:val="en-US"/>
        </w:rPr>
        <w:fldChar w:fldCharType="end"/>
      </w:r>
    </w:p>
    <w:bookmarkEnd w:id="13"/>
    <w:p w14:paraId="028E450E" w14:textId="77777777" w:rsidR="00A137EB" w:rsidRPr="00097432" w:rsidRDefault="00A137EB" w:rsidP="00F57F15">
      <w:pPr>
        <w:rPr>
          <w:lang w:val="en-US"/>
        </w:rPr>
      </w:pPr>
    </w:p>
    <w:p w14:paraId="2708E5A8" w14:textId="31DF5630" w:rsidR="002A5036" w:rsidRPr="00097432" w:rsidRDefault="002A5036" w:rsidP="00F57F15">
      <w:r w:rsidRPr="00097432">
        <w:rPr>
          <w:b/>
        </w:rPr>
        <w:t>Table 1</w:t>
      </w:r>
      <w:r w:rsidRPr="00097432">
        <w:t>. Model parameters.</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0"/>
        <w:gridCol w:w="3780"/>
        <w:gridCol w:w="1105"/>
      </w:tblGrid>
      <w:tr w:rsidR="00156EEE" w:rsidRPr="00097432" w14:paraId="75729607" w14:textId="77777777" w:rsidTr="00F31227">
        <w:trPr>
          <w:trHeight w:val="141"/>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CE7D185" w14:textId="61C324BE" w:rsidR="00156EEE" w:rsidRPr="00097432" w:rsidRDefault="00156EEE" w:rsidP="002914FA">
            <w:pPr>
              <w:spacing w:line="240" w:lineRule="auto"/>
            </w:pPr>
            <w:r w:rsidRPr="00097432">
              <w:t>Description</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45D97DD" w14:textId="77777777" w:rsidR="00156EEE" w:rsidRPr="00097432" w:rsidRDefault="00156EEE" w:rsidP="002914FA">
            <w:pPr>
              <w:spacing w:line="240" w:lineRule="auto"/>
            </w:pPr>
            <w:r w:rsidRPr="00097432">
              <w:t>Values</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597A3C6" w14:textId="77777777" w:rsidR="00156EEE" w:rsidRPr="00097432" w:rsidRDefault="00156EEE" w:rsidP="002914FA">
            <w:pPr>
              <w:spacing w:line="240" w:lineRule="auto"/>
            </w:pPr>
            <w:r w:rsidRPr="00097432">
              <w:t>Source</w:t>
            </w:r>
          </w:p>
        </w:tc>
      </w:tr>
      <w:tr w:rsidR="002A5036" w:rsidRPr="00097432" w14:paraId="3E0F5B27" w14:textId="77777777" w:rsidTr="00156EEE">
        <w:trPr>
          <w:trHeight w:val="231"/>
        </w:trPr>
        <w:tc>
          <w:tcPr>
            <w:tcW w:w="9555" w:type="dxa"/>
            <w:gridSpan w:val="3"/>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7F28619" w14:textId="5519F8A3" w:rsidR="002A5036" w:rsidRPr="00097432" w:rsidRDefault="009E0F60" w:rsidP="002914FA">
            <w:pPr>
              <w:spacing w:line="240" w:lineRule="auto"/>
              <w:rPr>
                <w:rFonts w:eastAsia="Aptos"/>
                <w:i/>
                <w:iCs/>
              </w:rPr>
            </w:pPr>
            <w:r w:rsidRPr="00097432">
              <w:rPr>
                <w:i/>
                <w:iCs/>
              </w:rPr>
              <w:t>Parameter</w:t>
            </w:r>
            <w:r w:rsidR="004870F7" w:rsidRPr="00097432">
              <w:rPr>
                <w:i/>
                <w:iCs/>
              </w:rPr>
              <w:t>s</w:t>
            </w:r>
            <w:r w:rsidRPr="00097432">
              <w:rPr>
                <w:i/>
                <w:iCs/>
              </w:rPr>
              <w:t xml:space="preserve"> varied</w:t>
            </w:r>
          </w:p>
        </w:tc>
      </w:tr>
      <w:tr w:rsidR="000218B3" w:rsidRPr="00097432" w14:paraId="741EE81E" w14:textId="77777777" w:rsidTr="00F31227">
        <w:trPr>
          <w:trHeight w:val="735"/>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B8726A7" w14:textId="7C8E74AB" w:rsidR="000218B3" w:rsidRPr="00097432" w:rsidRDefault="000218B3" w:rsidP="002914FA">
            <w:pPr>
              <w:spacing w:line="240" w:lineRule="auto"/>
            </w:pPr>
            <w:r w:rsidRPr="00097432">
              <w:t>Direct v</w:t>
            </w:r>
            <w:r w:rsidRPr="00097432">
              <w:rPr>
                <w:rFonts w:eastAsia="Aptos"/>
              </w:rPr>
              <w:t>accine eff</w:t>
            </w:r>
            <w:r w:rsidR="00412CDE" w:rsidRPr="00097432">
              <w:rPr>
                <w:rFonts w:hint="eastAsia"/>
              </w:rPr>
              <w:t>ectiveness</w:t>
            </w:r>
            <w:r w:rsidRPr="00097432">
              <w:t xml:space="preserve"> by one dose of OCV for the &lt; 5 yo and 5+ yo,</w:t>
            </w:r>
            <w:r w:rsidR="00D71B88" w:rsidRPr="00097432">
              <w:rPr>
                <w:rFonts w:hint="eastAsia"/>
              </w:rPr>
              <w:t xml:space="preserve"> </w:t>
            </w:r>
            <w:r w:rsidRPr="00097432">
              <w:t>respectively.</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AE29507" w14:textId="6C8E02A5" w:rsidR="000218B3" w:rsidRPr="00097432" w:rsidRDefault="000218B3" w:rsidP="002914FA">
            <w:pPr>
              <w:spacing w:line="240" w:lineRule="auto"/>
              <w:rPr>
                <w:lang w:val="it-CH"/>
              </w:rPr>
            </w:pPr>
            <w:r w:rsidRPr="00097432">
              <w:rPr>
                <w:lang w:val="it-CH"/>
              </w:rPr>
              <w:t xml:space="preserve">30% </w:t>
            </w:r>
            <w:r w:rsidR="009E0F60" w:rsidRPr="00097432">
              <w:rPr>
                <w:lang w:val="it-CH"/>
              </w:rPr>
              <w:t xml:space="preserve">[95% CI: 15%, 42%] </w:t>
            </w:r>
            <w:r w:rsidRPr="00097432">
              <w:rPr>
                <w:lang w:val="it-CH"/>
              </w:rPr>
              <w:t xml:space="preserve">(&lt; 5 yo) and 64% </w:t>
            </w:r>
            <w:r w:rsidR="009E0F60" w:rsidRPr="00097432">
              <w:rPr>
                <w:lang w:val="it-CH"/>
              </w:rPr>
              <w:t xml:space="preserve">[95% CI: 58%, 70%] </w:t>
            </w:r>
            <w:r w:rsidRPr="00097432">
              <w:rPr>
                <w:lang w:val="it-CH"/>
              </w:rPr>
              <w:t>(5+ yo)</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617C2EDE" w14:textId="207F6D93" w:rsidR="000218B3" w:rsidRPr="00097432" w:rsidRDefault="00095C04" w:rsidP="002914FA">
            <w:pPr>
              <w:spacing w:line="240" w:lineRule="auto"/>
              <w:rPr>
                <w:rFonts w:eastAsia="Aptos"/>
              </w:rPr>
            </w:pPr>
            <w:r w:rsidRPr="00097432">
              <w:fldChar w:fldCharType="begin"/>
            </w:r>
            <w:r w:rsidR="000B5A14" w:rsidRPr="00097432">
              <w:instrText xml:space="preserve"> ADDIN ZOTERO_ITEM CSL_CITATION {"citationID":"MfwbXI3Q","properties":{"formattedCitation":"\\super 28\\nosupersub{}","plainCitation":"28","noteIndex":0},"citationItems":[{"id":9742,"uris":["http://zotero.org/users/7663102/items/DFCIX2GR"],"itemData":{"id":9742,"type":"article-journal","container-title":"The Lancet Infectious Diseases","DOI":"10.1016/S1473-3099(17)30359-6","ISSN":"1473-3099, 1474-4457","issue":"10","journalAbbreviation":"Lancet Inf Dis","language":"English","note":"publisher: Elsevier\nPMID: 28729167","page":"1080-1088","source":"www.thelancet.com","title":"Protection against cholera from killed whole-cell oral cholera vaccines: a systematic review and meta-analysis","title-short":"Protection against cholera from killed whole-cell oral cholera vaccines","volume":"17","author":[{"family":"Bi","given":"Qifang"},{"family":"Ferreras","given":"Eva"},{"family":"Pezzoli","given":"Lorenzo"},{"family":"Legros","given":"Dominique"},{"family":"Ivers","given":"Louise C."},{"family":"Date","given":"Kashmira"},{"family":"Qadri","given":"Firdausi"},{"family":"Digilio","given":"Laura"},{"family":"Sack","given":"David A."},{"family":"Ali","given":"Mohammad"},{"family":"Lessler","given":"Justin"},{"family":"Luquero","given":"Francisco J."},{"family":"Azman","given":"Andrew S."},{"family":"Cavailler","given":"Philippe"},{"family":"Date","given":"Kashmira"},{"family":"Sreenivasan","given":"Nandini"},{"family":"Matzger","given":"Helen"},{"family":"Luquero","given":"Francisco"},{"family":"Grais","given":"Rebecca"},{"family":"Wiesner","given":"Lale"},{"family":"Ko","given":"Melissa"},{"family":"Rouzier","given":"Vanessa"},{"family":"Peak","given":"Corey"},{"family":"Qadri","given":"Firdausi"},{"family":"Landegger","given":"Justine"},{"family":"Lynch","given":"Julia"},{"family":"Azman","given":"Andrew"},{"family":"Sack","given":"David"},{"family":"Henkens","given":"Myriam"},{"family":"Ciglenecki","given":"Iza"},{"family":"Ivers","given":"Louise"},{"family":"Diggle","given":"Emma"},{"family":"Weiss","given":"Mitchell"},{"family":"Hinman","given":"Alan"},{"family":"Maina","given":"Kahindo"},{"family":"Mirza","given":"Imran"},{"family":"Gimeno","given":"Guillermo"},{"family":"Levine","given":"Myron"}],"issued":{"date-parts":[["2017",10,1]]},"citation-key":"biProtectionCholeraKilled2017"}}],"schema":"https://github.com/citation-style-language/schema/raw/master/csl-citation.json"} </w:instrText>
            </w:r>
            <w:r w:rsidRPr="00097432">
              <w:fldChar w:fldCharType="separate"/>
            </w:r>
            <w:r w:rsidR="0016770F" w:rsidRPr="00097432">
              <w:rPr>
                <w:rFonts w:cs="Times New Roman"/>
                <w:vertAlign w:val="superscript"/>
              </w:rPr>
              <w:t>28</w:t>
            </w:r>
            <w:r w:rsidRPr="00097432">
              <w:fldChar w:fldCharType="end"/>
            </w:r>
          </w:p>
        </w:tc>
      </w:tr>
      <w:tr w:rsidR="009E0F60" w:rsidRPr="00097432" w14:paraId="727DBC2A" w14:textId="77777777" w:rsidTr="00F31227">
        <w:trPr>
          <w:trHeight w:val="303"/>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7783895" w14:textId="3BC05A62" w:rsidR="009E0F60" w:rsidRPr="00097432" w:rsidRDefault="009E0F60" w:rsidP="002914FA">
            <w:pPr>
              <w:spacing w:line="240" w:lineRule="auto"/>
            </w:pPr>
            <w:r w:rsidRPr="00097432">
              <w:t>Campaign duration</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1A1F8226" w14:textId="4D8BFD02" w:rsidR="009E0F60" w:rsidRPr="00097432" w:rsidRDefault="009E0F60" w:rsidP="002914FA">
            <w:pPr>
              <w:spacing w:line="240" w:lineRule="auto"/>
            </w:pPr>
            <w:r w:rsidRPr="00097432">
              <w:t>5 [range: 3-14] days</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45D0B35C" w14:textId="230086BC" w:rsidR="009E0F60" w:rsidRPr="00097432" w:rsidRDefault="009E0F60" w:rsidP="002914FA">
            <w:pPr>
              <w:spacing w:line="240" w:lineRule="auto"/>
            </w:pPr>
            <w:r w:rsidRPr="00097432">
              <w:fldChar w:fldCharType="begin"/>
            </w:r>
            <w:r w:rsidR="00345AF1">
              <w:instrText xml:space="preserve"> ADDIN ZOTERO_ITEM CSL_CITATION {"citationID":"8Wjg9rtk","properties":{"formattedCitation":"\\super 31\\nosupersub{}","plainCitation":"31","noteIndex":0},"citationItems":[{"id":"EgwuGF5k/Z2CCv85Z","uris":["http://zotero.org/users/local/xDVOxgbN/items/5UAYTNFT"],"itemData":{"id":132,"type":"article-journal","abstract":"Vaccination is a key intervention to prevent and control cholera in conjunction with water, sanitation and hygiene activities. An oral cholera vaccine (OCV) stockpile was established by the World Health Organization (WHO) in 2013. We reviewed its use from July 2013 to all of 2018 in order to assess its role in cholera control. We computed information related to OCV deployments and campaigns conducted including setting, target population, timelines, delivery strategy, reported adverse events, coverage achieved, and costs. In 2013-2018, a total of 83,509,941 OCV doses have been requested by 24 countries, of which 55,409,160 were approved and 36,066,010 eventually shipped in 83 deployments, resulting in 104 vaccination campaigns in 22 countries. OCVs had in general high uptake (mean administrative coverage 1st dose campaign at 90.3%; 2nd dose campaign at 88.2%; mean survey-estimated two-dose coverage at 69.9%, at least one dose at 84.6%) No serious adverse events were reported. Campaigns were organized quickly (five days median duration). In emergency settings, the longest delay was from the occurrence of the emergency to requesting OCV (median: 26</w:instrText>
            </w:r>
            <w:r w:rsidR="00345AF1">
              <w:rPr>
                <w:rFonts w:ascii="Arial" w:hAnsi="Arial"/>
              </w:rPr>
              <w:instrText> </w:instrText>
            </w:r>
            <w:r w:rsidR="00345AF1">
              <w:instrText xml:space="preserve">days). The mean cost of administering one dose of vaccine was 2.98 USD. The OCV stockpile is an important public health resource. OCVs were generally well accepted by the population and their use demonstrated to be safe and feasible in all settings. OCV was an inexpensive intervention, although timing was a limiting factor for emergency use. The dynamic created by the establishment of the OCV stockpile has played a role in the increased use of the vaccine by setting in motion a virtuous cycle by which better monitoring and evaluation leads to better campaign organization, better cholera control, and more requests being generated. Further work is needed to improve timeliness of response and contextualize strategies for OCV delivery in the various settings.","container-title":"Vaccine","DOI":"10.1016/j.vaccine.2019.08.086","ISSN":"1873-2518","issue":"Suppl 1","journalAbbreviation":"Vaccine","language":"eng","note":"PMID: 31519444\nPMCID: PMC10967685","page":"A132-A140","source":"PubMed","title":"Global oral cholera vaccine use, 2013-2018","volume":"38 Suppl 1","author":[{"family":"Pezzoli","given":"Lorenzo"},{"literal":"Oral Cholera Vaccine Working Group of the Global Task Force on Cholera Control"}],"issued":{"date-parts":[["2020",2,29]]}}}],"schema":"https://github.com/citation-style-language/schema/raw/master/csl-citation.json"} </w:instrText>
            </w:r>
            <w:r w:rsidRPr="00097432">
              <w:fldChar w:fldCharType="separate"/>
            </w:r>
            <w:r w:rsidR="00900C32" w:rsidRPr="00097432">
              <w:rPr>
                <w:rFonts w:cs="Times New Roman"/>
                <w:vertAlign w:val="superscript"/>
              </w:rPr>
              <w:t>31</w:t>
            </w:r>
            <w:r w:rsidRPr="00097432">
              <w:fldChar w:fldCharType="end"/>
            </w:r>
          </w:p>
        </w:tc>
      </w:tr>
      <w:tr w:rsidR="009E0F60" w:rsidRPr="00097432" w14:paraId="4490F237" w14:textId="77777777" w:rsidTr="00F31227">
        <w:trPr>
          <w:trHeight w:val="708"/>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1B3D0B60" w14:textId="721572E2" w:rsidR="009E0F60" w:rsidRPr="00097432" w:rsidRDefault="009E0F60" w:rsidP="002914FA">
            <w:pPr>
              <w:snapToGrid w:val="0"/>
              <w:spacing w:line="240" w:lineRule="auto"/>
            </w:pPr>
            <w:r w:rsidRPr="00097432">
              <w:t xml:space="preserve">Indirect vaccine </w:t>
            </w:r>
            <w:r w:rsidR="00412CDE" w:rsidRPr="00097432">
              <w:t>effectiveness</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FEA1F2B" w14:textId="74ED0BE3" w:rsidR="009E0F60" w:rsidRPr="00097432" w:rsidRDefault="009E0F60" w:rsidP="002914FA">
            <w:pPr>
              <w:snapToGrid w:val="0"/>
              <w:spacing w:line="240" w:lineRule="auto"/>
            </w:pPr>
            <w:r w:rsidRPr="00097432">
              <w:t>7</w:t>
            </w:r>
            <w:r w:rsidR="00DC360A">
              <w:rPr>
                <w:rFonts w:hint="eastAsia"/>
              </w:rPr>
              <w:t>7.</w:t>
            </w:r>
            <w:r w:rsidRPr="00097432">
              <w:t>9% [</w:t>
            </w:r>
            <w:r w:rsidR="00124F65" w:rsidRPr="00097432">
              <w:rPr>
                <w:rFonts w:hint="eastAsia"/>
              </w:rPr>
              <w:t>95% CrI:</w:t>
            </w:r>
            <w:r w:rsidR="00DC360A">
              <w:rPr>
                <w:rFonts w:hint="eastAsia"/>
              </w:rPr>
              <w:t xml:space="preserve"> 54.5</w:t>
            </w:r>
            <w:r w:rsidRPr="00097432">
              <w:t xml:space="preserve"> – 9</w:t>
            </w:r>
            <w:r w:rsidR="00DC360A">
              <w:rPr>
                <w:rFonts w:hint="eastAsia"/>
              </w:rPr>
              <w:t>1</w:t>
            </w:r>
            <w:r w:rsidRPr="00097432">
              <w:t>] and 9</w:t>
            </w:r>
            <w:r w:rsidR="00DC360A">
              <w:rPr>
                <w:rFonts w:hint="eastAsia"/>
              </w:rPr>
              <w:t>5</w:t>
            </w:r>
            <w:r w:rsidRPr="00097432">
              <w:t>% [</w:t>
            </w:r>
            <w:r w:rsidR="00124F65" w:rsidRPr="00097432">
              <w:rPr>
                <w:rFonts w:hint="eastAsia"/>
              </w:rPr>
              <w:t xml:space="preserve">95% CrI: </w:t>
            </w:r>
            <w:r w:rsidR="00DC360A">
              <w:rPr>
                <w:rFonts w:hint="eastAsia"/>
              </w:rPr>
              <w:t xml:space="preserve">58.4 </w:t>
            </w:r>
            <w:r w:rsidR="00DC360A">
              <w:t>–</w:t>
            </w:r>
            <w:r w:rsidR="00DC360A">
              <w:rPr>
                <w:rFonts w:hint="eastAsia"/>
              </w:rPr>
              <w:t xml:space="preserve"> 99.6</w:t>
            </w:r>
            <w:r w:rsidRPr="00097432">
              <w:t>] at 60% and 90% vaccine coverage</w:t>
            </w:r>
            <w:r w:rsidR="00274651" w:rsidRPr="00097432">
              <w:t>s</w:t>
            </w:r>
            <w:r w:rsidRPr="00097432">
              <w:t xml:space="preserve">, respectively. (Supplementary Information </w:t>
            </w:r>
            <w:r w:rsidRPr="00097432">
              <w:rPr>
                <w:b/>
                <w:bCs/>
              </w:rPr>
              <w:t>S</w:t>
            </w:r>
            <w:r w:rsidR="00F57AD3" w:rsidRPr="00097432">
              <w:rPr>
                <w:b/>
                <w:bCs/>
              </w:rPr>
              <w:t>3</w:t>
            </w:r>
            <w:r w:rsidR="00A80FF7" w:rsidRPr="00A80FF7">
              <w:rPr>
                <w:rFonts w:hint="eastAsia"/>
              </w:rPr>
              <w:t xml:space="preserve"> and </w:t>
            </w:r>
            <w:r w:rsidR="00A80FF7">
              <w:rPr>
                <w:rFonts w:hint="eastAsia"/>
                <w:b/>
                <w:bCs/>
              </w:rPr>
              <w:t>Figure S1</w:t>
            </w:r>
            <w:r w:rsidRPr="00097432">
              <w: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3BA7E6D" w14:textId="77777777" w:rsidR="009E0F60" w:rsidRPr="00097432" w:rsidRDefault="009E0F60" w:rsidP="002914FA">
            <w:pPr>
              <w:snapToGrid w:val="0"/>
              <w:spacing w:line="240" w:lineRule="auto"/>
            </w:pPr>
          </w:p>
        </w:tc>
      </w:tr>
      <w:tr w:rsidR="009E0F60" w:rsidRPr="00097432" w14:paraId="677A7BAA" w14:textId="77777777" w:rsidTr="00F31227">
        <w:trPr>
          <w:trHeight w:val="474"/>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8ABD2A9" w14:textId="647DF3DA" w:rsidR="009E0F60" w:rsidRPr="00097432" w:rsidRDefault="009E0F60" w:rsidP="002914FA">
            <w:pPr>
              <w:spacing w:line="240" w:lineRule="auto"/>
            </w:pPr>
            <w:r w:rsidRPr="00097432">
              <w:t>Delay in vaccine-derived protection</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1A6152B" w14:textId="77777777" w:rsidR="009E0F60" w:rsidRPr="00097432" w:rsidRDefault="009E0F60" w:rsidP="002914FA">
            <w:pPr>
              <w:spacing w:line="240" w:lineRule="auto"/>
            </w:pPr>
            <w:r w:rsidRPr="00097432">
              <w:t>10.5 [range: 3, 21] days</w:t>
            </w:r>
          </w:p>
          <w:p w14:paraId="62BD6E8A" w14:textId="27C4F7D3" w:rsidR="00095C04" w:rsidRPr="00097432" w:rsidRDefault="00095C04" w:rsidP="002914FA">
            <w:pPr>
              <w:spacing w:line="240" w:lineRule="auto"/>
            </w:pPr>
            <w:r w:rsidRPr="00097432">
              <w:t xml:space="preserve">(Supplementary </w:t>
            </w:r>
            <w:r w:rsidR="003632A2" w:rsidRPr="00097432">
              <w:t>Information</w:t>
            </w:r>
            <w:r w:rsidRPr="00097432">
              <w:t xml:space="preserve"> </w:t>
            </w:r>
            <w:r w:rsidRPr="00097432">
              <w:rPr>
                <w:b/>
                <w:bCs/>
              </w:rPr>
              <w:t>S</w:t>
            </w:r>
            <w:r w:rsidR="00D00F48" w:rsidRPr="00097432">
              <w:rPr>
                <w:rFonts w:hint="eastAsia"/>
                <w:b/>
                <w:bCs/>
              </w:rPr>
              <w:t>4</w:t>
            </w:r>
            <w:r w:rsidRPr="00097432">
              <w: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8469979" w14:textId="0F39DC1C" w:rsidR="009E0F60" w:rsidRPr="00097432" w:rsidRDefault="00095C04" w:rsidP="002914FA">
            <w:pPr>
              <w:spacing w:line="240" w:lineRule="auto"/>
            </w:pPr>
            <w:r w:rsidRPr="00097432">
              <w:fldChar w:fldCharType="begin"/>
            </w:r>
            <w:r w:rsidR="00345AF1">
              <w:instrText xml:space="preserve"> ADDIN ZOTERO_ITEM CSL_CITATION {"citationID":"LdGf3KKL","properties":{"formattedCitation":"\\super 39\\uc0\\u8211{}47\\nosupersub{}","plainCitation":"39–47","noteIndex":0},"citationItems":[{"id":"EgwuGF5k/UPDcwlHQ","uris":["http://zotero.org/users/local/xDVOxgbN/items/VMBJ3ILL"],"itemData":{"id":4,"type":"article-journal","abstract":"INTRODUCTION: In cholera endemic areas, the periodicity of cholera outbreaks remains unpredictable, making it difficult to organize preventive efforts. Lack of data on duration of protection conferred by oral cholera vaccines further makes it difficult to determine when to deploy preemptive vaccination. We report on the immunogenicity and waning of immunity to Shanchol™ in Lukanga Swamps.\nMETHODS: We enrolled a cohort of 223 participants aged between 18 and 65 years old from whom serum samples were collected at baseline, day 28 before administration of the second dose, and consecutively at 6, 12, 24, 30, 36, and 48 months. Vibriocidal antibody titres were measured and expressed as geometric mean titres. Box plots and 95% CI were computed at each visit for both Inaba and Ogawa. Seroconversion was defined as a four fold or greater increase in antibody titres compared to baseline titres.\nRESULTS: Overall, seroconversion again</w:instrText>
            </w:r>
            <w:r w:rsidR="00345AF1">
              <w:rPr>
                <w:rFonts w:hint="eastAsia"/>
              </w:rPr>
              <w:instrText xml:space="preserve">st V. cholerae Inaba and Ogawa after 1st dose was 35/134 (26%) and 34/134 (25%) respectively. We observed a statistical difference in seroconversion between the two subgroups of baseline titres (low &lt;80 and high </w:instrText>
            </w:r>
            <w:r w:rsidR="00345AF1">
              <w:rPr>
                <w:rFonts w:hint="eastAsia"/>
              </w:rPr>
              <w:instrText>≥</w:instrText>
            </w:r>
            <w:r w:rsidR="00345AF1">
              <w:rPr>
                <w:rFonts w:hint="eastAsia"/>
              </w:rPr>
              <w:instrText>80) for both Inaba (p = 0.02) and Ogawa (p</w:instrText>
            </w:r>
            <w:r w:rsidR="00345AF1">
              <w:instrText>&lt;0.0001). From a baseline of 13.58, anti-Ogawa GMT increased to 21.95 after the first dose, but rapidly waned to 14.52, 13.13, and 12.78 at months 6, 12 and 24 respectively, and then increased to 13.21, 18.67 and 23.65 at months 30, 36 and 48 respectively. A similar trend was observed for anti-Inaba GMT across the same time points.\nCONCLUSION: We found that Shanchol™ was immunogenic in our study population and that vibriocidal antibodies may not be a good marker for long-term immunity. The observed rise in titres after 36 months suggests natural exposure, and this may be a critical time window opening for natural transmission in an endemic areas. We recommend re-vaccination at this time point in high risk areas.","container-title":"PloS One","DOI":"10.1371/journal.pone.0262239","ISSN":"1932-6203","issue":"1","journalAbbreviation":"PLoS One","language":"eng","note":"PMID: 34986195\nPMCID: PMC8730422","page":"e0262239","source":"PubMed","title":"Immunogenicity and waning immunity from the oral cholera vaccine (Shanchol™) in adults residing in Lukanga Swamps of Zambia","volume":"17","author":[{"family":"Ng Ombe","given":"Harriet"},{"family":"Simuyandi","given":"Michelo"},{"family":"Mwaba","given":"John"},{"family":"Luchen","given":"Charlie Chaluma"},{"family":"Alabi","given":"Peter"},{"family":"Chilyabanyama","given":"Obvious Nchimunya"},{"family":"Mubanga","given":"Cynthia"},{"family":"Hatyoka","given":"Luiza Miyanda"},{"family":"Muchimba","given":"Mutinta"},{"family":"Bosomprah","given":"Samuel"},{"family":"Chilengi","given":"Roma"},{"family":"Kwenda","given":"Geoffrey"},{"family":"Chisenga","given":"Caroline Cleopatra"}],"issued":{"date-parts":[["2022"]]}}},{"id":"EgwuGF5k/3pLpL7PN","uris":["http://zotero.org/users/local/xDVOxgbN/items/3XUCD5LV"],"itemData":{"id":7,"type":"article-journal","abstract":"Immune responses after one and two doses of the reformulated killed oral cholera vaccine were measured in a double-blind, randomized, placebo-controlled trial of 77 adults aged 18-40 years and 77 children aged 1-17 years residing in Kolkata, India. 65% of adults and 87% of children and 46% of adults and 82% of children exhibited a &gt; or =4-fold rise in serum Vibrio cholerae O1 vibriocidal antibody titers from baseline following dose 1 and 2, respectively. Responses to V. cholerae O139 were less pronounced but followed a similar pattern. We demonstrate that in a cholera-endemic area, the vaccine elicited vibriocidal responses after a single-dose of the vaccine.","container-title":"Vaccine","DOI":"10.1016/j.vaccine.2009.09.008","ISSN":"1873-2518","issue":"49","journalAbbreviation":"Vaccine","language":"eng","note":"PMID: 19761838","page":"6887-6893","source":"PubMed","title":"Immune responses following one and two doses of the reformulated, bivalent, killed, whole-cell, oral cholera vaccine among adults and children in Kolkata, India: a randomized, placebo-controlled trial","title-short":"Immune responses following one and two doses of the reformulated, bivalent, killed, whole-cell, oral cholera vaccine among adults and children in Kolkata, India","volume":"27","author":[{"family":"Kanungo","given":"Suman"},{"family":"Paisley","given":"Allison"},{"family":"Lopez","given":"Anna Lena"},{"family":"Bhattacharya","given":"Mihir"},{"family":"Manna","given":"Byomkesh"},{"family":"Kim","given":"Deok Ryun"},{"family":"Han","given":"Seung Hyun"},{"family":"Attridge","given":"Stephen"},{"family":"Carbis","given":"Rodney"},{"family":"Rao","given":"Raman"},{"family":"Holmgren","given":"Jan"},{"family":"Clemens","given":"John D."},{"family":"Sur","given":"Dipika"}],"issued":{"date-parts":[["2009",11,16]]}}},{"id":"EgwuGF5k/qcwvtkC1","uris":["http://zotero.org/users/local/xDVOxgbN/items/PQEELNWL"],"itemData":{"id":17,"type":"article-journal","abstract":"After the large influx of Rohingya nationals (termed Forcibly Displaced Myanmar National; FDMN) from Rakhine State of Myanmar to Cox's Bazar in Bangladesh, it was apparent that outbreaks of cholera was very likely in this setting where people were living under adverse water and sanitation conditions. Large campaigns of oral cholera vaccine (OCV) were carried out as a preemptive measure to control cholera epidemics. The aim of the study was to evaluate the immune responses of healthy adults and children after administration of two doses of OCV at 14 days interval in FDMN population and compare with the response observed in Bangladeshi's vaccinated earlier. A cross-sectional immunogenicity study was conducted among FDMNs of three age cohort; in adults (18+years; n = 83), in older children (6-17 years; n = 63) and in younger children (1-5 years; n = 80). Capillary blood was collected at three time points to measure vibriocidal antibodies using either plasma or dried blood spot (DBS) specimens. There was a significant increase of responder frequency of vibriocidal antibody titer at day 14 in all groups for Vibrio cholerae O1 (Ogawa/Inaba: adults-64%/64%, older children-70%/89% and younger children-51%/75%). There was no overall difference of vibriocidal antibody titer between FDMN and Bangladeshi population at baseline (p = 0.07-0.08) and at day 14, day 28 in all age groups for both serotypes. The seroconversion rate and geometric mean titer (GMT) of either serotype were comparable using both plasma and DBS specimens. These results showed that OCV is capable of inducing robust immune responses in adults and children among the FDMN population which is comparable to that seen in Bangladeshi participants in different age groups or that reported from other cholera endemic countries. Our results also suggest that the displaced population were exposed to V. cholerae prior to seeking shelter in Bangladesh.","container-title":"PLoS neglected tropical diseases","DOI":"10.1371/journal.pntd.0007989","ISSN":"1935-2735","issue":"3","journalAbbreviation":"PLoS Negl Trop Dis","language":"eng","note":"PMID: 32176695\nPMCID: PMC7075546","page":"e0007989","source":"PubMed","title":"Immunogenicity of a killed bivalent whole cell oral cholera vaccine in forcibly displaced Myanmar nationals in Cox's Bazar, Bangladesh","volume":"14","author":[{"family":"Chowdhury","given":"Fahima"},{"family":"Bhuiyan","given":"Taufiqur Rahman"},{"family":"Akter","given":"Afroza"},{"family":"Bhuiyan","given":"Md Saruar"},{"family":"Khan","given":"Ashraful Islam"},{"family":"Hossain","given":"Motaher"},{"family":"Tauheed","given":"Imam"},{"family":"Ahmed","given":"Tasnuva"},{"family":"Islam","given":"Shaumik"},{"family":"Rafique","given":"Tanzeem Ahmed"},{"family":"Siddique","given":"Shah Alam"},{"family":"Harun","given":"Nabila Binta"},{"family":"Islam","given":"Khaleda"},{"family":"Clemens","given":"John D."},{"family":"Qadri","given":"Firdausi"}],"issued":{"date-parts":[["2020",3]]}}},{"id":"EgwuGF5k/4u14LcVq","uris":["http://zotero.org/users/local/xDVOxgbN/items/ZG8J3XZ6"],"itemData":{"id":20,"type":"article-journal","container-title":"PLOS ONE","DOI":"10.1371/journal.pone.0218033","ISSN":"1932-6203","issue":"6","journalAbbreviation":"PLoS ONE","language":"en","page":"e0218033","source":"DOI.org (Crossref)","title":"Safety and immunogenicity of a killed bivalent (O1 and O139) whole-cell oral cholera vaccine in adults and children in Vellore, South India","volume":"14","author":[{"family":"Raghava Mohan","given":"Venkata"},{"family":"Raj","given":"Santosh"},{"family":"Dhingra","given":"Mandeep Singh"},{"family":"Aloysia D’Cor","given":"Naveena"},{"family":"Singh","given":"Ajit Pal"},{"family":"Saluja","given":"Tarun"},{"family":"Kim","given":"Deok Ryun"},{"family":"Midde","given":"Venkat Jayanth"},{"family":"Kim","given":"Yanghee"},{"family":"Vemula","given":"Sridhar"},{"family":"Narla","given":"Santhosh Kumar"},{"family":"Sah","given":"Binod"},{"family":"Ali","given":"Mohammad"}],"editor":[{"family":"Borrow","given":"Ray"}],"issued":{"date-parts":[["2019",6,18]]}}},{"id":"EgwuGF5k/MEiMcdvb","uris":["http://zotero.org/users/local/xDVOxgbN/items/TP75RAGU"],"itemData":{"id":22,"type":"article-journal","abstract":"BACKGROUND: Studies of the immunogenicity of the killed bivalent whole cell oral cholera vaccine, Shanchol, have been performed in historically cholera-endemic areas of Asia. There is a need to assess the immunogenicity of the vaccine in Haiti and other populations without historical exposure to Vibrio cholerae.\nMETHODOLOGY/PRINCIPAL FINDINGS: We measured imm</w:instrText>
            </w:r>
            <w:r w:rsidR="00345AF1">
              <w:rPr>
                <w:rFonts w:hint="eastAsia"/>
              </w:rPr>
              <w:instrText>une responses after administration of Shanchol, in 25 adults, 51 older children (6-17 years), and 47 younger children (1-5 years) in Haiti, where cholera was introduced in 2010. A</w:instrText>
            </w:r>
            <w:r w:rsidR="00345AF1">
              <w:rPr>
                <w:rFonts w:hint="eastAsia"/>
              </w:rPr>
              <w:instrText>≥</w:instrText>
            </w:r>
            <w:r w:rsidR="00345AF1">
              <w:rPr>
                <w:rFonts w:hint="eastAsia"/>
              </w:rPr>
              <w:instrText>4-fold increase in vibriocidal antibody titer against V. cholerae O1 Ogawa was observed in 91% of adults, 74% of older children, and 73% of younger children after two doses of Shanchol; similar responses were observed against the Inaba serotype. A</w:instrText>
            </w:r>
            <w:r w:rsidR="00345AF1">
              <w:rPr>
                <w:rFonts w:hint="eastAsia"/>
              </w:rPr>
              <w:instrText>≥</w:instrText>
            </w:r>
            <w:r w:rsidR="00345AF1">
              <w:rPr>
                <w:rFonts w:hint="eastAsia"/>
              </w:rPr>
              <w:instrText>2-fold increase in serum O-antigen specific polysaccharide IgA antibody levels aga</w:instrText>
            </w:r>
            <w:r w:rsidR="00345AF1">
              <w:instrText>inst V. cholerae O1 Ogawa was observed in 59% of adults, 45% of older children, and 61% of younger children; similar responses were observed against the Inaba serotype. We compared immune responses in Haitian individuals with age- and blood group-matched individuals from Bangladesh, a historically cholera-endemic area. The geometric mean vibriocidal titers after the first dose of vaccine were lower in Haitian than in Bangladeshi vaccinees. However, the mean vibriocidal titers did not differ between the two groups after the second dose of the vaccine.\nCONCLUSIONS/SIGNIFICANCE: A killed bivalent whole cell oral cholera vaccine, Shanchol, is highly immunogenic in Haitian adults and children. A two-dose regimen may be important in Haiti, and other populations lacking previous repeated exposures to V. cholerae.","container-title":"PLoS neglected tropical diseases","DOI":"10.1371/journal.pntd.0002828","ISSN":"1935-2735","issue":"5","journalAbbreviation":"PLoS Negl Trop Dis","language":"eng","note":"PMID: 24786645\nPMCID: PMC4006712","page":"e2828","source":"PubMed","title":"Immunogenicity of a killed bivalent (O1 and O139) whole cell oral cholera vaccine, Shanchol, in Haiti","volume":"8","author":[{"family":"Charles","given":"Richelle C."},{"family":"Hilaire","given":"Isabelle J."},{"family":"Mayo-Smith","given":"Leslie M."},{"family":"Teng","given":"Jessica E."},{"family":"Jerome","given":"J. Gregory"},{"family":"Franke","given":"Molly F."},{"family":"Saha","given":"Amit"},{"family":"Yu","given":"Yanan"},{"family":"Kováč","given":"Paul"},{"family":"Calderwood","given":"Stephen B."},{"family":"Ryan","given":"Edward T."},{"family":"LaRocque","given":"Regina C."},{"family":"Almazor","given":"Charles P."},{"family":"Qadri","given":"Firdausi"},{"family":"Ivers","given":"Louise C."},{"family":"Harris","given":"Jason B."}],"issued":{"date-parts":[["2014",5]]}}},{"id":"EgwuGF5k/xlwLEQSU","uris":["http://zotero.org/users/local/xDVOxgbN/items/885T83T7"],"itemData":{"id":28,"type":"article-journal","abstract":"Cholera is a diarrheal disease caused by Vibrio cholerae that continues to be a major public health concern in populations without access to safe water. IgG- and IgA-secreting memory B cells (MBC) targeting the V. cholerae O-specific polysaccharide (OSP) correlate with protection from infection in persons exposed to V. cholerae and may be a major determinant of long-term protection against cholera. Shanchol, a widely used oral cholera vaccine (OCV), stimulates OSP MBC responses in only some people after vaccination, and the gut microbiota is a possible determinant of variable immune responses observed after OCV. Using 16S rRNA sequencing of feces from the time of vaccination, we compared the gut microbiota among adults with and without MBC responses to OCV. Gut microbial diversity measures were not associated with MBC isotype or OSP-specific responses, but individuals with a higher abundance of Clostridiales and lower abundance of Enterobacterales were more likely to develop an MBC response. We applied protein-normalized fecal supernatants of high and low MBC responders to THP-1-derived human macrophages to investigate the effect of microbial factors at the time of vaccination. Feces from individuals with higher MBC responses induced significantly different IL-1β and IL-6 levels than individuals with lower responses, indicating that the gut microbiota at the time of vaccination may \"prime\" the mucosal immune response to vaccine antigens. Our results suggest the gut microbiota could impact immune responses to OCVs, and further study of microbial metabolites as potential vaccine adjuvants is warranted.","container-title":"Infection and Immunity","DOI":"10.1128/IAI.00217-21","ISSN":"1098-5522","issue":"9","journalAbbreviation":"Infect Immun","language":"eng","note":"PMID: 34228490\nPMCID: PMC8370679","page":"e0021721","source":"PubMed","title":"Gut Microbiota and Development of Vibrio cholerae-Specific Long-Term Memory B Cells in Adults after Whole-Cell Killed Oral Cholera Vaccine","volume":"89","author":[{"family":"Chac","given":"Denise"},{"family":"Bhuiyan","given":"Taufiqur R."},{"family":"Saha","given":"Amit"},{"family":"Alam","given":"Mohammad M."},{"family":"Salma","given":"Umme"},{"family":"Jahan","given":"Nusrat"},{"family":"Chowdhury","given":"Fahima"},{"family":"Khan","given":"Ashraful I."},{"family":"Ryan","given":"Edward T."},{"family":"LaRocque","given":"Regina"},{"family":"Harris","given":"Jason B."},{"family":"Qadri","given":"Firdausi"},{"family":"Weil","given":"Ana A."}],"issued":{"date-parts":[["2021",8,16]]}}},{"id":"EgwuGF5k/Ab3tKABC","uris":["http://zotero.org/users/local/xDVOxgbN/items/MD4Y8M2Z"],"itemData":{"id":30,"type":"article-journal","abstract":"As part of a phase 4, randomized, double-blind, placebo-controlled trial to assess the immunogenicity and safety of PXVX0200 in children and adolescents aged 2-17 years, a subset of 73 adolescent subjects aged 12-17 years was followed for 2 years after vaccination and had blood collected for antibody assays on days 1, 11, 29, 91, 181, 365, 547, and 730. Endpoints included serum vibriocidal antibody (SVA) seroconversion, defined as a 4-fold or greater rise in antibody titer over baseline; geometric mean titers (GMTs); and geometric mean fold increase (GMFI) over baseline. Serum vibriocidal antibody seroconversion persisted in most subjects, with a rate of 64.5% noted at day 730. Geometric mean titers and GMFI both peaked at day 11 and remained greater than baseline at all time points, including day 730. Vaccination with PXVX0200 produces an immune response which persists for at least 2 years in adolescents aged 12-17 years.","container-title":"The American Journal of Tropical Medicine and Hygiene","DOI":"10.4269/ajtmh.20-1576","ISSN":"1476-1645","issue":"5","journalAbbreviation":"Am J Trop Med Hyg","language":"eng","note":"PMID: 33819178\nPMCID: PMC8103473","page":"1758-1760","source":"PubMed","title":"Long-Term Immunogenicity of Live Oral Cholera Vaccine CVD 103-HgR in Adolescents Aged 12-17 Years in the United States","volume":"104","author":[{"family":"McCarty","given":"James M."},{"family":"Cassie","given":"David"},{"family":"Bedell","given":"Lisa"},{"family":"Lock","given":"Michael D."},{"family":"Bennett","given":"Sean"}],"issued":{"date-parts":[["2021",4,5]]}}},{"id":"EgwuGF5k/6BXRJpee","uris":["http://zotero.org/users/local/xDVOxgbN/items/3GSEZ5VI"],"itemData":{"id":33,"type":"article-journal","container-title":"Vaccine","DOI":"10.1016/j.vaccine.2017.12.062","ISSN":"0264410X","issue":"6","journalAbbreviation":"Vaccine","language":"en","page":"833-840","source":"DOI.org (Crossref)","title":"Safety and immunogenicity of single-dose live oral cholera vaccine strain CVD 103-HgR in healthy adults age 18–45","volume":"36","author":[{"family":"McCarty","given":"James M."},{"family":"Lock","given":"Michael D."},{"family":"Hunt","given":"Kristin M."},{"family":"Simon","given":"Jakub K."},{"family":"Gurwith","given":"Marc"}],"issued":{"date-parts":[["2018",2]]}}},{"id":"EgwuGF5k/3PlEbxC7","uris":["http://zotero.org/users/local/xDVOxgbN/items/88EEN4QJ"],"itemData":{"id":25,"type":"article-journal","abstract":"BACKGROUND: The World Health Organization (WHO) recommends the use of oral cholera vaccines (OCVs) as part of an integrated control program, both in highly endemic settings and during cholera epidemics. The available and internationally recommended WHO-prequalified OCVs (Dukoral, Shanchol, Euvichol) contain multiple heat and formalin-killed V. cholerae strains of Inaba and Ogawa serotypes. MSD Wellcome Trust Hilleman Laboratories Pvt. Ltd. in technical collaboration with University of Gothenburg, Sweden has developed a new single strain OCV, Hillchol. This vaccine consists of formaldehyde-inactivated whole cell El Tor V. cholerae O1 bacteria engineered into the Hikojima serotype for stable expression of both the Ogawa (AB) and Inaba (AC) LPS antigens on the bacterial surface. We evaluated the safety and immunogenicity of this novel and potentially much less expensive OCV in comparison with Shanchol.\nMETHODS: We conducted a randomized, non-infer</w:instrText>
            </w:r>
            <w:r w:rsidR="00345AF1">
              <w:rPr>
                <w:rFonts w:hint="eastAsia"/>
              </w:rPr>
              <w:instrText>iority, age-descending clinical trial of OCV (Hillchol vs. Shanchol) in the Mirpur area of Dhaka city from July 2016 to May 2017. This study was carried out in three different age cohorts (1-&lt;5, 5-17 and </w:instrText>
            </w:r>
            <w:r w:rsidR="00345AF1">
              <w:rPr>
                <w:rFonts w:hint="eastAsia"/>
              </w:rPr>
              <w:instrText>≥</w:instrText>
            </w:r>
            <w:r w:rsidR="00345AF1">
              <w:rPr>
                <w:rFonts w:hint="eastAsia"/>
              </w:rPr>
              <w:instrText xml:space="preserve">18 years old). Two doses of vaccine were given at </w:instrText>
            </w:r>
            <w:r w:rsidR="00345AF1">
              <w:instrText xml:space="preserve">14 days intervals to 560 healthy participants.\nFINDINGS: No serious adverse events were reported. There were no significant differences in the rates of adverse events between the test vaccine (Hillchol) and the comparator (Shanchol) group. Serum vibriocidal antibody responses in all age groups combined were comparable for all the O1 Ogawa (59% vs. 67%; 90% CI of difference: -14.55, -0.84) and Inaba (70% vs. 71%; 90% CI of difference: -7.24, 5.77) serotypes, showing that the Hillchol vaccine was non-inferior to Shanchol. This new vaccine was also non-inferior to Shanchol in the different age strata.\nCONCLUSION: The safety and immunogenicity profile of the new OCV Hillchol is comparable to Shanchol in persons residing in a cholera-endemic setting. ClinicalTrials.gov number: NCT02823899.","container-title":"Vaccine","DOI":"10.1016/j.vaccine.2021.06.069","ISSN":"1873-2518","issue":"32","journalAbbreviation":"Vaccine","language":"eng","note":"PMID: 34218960","page":"4450-4457","source":"PubMed","title":"A phase I/II study to evaluate safety, tolerability and immunogenicity of Hillchol®, an inactivated single Hikojima strain based oral cholera vaccine, in a sequentially age descending population in Bangladesh","volume":"39","author":[{"family":"Chowdhury","given":"Fahima"},{"family":"Ali Syed","given":"Khalid"},{"family":"Akter","given":"Afroza"},{"family":"Rahman Bhuiyan","given":"Taufiqur"},{"family":"Tauheed","given":"Imam"},{"family":"Khaton","given":"Fatema"},{"family":"Biswas","given":"Rajib"},{"family":"Ferdous","given":"Jannatul"},{"family":"Al Banna","given":"Hasan"},{"family":"Ross","given":"Allen G."},{"family":"Mc Millan","given":"Nigel"},{"family":"Sharma","given":"Tarun"},{"family":"Kanchan","given":"Vibhu"},{"family":"Pal Singh","given":"Ajit"},{"family":"Gill","given":"Davinder"},{"family":"Lebens","given":"Michael"},{"family":"Nordqvist","given":"Stefan"},{"family":"Holmgren","given":"Jan"},{"family":"Clemens","given":"John D."},{"family":"Qadri","given":"Firdausi"}],"issued":{"date-parts":[["2021",7,22]]}}}],"schema":"https://github.com/citation-style-language/schema/raw/master/csl-citation.json"} </w:instrText>
            </w:r>
            <w:r w:rsidRPr="00097432">
              <w:fldChar w:fldCharType="separate"/>
            </w:r>
            <w:r w:rsidR="00345AF1" w:rsidRPr="00345AF1">
              <w:rPr>
                <w:rFonts w:cs="Times New Roman"/>
                <w:vertAlign w:val="superscript"/>
              </w:rPr>
              <w:t>39–47</w:t>
            </w:r>
            <w:r w:rsidRPr="00097432">
              <w:fldChar w:fldCharType="end"/>
            </w:r>
          </w:p>
        </w:tc>
      </w:tr>
      <w:tr w:rsidR="009E0F60" w:rsidRPr="00097432" w14:paraId="05A8F725" w14:textId="77777777" w:rsidTr="00492617">
        <w:trPr>
          <w:trHeight w:val="258"/>
        </w:trPr>
        <w:tc>
          <w:tcPr>
            <w:tcW w:w="9555" w:type="dxa"/>
            <w:gridSpan w:val="3"/>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FF218A9" w14:textId="27C11A5A" w:rsidR="009E0F60" w:rsidRPr="00097432" w:rsidRDefault="009E0F60" w:rsidP="002914FA">
            <w:pPr>
              <w:spacing w:line="240" w:lineRule="auto"/>
              <w:rPr>
                <w:i/>
                <w:iCs/>
              </w:rPr>
            </w:pPr>
            <w:r w:rsidRPr="00097432">
              <w:rPr>
                <w:i/>
                <w:iCs/>
              </w:rPr>
              <w:t>Parameters fixed</w:t>
            </w:r>
          </w:p>
        </w:tc>
      </w:tr>
      <w:tr w:rsidR="009E0F60" w:rsidRPr="00097432" w14:paraId="64C31095" w14:textId="77777777" w:rsidTr="00F31227">
        <w:trPr>
          <w:trHeight w:val="276"/>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9952882" w14:textId="05CDA222" w:rsidR="009E0F60" w:rsidRPr="00097432" w:rsidRDefault="009E0F60" w:rsidP="002914FA">
            <w:pPr>
              <w:spacing w:line="240" w:lineRule="auto"/>
              <w:rPr>
                <w:rFonts w:eastAsia="Aptos"/>
              </w:rPr>
            </w:pPr>
            <w:r w:rsidRPr="00097432">
              <w:t>Vaccine coverage</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A400E11" w14:textId="1F78762A" w:rsidR="009E0F60" w:rsidRPr="00097432" w:rsidRDefault="009E0F60" w:rsidP="002914FA">
            <w:pPr>
              <w:spacing w:line="240" w:lineRule="auto"/>
              <w:rPr>
                <w:rFonts w:eastAsia="Aptos"/>
              </w:rPr>
            </w:pPr>
            <w:r w:rsidRPr="00097432">
              <w:t>60% - 90%</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36689258" w14:textId="77777777" w:rsidR="009E0F60" w:rsidRPr="00097432" w:rsidRDefault="009E0F60" w:rsidP="002914FA">
            <w:pPr>
              <w:spacing w:line="240" w:lineRule="auto"/>
            </w:pPr>
          </w:p>
        </w:tc>
      </w:tr>
      <w:tr w:rsidR="009E0F60" w:rsidRPr="00097432" w14:paraId="450612AA" w14:textId="77777777" w:rsidTr="00492617">
        <w:trPr>
          <w:trHeight w:val="303"/>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53C241A" w14:textId="4FD2E02F" w:rsidR="009E0F60" w:rsidRPr="00097432" w:rsidRDefault="009E0F60" w:rsidP="002914FA">
            <w:pPr>
              <w:spacing w:line="240" w:lineRule="auto"/>
            </w:pPr>
            <w:r w:rsidRPr="00097432">
              <w:t xml:space="preserve">Proportion of moderate and severe </w:t>
            </w:r>
            <w:r w:rsidR="003D5658" w:rsidRPr="00097432">
              <w:rPr>
                <w:rFonts w:hint="eastAsia"/>
              </w:rPr>
              <w:t>cholera</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F41DDED" w14:textId="593DA37C" w:rsidR="00005E29" w:rsidRPr="00097432" w:rsidRDefault="009E0F60" w:rsidP="002914FA">
            <w:pPr>
              <w:spacing w:line="240" w:lineRule="auto"/>
            </w:pPr>
            <w:r w:rsidRPr="00097432">
              <w:t>0.</w:t>
            </w:r>
            <w:r w:rsidR="003D5658" w:rsidRPr="00097432">
              <w:rPr>
                <w:rFonts w:hint="eastAsia"/>
              </w:rPr>
              <w:t>7</w:t>
            </w:r>
            <w:r w:rsidR="00005E29" w:rsidRPr="00097432">
              <w:rPr>
                <w:rFonts w:hint="eastAsia"/>
              </w:rPr>
              <w:t>8</w:t>
            </w:r>
            <w:r w:rsidR="003D5658" w:rsidRPr="00097432">
              <w:rPr>
                <w:rFonts w:hint="eastAsia"/>
              </w:rPr>
              <w:t>,</w:t>
            </w:r>
            <w:r w:rsidRPr="00097432">
              <w:t xml:space="preserve"> 0.</w:t>
            </w:r>
            <w:r w:rsidR="003D5658" w:rsidRPr="00097432">
              <w:rPr>
                <w:rFonts w:hint="eastAsia"/>
              </w:rPr>
              <w:t>22</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CEB96D5" w14:textId="2E3AC77C" w:rsidR="009E0F60" w:rsidRPr="00097432" w:rsidRDefault="00A137EB" w:rsidP="002914FA">
            <w:pPr>
              <w:spacing w:line="240" w:lineRule="auto"/>
            </w:pPr>
            <w:r w:rsidRPr="00097432">
              <w:fldChar w:fldCharType="begin"/>
            </w:r>
            <w:r w:rsidR="00345AF1">
              <w:instrText xml:space="preserve"> ADDIN ZOTERO_ITEM CSL_CITATION {"citationID":"d7alqCh4","properties":{"formattedCitation":"\\super 48\\nosupersub{}","plainCitation":"48","noteIndex":0},"citationItems":[{"id":"EgwuGF5k/mN8JfTlq","uris":["http://zotero.org/users/7663102/items/YRSLQCQL"],"itemData":{"id":15779,"type":"article-journal","abstract":"Zambia experienced the largest cholera outbreak in the country history in 2023–2024 in the capital, Lusaka. This study aimed to identify the clinical characteristics of the adult patients hospitalized at the community and referral cholera treatment centers (CTCs) to determine factors associated with their severe clinical outcomes during the outbreak.Clinical information on the adult patients with cholera in the community and referral CTCs was retrospectively analyzed. Clinical factors associated with the fatal outcome were explored by multivariate analysis, using Firth's penalized logistic regression.A total of 6578 adult cases were identified. The overall case fatality rate was 1.0% (51 of 5020), and it was highest in a referral CTC specializing in patients with underlying conditions (4.1% [32 of 772]). In the multivariate analysis, age (odds ratio, 1.05 [95% confidence interval, 1.02–1.09]), human immunodeficiency virus infections (5.68 [2.12–15.30]), diabetes mellitus (8.21 [1.38–34.00]), and severe dehydration at admission (5.97 [1.29–56.94]) were independently correlated with fatal outcomes.Clinical factors, including age, underlying conditions, and disease severity at admission, were shown to be associated with severe clinical outcomes in adult patients with cholera. Enhanced case management strategies targeted for such high-risk groups might be beneficial in reducing the case fatality rate during cholera outbreaks.","container-title":"Open Forum Infectious Diseases","DOI":"10.1093/ofid/ofaf277","ISSN":"2328-8957","issue":"6","journalAbbreviation":"Open Forum Infectious Diseases","page":"ofaf277","source":"Silverchair","title":"Clinical Characteristics of 6578 Adult Patients With Cholera Admitted to Community and Referral Cholera Treatment Centers in Lusaka, Zambia, October 2023 to April 2024","volume":"12","author":[{"family":"Mbewe","given":"Nyuma"},{"family":"Imamura","given":"Tadatsugu"},{"family":"Sivile","given":"Suilanji"},{"family":"Sinkala","given":"Annel"},{"family":"Zulu","given":"Paul"},{"family":"Chanda","given":"Chitalu"},{"family":"Naik","given":"Neil"},{"family":"Kalima","given":"Nawa"},{"family":"Tepa","given":"Roy"},{"family":"Mwewa","given":"Kabaso"},{"family":"Kapololwe","given":"Kenneth"},{"family":"Mugala","given":"Anchindika"},{"family":"Mweemba","given":"Aggrey"},{"family":"Simwaba","given":"Davie"},{"family":"Kapina","given":"Muzala"},{"family":"Mwangilwa","given":"Kelvin"},{"family":"Nambeya","given":"Lalisa"},{"family":"Msiska","given":"Sophia"},{"family":"Choonga","given":"Aspha"},{"family":"Chirwa","given":"Bob"},{"family":"Mitsushima","given":"Shingo"},{"family":"Tsuchihashi","given":"Yuuki"},{"family":"Kapata","given":"Nathan"},{"family":"Kamigaki","given":"Taro"},{"family":"Mulenga","given":"Lloyd"},{"family":"Chilengi","given":"Roma"}],"issued":{"date-parts":[["2025",6,1]]},"citation-key":"mbewe2025a"}}],"schema":"https://github.com/citation-style-language/schema/raw/master/csl-citation.json"} </w:instrText>
            </w:r>
            <w:r w:rsidRPr="00097432">
              <w:fldChar w:fldCharType="separate"/>
            </w:r>
            <w:r w:rsidR="00345AF1" w:rsidRPr="00345AF1">
              <w:rPr>
                <w:rFonts w:cs="Times New Roman"/>
                <w:vertAlign w:val="superscript"/>
              </w:rPr>
              <w:t>48</w:t>
            </w:r>
            <w:r w:rsidRPr="00097432">
              <w:fldChar w:fldCharType="end"/>
            </w:r>
          </w:p>
        </w:tc>
      </w:tr>
      <w:tr w:rsidR="009E0F60" w:rsidRPr="00097432" w14:paraId="7F9EB49F" w14:textId="77777777" w:rsidTr="00492617">
        <w:trPr>
          <w:trHeight w:val="330"/>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3EBA2B1" w14:textId="0E7E57B9" w:rsidR="009E0F60" w:rsidRPr="00097432" w:rsidRDefault="009E0F60" w:rsidP="002914FA">
            <w:pPr>
              <w:spacing w:line="240" w:lineRule="auto"/>
            </w:pPr>
            <w:r w:rsidRPr="00097432">
              <w:lastRenderedPageBreak/>
              <w:t>Disability weight for moderate and severe</w:t>
            </w:r>
            <w:r w:rsidR="003D5658" w:rsidRPr="00097432">
              <w:rPr>
                <w:rFonts w:hint="eastAsia"/>
              </w:rPr>
              <w:t xml:space="preserve"> diarrhea</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B5B904E" w14:textId="5E075BCC" w:rsidR="002C1FE4" w:rsidRPr="00097432" w:rsidRDefault="009E0F60" w:rsidP="002C1FE4">
            <w:pPr>
              <w:spacing w:line="240" w:lineRule="auto"/>
            </w:pPr>
            <w:r w:rsidRPr="00097432">
              <w:t>0.188</w:t>
            </w:r>
            <w:r w:rsidR="003D5658" w:rsidRPr="00097432">
              <w:rPr>
                <w:rFonts w:hint="eastAsia"/>
              </w:rPr>
              <w:t>,</w:t>
            </w:r>
            <w:r w:rsidRPr="00097432">
              <w:t xml:space="preserve"> 0.247</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2BBF47B" w14:textId="3B7D2348" w:rsidR="009E0F60" w:rsidRPr="00097432" w:rsidRDefault="009E0F60" w:rsidP="002914FA">
            <w:pPr>
              <w:spacing w:line="240" w:lineRule="auto"/>
              <w:rPr>
                <w:b/>
              </w:rPr>
            </w:pPr>
            <w:r w:rsidRPr="00097432">
              <w:fldChar w:fldCharType="begin"/>
            </w:r>
            <w:r w:rsidR="00345AF1">
              <w:instrText xml:space="preserve"> ADDIN ZOTERO_ITEM CSL_CITATION {"citationID":"0eguGnVv","properties":{"formattedCitation":"\\super 49\\nosupersub{}","plainCitation":"49","noteIndex":0},"citationItems":[{"id":"EgwuGF5k/tPKkak3B","uris":["http://zotero.org/users/local/xDVOxgbN/items/R6VATLF7"],"itemData":{"id":60,"type":"article-journal","abstract":"BACKGROUND: The Global Burden of Diseases, Injuries, and Risk Factors Study 2017 (GBD 2017) includes a comprehensive assessment of incidence, prevalence, and years lived with disability (YLDs) for 354 causes in 195 countries and territories from 1990 to 2017. Previous GBD studies have shown how the decline of mortality rates from 1990 to 2016 has led to an increase in life expectancy, an ageing global population, and an expansion of the non-fatal burden of disease and injury. These studies have also shown how a substantial portion of the world's population experiences non-fatal health loss with considerable heterogeneity among different causes, locations, ages, and sexes. Ongoing objectives of the GBD study include increasing the level of estimation detail, improving analytical strategies, and increasing the amount of high-quality data.\nMETHODS: We estimated incidence and prevalence for 354 diseases and injuries and 3484 sequelae. We used an updated and extensive body of literature studies, survey data, surveillance data, inpatient admission records, outpatient visit records, and health insurance claims, and additionally used results from cause of death models to inform estimates using a total of 68</w:instrText>
            </w:r>
            <w:r w:rsidR="00345AF1">
              <w:rPr>
                <w:rFonts w:ascii="Arial" w:hAnsi="Arial"/>
              </w:rPr>
              <w:instrText> </w:instrText>
            </w:r>
            <w:r w:rsidR="00345AF1">
              <w:instrText>781 data sources. Newly available clinical data from India, Iran, Japan, Jordan, Nepal, China, Brazil, Norway, and Italy were incorporated, as well as updated claims data from the USA and new claims data from Taiwan (province of China) and Singapore. We used DisMod-MR 2.1, a Bayesian meta-regression tool, as the main method of estimation, ensuring consistency between rates of incidence, prevalence, remission, and cause of death for each condition. YLDs were estimated as the product of a prevalence estimate and a disability weight for health states of each mutually exclusive sequela, adjusted for comorbidity. We updated the Socio-demographic Index (SDI), a summary development indicator of income per capita, years of schooling, and total fertility rate. Additionally, we calculated differences between male and female YLDs to identify divergent trends across sexes. GBD 2017 complies with the Guidelines for Accurate and Transparent Health Estimates Reporting.\nFINDINGS: Globally, for females, the causes with the greatest age-standardised prevalence were oral disorders, headache disorders, and haemoglobinopathies and haemolytic anaemias in both 1990 and 2017. For males, the causes with the greatest age-standardised prevalence were oral disorders, headache disorders, and tuberculosis including latent tuberculosis infection in both 1990 and 2017. In terms of YLDs, low back pain, headache disorders, and dietary iron deficiency were the leading Level 3 causes of YLD counts in 1990, whereas low back pain, headache disorders, and depressive disorders were the leading causes in 2017 for both sexes combined. All-cause age-standardised YLD rates decreased by 3·9% (95% uncertainty interval [UI] 3·1-4·6) from 1990 to 2017; however, the all-age YLD rate increased by 7·2% (6·0-8·4) while the total sum of global YLDs increased from 562 million (421-723) to 853 million (642-1100). The increases for males and females were similar, with increases in all-age YLD rates of 7·9% (6·6-9·2) for males and 6·5% (5·4-7·7) for females. We found significant differences between males and females in terms of age-standardised prevalence estimates for multiple causes. The causes with the greatest relative differences between sexes in 2017 included substance use disorders (3018 cases [95% UI 2782-3252] per 100</w:instrText>
            </w:r>
            <w:r w:rsidR="00345AF1">
              <w:rPr>
                <w:rFonts w:ascii="Arial" w:hAnsi="Arial"/>
              </w:rPr>
              <w:instrText> </w:instrText>
            </w:r>
            <w:r w:rsidR="00345AF1">
              <w:instrText>000 in males vs s1400 [1279-1524] per 100</w:instrText>
            </w:r>
            <w:r w:rsidR="00345AF1">
              <w:rPr>
                <w:rFonts w:ascii="Arial" w:hAnsi="Arial"/>
              </w:rPr>
              <w:instrText> </w:instrText>
            </w:r>
            <w:r w:rsidR="00345AF1">
              <w:instrText xml:space="preserve">000 in females), transport injuries (3322 [3082-3583] vs 2336 [2154-2535]), and self-harm and interpersonal violence (3265 [2943-3630] vs 5643 [5057-6302]).\nINTERPRETATION: Global all-cause age-standardised YLD rates have improved only slightly over a period spanning nearly three decades. However, the magnitude of the non-fatal disease burden has expanded globally, with increasing numbers of people who have a wide spectrum of conditions. A subset of conditions has remained globally pervasive since 1990, whereas other conditions have displayed more dynamic trends, with different ages, sexes, and geographies across the globe experiencing varying burdens and trends of health loss. This study emphasises how global improvements in premature mortality for select conditions have led to older populations with complex and potentially expensive diseases, yet also highlights global achievements in certain domains of disease and injury.\nFUNDING: Bill &amp; Melinda Gates Foundation.","container-title":"Lancet (London, England)","DOI":"10.1016/S0140-6736(18)32279-7","ISSN":"1474-547X","issue":"10159","journalAbbreviation":"Lancet","language":"eng","note":"PMID: 30496104\nPMCID: PMC6227754","page":"1789-1858","source":"PubMed","title":"Global, regional, and national incidence, prevalence, and years lived with disability for 354 diseases and injuries for 195 countries and territories, 1990-2017: a systematic analysis for the Global Burden of Disease Study 2017","title-short":"Global, regional, and national incidence, prevalence, and years lived with disability for 354 diseases and injuries for 195 countries and territories, 1990-2017","volume":"392","author":[{"literal":"GBD 2017 Disease and Injury Incidence and Prevalence Collaborators"}],"issued":{"date-parts":[["2018",11,10]]}}}],"schema":"https://github.com/citation-style-language/schema/raw/master/csl-citation.json"} </w:instrText>
            </w:r>
            <w:r w:rsidRPr="00097432">
              <w:fldChar w:fldCharType="separate"/>
            </w:r>
            <w:r w:rsidR="00345AF1" w:rsidRPr="00345AF1">
              <w:rPr>
                <w:rFonts w:cs="Times New Roman"/>
                <w:vertAlign w:val="superscript"/>
              </w:rPr>
              <w:t>49</w:t>
            </w:r>
            <w:r w:rsidRPr="00097432">
              <w:fldChar w:fldCharType="end"/>
            </w:r>
          </w:p>
        </w:tc>
      </w:tr>
      <w:tr w:rsidR="009E0F60" w:rsidRPr="00097432" w14:paraId="1C92917E" w14:textId="77777777" w:rsidTr="00F31227">
        <w:trPr>
          <w:trHeight w:val="69"/>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1082DE83" w14:textId="77777777" w:rsidR="009E0F60" w:rsidRPr="00097432" w:rsidRDefault="009E0F60" w:rsidP="002914FA">
            <w:pPr>
              <w:spacing w:line="240" w:lineRule="auto"/>
            </w:pPr>
            <w:r w:rsidRPr="00097432">
              <w:t>Vaccine cost of procurement</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79EFCF1" w14:textId="19890AFC" w:rsidR="009E0F60" w:rsidRPr="00097432" w:rsidRDefault="00124F65" w:rsidP="002914FA">
            <w:pPr>
              <w:spacing w:line="240" w:lineRule="auto"/>
            </w:pPr>
            <w:r w:rsidRPr="00097432">
              <w:t>US</w:t>
            </w:r>
            <w:r w:rsidRPr="00097432">
              <w:rPr>
                <w:rFonts w:hint="eastAsia"/>
              </w:rPr>
              <w:t xml:space="preserve">$ </w:t>
            </w:r>
            <w:r w:rsidR="009E0F60" w:rsidRPr="00097432">
              <w:t>1.65</w:t>
            </w:r>
            <w:r w:rsidRPr="00097432">
              <w:rPr>
                <w:rFonts w:hint="eastAsia"/>
              </w:rPr>
              <w:t xml:space="preserve"> per dose</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95A699C" w14:textId="367E2953" w:rsidR="009E0F60" w:rsidRPr="00097432" w:rsidRDefault="009E0F60" w:rsidP="002914FA">
            <w:pPr>
              <w:spacing w:line="240" w:lineRule="auto"/>
            </w:pPr>
            <w:r w:rsidRPr="00097432">
              <w:fldChar w:fldCharType="begin"/>
            </w:r>
            <w:r w:rsidR="00345AF1">
              <w:instrText xml:space="preserve"> ADDIN ZOTERO_ITEM CSL_CITATION {"citationID":"VWBpK4rj","properties":{"formattedCitation":"\\super 50\\nosupersub{}","plainCitation":"50","noteIndex":0},"citationItems":[{"id":"EgwuGF5k/jJs5uOQK","uris":["http://zotero.org/users/local/xDVOxgbN/items/PLH872SC"],"itemData":{"id":177,"type":"report","title":"Oral cholera vaccine (OCV) price data","URL":"https://www.unicef.org/supply/media/22781/file/OCV-vaccines-prices-29102024.pdf","author":[{"literal":"UNICEF"}],"issued":{"date-parts":[["2024",10,24]]}}}],"schema":"https://github.com/citation-style-language/schema/raw/master/csl-citation.json"} </w:instrText>
            </w:r>
            <w:r w:rsidRPr="00097432">
              <w:fldChar w:fldCharType="separate"/>
            </w:r>
            <w:r w:rsidR="00345AF1" w:rsidRPr="00345AF1">
              <w:rPr>
                <w:rFonts w:cs="Times New Roman"/>
                <w:vertAlign w:val="superscript"/>
              </w:rPr>
              <w:t>50</w:t>
            </w:r>
            <w:r w:rsidRPr="00097432">
              <w:fldChar w:fldCharType="end"/>
            </w:r>
          </w:p>
        </w:tc>
      </w:tr>
      <w:tr w:rsidR="009E0F60" w:rsidRPr="00097432" w14:paraId="1F7FC7C0" w14:textId="77777777" w:rsidTr="00F31227">
        <w:trPr>
          <w:trHeight w:val="159"/>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87826CC" w14:textId="77777777" w:rsidR="009E0F60" w:rsidRPr="00097432" w:rsidRDefault="009E0F60" w:rsidP="002914FA">
            <w:pPr>
              <w:spacing w:line="240" w:lineRule="auto"/>
            </w:pPr>
            <w:r w:rsidRPr="00097432">
              <w:t>Vaccine delivery cost</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4756868" w14:textId="39772C81" w:rsidR="009E0F60" w:rsidRPr="00097432" w:rsidRDefault="00124F65" w:rsidP="002914FA">
            <w:pPr>
              <w:spacing w:line="240" w:lineRule="auto"/>
            </w:pPr>
            <w:r w:rsidRPr="00097432">
              <w:t>US</w:t>
            </w:r>
            <w:r w:rsidRPr="00097432">
              <w:rPr>
                <w:rFonts w:hint="eastAsia"/>
              </w:rPr>
              <w:t xml:space="preserve">$ </w:t>
            </w:r>
            <w:r w:rsidR="009E0F60" w:rsidRPr="00097432">
              <w:t>2.32</w:t>
            </w:r>
            <w:r w:rsidRPr="00097432">
              <w:rPr>
                <w:rFonts w:hint="eastAsia"/>
              </w:rPr>
              <w:t xml:space="preserve"> per dose</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73320D8" w14:textId="7A60D7F3" w:rsidR="009E0F60" w:rsidRPr="00097432" w:rsidRDefault="009E0F60" w:rsidP="002914FA">
            <w:pPr>
              <w:spacing w:line="240" w:lineRule="auto"/>
            </w:pPr>
            <w:r w:rsidRPr="00097432">
              <w:fldChar w:fldCharType="begin"/>
            </w:r>
            <w:r w:rsidR="00345AF1">
              <w:instrText xml:space="preserve"> ADDIN ZOTERO_ITEM CSL_CITATION {"citationID":"kpdM5hoz","properties":{"formattedCitation":"\\super 51\\nosupersub{}","plainCitation":"51","noteIndex":0},"citationItems":[{"id":"EgwuGF5k/YR7QtusJ","uris":["http://zotero.org/users/local/xDVOxgbN/items/DTMJLIS6"],"itemData":{"id":48,"type":"article-journal","abstract":"Cholera poses a substantial health burden in the developing world due to both epidemic and endemic diseases. The World Health Organization recommends oral cholera vaccines for mass vaccination campaigns in addition to traditional prevention practices and treatments in resource-poor settings. In many developing countries like Bangladesh, the major challenge behind implementing mass vaccination campaigns concerns the affordability of the oral cholera vaccine (OCV). Vaccination of children with OCV is not only an impactful approach for controlling cholera at the population level and reducing childhood morbidity but is also considered more cost-effective than vaccinating all ages. The aim of the study was to estimate the cost of an OCV campaign for children from a societal perspective using empirical study. A total of 66,311 children aged 1 to 14 years old were fully vaccinated with two doses of the OCV Shanchol while 9,035 individuals received one dose of this vaccine. The estimated societal cost per individual for full vaccination was US$ 6.11, which includes the cost of vaccine delivery estimated at US$ 1.95. The cost per single dose was estimated at US$ 2.86. The total provider cost for full vaccination was estimated at US$ 6.01 and the recipient cost at US$ 0.10. Our estimation of OCV delivery costs for children was relatively higher than what was found in a similar mass OCV campaign for all age groups, indicating that there may be additional cost factors to consider in targeted vaccine campaigns. This analysis provides useful benchmarks for the possible costs related to delivery of OCV to children and future OCV cost-effectiveness models should factor in these possible cost disparities. Attempts to reduce the cost per dose are likely to have a greater impact on the cost of similar vaccination campaigns in many resource-poor settings.","container-title":"Vaccine: X","DOI":"10.1016/j.jvacx.2022.100247","ISSN":"2590-1362","journalAbbreviation":"Vaccine X","language":"eng","note":"PMID: 36545347\nPMCID: PMC9761845","page":"100247","source":"PubMed","title":"Cost of oral cholera vaccine delivery in a mass immunization program for children in urban Bangladesh","volume":"12","author":[{"family":"Sarker","given":"Abdur Razzaque"},{"family":"Khan","given":"Ashraful Islam"},{"family":"Islam","given":"Md Taufiqul"},{"family":"Chowdhury","given":"Fahima"},{"family":"Khanam","given":"Farhana"},{"family":"Kang","given":"Sophie"},{"family":"Ahmmed","given":"Faisal"},{"family":"Im","given":"Justin"},{"family":"Kim","given":"Deok Ryun"},{"family":"Tadesse","given":"Birkneh Tilahun"},{"family":"Ahmed","given":"Tasnuva"},{"family":"Aziz","given":"Asma Binte"},{"family":"Hoque","given":"Masuma"},{"family":"Park","given":"Juyeon"},{"family":"Liu","given":"Xinxue"},{"family":"Pak","given":"Gideok"},{"family":"Zaman","given":"Khalequ"},{"family":"Marks","given":"Florian"},{"family":"Kim","given":"Jerome H."},{"family":"Clemens","given":"John D."},{"family":"Qadri","given":"Firdausi"}],"issued":{"date-parts":[["2022",12]]}}}],"schema":"https://github.com/citation-style-language/schema/raw/master/csl-citation.json"} </w:instrText>
            </w:r>
            <w:r w:rsidRPr="00097432">
              <w:fldChar w:fldCharType="separate"/>
            </w:r>
            <w:r w:rsidR="00345AF1" w:rsidRPr="00345AF1">
              <w:rPr>
                <w:rFonts w:cs="Times New Roman"/>
                <w:vertAlign w:val="superscript"/>
              </w:rPr>
              <w:t>51</w:t>
            </w:r>
            <w:r w:rsidRPr="00097432">
              <w:fldChar w:fldCharType="end"/>
            </w:r>
          </w:p>
        </w:tc>
      </w:tr>
      <w:tr w:rsidR="009E0F60" w:rsidRPr="00097432" w14:paraId="7DFB77D1" w14:textId="77777777" w:rsidTr="00F31227">
        <w:trPr>
          <w:trHeight w:val="267"/>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F0F4C11" w14:textId="77777777" w:rsidR="009E0F60" w:rsidRPr="00097432" w:rsidRDefault="009E0F60" w:rsidP="002914FA">
            <w:pPr>
              <w:spacing w:line="240" w:lineRule="auto"/>
            </w:pPr>
            <w:r w:rsidRPr="00097432">
              <w:t>Vaccine shipping cost</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8E5F054" w14:textId="2BF32B3A" w:rsidR="009E0F60" w:rsidRPr="00097432" w:rsidRDefault="00124F65" w:rsidP="002914FA">
            <w:pPr>
              <w:spacing w:line="240" w:lineRule="auto"/>
            </w:pPr>
            <w:r w:rsidRPr="00097432">
              <w:t>US</w:t>
            </w:r>
            <w:r w:rsidRPr="00097432">
              <w:rPr>
                <w:rFonts w:hint="eastAsia"/>
              </w:rPr>
              <w:t xml:space="preserve">$ </w:t>
            </w:r>
            <w:r w:rsidR="009E0F60" w:rsidRPr="00097432">
              <w:t>0.06</w:t>
            </w:r>
            <w:r w:rsidRPr="00097432">
              <w:rPr>
                <w:rFonts w:hint="eastAsia"/>
              </w:rPr>
              <w:t xml:space="preserve"> per dose</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841C3A6" w14:textId="79440E7D" w:rsidR="009E0F60" w:rsidRPr="00097432" w:rsidRDefault="009E0F60" w:rsidP="002914FA">
            <w:pPr>
              <w:spacing w:line="240" w:lineRule="auto"/>
            </w:pPr>
            <w:r w:rsidRPr="00097432">
              <w:fldChar w:fldCharType="begin"/>
            </w:r>
            <w:r w:rsidR="00345AF1">
              <w:instrText xml:space="preserve"> ADDIN ZOTERO_ITEM CSL_CITATION {"citationID":"1GcOTK6s","properties":{"formattedCitation":"\\super 52\\nosupersub{}","plainCitation":"52","noteIndex":0},"citationItems":[{"id":"EgwuGF5k/wp8FKPxt","uris":["http://zotero.org/users/local/xDVOxgbN/items/97GK8G7I"],"itemData":{"id":180,"type":"report","title":"Emergency stockpile availability - oral cholera vaccine","URL":"https://www.unicef.org/supply/media/22091/file/EmergencyStockpileAvailabilityReportOCV11112024.pdf","author":[{"literal":"UNICEF"}],"issued":{"date-parts":[["2024",11,11]]}}}],"schema":"https://github.com/citation-style-language/schema/raw/master/csl-citation.json"} </w:instrText>
            </w:r>
            <w:r w:rsidRPr="00097432">
              <w:fldChar w:fldCharType="separate"/>
            </w:r>
            <w:r w:rsidR="00345AF1" w:rsidRPr="00345AF1">
              <w:rPr>
                <w:rFonts w:cs="Times New Roman"/>
                <w:vertAlign w:val="superscript"/>
              </w:rPr>
              <w:t>52</w:t>
            </w:r>
            <w:r w:rsidRPr="00097432">
              <w:fldChar w:fldCharType="end"/>
            </w:r>
          </w:p>
        </w:tc>
      </w:tr>
      <w:tr w:rsidR="009E0F60" w:rsidRPr="00097432" w14:paraId="32FA29E2" w14:textId="77777777" w:rsidTr="00F31227">
        <w:trPr>
          <w:trHeight w:val="231"/>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52504E1" w14:textId="77777777" w:rsidR="009E0F60" w:rsidRPr="00097432" w:rsidRDefault="009E0F60" w:rsidP="002914FA">
            <w:pPr>
              <w:spacing w:line="240" w:lineRule="auto"/>
            </w:pPr>
            <w:r w:rsidRPr="00097432">
              <w:t>Cost to patient for cholera hospitalization and outpatient services</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583914C9" w14:textId="1FF805E3" w:rsidR="009E0F60" w:rsidRPr="00097432" w:rsidRDefault="009E0F60" w:rsidP="002914FA">
            <w:pPr>
              <w:spacing w:line="240" w:lineRule="auto"/>
            </w:pPr>
            <w:r w:rsidRPr="00097432">
              <w:t>US</w:t>
            </w:r>
            <w:r w:rsidR="00B42B4E" w:rsidRPr="00097432">
              <w:rPr>
                <w:rFonts w:hint="eastAsia"/>
              </w:rPr>
              <w:t>$</w:t>
            </w:r>
            <w:r w:rsidR="00A75DA3" w:rsidRPr="00097432">
              <w:t xml:space="preserve"> </w:t>
            </w:r>
            <w:r w:rsidRPr="00097432">
              <w:t>109.32 and US</w:t>
            </w:r>
            <w:r w:rsidR="00B42B4E" w:rsidRPr="00097432">
              <w:rPr>
                <w:rFonts w:hint="eastAsia"/>
              </w:rPr>
              <w:t>$</w:t>
            </w:r>
            <w:r w:rsidR="00A75DA3" w:rsidRPr="00097432">
              <w:t xml:space="preserve"> </w:t>
            </w:r>
            <w:r w:rsidRPr="00097432">
              <w:t>16.06</w:t>
            </w:r>
            <w:r w:rsidR="00124F65" w:rsidRPr="00097432">
              <w:rPr>
                <w:rFonts w:hint="eastAsia"/>
              </w:rPr>
              <w:t xml:space="preserve"> per patient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0DF5630" w14:textId="032D6DBD" w:rsidR="009E0F60" w:rsidRPr="00097432" w:rsidRDefault="009E0F60" w:rsidP="002914FA">
            <w:pPr>
              <w:spacing w:line="240" w:lineRule="auto"/>
            </w:pPr>
            <w:r w:rsidRPr="00097432">
              <w:fldChar w:fldCharType="begin"/>
            </w:r>
            <w:r w:rsidR="00345AF1">
              <w:instrText xml:space="preserve"> ADDIN ZOTERO_ITEM CSL_CITATION {"citationID":"kRquHjg2","properties":{"formattedCitation":"\\super 53\\nosupersub{}","plainCitation":"53","noteIndex":0},"citationItems":[{"id":"EgwuGF5k/nNSqVHr3","uris":["http://zotero.org/users/local/xDVOxgbN/items/QF5FTZ85"],"itemData":{"id":51,"type":"article-journal","abstract":"Objectives\n              To estimate the economic burden of cholera in Africa.\n            \n            \n              Settings\n              Cholera affected 44 countries in Africa.\n            \n            \n              Participants\n              The analysis used data from public sources in Africa published until September 2019.\n            \n            \n              Methods\n              Based on existing data from field-based cost-of-illness studies, estimated cholera incidence rates, and reported cholera cases to WHO, this research estimates the economic burden of cholera in Africa from a societal perspective with 2015 as the base year. The estimate included out-of-pocket costs, public health system costs, productivity loss related to illness and an optional productivity loss related to premature deaths valued by the human capital approach. As various input data such as cholera incidence, hospitalisation rates and the number of workdays lost were not well defined, a series of scenario analyses and uncertainty analyses, accounting for unknowns and data variability, was conducted. Similarly, the value of time lost due to illness and deaths using the human capital approach was explored through scenario analyses.\n            \n            \n              Results\n              In 2015, an estimated 1</w:instrText>
            </w:r>
            <w:r w:rsidR="00345AF1">
              <w:rPr>
                <w:rFonts w:ascii="Arial" w:hAnsi="Arial"/>
              </w:rPr>
              <w:instrText> </w:instrText>
            </w:r>
            <w:r w:rsidR="00345AF1">
              <w:instrText>008</w:instrText>
            </w:r>
            <w:r w:rsidR="00345AF1">
              <w:rPr>
                <w:rFonts w:ascii="Arial" w:hAnsi="Arial"/>
              </w:rPr>
              <w:instrText> </w:instrText>
            </w:r>
            <w:r w:rsidR="00345AF1">
              <w:instrText>642 cases in 44 African countries resulted in an economic burden of US$130</w:instrText>
            </w:r>
            <w:r w:rsidR="00345AF1">
              <w:rPr>
                <w:rFonts w:ascii="Arial" w:hAnsi="Arial"/>
              </w:rPr>
              <w:instrText> </w:instrText>
            </w:r>
            <w:r w:rsidR="00345AF1">
              <w:instrText>million from cholera-related illness and its treatment. When the estimated 38</w:instrText>
            </w:r>
            <w:r w:rsidR="00345AF1">
              <w:rPr>
                <w:rFonts w:ascii="Arial" w:hAnsi="Arial"/>
              </w:rPr>
              <w:instrText> </w:instrText>
            </w:r>
            <w:r w:rsidR="00345AF1">
              <w:instrText>104 cholera deaths were included in the analysis, the economic burden increased to US$1</w:instrText>
            </w:r>
            <w:r w:rsidR="00345AF1">
              <w:rPr>
                <w:rFonts w:ascii="Arial" w:hAnsi="Arial"/>
              </w:rPr>
              <w:instrText> </w:instrText>
            </w:r>
            <w:r w:rsidR="00345AF1">
              <w:instrText>billion or international $2.4</w:instrText>
            </w:r>
            <w:r w:rsidR="00345AF1">
              <w:rPr>
                <w:rFonts w:ascii="Arial" w:hAnsi="Arial"/>
              </w:rPr>
              <w:instrText> </w:instrText>
            </w:r>
            <w:r w:rsidR="00345AF1">
              <w:instrText>billion for the same year. At the same time, when only the 71</w:instrText>
            </w:r>
            <w:r w:rsidR="00345AF1">
              <w:rPr>
                <w:rFonts w:ascii="Arial" w:hAnsi="Arial"/>
              </w:rPr>
              <w:instrText> </w:instrText>
            </w:r>
            <w:r w:rsidR="00345AF1">
              <w:instrText>126 cases and 937 deaths reported to the WHO are considered, the economic burden was only US$68</w:instrText>
            </w:r>
            <w:r w:rsidR="00345AF1">
              <w:rPr>
                <w:rFonts w:ascii="Arial" w:hAnsi="Arial"/>
              </w:rPr>
              <w:instrText> </w:instrText>
            </w:r>
            <w:r w:rsidR="00345AF1">
              <w:instrText>million for the year 2015. The estimates of economic burden are thus heavily dependent on the cholera incidence rate, how time lost due to illness and deaths are calculated, hospitalisation rates and hospitalisation costs.\n            \n            \n              Conclusion\n              The findings can be used as an economic justification for cholera control in Africa and for generating value-for-money evidence to underpin Ending Cholera</w:instrText>
            </w:r>
            <w:r w:rsidR="00345AF1">
              <w:rPr>
                <w:rFonts w:cs="Aptos"/>
              </w:rPr>
              <w:instrText>—</w:instrText>
            </w:r>
            <w:r w:rsidR="00345AF1">
              <w:instrText xml:space="preserve">A Global Roadmap to 2030 with considerations to study limitations.","container-title":"BMJ Open","DOI":"10.1136/bmjopen-2020-044615","ISSN":"2044-6055, 2044-6055","issue":"3","journalAbbreviation":"BMJ Open","language":"en","page":"e044615","source":"DOI.org (Crossref)","title":"Model-based estimation of the economic burden of cholera in Africa","volume":"11","author":[{"family":"Mogasale","given":"Vittal"},{"family":"Ngogoyo","given":"Samuel Mwaura"},{"family":"Mogasale","given":"Vijayalaxmi V"}],"issued":{"date-parts":[["2021",3]]}}}],"schema":"https://github.com/citation-style-language/schema/raw/master/csl-citation.json"} </w:instrText>
            </w:r>
            <w:r w:rsidRPr="00097432">
              <w:fldChar w:fldCharType="separate"/>
            </w:r>
            <w:r w:rsidR="00345AF1" w:rsidRPr="00345AF1">
              <w:rPr>
                <w:rFonts w:cs="Times New Roman"/>
                <w:vertAlign w:val="superscript"/>
              </w:rPr>
              <w:t>53</w:t>
            </w:r>
            <w:r w:rsidRPr="00097432">
              <w:fldChar w:fldCharType="end"/>
            </w:r>
          </w:p>
        </w:tc>
      </w:tr>
      <w:tr w:rsidR="009E0F60" w:rsidRPr="00097432" w14:paraId="32C46DF0" w14:textId="77777777" w:rsidTr="00F31227">
        <w:trPr>
          <w:trHeight w:val="600"/>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62B306F" w14:textId="77777777" w:rsidR="009E0F60" w:rsidRPr="00097432" w:rsidRDefault="009E0F60" w:rsidP="002914FA">
            <w:pPr>
              <w:spacing w:line="240" w:lineRule="auto"/>
            </w:pPr>
            <w:r w:rsidRPr="00097432">
              <w:t>Cost to public system for cholera hospitalization and outpatient services</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1EDDD07" w14:textId="7CB56EDF" w:rsidR="009E0F60" w:rsidRPr="00097432" w:rsidRDefault="009E0F60" w:rsidP="002914FA">
            <w:pPr>
              <w:spacing w:line="240" w:lineRule="auto"/>
            </w:pPr>
            <w:r w:rsidRPr="00097432">
              <w:t>US</w:t>
            </w:r>
            <w:r w:rsidR="00B42B4E" w:rsidRPr="00097432">
              <w:rPr>
                <w:rFonts w:hint="eastAsia"/>
              </w:rPr>
              <w:t>$</w:t>
            </w:r>
            <w:r w:rsidR="002419C3" w:rsidRPr="00097432">
              <w:rPr>
                <w:rFonts w:hint="eastAsia"/>
              </w:rPr>
              <w:t xml:space="preserve"> </w:t>
            </w:r>
            <w:r w:rsidRPr="00097432">
              <w:t>184.97 and US</w:t>
            </w:r>
            <w:r w:rsidR="00B42B4E" w:rsidRPr="00097432">
              <w:rPr>
                <w:rFonts w:hint="eastAsia"/>
              </w:rPr>
              <w:t>$</w:t>
            </w:r>
            <w:r w:rsidR="002419C3" w:rsidRPr="00097432">
              <w:rPr>
                <w:rFonts w:hint="eastAsia"/>
              </w:rPr>
              <w:t xml:space="preserve"> </w:t>
            </w:r>
            <w:r w:rsidRPr="00097432">
              <w:t>7.99</w:t>
            </w:r>
            <w:r w:rsidR="00124F65" w:rsidRPr="00097432">
              <w:rPr>
                <w:rFonts w:hint="eastAsia"/>
              </w:rPr>
              <w:t xml:space="preserve"> per patient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D45330F" w14:textId="27793D08" w:rsidR="009E0F60" w:rsidRPr="00097432" w:rsidRDefault="009E0F60" w:rsidP="002914FA">
            <w:pPr>
              <w:spacing w:line="240" w:lineRule="auto"/>
            </w:pPr>
            <w:r w:rsidRPr="00097432">
              <w:fldChar w:fldCharType="begin"/>
            </w:r>
            <w:r w:rsidR="00345AF1">
              <w:instrText xml:space="preserve"> ADDIN ZOTERO_ITEM CSL_CITATION {"citationID":"zXdOPTGH","properties":{"formattedCitation":"\\super 53\\nosupersub{}","plainCitation":"53","noteIndex":0},"citationItems":[{"id":"EgwuGF5k/nNSqVHr3","uris":["http://zotero.org/users/local/xDVOxgbN/items/QF5FTZ85"],"itemData":{"id":51,"type":"article-journal","abstract":"Objectives\n              To estimate the economic burden of cholera in Africa.\n            \n            \n              Settings\n              Cholera affected 44 countries in Africa.\n            \n            \n              Participants\n              The analysis used data from public sources in Africa published until September 2019.\n            \n            \n              Methods\n              Based on existing data from field-based cost-of-illness studies, estimated cholera incidence rates, and reported cholera cases to WHO, this research estimates the economic burden of cholera in Africa from a societal perspective with 2015 as the base year. The estimate included out-of-pocket costs, public health system costs, productivity loss related to illness and an optional productivity loss related to premature deaths valued by the human capital approach. As various input data such as cholera incidence, hospitalisation rates and the number of workdays lost were not well defined, a series of scenario analyses and uncertainty analyses, accounting for unknowns and data variability, was conducted. Similarly, the value of time lost due to illness and deaths using the human capital approach was explored through scenario analyses.\n            \n            \n              Results\n              In 2015, an estimated 1</w:instrText>
            </w:r>
            <w:r w:rsidR="00345AF1">
              <w:rPr>
                <w:rFonts w:ascii="Arial" w:hAnsi="Arial"/>
              </w:rPr>
              <w:instrText> </w:instrText>
            </w:r>
            <w:r w:rsidR="00345AF1">
              <w:instrText>008</w:instrText>
            </w:r>
            <w:r w:rsidR="00345AF1">
              <w:rPr>
                <w:rFonts w:ascii="Arial" w:hAnsi="Arial"/>
              </w:rPr>
              <w:instrText> </w:instrText>
            </w:r>
            <w:r w:rsidR="00345AF1">
              <w:instrText>642 cases in 44 African countries resulted in an economic burden of US$130</w:instrText>
            </w:r>
            <w:r w:rsidR="00345AF1">
              <w:rPr>
                <w:rFonts w:ascii="Arial" w:hAnsi="Arial"/>
              </w:rPr>
              <w:instrText> </w:instrText>
            </w:r>
            <w:r w:rsidR="00345AF1">
              <w:instrText>million from cholera-related illness and its treatment. When the estimated 38</w:instrText>
            </w:r>
            <w:r w:rsidR="00345AF1">
              <w:rPr>
                <w:rFonts w:ascii="Arial" w:hAnsi="Arial"/>
              </w:rPr>
              <w:instrText> </w:instrText>
            </w:r>
            <w:r w:rsidR="00345AF1">
              <w:instrText>104 cholera deaths were included in the analysis, the economic burden increased to US$1</w:instrText>
            </w:r>
            <w:r w:rsidR="00345AF1">
              <w:rPr>
                <w:rFonts w:ascii="Arial" w:hAnsi="Arial"/>
              </w:rPr>
              <w:instrText> </w:instrText>
            </w:r>
            <w:r w:rsidR="00345AF1">
              <w:instrText>billion or international $2.4</w:instrText>
            </w:r>
            <w:r w:rsidR="00345AF1">
              <w:rPr>
                <w:rFonts w:ascii="Arial" w:hAnsi="Arial"/>
              </w:rPr>
              <w:instrText> </w:instrText>
            </w:r>
            <w:r w:rsidR="00345AF1">
              <w:instrText>billion for the same year. At the same time, when only the 71</w:instrText>
            </w:r>
            <w:r w:rsidR="00345AF1">
              <w:rPr>
                <w:rFonts w:ascii="Arial" w:hAnsi="Arial"/>
              </w:rPr>
              <w:instrText> </w:instrText>
            </w:r>
            <w:r w:rsidR="00345AF1">
              <w:instrText>126 cases and 937 deaths reported to the WHO are considered, the economic burden was only US$68</w:instrText>
            </w:r>
            <w:r w:rsidR="00345AF1">
              <w:rPr>
                <w:rFonts w:ascii="Arial" w:hAnsi="Arial"/>
              </w:rPr>
              <w:instrText> </w:instrText>
            </w:r>
            <w:r w:rsidR="00345AF1">
              <w:instrText>million for the year 2015. The estimates of economic burden are thus heavily dependent on the cholera incidence rate, how time lost due to illness and deaths are calculated, hospitalisation rates and hospitalisation costs.\n            \n            \n              Conclusion\n              The findings can be used as an economic justification for cholera control in Africa and for generating value-for-money evidence to underpin Ending Cholera</w:instrText>
            </w:r>
            <w:r w:rsidR="00345AF1">
              <w:rPr>
                <w:rFonts w:cs="Aptos"/>
              </w:rPr>
              <w:instrText>—</w:instrText>
            </w:r>
            <w:r w:rsidR="00345AF1">
              <w:instrText xml:space="preserve">A Global Roadmap to 2030 with considerations to study limitations.","container-title":"BMJ Open","DOI":"10.1136/bmjopen-2020-044615","ISSN":"2044-6055, 2044-6055","issue":"3","journalAbbreviation":"BMJ Open","language":"en","page":"e044615","source":"DOI.org (Crossref)","title":"Model-based estimation of the economic burden of cholera in Africa","volume":"11","author":[{"family":"Mogasale","given":"Vittal"},{"family":"Ngogoyo","given":"Samuel Mwaura"},{"family":"Mogasale","given":"Vijayalaxmi V"}],"issued":{"date-parts":[["2021",3]]}}}],"schema":"https://github.com/citation-style-language/schema/raw/master/csl-citation.json"} </w:instrText>
            </w:r>
            <w:r w:rsidRPr="00097432">
              <w:fldChar w:fldCharType="separate"/>
            </w:r>
            <w:r w:rsidR="00345AF1" w:rsidRPr="00345AF1">
              <w:rPr>
                <w:rFonts w:cs="Times New Roman"/>
                <w:vertAlign w:val="superscript"/>
              </w:rPr>
              <w:t>53</w:t>
            </w:r>
            <w:r w:rsidRPr="00097432">
              <w:fldChar w:fldCharType="end"/>
            </w:r>
          </w:p>
        </w:tc>
      </w:tr>
      <w:tr w:rsidR="009E0F60" w:rsidRPr="00097432" w14:paraId="72F71062" w14:textId="77777777" w:rsidTr="00F31227">
        <w:trPr>
          <w:trHeight w:val="321"/>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CED1273" w14:textId="77777777" w:rsidR="009E0F60" w:rsidRPr="00097432" w:rsidRDefault="009E0F60" w:rsidP="002914FA">
            <w:pPr>
              <w:spacing w:line="240" w:lineRule="auto"/>
            </w:pPr>
            <w:bookmarkStart w:id="20" w:name="_Hlk203504036"/>
            <w:r w:rsidRPr="00097432">
              <w:t>Number of workdays lost to patients and caregivers</w:t>
            </w:r>
            <w:bookmarkEnd w:id="20"/>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5DE9A4C9" w14:textId="450016F1" w:rsidR="009E0F60" w:rsidRPr="00097432" w:rsidRDefault="00046B2E" w:rsidP="002914FA">
            <w:pPr>
              <w:spacing w:line="240" w:lineRule="auto"/>
            </w:pPr>
            <w:r w:rsidRPr="00097432">
              <w:rPr>
                <w:rFonts w:hint="eastAsia"/>
              </w:rPr>
              <w:t>6</w:t>
            </w:r>
            <w:r w:rsidR="009E0F60" w:rsidRPr="00097432">
              <w:t>.</w:t>
            </w:r>
            <w:r w:rsidRPr="00097432">
              <w:rPr>
                <w:rFonts w:hint="eastAsia"/>
              </w:rPr>
              <w:t>5</w:t>
            </w:r>
            <w:r w:rsidR="009E0F60" w:rsidRPr="00097432">
              <w:t xml:space="preserve"> and 3.</w:t>
            </w:r>
            <w:r w:rsidR="00426D3F" w:rsidRPr="00097432">
              <w:rPr>
                <w:rFonts w:hint="eastAsia"/>
              </w:rPr>
              <w:t>3</w:t>
            </w:r>
            <w:r w:rsidR="009E0F60" w:rsidRPr="00097432">
              <w:t xml:space="preserve"> days</w:t>
            </w:r>
            <w:r w:rsidR="00426D3F" w:rsidRPr="00097432">
              <w:rPr>
                <w:rFonts w:hint="eastAsia"/>
              </w:rPr>
              <w:t xml:space="preserve"> </w:t>
            </w:r>
            <w:r w:rsidR="00426D3F" w:rsidRPr="00097432">
              <w:t xml:space="preserve">(Supplementary Information </w:t>
            </w:r>
            <w:r w:rsidR="00426D3F" w:rsidRPr="00097432">
              <w:rPr>
                <w:b/>
                <w:bCs/>
              </w:rPr>
              <w:t>S</w:t>
            </w:r>
            <w:r w:rsidR="009206B5" w:rsidRPr="00097432">
              <w:rPr>
                <w:rFonts w:hint="eastAsia"/>
                <w:b/>
                <w:bCs/>
              </w:rPr>
              <w:t>5</w:t>
            </w:r>
            <w:r w:rsidR="00426D3F" w:rsidRPr="00097432">
              <w:t>)</w:t>
            </w:r>
            <w:r w:rsidR="00426D3F" w:rsidRPr="00097432">
              <w:rPr>
                <w:rFonts w:hint="eastAsia"/>
              </w:rPr>
              <w:t xml:space="preserve"> </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67639925" w14:textId="118FC202" w:rsidR="009E0F60" w:rsidRPr="00097432" w:rsidRDefault="00426D3F" w:rsidP="002914FA">
            <w:pPr>
              <w:spacing w:line="240" w:lineRule="auto"/>
            </w:pPr>
            <w:r w:rsidRPr="00097432">
              <w:fldChar w:fldCharType="begin"/>
            </w:r>
            <w:r w:rsidR="00345AF1">
              <w:instrText xml:space="preserve"> ADDIN ZOTERO_ITEM CSL_CITATION {"citationID":"3r7x5XVj","properties":{"formattedCitation":"\\super 54\\uc0\\u8211{}57\\nosupersub{}","plainCitation":"54–57","noteIndex":0},"citationItems":[{"id":11233,"uris":["http://zotero.org/users/7663102/items/V9W3WPPZ"],"itemData":{"id":11233,"type":"article-journal","abstract":"Cholera remains an important public health problem in many low- and middle-income countries. Vaccination has been recommended as a possible intervention for the prevention and control of cholera. Evidence, especially data on disease burden, cost-of-illness, delivery costs and cost-effectiveness to support a wider use of vaccine is still weak. This study aims at estimating the cost-of-illness of cholera to households and health facilities in Machinga and Zomba Districts, Malawi. A cross-sectional study using retrospectively collected cost data was undertaken in this investigation. One hundred patients were purposefully selected for the assessment of the household cost-of-illness and four cholera treatment centres and one health facility were selected for the assessment conducted in health facilities. Data collected for the assessment in households included direct and indirect costs borne by cholera patients and their families while only direct costs were considered for the assessment conducted in health facilities. Whenever possible, descriptive and regression analysis were used to assess difference in mean costs between groups of patients. The average costs to patients' households and health facilities for treating an episode of cholera amounted to US$65.6 and US$59.7 in 2016 for households and health facilities, respectively equivalent to international dollars (I$) 249.9 and 227.5 the same year. Costs incurred in treating a cholera episode were proportional to duration of hospital stay. Moreover, 52% of households used coping strategies to compensate for direct and indirect costs imposed by the disease. Both households and health facilities could avert significant treatment expenditures through a broader use of pre-emptive cholera vaccination. These findings have direct policy implications regarding priority investments for the prevention and control of cholera.","container-title":"PloS One","DOI":"10.1371/journal.pone.0185041","ISSN":"1932-6203","issue":"9","journalAbbreviation":"PLoS One","language":"eng","note":"PMID: 28934285\nPMCID: PMC5608291","page":"e0185041","source":"PubMed","title":"Cost-of-illness of cholera to households and health facilities in rural Malawi","volume":"12","author":[{"family":"Ilboudo","given":"Patrick G."},{"family":"Huang","given":"Xiao Xian"},{"family":"Ngwira","given":"Bagrey"},{"family":"Mwanyungwe","given":"Abel"},{"family":"Mogasale","given":"Vittal"},{"family":"Mengel","given":"Martin A."},{"family":"Cavailler","given":"Philippe"},{"family":"Gessner","given":"Bradford D."},{"family":"Le Gargasson","given":"Jean-Bernard"}],"issued":{"date-parts":[["2017"]]},"citation-key":"ilboudoCostofillnessCholeraHouseholds2017"}},{"id":15771,"uris":["http://zotero.org/users/7663102/items/ACGR2WNR"],"itemData":{"id":15771,"type":"article-journal","abstract":"INTRODUCTION: Ghana experienced its worst cholera outbreak in three decades in 2014. Evidence of cholera economic costs on affected households has been limited. This study aimed at determining economic costs on households affected by the  cholera outbreak in a Coastal Region of Ghana.\nMETHODS: Two districts; High and Low Incidence Areas (HIA and LIA) were selected in comparative cost analysis and disease impact on affected households assessed based on scientifically documented economic indicators. A total of 418 (282 HIA and 136 LIA) households that experienced at least one case of cholera infection were interviewed. Direct and indirect costs were estimated. Correlates of household's cholera infection were estimated using Tobit Regression model in STATA 13.\nRESULTS: Average direct cost to households in HIA amounted to USD 106.88, almost 2 folds higher than LIA (USD 62.02). Potential cost saving of an episode of cholera is USD 99,201.28 in LIA and raises almost 8 folds in HIA (USD 782,611.60). Households in lowest income category had the highest incidence of cholera (0.073) compared to other categories plus other factors were significant in explaining cholera incidence.\nCONCLUSIONS: The study showed considerable differences in HIA and LIA costs with higher household economic impact of cholera on the lowest income category. Results underscore the need for pragmatic policy interventions  to avert recurrent outbreaks and emphasis huge potential  cost saving with reducing  cholera cases.","container-title":"Health Economics Review","DOI":"10.1186/s13561-017-0182-2","ISSN":"2191-1991","issue":"1","journalAbbreviation":"Health Econ Rev","language":"eng","note":"PMID: 29204727\nPMCID: PMC5714944","page":"45","source":"PubMed","title":"Economic evaluation of 2014 cholera outbreak in Ghana: a household cost analysis","title-short":"Economic evaluation of 2014 cholera outbreak in Ghana","volume":"7","author":[{"family":"Awalime","given":"Dziedzom Kwesi"},{"family":"Davies-Teye","given":"Bernard Bright K."},{"family":"Vanotoo","given":"Linda A."},{"family":"Owoo","given":"Nkechi S."},{"family":"Nketiah-Amponsah","given":"Edward"}],"issued":{"date-parts":[["2017",12,4]]},"citation-key":"awalime2017"}},{"id":15762,"uris":["http://zotero.org/users/7663102/items/YQELS69B"],"itemData":{"id":15762,"type":"article-journal","abstract":"Economic analyses of cholera immunization programmes require estimates of the costs of cholera. The Diseases of the Most Impoverished programme measured the public, provider, and patient costs of culture-confirmed cholera in four study sites with endemic cholera using a combination of hospital- and community-based studies. Families with culture-proven cases were surveyed at home 7 and 14 days after confirmation of illness. Public costs were measured at local health facilities using a micro-costing methodology. Hospital-based studies found that the costs of severe cholera were USD 32 and 47 in Matlab and Beira. Community-based studies in North Jakarta and Kolkata found that cholera cases cost between USD 28 and USD 206, depending on hospitalization. Patient costs of illness as a percentage of average monthly income were 21% and 65% for hospitalized cases in Kolkata and North Jakarta, respectively. This burden on families is not captured by studies that adopt a provider perspective.","container-title":"Epidemiology and infection","DOI":"10.1017/S0950268811000513","ISSN":"0950-2688","issue":"3","journalAbbreviation":"Epidemiol Infect","note":"PMID: 21554781\nPMCID: PMC3824392","page":"10.1017/S0950268811000513","source":"PubMed Central","title":"Costs of Illness Due to Endemic Cholera","volume":"140","author":[{"family":"Poulos","given":"C."},{"family":"Riewpaiboon","given":"A."},{"family":"Stewart","given":"J.F."},{"family":"Clemens","given":"J."},{"family":"Guh","given":"S."},{"family":"Agtini","given":"M."},{"family":"Sur","given":"D."},{"family":"Islam","given":"Z."},{"family":"Lucas","given":"M."},{"family":"Whittington","given":"D."}],"issued":{"date-parts":[["2012",3]]},"citation-key":"poulos2012"}},{"id":11077,"uris":["http://zotero.org/users/7663102/items/RSS9DN2G"],"itemData":{"id":11077,"type":"article-journal","abstract":"BACKGROUND: The World Health Organization (WHO) recommends oral cholera vaccines (OCVs) as a supplementary tool to conventional prevention of cholera. Dukoral, a killed whole-cell two-dose OCV, was used in a mass vaccination campaign in 2009 in Zanzibar. Public and private costs of illness (COI) due to endemic cholera and costs of the mass vaccination campaign were estimated to assess the cost-effectiveness of OCV for this particular campaign from both the health care provider and the societal perspective.\nMETHODOLOGY/PRINCIPAL FINDINGS: Public and private COI were obtained from interviews with local experts, with patients from three outbreaks and from reports and record review. Cost data for the vaccination campaign were collected based on actual expenditure and planned budget data. A static cohort of 50,000 individuals was examined, including herd protection. Primary outcome measures were incremental cost-effectiveness ratios (ICER) per death, per case and per disability-adjusted life-year (DALY) averted. One-way sensitivity and threshold analyses were conducted. The ICER was evaluated with regard to WHO criteria for cost-effectiveness. Base-case ICERs were USD 750,000 per death averted, USD 6,000 per case averted and USD 30,000 per DALY averted, without differences between the health care provider and the societal perspective. Threshold analyses using Shanchol and assuming high incidence and case-fatality rate indicated that the purchase price per course would have to be as low as USD 1.2 to render the mass vaccination campaign cost-effective from a health care provider perspective (societal perspective: USD 1.3).\nCONCLUSIONS/SIGNIFICANCE: Based on empirical and site-specific cost and effectiveness data from Zanzibar, the 2009 mass vaccination campaign was cost-ineffective mainly due to the relatively high OCV purchase price and a relatively low incidence. However, mass vaccination campaigns in Zanzibar to control endemic cholera may meet criteria for cost-effectiveness under certain circumstances, especially in high-incidence areas and at OCV prices below USD 1.3.","container-title":"PLoS neglected tropical diseases","DOI":"10.1371/journal.pntd.0001844","ISSN":"1935-2735","issue":"10","journalAbbreviation":"PLoS Negl Trop Dis","language":"eng","note":"PMID: 23056660\nPMCID: PMC3464297","page":"e1844","source":"PubMed","title":"Costs of illness due to cholera, costs of immunization and cost-effectiveness of an oral cholera mass vaccination campaign in Zanzibar","volume":"6","author":[{"family":"Schaetti","given":"Christian"},{"family":"Weiss","given":"Mitchell G."},{"family":"Ali","given":"Said M."},{"family":"Chaignat","given":"Claire-Lise"},{"family":"Khatib","given":"Ahmed M."},{"family":"Reyburn","given":"Rita"},{"family":"Duintjer Tebbens","given":"Radboud J."},{"family":"Hutubessy","given":"Raymond"}],"issued":{"date-parts":[["2012"]]},"citation-key":"schaettiCostsIllnessDue2012"}}],"schema":"https://github.com/citation-style-language/schema/raw/master/csl-citation.json"} </w:instrText>
            </w:r>
            <w:r w:rsidRPr="00097432">
              <w:fldChar w:fldCharType="separate"/>
            </w:r>
            <w:r w:rsidR="00345AF1" w:rsidRPr="00345AF1">
              <w:rPr>
                <w:rFonts w:cs="Times New Roman"/>
                <w:vertAlign w:val="superscript"/>
              </w:rPr>
              <w:t>54–57</w:t>
            </w:r>
            <w:r w:rsidRPr="00097432">
              <w:fldChar w:fldCharType="end"/>
            </w:r>
          </w:p>
        </w:tc>
      </w:tr>
      <w:tr w:rsidR="009E0F60" w:rsidRPr="00097432" w14:paraId="01E1F358" w14:textId="77777777" w:rsidTr="000A3B2F">
        <w:trPr>
          <w:trHeight w:val="411"/>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7623D3A" w14:textId="77777777" w:rsidR="009E0F60" w:rsidRPr="00097432" w:rsidRDefault="009E0F60" w:rsidP="002914FA">
            <w:pPr>
              <w:spacing w:line="240" w:lineRule="auto"/>
            </w:pPr>
            <w:r w:rsidRPr="00097432">
              <w:t>Mean age of infection</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ED3AAB1" w14:textId="0BFD05C6" w:rsidR="009E0F60" w:rsidRPr="00097432" w:rsidRDefault="00840303" w:rsidP="002914FA">
            <w:pPr>
              <w:spacing w:line="240" w:lineRule="auto"/>
            </w:pPr>
            <w:r w:rsidRPr="00097432">
              <w:rPr>
                <w:rFonts w:hint="eastAsia"/>
              </w:rPr>
              <w:t>25</w:t>
            </w:r>
            <w:r w:rsidR="009E0F60" w:rsidRPr="00097432">
              <w:t xml:space="preserve"> years</w:t>
            </w:r>
            <w:r w:rsidR="00F31227" w:rsidRPr="00097432">
              <w:t xml:space="preserve"> (Supplementary Information </w:t>
            </w:r>
            <w:r w:rsidR="00F31227" w:rsidRPr="00097432">
              <w:rPr>
                <w:b/>
                <w:bCs/>
              </w:rPr>
              <w:t>S</w:t>
            </w:r>
            <w:r w:rsidR="009206B5" w:rsidRPr="00097432">
              <w:rPr>
                <w:rFonts w:hint="eastAsia"/>
                <w:b/>
                <w:bCs/>
              </w:rPr>
              <w:t>6</w:t>
            </w:r>
            <w:r w:rsidR="00F31227" w:rsidRPr="00097432">
              <w: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948333A" w14:textId="165399DB" w:rsidR="009E0F60" w:rsidRPr="00097432" w:rsidRDefault="00435373" w:rsidP="002914FA">
            <w:pPr>
              <w:spacing w:line="240" w:lineRule="auto"/>
            </w:pPr>
            <w:r w:rsidRPr="00097432">
              <w:fldChar w:fldCharType="begin"/>
            </w:r>
            <w:r w:rsidR="00345AF1">
              <w:instrText xml:space="preserve"> ADDIN ZOTERO_ITEM CSL_CITATION {"citationID":"H9OFUo3x","properties":{"formattedCitation":"\\super 58\\uc0\\u8211{}60\\nosupersub{}","plainCitation":"58–60","noteIndex":0},"citationItems":[{"id":15219,"uris":["http://zotero.org/users/7663102/items/QL96HDTE"],"itemData":{"id":15219,"type":"article-journal","abstract":"Cholera remains an important public health challenge globally. Several pandemics have occurred in different parts of the world and have been epidemiologically linked by different researchers to illustrate how the cases were spread and how they were related to index cases. Even though the risk factors associated with the 2014 cholera outbreak were investigated extensively, the link between index cases and the source of infection was not investigated to help break the transmission process. This study sought to show how the index cases from various districts of the Greater Accra Region may have been linked.","container-title":"BMC Public Health","DOI":"10.1186/s12889-017-4803-9","ISSN":"1471-2458","issue":"1","journalAbbreviation":"BMC Public Health","page":"801","source":"BioMed Central","title":"Epidemiological link of a major cholera outbreak in Greater Accra region of Ghana, 2014","volume":"17","author":[{"family":"Ohene-Adjei","given":"Kennedy"},{"family":"Kenu","given":"Ernest"},{"family":"Bandoh","given":"Delia Akosua"},{"family":"Addo","given":"Prince Nii Ossah"},{"family":"Noora","given":"Charles Lwanga"},{"family":"Nortey","given":"Priscillia"},{"family":"Afari","given":"Edwin Andrew"}],"issued":{"date-parts":[["2017",10,11]]},"citation-key":"ohene-adjeiEpidemiologicalLinkMajor2017"}},{"id":15227,"uris":["http://zotero.org/users/7663102/items/RC3T956G"],"itemData":{"id":15227,"type":"article-journal","abstract":"Background\nOral cholera vaccines represent a new effective tool to fight cholera and are licensed as two-dose regimens with 2–4 weeks between doses. Evidence from previous studies suggests that a single dose of oral cholera vaccine might provide substantial direct protection against cholera. During a cholera outbreak in May, 2015, in Juba, South Sudan, the Ministry of Health, Médecins Sans Frontières, and partners engaged in the first field deployment of a single dose of oral cholera vaccine to enhance the outbreak response. We did a vaccine effectiveness study in conjunction with this large public health intervention.\nMethods\nWe did a case-cohort study, combining information on the vaccination status and disease outcomes from a random cohort recruited from throughout the city of Juba with that from all the cases detected. Eligible cases were those aged 1 year or older on the first day of the vaccination campaign who sought care for diarrhoea at all three cholera treatment centres and seven rehydration posts throughout Juba. Confirmed cases were suspected cases who tested positive to PCR for Vibrio cholerae O1. We estimated the short-term protection (direct and indirect) conferred by one dose of cholera vaccine (Shanchol, Shantha Biotechnics, Hyderabad, India).\nFindings\nBetween Aug 9, 2015, and Sept 29, 2015, we enrolled 87 individuals with suspected cholera, and an 898-person cohort from throughout Juba. Of the 87 individuals with suspected cholera, 34 were classified as cholera positive, 52 as cholera negative, and one had indeterminate results. Of the 858 cohort members who completed a follow-up visit, none developed clinical cholera during follow-up. The unadjusted single-dose vaccine effectiveness was 80·2% (95% CI 61·5–100·0) and after adjusting for potential confounders was 87·3% (70·2–100·0).\nInterpretation\nOne dose of Shanchol was effective in preventing medically attended cholera in this study. These results support the use of a single-dose strategy in outbreaks in similar epidemiological settings.\nFunding\nMédecins Sans Frontières.","container-title":"The Lancet Global Health","DOI":"10.1016/S2214-109X(16)30211-X","ISSN":"2214-109X","issue":"11","journalAbbreviation":"The Lancet Global Health","page":"e856-e863","source":"ScienceDirect","title":"Effectiveness of one dose of oral cholera vaccine in response to an outbreak: a case-cohort study","title-short":"Effectiveness of one dose of oral cholera vaccine in response to an outbreak","volume":"4","author":[{"family":"Azman","given":"Andrew S"},{"family":"Parker","given":"Lucy A"},{"family":"Rumunu","given":"John"},{"family":"Tadesse","given":"Fisseha"},{"family":"Grandesso","given":"Francesco"},{"family":"Deng","given":"Lul L"},{"family":"Lino","given":"Richard Laku"},{"family":"Bior","given":"Bior K"},{"family":"Lasuba","given":"Michael"},{"family":"Page","given":"Anne-Laure"},{"family":"Ontweka","given":"Lameck"},{"family":"Llosa","given":"Augusto E"},{"family":"Cohuet","given":"Sandra"},{"family":"Pezzoli","given":"Lorenzo"},{"family":"Sodjinou","given":"Dossou Vincent"},{"family":"Abubakar","given":"Abdinasir"},{"family":"Debes","given":"Amanda K"},{"family":"Mpairwe","given":"Allan M"},{"family":"Wamala","given":"Joseph F"},{"family":"Jamet","given":"Christine"},{"family":"Lessler","given":"Justin"},{"family":"Sack","given":"David A"},{"family":"Quilici","given":"Marie-Laure"},{"family":"Ciglenecki","given":"Iza"},{"family":"Luquero","given":"Francisco J"}],"issued":{"date-parts":[["2016",11,1]]},"citation-key":"azmanEffectivenessOneDose2016"}},{"id":9687,"uris":["http://zotero.org/users/7663102/items/G3RTRMXR"],"itemData":{"id":9687,"type":"article-journal","abstract":"Large-scale cholera outbreaks have shown the limits of traditional response strategies.1 The devastating consequences of cholera epidemics in vulnerable populations have opened a debate about ways to improve preparedness and response plans. Two documents, issued by the World Health Organization (WHO) in 2010 and 2011, have also stimulated debate: a revised position paper regarding oral cholera vaccines2 and the prequalification of the cholera vaccine Shanchol (Shantha Biotech).3 The two oral cholera vaccines currently prequalified by the WHO are killed whole-cell Vibrio cholerae serogroup O1 vaccines: Shanchol also contains V. cholerae serogroup O139, and Dukoral (Crucell) contains a recombinant cholera toxin . . .","container-title":"New England Journal of Medicine","DOI":"10.1056/NEJMoa1312680","ISSN":"0028-4793","issue":"22","note":"publisher: Massachusetts Medical Society\n_eprint: https://doi.org/10.1056/NEJMoa1312680\nPMID: 24869721","page":"2111-2120","source":"Taylor and Francis+NEJM","title":"Use of Vibrio cholerae Vaccine in an Outbreak in Guinea","volume":"370","author":[{"family":"Luquero","given":"Francisco J."},{"family":"Grout","given":"Lise"},{"family":"Ciglenecki","given":"Iza"},{"family":"Sakoba","given":"Keita"},{"family":"Traore","given":"Bala"},{"family":"Heile","given":"Melat"},{"family":"Diallo","given":"Alpha Amadou"},{"family":"Itama","given":"Christian"},{"family":"Page","given":"Anne-Laure"},{"family":"Quilici","given":"Marie-Laure"},{"family":"Mengel","given":"Martin A."},{"family":"Eiros","given":"Jose Maria"},{"family":"Serafini","given":"Micaela"},{"family":"Legros","given":"Dominique"},{"family":"Grais","given":"Rebecca F."}],"issued":{"date-parts":[["2014",5,29]]},"citation-key":"luqueroUseVibrioCholerae2014"}}],"schema":"https://github.com/citation-style-language/schema/raw/master/csl-citation.json"} </w:instrText>
            </w:r>
            <w:r w:rsidRPr="00097432">
              <w:fldChar w:fldCharType="separate"/>
            </w:r>
            <w:r w:rsidR="00345AF1" w:rsidRPr="00345AF1">
              <w:rPr>
                <w:rFonts w:cs="Times New Roman"/>
                <w:vertAlign w:val="superscript"/>
              </w:rPr>
              <w:t>58–60</w:t>
            </w:r>
            <w:r w:rsidRPr="00097432">
              <w:fldChar w:fldCharType="end"/>
            </w:r>
          </w:p>
        </w:tc>
      </w:tr>
      <w:tr w:rsidR="009E0F60" w:rsidRPr="00097432" w14:paraId="51A20051" w14:textId="77777777" w:rsidTr="00F31227">
        <w:trPr>
          <w:trHeight w:val="20"/>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12BDE6D" w14:textId="77777777" w:rsidR="009E0F60" w:rsidRPr="00097432" w:rsidRDefault="009E0F60" w:rsidP="002914FA">
            <w:pPr>
              <w:spacing w:line="240" w:lineRule="auto"/>
            </w:pPr>
            <w:r w:rsidRPr="00097432">
              <w:t>Duration of illness</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B00E16C" w14:textId="18FC6262" w:rsidR="009E0F60" w:rsidRPr="00097432" w:rsidRDefault="006B138A" w:rsidP="002914FA">
            <w:pPr>
              <w:spacing w:line="240" w:lineRule="auto"/>
            </w:pPr>
            <w:r w:rsidRPr="00097432">
              <w:t xml:space="preserve">2 </w:t>
            </w:r>
            <w:r w:rsidR="009E0F60" w:rsidRPr="00097432">
              <w:t>days</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BD4E6AB" w14:textId="02D2185C" w:rsidR="009E0F60" w:rsidRPr="00097432" w:rsidRDefault="006B138A" w:rsidP="002914FA">
            <w:pPr>
              <w:spacing w:line="240" w:lineRule="auto"/>
              <w:rPr>
                <w:lang w:val="en-US"/>
              </w:rPr>
            </w:pPr>
            <w:r w:rsidRPr="00097432">
              <w:rPr>
                <w:lang w:val="en-US"/>
              </w:rPr>
              <w:fldChar w:fldCharType="begin"/>
            </w:r>
            <w:r w:rsidR="00345AF1">
              <w:rPr>
                <w:lang w:val="en-US"/>
              </w:rPr>
              <w:instrText xml:space="preserve"> ADDIN ZOTERO_ITEM CSL_CITATION {"citationID":"RWE0UhUX","properties":{"formattedCitation":"\\super 61\\nosupersub{}","plainCitation":"61","noteIndex":0},"citationItems":[{"id":8579,"uris":["http://zotero.org/users/7663102/items/7L4JD8RL"],"itemData":{"id":8579,"type":"article-journal","abstract":"BACKGROUND: Multiple Vibrio cholerae infections in the same household are common. The objective of this study was to examine the incidence of V. cholerae infection and associated clinical symptoms in household contacts of patients with cholera and to identify risk factors for development of severe dehydration in this cohort.\nMETHODS: Household contacts of hospitalized patients with cholera were observed with frequent clinical assessments and collection of serum and rectal swab samples for culture for a period of 21 days after presentation of the index case.\nRESULTS: One-half (460 of 944) of all contacts reported diarrhea during the study period, and symptoms most frequently began 2 days after presentation of the index case. Antibiotics were used by 199 (43%) of 460 contacts with diarrhea. Results of rectal swab cultures for V. cholerae were positive for 202 (21%) of 944 contacts, and 148 (73%) infected contacts experienced diarrhea. Significant dehydration developed in 26 contacts; predictors of dehydration included vomiting, each additional day of diarrhea, and blood group O status.\nCONCLUSIONS: In urban Bangladesh, the burden of diarrheal illness among household contacts of patients with cholera is higher than was previously estimated, and prophylactic intervention is feasible, because the majority of symptomatic cases of V. cholerae infection in contacts begin soon after presentation of the index case. Re-evaluation of targeted chemoprophylaxis for household contacts of patients with cholera may be warranted.","container-title":"Clinical Infectious Diseases: An Official Publication of the Infectious Diseases Society of America","DOI":"10.1086/644779","ISSN":"1537-6591","issue":"10","journalAbbreviation":"Clin Infect Dis","language":"eng","note":"PMID: 19842974\nPMCID: PMC2783773","page":"1473-1479","source":"PubMed","title":"Clinical outcomes in household contacts of patients with cholera in Bangladesh","volume":"49","author":[{"family":"Weil","given":"Ana A."},{"family":"Khan","given":"Ashraful I."},{"family":"Chowdhury","given":"Fahima"},{"family":"Larocque","given":"Regina C."},{"family":"Faruque","given":"A. S. G."},{"family":"Ryan","given":"Edward T."},{"family":"Calderwood","given":"Stephen B."},{"family":"Qadri","given":"Firdausi"},{"family":"Harris","given":"Jason B."}],"issued":{"date-parts":[["2009",11,15]]},"citation-key":"weilClinicalOutcomesHousehold2009"}}],"schema":"https://github.com/citation-style-language/schema/raw/master/csl-citation.json"} </w:instrText>
            </w:r>
            <w:r w:rsidRPr="00097432">
              <w:rPr>
                <w:lang w:val="en-US"/>
              </w:rPr>
              <w:fldChar w:fldCharType="separate"/>
            </w:r>
            <w:r w:rsidR="00345AF1" w:rsidRPr="00345AF1">
              <w:rPr>
                <w:rFonts w:cs="Times New Roman"/>
                <w:vertAlign w:val="superscript"/>
              </w:rPr>
              <w:t>61</w:t>
            </w:r>
            <w:r w:rsidRPr="00097432">
              <w:rPr>
                <w:lang w:val="en-US"/>
              </w:rPr>
              <w:fldChar w:fldCharType="end"/>
            </w:r>
          </w:p>
        </w:tc>
      </w:tr>
      <w:tr w:rsidR="009E0F60" w:rsidRPr="00097432" w14:paraId="0CD45435" w14:textId="77777777" w:rsidTr="00F31227">
        <w:trPr>
          <w:trHeight w:val="20"/>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570D882" w14:textId="72FC834B" w:rsidR="009E0F60" w:rsidRPr="00097432" w:rsidRDefault="009E0F60" w:rsidP="002914FA">
            <w:pPr>
              <w:spacing w:line="240" w:lineRule="auto"/>
            </w:pPr>
            <w:r w:rsidRPr="00097432">
              <w:t xml:space="preserve">Life expectancy at </w:t>
            </w:r>
            <w:r w:rsidR="00704994" w:rsidRPr="00097432">
              <w:rPr>
                <w:rFonts w:hint="eastAsia"/>
              </w:rPr>
              <w:t>a given age</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552EA6B4" w14:textId="1D6C0BA3" w:rsidR="009E0F60" w:rsidRPr="00097432" w:rsidRDefault="009E0F60" w:rsidP="002914FA">
            <w:pPr>
              <w:spacing w:line="240" w:lineRule="auto"/>
            </w:pPr>
            <w:r w:rsidRPr="00097432">
              <w:t>Varies by year and country</w:t>
            </w:r>
            <w:r w:rsidR="00C064B8" w:rsidRPr="00097432">
              <w:rPr>
                <w:rFonts w:hint="eastAsia"/>
              </w:rPr>
              <w:t>; 4</w:t>
            </w:r>
            <w:r w:rsidR="000A3B2F" w:rsidRPr="00097432">
              <w:rPr>
                <w:rFonts w:hint="eastAsia"/>
              </w:rPr>
              <w:t xml:space="preserve">2.7 [IQR: </w:t>
            </w:r>
            <w:r w:rsidR="000B5A14" w:rsidRPr="00097432">
              <w:rPr>
                <w:rFonts w:hint="eastAsia"/>
              </w:rPr>
              <w:t>42.2, IQR: 42.2</w:t>
            </w:r>
            <w:r w:rsidR="000A3B2F" w:rsidRPr="00097432">
              <w:rPr>
                <w:rFonts w:hint="eastAsia"/>
              </w:rPr>
              <w:t>]</w:t>
            </w:r>
            <w:r w:rsidR="00C064B8" w:rsidRPr="00097432">
              <w:rPr>
                <w:rFonts w:hint="eastAsia"/>
              </w:rPr>
              <w:t xml:space="preserve"> year of life expectancy for </w:t>
            </w:r>
            <w:r w:rsidR="00FD2750" w:rsidRPr="00097432">
              <w:t>25-year-olds</w:t>
            </w:r>
            <w:r w:rsidR="000B5A14" w:rsidRPr="00097432">
              <w:rPr>
                <w:rFonts w:hint="eastAsia"/>
              </w:rPr>
              <w:t xml:space="preserve"> during </w:t>
            </w:r>
            <w:r w:rsidR="00C064B8" w:rsidRPr="00097432">
              <w:rPr>
                <w:rFonts w:hint="eastAsia"/>
              </w:rPr>
              <w:t>2010</w:t>
            </w:r>
            <w:r w:rsidR="000B5A14" w:rsidRPr="00097432">
              <w:rPr>
                <w:rFonts w:hint="eastAsia"/>
              </w:rPr>
              <w:t>-2020</w:t>
            </w:r>
            <w:r w:rsidR="00C064B8" w:rsidRPr="00097432">
              <w:rPr>
                <w:rFonts w:hint="eastAsia"/>
              </w:rPr>
              <w: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9BE190F" w14:textId="2EA27277" w:rsidR="009E0F60" w:rsidRPr="00097432" w:rsidRDefault="009E0F60" w:rsidP="002914FA">
            <w:pPr>
              <w:spacing w:line="240" w:lineRule="auto"/>
            </w:pPr>
            <w:r w:rsidRPr="00097432">
              <w:fldChar w:fldCharType="begin"/>
            </w:r>
            <w:r w:rsidR="00345AF1">
              <w:instrText xml:space="preserve"> ADDIN ZOTERO_ITEM CSL_CITATION {"citationID":"4nYdmZTD","properties":{"formattedCitation":"\\super 62\\nosupersub{}","plainCitation":"62","noteIndex":0},"citationItems":[{"id":"EgwuGF5k/6leJb187","uris":["http://zotero.org/users/local/xDVOxgbN/items/3FE5DRB2"],"itemData":{"id":182,"type":"dataset","title":"World Population Prospects 2024, Online Edition","URL":"https://population.un.org/wpp/Download/Standard/Mortality/","author":[{"literal":"United Nations, Department of Economic and Social Affairs, Population Division"}],"issued":{"date-parts":[["2024"]]}}}],"schema":"https://github.com/citation-style-language/schema/raw/master/csl-citation.json"} </w:instrText>
            </w:r>
            <w:r w:rsidRPr="00097432">
              <w:fldChar w:fldCharType="separate"/>
            </w:r>
            <w:r w:rsidR="00345AF1" w:rsidRPr="00345AF1">
              <w:rPr>
                <w:rFonts w:cs="Times New Roman"/>
                <w:vertAlign w:val="superscript"/>
              </w:rPr>
              <w:t>62</w:t>
            </w:r>
            <w:r w:rsidRPr="00097432">
              <w:fldChar w:fldCharType="end"/>
            </w:r>
          </w:p>
        </w:tc>
      </w:tr>
      <w:tr w:rsidR="009E0F60" w:rsidRPr="00097432" w14:paraId="70D64914" w14:textId="77777777" w:rsidTr="00F31227">
        <w:trPr>
          <w:trHeight w:val="20"/>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0FFB387" w14:textId="5B7B26A5" w:rsidR="009E0F60" w:rsidRPr="00097432" w:rsidRDefault="009E0F60" w:rsidP="002914FA">
            <w:pPr>
              <w:spacing w:line="240" w:lineRule="auto"/>
            </w:pPr>
            <w:r w:rsidRPr="00097432">
              <w:t xml:space="preserve">Age distribution </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C96E389" w14:textId="0E3FB1AD" w:rsidR="009E0F60" w:rsidRPr="00097432" w:rsidRDefault="009E0F60" w:rsidP="002914FA">
            <w:pPr>
              <w:spacing w:line="240" w:lineRule="auto"/>
            </w:pPr>
            <w:r w:rsidRPr="00097432">
              <w:t>Varies by year and country</w:t>
            </w:r>
            <w:r w:rsidR="00B752FA" w:rsidRPr="00097432">
              <w:rPr>
                <w:rFonts w:hint="eastAsia"/>
              </w:rPr>
              <w:t>; 1</w:t>
            </w:r>
            <w:r w:rsidR="00E85B7A" w:rsidRPr="00097432">
              <w:rPr>
                <w:rFonts w:hint="eastAsia"/>
              </w:rPr>
              <w:t>6.4</w:t>
            </w:r>
            <w:r w:rsidR="00B752FA" w:rsidRPr="00097432">
              <w:rPr>
                <w:rFonts w:hint="eastAsia"/>
              </w:rPr>
              <w:t>%</w:t>
            </w:r>
            <w:r w:rsidR="002612A7" w:rsidRPr="00097432">
              <w:rPr>
                <w:rFonts w:hint="eastAsia"/>
              </w:rPr>
              <w:t xml:space="preserve"> [IQR: </w:t>
            </w:r>
            <w:r w:rsidR="00E85B7A" w:rsidRPr="00097432">
              <w:rPr>
                <w:rFonts w:hint="eastAsia"/>
              </w:rPr>
              <w:t>16.0, 16.9</w:t>
            </w:r>
            <w:r w:rsidR="002612A7" w:rsidRPr="00097432">
              <w:rPr>
                <w:rFonts w:hint="eastAsia"/>
              </w:rPr>
              <w:t>]</w:t>
            </w:r>
            <w:r w:rsidR="00B752FA" w:rsidRPr="00097432">
              <w:rPr>
                <w:rFonts w:hint="eastAsia"/>
              </w:rPr>
              <w:t xml:space="preserve"> of the population is under five </w:t>
            </w:r>
            <w:r w:rsidR="000A3B2F" w:rsidRPr="00097432">
              <w:rPr>
                <w:rFonts w:hint="eastAsia"/>
              </w:rPr>
              <w:t>during</w:t>
            </w:r>
            <w:r w:rsidR="00B752FA" w:rsidRPr="00097432">
              <w:rPr>
                <w:rFonts w:hint="eastAsia"/>
              </w:rPr>
              <w:t xml:space="preserve"> 2010</w:t>
            </w:r>
            <w:r w:rsidR="000A3B2F" w:rsidRPr="00097432">
              <w:rPr>
                <w:rFonts w:hint="eastAsia"/>
              </w:rPr>
              <w:t xml:space="preserve"> - 2020</w:t>
            </w:r>
            <w:r w:rsidR="00B752FA" w:rsidRPr="00097432">
              <w:rPr>
                <w:rFonts w:hint="eastAsia"/>
              </w:rPr>
              <w: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3A3E006" w14:textId="3A8610BF" w:rsidR="009E0F60" w:rsidRPr="00097432" w:rsidRDefault="009E0F60" w:rsidP="002914FA">
            <w:pPr>
              <w:spacing w:line="240" w:lineRule="auto"/>
            </w:pPr>
            <w:r w:rsidRPr="00097432">
              <w:fldChar w:fldCharType="begin"/>
            </w:r>
            <w:r w:rsidR="00345AF1">
              <w:instrText xml:space="preserve"> ADDIN ZOTERO_ITEM CSL_CITATION {"citationID":"iv5Ferq7","properties":{"formattedCitation":"\\super 62\\nosupersub{}","plainCitation":"62","noteIndex":0},"citationItems":[{"id":"EgwuGF5k/6leJb187","uris":["http://zotero.org/users/local/xDVOxgbN/items/3FE5DRB2"],"itemData":{"id":182,"type":"dataset","title":"World Population Prospects 2024, Online Edition","URL":"https://population.un.org/wpp/Download/Standard/Mortality/","author":[{"literal":"United Nations, Department of Economic and Social Affairs, Population Division"}],"issued":{"date-parts":[["2024"]]}}}],"schema":"https://github.com/citation-style-language/schema/raw/master/csl-citation.json"} </w:instrText>
            </w:r>
            <w:r w:rsidRPr="00097432">
              <w:fldChar w:fldCharType="separate"/>
            </w:r>
            <w:r w:rsidR="00345AF1" w:rsidRPr="00345AF1">
              <w:rPr>
                <w:rFonts w:cs="Times New Roman"/>
                <w:vertAlign w:val="superscript"/>
              </w:rPr>
              <w:t>62</w:t>
            </w:r>
            <w:r w:rsidRPr="00097432">
              <w:fldChar w:fldCharType="end"/>
            </w:r>
          </w:p>
        </w:tc>
      </w:tr>
      <w:tr w:rsidR="009E0F60" w:rsidRPr="00097432" w14:paraId="10CE8787" w14:textId="77777777" w:rsidTr="00F31227">
        <w:trPr>
          <w:trHeight w:val="258"/>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F0FEDD5" w14:textId="77777777" w:rsidR="009E0F60" w:rsidRPr="00097432" w:rsidRDefault="009E0F60" w:rsidP="002914FA">
            <w:pPr>
              <w:spacing w:line="240" w:lineRule="auto"/>
            </w:pPr>
            <w:r w:rsidRPr="00097432">
              <w:t>Gross Domestic Product (GDP)</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123BC93" w14:textId="13D91183" w:rsidR="009E0F60" w:rsidRPr="00097432" w:rsidRDefault="009E0F60" w:rsidP="000A3B2F">
            <w:pPr>
              <w:spacing w:line="240" w:lineRule="auto"/>
            </w:pPr>
            <w:r w:rsidRPr="00097432">
              <w:t>Varies by year and country</w:t>
            </w:r>
            <w:r w:rsidR="00B752FA" w:rsidRPr="00097432">
              <w:rPr>
                <w:rFonts w:hint="eastAsia"/>
              </w:rPr>
              <w:t>; 1</w:t>
            </w:r>
            <w:r w:rsidR="000A3B2F" w:rsidRPr="00097432">
              <w:rPr>
                <w:rFonts w:hint="eastAsia"/>
              </w:rPr>
              <w:t xml:space="preserve"> </w:t>
            </w:r>
            <w:r w:rsidR="00B752FA" w:rsidRPr="00097432">
              <w:rPr>
                <w:rFonts w:hint="eastAsia"/>
              </w:rPr>
              <w:t xml:space="preserve">665 </w:t>
            </w:r>
            <w:r w:rsidR="002612A7" w:rsidRPr="00097432">
              <w:rPr>
                <w:rFonts w:hint="eastAsia"/>
              </w:rPr>
              <w:t>[</w:t>
            </w:r>
            <w:r w:rsidR="000A3B2F" w:rsidRPr="00097432">
              <w:rPr>
                <w:rFonts w:hint="eastAsia"/>
              </w:rPr>
              <w:t xml:space="preserve">IQR: </w:t>
            </w:r>
            <w:r w:rsidR="000A3B2F" w:rsidRPr="00097432">
              <w:rPr>
                <w:lang w:val="en-US"/>
              </w:rPr>
              <w:t>1</w:t>
            </w:r>
            <w:r w:rsidR="000A3B2F" w:rsidRPr="00097432">
              <w:rPr>
                <w:rFonts w:hint="eastAsia"/>
                <w:lang w:val="en-US"/>
              </w:rPr>
              <w:t xml:space="preserve"> </w:t>
            </w:r>
            <w:r w:rsidR="000A3B2F" w:rsidRPr="00097432">
              <w:rPr>
                <w:lang w:val="en-US"/>
              </w:rPr>
              <w:t>621</w:t>
            </w:r>
            <w:r w:rsidR="000A3B2F" w:rsidRPr="00097432">
              <w:rPr>
                <w:rFonts w:hint="eastAsia"/>
                <w:lang w:val="en-US"/>
              </w:rPr>
              <w:t xml:space="preserve">, </w:t>
            </w:r>
            <w:r w:rsidR="000A3B2F" w:rsidRPr="00097432">
              <w:rPr>
                <w:lang w:val="en-US"/>
              </w:rPr>
              <w:t>1</w:t>
            </w:r>
            <w:r w:rsidR="000A3B2F" w:rsidRPr="00097432">
              <w:rPr>
                <w:rFonts w:hint="eastAsia"/>
                <w:lang w:val="en-US"/>
              </w:rPr>
              <w:t xml:space="preserve"> </w:t>
            </w:r>
            <w:r w:rsidR="000A3B2F" w:rsidRPr="00097432">
              <w:rPr>
                <w:lang w:val="en-US"/>
              </w:rPr>
              <w:t>706</w:t>
            </w:r>
            <w:r w:rsidR="002612A7" w:rsidRPr="00097432">
              <w:rPr>
                <w:rFonts w:hint="eastAsia"/>
              </w:rPr>
              <w:t>]</w:t>
            </w:r>
            <w:r w:rsidR="000A3B2F" w:rsidRPr="00097432">
              <w:rPr>
                <w:rFonts w:hint="eastAsia"/>
              </w:rPr>
              <w:t xml:space="preserve"> </w:t>
            </w:r>
            <w:r w:rsidR="00B752FA" w:rsidRPr="00097432">
              <w:rPr>
                <w:rFonts w:hint="eastAsia"/>
              </w:rPr>
              <w:t xml:space="preserve">US$ </w:t>
            </w:r>
            <w:r w:rsidR="000A3B2F" w:rsidRPr="00097432">
              <w:rPr>
                <w:rFonts w:hint="eastAsia"/>
              </w:rPr>
              <w:t>during 2010-2020</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055A603" w14:textId="17F74589" w:rsidR="009E0F60" w:rsidRPr="00097432" w:rsidRDefault="009E0F60" w:rsidP="002914FA">
            <w:pPr>
              <w:spacing w:line="240" w:lineRule="auto"/>
            </w:pPr>
            <w:r w:rsidRPr="00097432">
              <w:fldChar w:fldCharType="begin"/>
            </w:r>
            <w:r w:rsidR="00345AF1">
              <w:instrText xml:space="preserve"> ADDIN ZOTERO_ITEM CSL_CITATION {"citationID":"Jra589pD","properties":{"formattedCitation":"\\super 63\\nosupersub{}","plainCitation":"63","noteIndex":0},"citationItems":[{"id":"EgwuGF5k/xbAzyDr0","uris":["http://zotero.org/users/local/xDVOxgbN/items/G7M42ZDC"],"itemData":{"id":183,"type":"dataset","title":"GDP per capita (current US$)","URL":"https://data.worldbank.org/indicator/NY.GDP.PCAP.CD","author":[{"literal":"World Bank Group"}]}}],"schema":"https://github.com/citation-style-language/schema/raw/master/csl-citation.json"} </w:instrText>
            </w:r>
            <w:r w:rsidRPr="00097432">
              <w:fldChar w:fldCharType="separate"/>
            </w:r>
            <w:r w:rsidR="00345AF1" w:rsidRPr="00345AF1">
              <w:rPr>
                <w:rFonts w:cs="Times New Roman"/>
                <w:vertAlign w:val="superscript"/>
              </w:rPr>
              <w:t>63</w:t>
            </w:r>
            <w:r w:rsidRPr="00097432">
              <w:fldChar w:fldCharType="end"/>
            </w:r>
          </w:p>
        </w:tc>
      </w:tr>
      <w:tr w:rsidR="009E0F60" w:rsidRPr="00097432" w14:paraId="202B5DC3" w14:textId="77777777" w:rsidTr="000B5A14">
        <w:trPr>
          <w:trHeight w:val="636"/>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0353E5B" w14:textId="1AB0FF86" w:rsidR="009E0F60" w:rsidRPr="00097432" w:rsidRDefault="005627AF" w:rsidP="002914FA">
            <w:pPr>
              <w:spacing w:line="240" w:lineRule="auto"/>
            </w:pPr>
            <w:r w:rsidRPr="00097432">
              <w:rPr>
                <w:rFonts w:hint="eastAsia"/>
              </w:rPr>
              <w:t>P</w:t>
            </w:r>
            <w:r w:rsidR="009E0F60" w:rsidRPr="00097432">
              <w:t>opulation in workforce</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55A60A2A" w14:textId="75599014" w:rsidR="009E0F60" w:rsidRPr="00097432" w:rsidRDefault="009E0F60" w:rsidP="002914FA">
            <w:pPr>
              <w:spacing w:line="240" w:lineRule="auto"/>
            </w:pPr>
            <w:r w:rsidRPr="00097432">
              <w:t>Varies by year and country</w:t>
            </w:r>
            <w:r w:rsidR="00300523" w:rsidRPr="00097432">
              <w:rPr>
                <w:rFonts w:hint="eastAsia"/>
              </w:rPr>
              <w:t>; around 6</w:t>
            </w:r>
            <w:r w:rsidR="000A3B2F" w:rsidRPr="00097432">
              <w:rPr>
                <w:rFonts w:hint="eastAsia"/>
              </w:rPr>
              <w:t>8.1</w:t>
            </w:r>
            <w:r w:rsidR="00300523" w:rsidRPr="00097432">
              <w:rPr>
                <w:rFonts w:hint="eastAsia"/>
              </w:rPr>
              <w:t xml:space="preserve">% </w:t>
            </w:r>
            <w:r w:rsidR="002612A7" w:rsidRPr="00097432">
              <w:rPr>
                <w:rFonts w:hint="eastAsia"/>
              </w:rPr>
              <w:t>[</w:t>
            </w:r>
            <w:r w:rsidR="000A3B2F" w:rsidRPr="00097432">
              <w:rPr>
                <w:rFonts w:hint="eastAsia"/>
              </w:rPr>
              <w:t>IQR: 67.9, 68.4</w:t>
            </w:r>
            <w:r w:rsidR="002612A7" w:rsidRPr="00097432">
              <w:rPr>
                <w:rFonts w:hint="eastAsia"/>
              </w:rPr>
              <w:t xml:space="preserve">] </w:t>
            </w:r>
            <w:r w:rsidR="00300523" w:rsidRPr="00097432">
              <w:rPr>
                <w:rFonts w:hint="eastAsia"/>
              </w:rPr>
              <w:t xml:space="preserve">in </w:t>
            </w:r>
            <w:r w:rsidR="000A3B2F" w:rsidRPr="00097432">
              <w:rPr>
                <w:rFonts w:hint="eastAsia"/>
              </w:rPr>
              <w:t>during 2010-2020</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598C0DB" w14:textId="1D7F2CD1" w:rsidR="009E0F60" w:rsidRPr="00097432" w:rsidRDefault="009E0F60" w:rsidP="002914FA">
            <w:pPr>
              <w:spacing w:line="240" w:lineRule="auto"/>
            </w:pPr>
            <w:r w:rsidRPr="00097432">
              <w:fldChar w:fldCharType="begin"/>
            </w:r>
            <w:r w:rsidR="00345AF1">
              <w:instrText xml:space="preserve"> ADDIN ZOTERO_ITEM CSL_CITATION {"citationID":"yTDeW786","properties":{"formattedCitation":"\\super 64\\nosupersub{}","plainCitation":"64","noteIndex":0},"citationItems":[{"id":"EgwuGF5k/cS2b3F4R","uris":["http://zotero.org/users/local/xDVOxgbN/items/KHDLL3B7"],"itemData":{"id":184,"type":"dataset","title":"Labor force participation rate, total (% of total population ages 15-64) (modeled ILO estimate)","URL":"https://data.worldbank.org/indicator/SL.TLF.ACTI.ZS?end=2023&amp;start=1960","author":[{"literal":"World Bank Group"}]}}],"schema":"https://github.com/citation-style-language/schema/raw/master/csl-citation.json"} </w:instrText>
            </w:r>
            <w:r w:rsidRPr="00097432">
              <w:fldChar w:fldCharType="separate"/>
            </w:r>
            <w:r w:rsidR="00345AF1" w:rsidRPr="00345AF1">
              <w:rPr>
                <w:rFonts w:cs="Times New Roman"/>
                <w:vertAlign w:val="superscript"/>
              </w:rPr>
              <w:t>64</w:t>
            </w:r>
            <w:r w:rsidRPr="00097432">
              <w:fldChar w:fldCharType="end"/>
            </w:r>
          </w:p>
        </w:tc>
      </w:tr>
    </w:tbl>
    <w:p w14:paraId="5CA0217C" w14:textId="77777777" w:rsidR="00C83BF5" w:rsidRPr="00097432" w:rsidRDefault="00C83BF5" w:rsidP="00F57F15"/>
    <w:p w14:paraId="6ED97674" w14:textId="41453ABF" w:rsidR="000D35EF" w:rsidRPr="00097432" w:rsidRDefault="007D27C4" w:rsidP="00F57F15">
      <w:pPr>
        <w:pStyle w:val="Heading3"/>
      </w:pPr>
      <w:bookmarkStart w:id="21" w:name="_Toc184909202"/>
      <w:r w:rsidRPr="00097432">
        <w:t>Campaign triggers and assumptions</w:t>
      </w:r>
      <w:bookmarkEnd w:id="21"/>
    </w:p>
    <w:p w14:paraId="1F6F0435" w14:textId="19B9AFF1" w:rsidR="00835FBC" w:rsidRPr="00097432" w:rsidRDefault="00863A7D" w:rsidP="00F57F15">
      <w:r w:rsidRPr="00097432">
        <w:rPr>
          <w:rFonts w:hint="eastAsia"/>
        </w:rPr>
        <w:t xml:space="preserve">ORIs were triggered </w:t>
      </w:r>
      <w:r w:rsidR="00DC7502" w:rsidRPr="00097432">
        <w:rPr>
          <w:rFonts w:hint="eastAsia"/>
        </w:rPr>
        <w:t>either at</w:t>
      </w:r>
      <w:r w:rsidR="0088440C" w:rsidRPr="00097432">
        <w:rPr>
          <w:rFonts w:hint="eastAsia"/>
        </w:rPr>
        <w:t xml:space="preserve"> </w:t>
      </w:r>
      <w:r w:rsidR="007D27C4" w:rsidRPr="00097432">
        <w:t>the outbreak</w:t>
      </w:r>
      <w:r w:rsidR="0088440C" w:rsidRPr="00097432">
        <w:rPr>
          <w:rFonts w:hint="eastAsia"/>
        </w:rPr>
        <w:t xml:space="preserve"> onset </w:t>
      </w:r>
      <w:r w:rsidR="00B72D9A" w:rsidRPr="00097432">
        <w:t>(</w:t>
      </w:r>
      <w:r w:rsidR="00CE75ED" w:rsidRPr="00097432">
        <w:t>outbreak onset-triggered</w:t>
      </w:r>
      <w:r w:rsidR="00B72D9A" w:rsidRPr="00097432">
        <w:t xml:space="preserve">) </w:t>
      </w:r>
      <w:r w:rsidR="00DC7502" w:rsidRPr="00097432">
        <w:rPr>
          <w:rFonts w:hint="eastAsia"/>
        </w:rPr>
        <w:t>or when</w:t>
      </w:r>
      <w:r w:rsidR="007D27C4" w:rsidRPr="00097432">
        <w:t xml:space="preserve"> the cumulative number of reported symptomatic cases</w:t>
      </w:r>
      <w:r w:rsidR="006C3069" w:rsidRPr="00097432">
        <w:rPr>
          <w:rFonts w:hint="eastAsia"/>
        </w:rPr>
        <w:t xml:space="preserve"> reached certain thresholds</w:t>
      </w:r>
      <w:r w:rsidR="00B72D9A" w:rsidRPr="00097432">
        <w:t xml:space="preserve"> (case-</w:t>
      </w:r>
      <w:r w:rsidR="00B72D9A" w:rsidRPr="00097432">
        <w:lastRenderedPageBreak/>
        <w:t>triggered)</w:t>
      </w:r>
      <w:r w:rsidR="00793D57" w:rsidRPr="00097432">
        <w:t xml:space="preserve"> (</w:t>
      </w:r>
      <w:r w:rsidR="00793D57" w:rsidRPr="00097432">
        <w:rPr>
          <w:b/>
          <w:bCs/>
        </w:rPr>
        <w:t>Table 2</w:t>
      </w:r>
      <w:r w:rsidR="00793D57" w:rsidRPr="00097432">
        <w:t>)</w:t>
      </w:r>
      <w:r w:rsidR="004F1918" w:rsidRPr="00097432">
        <w:t xml:space="preserve">. </w:t>
      </w:r>
      <w:r w:rsidR="0088440C" w:rsidRPr="00097432">
        <w:rPr>
          <w:rFonts w:hint="eastAsia"/>
        </w:rPr>
        <w:t xml:space="preserve">The </w:t>
      </w:r>
      <w:r w:rsidR="00CE75ED" w:rsidRPr="00097432">
        <w:rPr>
          <w:rFonts w:hint="eastAsia"/>
        </w:rPr>
        <w:t>outbreak onset-triggered</w:t>
      </w:r>
      <w:r w:rsidR="00BA5EA7" w:rsidRPr="00097432">
        <w:t xml:space="preserve"> </w:t>
      </w:r>
      <w:r w:rsidR="0088440C" w:rsidRPr="00097432">
        <w:rPr>
          <w:rFonts w:hint="eastAsia"/>
        </w:rPr>
        <w:t xml:space="preserve">approach </w:t>
      </w:r>
      <w:r w:rsidR="00156EEE" w:rsidRPr="00097432">
        <w:rPr>
          <w:rFonts w:hint="eastAsia"/>
        </w:rPr>
        <w:t>highlight</w:t>
      </w:r>
      <w:r w:rsidR="0088440C" w:rsidRPr="00097432">
        <w:rPr>
          <w:rFonts w:hint="eastAsia"/>
        </w:rPr>
        <w:t>s</w:t>
      </w:r>
      <w:r w:rsidR="00BA5EA7" w:rsidRPr="00097432">
        <w:t xml:space="preserve"> how </w:t>
      </w:r>
      <w:r w:rsidR="00EB360C" w:rsidRPr="00097432">
        <w:rPr>
          <w:rFonts w:hint="eastAsia"/>
        </w:rPr>
        <w:t xml:space="preserve">campaign </w:t>
      </w:r>
      <w:r w:rsidR="00BA5EA7" w:rsidRPr="00097432">
        <w:t xml:space="preserve">delays influence </w:t>
      </w:r>
      <w:r w:rsidR="00835FBC" w:rsidRPr="00097432">
        <w:rPr>
          <w:rFonts w:hint="eastAsia"/>
        </w:rPr>
        <w:t>the impact of ORI</w:t>
      </w:r>
      <w:r w:rsidR="00BA5EA7" w:rsidRPr="00097432">
        <w:t xml:space="preserve">, </w:t>
      </w:r>
      <w:r w:rsidR="00156EEE" w:rsidRPr="00097432">
        <w:rPr>
          <w:rFonts w:hint="eastAsia"/>
        </w:rPr>
        <w:t xml:space="preserve">offering </w:t>
      </w:r>
      <w:r w:rsidR="00BA5EA7" w:rsidRPr="00097432">
        <w:t xml:space="preserve">insights into the </w:t>
      </w:r>
      <w:r w:rsidR="00EB360C" w:rsidRPr="00097432">
        <w:rPr>
          <w:rFonts w:hint="eastAsia"/>
        </w:rPr>
        <w:t>interplay</w:t>
      </w:r>
      <w:r w:rsidR="00BA5EA7" w:rsidRPr="00097432">
        <w:t xml:space="preserve"> between </w:t>
      </w:r>
      <w:r w:rsidR="00835FBC" w:rsidRPr="00097432">
        <w:t>the</w:t>
      </w:r>
      <w:r w:rsidR="00835FBC" w:rsidRPr="00097432">
        <w:rPr>
          <w:rFonts w:hint="eastAsia"/>
        </w:rPr>
        <w:t xml:space="preserve"> </w:t>
      </w:r>
      <w:r w:rsidR="00156EEE" w:rsidRPr="00097432">
        <w:rPr>
          <w:rFonts w:hint="eastAsia"/>
        </w:rPr>
        <w:t xml:space="preserve">timing and </w:t>
      </w:r>
      <w:r w:rsidR="00835FBC" w:rsidRPr="00097432">
        <w:rPr>
          <w:rFonts w:hint="eastAsia"/>
        </w:rPr>
        <w:t xml:space="preserve">the </w:t>
      </w:r>
      <w:r w:rsidR="00156EEE" w:rsidRPr="00097432">
        <w:rPr>
          <w:rFonts w:hint="eastAsia"/>
        </w:rPr>
        <w:t>impact</w:t>
      </w:r>
      <w:r w:rsidR="00835FBC" w:rsidRPr="00097432">
        <w:rPr>
          <w:rFonts w:hint="eastAsia"/>
        </w:rPr>
        <w:t xml:space="preserve"> of ORI</w:t>
      </w:r>
      <w:r w:rsidR="00BA5EA7" w:rsidRPr="00097432">
        <w:t xml:space="preserve">. </w:t>
      </w:r>
      <w:r w:rsidR="00DC7502" w:rsidRPr="00097432">
        <w:rPr>
          <w:rFonts w:hint="eastAsia"/>
        </w:rPr>
        <w:t>T</w:t>
      </w:r>
      <w:r w:rsidR="00EB360C" w:rsidRPr="00097432">
        <w:rPr>
          <w:rFonts w:hint="eastAsia"/>
        </w:rPr>
        <w:t xml:space="preserve">he </w:t>
      </w:r>
      <w:r w:rsidR="00156EEE" w:rsidRPr="00097432">
        <w:rPr>
          <w:rFonts w:hint="eastAsia"/>
        </w:rPr>
        <w:t>c</w:t>
      </w:r>
      <w:r w:rsidR="00BA5EA7" w:rsidRPr="00097432">
        <w:t>ase-</w:t>
      </w:r>
      <w:r w:rsidR="007E7344" w:rsidRPr="00097432">
        <w:t>t</w:t>
      </w:r>
      <w:r w:rsidR="00BA5EA7" w:rsidRPr="00097432">
        <w:t xml:space="preserve">riggered </w:t>
      </w:r>
      <w:r w:rsidR="00EB360C" w:rsidRPr="00097432">
        <w:rPr>
          <w:rFonts w:hint="eastAsia"/>
        </w:rPr>
        <w:t>approach</w:t>
      </w:r>
      <w:r w:rsidR="00BA5EA7" w:rsidRPr="00097432">
        <w:t xml:space="preserve"> </w:t>
      </w:r>
      <w:r w:rsidRPr="00097432">
        <w:rPr>
          <w:rFonts w:hint="eastAsia"/>
        </w:rPr>
        <w:t xml:space="preserve">adds additional </w:t>
      </w:r>
      <w:r w:rsidR="00BA5EA7" w:rsidRPr="00097432">
        <w:t xml:space="preserve">real-world </w:t>
      </w:r>
      <w:r w:rsidR="00FD2750" w:rsidRPr="00097432">
        <w:t>delays</w:t>
      </w:r>
      <w:r w:rsidR="00BA5EA7" w:rsidRPr="00097432">
        <w:t xml:space="preserve"> </w:t>
      </w:r>
      <w:proofErr w:type="gramStart"/>
      <w:r w:rsidR="00EB360C" w:rsidRPr="00097432">
        <w:rPr>
          <w:rFonts w:hint="eastAsia"/>
        </w:rPr>
        <w:t>in</w:t>
      </w:r>
      <w:proofErr w:type="gramEnd"/>
      <w:r w:rsidR="00EB360C" w:rsidRPr="00097432">
        <w:rPr>
          <w:rFonts w:hint="eastAsia"/>
        </w:rPr>
        <w:t xml:space="preserve"> which </w:t>
      </w:r>
      <w:r w:rsidR="00156EEE" w:rsidRPr="00097432">
        <w:rPr>
          <w:rFonts w:hint="eastAsia"/>
        </w:rPr>
        <w:t xml:space="preserve">the </w:t>
      </w:r>
      <w:r w:rsidR="00FD2750" w:rsidRPr="00097432">
        <w:t>exact</w:t>
      </w:r>
      <w:r w:rsidR="00156EEE" w:rsidRPr="00097432">
        <w:rPr>
          <w:rFonts w:hint="eastAsia"/>
        </w:rPr>
        <w:t xml:space="preserve"> start dat</w:t>
      </w:r>
      <w:r w:rsidR="00704994" w:rsidRPr="00097432">
        <w:rPr>
          <w:rFonts w:hint="eastAsia"/>
        </w:rPr>
        <w:t>e</w:t>
      </w:r>
      <w:r w:rsidR="00156EEE" w:rsidRPr="00097432">
        <w:rPr>
          <w:rFonts w:hint="eastAsia"/>
        </w:rPr>
        <w:t xml:space="preserve"> may be uncertain</w:t>
      </w:r>
      <w:r w:rsidRPr="00097432">
        <w:rPr>
          <w:rFonts w:hint="eastAsia"/>
        </w:rPr>
        <w:t xml:space="preserve"> </w:t>
      </w:r>
      <w:r w:rsidR="00DC7502" w:rsidRPr="00097432">
        <w:rPr>
          <w:rFonts w:hint="eastAsia"/>
        </w:rPr>
        <w:t xml:space="preserve">(e.g., because of poor surveillance) </w:t>
      </w:r>
      <w:r w:rsidRPr="00097432">
        <w:rPr>
          <w:rFonts w:hint="eastAsia"/>
        </w:rPr>
        <w:t xml:space="preserve">and an ORI is triggered only after some </w:t>
      </w:r>
      <w:r w:rsidR="00576A40">
        <w:rPr>
          <w:rFonts w:hint="eastAsia"/>
        </w:rPr>
        <w:t>threshold</w:t>
      </w:r>
      <w:r w:rsidRPr="00097432">
        <w:rPr>
          <w:rFonts w:hint="eastAsia"/>
        </w:rPr>
        <w:t xml:space="preserve"> number </w:t>
      </w:r>
      <w:r w:rsidR="00156EEE" w:rsidRPr="00097432">
        <w:rPr>
          <w:rFonts w:hint="eastAsia"/>
        </w:rPr>
        <w:t xml:space="preserve">of cases </w:t>
      </w:r>
      <w:r w:rsidRPr="00097432">
        <w:rPr>
          <w:rFonts w:hint="eastAsia"/>
        </w:rPr>
        <w:t xml:space="preserve">is reached. </w:t>
      </w:r>
      <w:r w:rsidR="00EB360C" w:rsidRPr="00097432">
        <w:rPr>
          <w:rFonts w:hint="eastAsia"/>
        </w:rPr>
        <w:t xml:space="preserve">Under the case-triggered approach, </w:t>
      </w:r>
      <w:r w:rsidR="00703B27" w:rsidRPr="00097432">
        <w:rPr>
          <w:rFonts w:hint="eastAsia"/>
        </w:rPr>
        <w:t>the same cumulative</w:t>
      </w:r>
      <w:r w:rsidR="00EB360C" w:rsidRPr="00097432">
        <w:rPr>
          <w:rFonts w:hint="eastAsia"/>
        </w:rPr>
        <w:t>-</w:t>
      </w:r>
      <w:r w:rsidR="00703B27" w:rsidRPr="00097432">
        <w:rPr>
          <w:rFonts w:hint="eastAsia"/>
        </w:rPr>
        <w:t>case</w:t>
      </w:r>
      <w:r w:rsidR="00EB360C" w:rsidRPr="00097432">
        <w:rPr>
          <w:rFonts w:hint="eastAsia"/>
        </w:rPr>
        <w:t xml:space="preserve"> threshold could trigger </w:t>
      </w:r>
      <w:r w:rsidRPr="00097432">
        <w:rPr>
          <w:rFonts w:hint="eastAsia"/>
        </w:rPr>
        <w:t>ORIs</w:t>
      </w:r>
      <w:r w:rsidR="006951DB" w:rsidRPr="00097432">
        <w:rPr>
          <w:rFonts w:hint="eastAsia"/>
        </w:rPr>
        <w:t xml:space="preserve"> earlier</w:t>
      </w:r>
      <w:r w:rsidR="00703B27" w:rsidRPr="00097432">
        <w:rPr>
          <w:rFonts w:hint="eastAsia"/>
        </w:rPr>
        <w:t xml:space="preserve"> </w:t>
      </w:r>
      <w:r w:rsidR="00EB360C" w:rsidRPr="00097432">
        <w:rPr>
          <w:rFonts w:hint="eastAsia"/>
        </w:rPr>
        <w:t>in</w:t>
      </w:r>
      <w:r w:rsidR="00703B27" w:rsidRPr="00097432">
        <w:rPr>
          <w:rFonts w:hint="eastAsia"/>
        </w:rPr>
        <w:t xml:space="preserve"> </w:t>
      </w:r>
      <w:r w:rsidRPr="00097432">
        <w:rPr>
          <w:rFonts w:hint="eastAsia"/>
        </w:rPr>
        <w:t xml:space="preserve">more rapidly growing </w:t>
      </w:r>
      <w:r w:rsidR="00703B27" w:rsidRPr="00097432">
        <w:rPr>
          <w:rFonts w:hint="eastAsia"/>
        </w:rPr>
        <w:t xml:space="preserve">outbreaks </w:t>
      </w:r>
      <w:r w:rsidRPr="00097432">
        <w:rPr>
          <w:rFonts w:hint="eastAsia"/>
        </w:rPr>
        <w:t>and later</w:t>
      </w:r>
      <w:r w:rsidR="00703B27" w:rsidRPr="00097432">
        <w:rPr>
          <w:rFonts w:hint="eastAsia"/>
        </w:rPr>
        <w:t xml:space="preserve"> </w:t>
      </w:r>
      <w:r w:rsidR="00EB360C" w:rsidRPr="00097432">
        <w:rPr>
          <w:rFonts w:hint="eastAsia"/>
        </w:rPr>
        <w:t xml:space="preserve">in </w:t>
      </w:r>
      <w:r w:rsidRPr="00097432">
        <w:rPr>
          <w:rFonts w:hint="eastAsia"/>
        </w:rPr>
        <w:t xml:space="preserve">more slowly growing </w:t>
      </w:r>
      <w:r w:rsidR="00EB360C" w:rsidRPr="00097432">
        <w:rPr>
          <w:rFonts w:hint="eastAsia"/>
        </w:rPr>
        <w:t>outbreaks</w:t>
      </w:r>
      <w:r w:rsidR="00AD127C" w:rsidRPr="00097432">
        <w:t xml:space="preserve">. </w:t>
      </w:r>
    </w:p>
    <w:p w14:paraId="2232AEB4" w14:textId="77777777" w:rsidR="00835FBC" w:rsidRPr="00097432" w:rsidRDefault="00835FBC" w:rsidP="00F57F15"/>
    <w:p w14:paraId="33D67D64" w14:textId="039F7E7B" w:rsidR="00BA5EA7" w:rsidRPr="00097432" w:rsidRDefault="00AD127C" w:rsidP="00F57F15">
      <w:r w:rsidRPr="00097432">
        <w:t>Vaccine coverage</w:t>
      </w:r>
      <w:r w:rsidR="00835FBC" w:rsidRPr="00097432">
        <w:rPr>
          <w:rFonts w:hint="eastAsia"/>
        </w:rPr>
        <w:t xml:space="preserve"> levels</w:t>
      </w:r>
      <w:r w:rsidRPr="00097432">
        <w:t xml:space="preserve"> were</w:t>
      </w:r>
      <w:r w:rsidR="008F78FF" w:rsidRPr="00097432">
        <w:rPr>
          <w:rFonts w:hint="eastAsia"/>
        </w:rPr>
        <w:t xml:space="preserve"> varied from</w:t>
      </w:r>
      <w:r w:rsidRPr="00097432">
        <w:t xml:space="preserve"> 60</w:t>
      </w:r>
      <w:r w:rsidR="007C3BBC" w:rsidRPr="00097432">
        <w:rPr>
          <w:rFonts w:hint="eastAsia"/>
        </w:rPr>
        <w:t>%</w:t>
      </w:r>
      <w:r w:rsidRPr="00097432">
        <w:t xml:space="preserve"> to 9</w:t>
      </w:r>
      <w:r w:rsidR="007B1232" w:rsidRPr="00097432">
        <w:rPr>
          <w:rFonts w:hint="eastAsia"/>
        </w:rPr>
        <w:t>0</w:t>
      </w:r>
      <w:r w:rsidR="007C3BBC" w:rsidRPr="00097432">
        <w:rPr>
          <w:rFonts w:hint="eastAsia"/>
        </w:rPr>
        <w:t>%</w:t>
      </w:r>
      <w:r w:rsidR="00FC073F" w:rsidRPr="00097432">
        <w:t xml:space="preserve"> of the </w:t>
      </w:r>
      <w:r w:rsidR="007C3BBC" w:rsidRPr="00097432">
        <w:rPr>
          <w:rFonts w:hint="eastAsia"/>
        </w:rPr>
        <w:t xml:space="preserve">affected </w:t>
      </w:r>
      <w:r w:rsidR="00FC073F" w:rsidRPr="00097432">
        <w:t>population</w:t>
      </w:r>
      <w:r w:rsidR="007C3BBC" w:rsidRPr="00097432">
        <w:t>—</w:t>
      </w:r>
      <w:r w:rsidR="007C3BBC" w:rsidRPr="00097432">
        <w:rPr>
          <w:rFonts w:hint="eastAsia"/>
        </w:rPr>
        <w:t>an a</w:t>
      </w:r>
      <w:r w:rsidR="00FC073F" w:rsidRPr="00097432">
        <w:t>dministrative unit</w:t>
      </w:r>
      <w:r w:rsidR="007B1232" w:rsidRPr="00097432">
        <w:rPr>
          <w:rFonts w:hint="eastAsia"/>
        </w:rPr>
        <w:t xml:space="preserve"> </w:t>
      </w:r>
      <w:r w:rsidR="007C3BBC" w:rsidRPr="00097432">
        <w:rPr>
          <w:rFonts w:hint="eastAsia"/>
        </w:rPr>
        <w:t>where</w:t>
      </w:r>
      <w:r w:rsidR="007B1232" w:rsidRPr="00097432">
        <w:rPr>
          <w:rFonts w:hint="eastAsia"/>
        </w:rPr>
        <w:t xml:space="preserve"> </w:t>
      </w:r>
      <w:r w:rsidR="00FC073F" w:rsidRPr="00097432">
        <w:t xml:space="preserve">the outbreak </w:t>
      </w:r>
      <w:r w:rsidR="007C3BBC" w:rsidRPr="00097432">
        <w:rPr>
          <w:rFonts w:hint="eastAsia"/>
        </w:rPr>
        <w:t xml:space="preserve">was </w:t>
      </w:r>
      <w:r w:rsidR="007B1232" w:rsidRPr="00097432">
        <w:rPr>
          <w:rFonts w:hint="eastAsia"/>
        </w:rPr>
        <w:t>reported</w:t>
      </w:r>
      <w:r w:rsidR="00FC073F" w:rsidRPr="00097432">
        <w:t>. The vaccine coverage</w:t>
      </w:r>
      <w:r w:rsidR="00274651" w:rsidRPr="00097432">
        <w:t>s</w:t>
      </w:r>
      <w:r w:rsidR="00FC073F" w:rsidRPr="00097432">
        <w:t xml:space="preserve"> </w:t>
      </w:r>
      <w:r w:rsidRPr="00097432">
        <w:t xml:space="preserve">were </w:t>
      </w:r>
      <w:r w:rsidR="008F78FF" w:rsidRPr="00097432">
        <w:rPr>
          <w:rFonts w:hint="eastAsia"/>
        </w:rPr>
        <w:t xml:space="preserve">chosen </w:t>
      </w:r>
      <w:r w:rsidR="007C3BBC" w:rsidRPr="00097432">
        <w:rPr>
          <w:rFonts w:hint="eastAsia"/>
        </w:rPr>
        <w:t xml:space="preserve">based on trends </w:t>
      </w:r>
      <w:r w:rsidRPr="00097432">
        <w:t>observ</w:t>
      </w:r>
      <w:r w:rsidR="007C3BBC" w:rsidRPr="00097432">
        <w:rPr>
          <w:rFonts w:hint="eastAsia"/>
        </w:rPr>
        <w:t>ed in</w:t>
      </w:r>
      <w:r w:rsidRPr="00097432">
        <w:t xml:space="preserve"> global OCV campaigns </w:t>
      </w:r>
      <w:r w:rsidR="007C3BBC" w:rsidRPr="00097432">
        <w:rPr>
          <w:rFonts w:hint="eastAsia"/>
        </w:rPr>
        <w:t>(</w:t>
      </w:r>
      <w:r w:rsidRPr="00097432">
        <w:t>2013-2018</w:t>
      </w:r>
      <w:r w:rsidR="007C3BBC" w:rsidRPr="00097432">
        <w:rPr>
          <w:rFonts w:hint="eastAsia"/>
        </w:rPr>
        <w:t>)</w:t>
      </w:r>
      <w:r w:rsidRPr="00097432">
        <w:rPr>
          <w:vertAlign w:val="superscript"/>
        </w:rPr>
        <w:fldChar w:fldCharType="begin"/>
      </w:r>
      <w:r w:rsidR="00345AF1">
        <w:rPr>
          <w:vertAlign w:val="superscript"/>
        </w:rPr>
        <w:instrText xml:space="preserve"> ADDIN ZOTERO_ITEM CSL_CITATION {"citationID":"z3pjC9qr","properties":{"formattedCitation":"\\super 65\\nosupersub{}","plainCitation":"65","noteIndex":0},"citationItems":[{"id":"EgwuGF5k/s1lcojhQ","uris":["http://zotero.org/users/local/xDVOxgbN/items/5PWNK5TK"],"itemData":{"id":"GW3NO5R3/ZlSFqfwP","type":"article-journal","container-title":"Vaccine","DOI":"10.1016/j.vaccine.2019.08.086","ISSN":"0264410X","journalAbbreviation":"Vaccine","language":"en","page":"A132-A140","source":"DOI.org (Crossref)","title":"Global oral cholera vaccine use, 2013–2018","volume":"38","author":[{"family":"Pezzoli","given":"Lorenzo"}],"issued":{"date-parts":[["2020",2]]}}}],"schema":"https://github.com/citation-style-language/schema/raw/master/csl-citation.json"} </w:instrText>
      </w:r>
      <w:r w:rsidRPr="00097432">
        <w:rPr>
          <w:vertAlign w:val="superscript"/>
        </w:rPr>
        <w:fldChar w:fldCharType="separate"/>
      </w:r>
      <w:r w:rsidR="00345AF1" w:rsidRPr="00345AF1">
        <w:rPr>
          <w:rFonts w:cs="Times New Roman"/>
          <w:vertAlign w:val="superscript"/>
        </w:rPr>
        <w:t>65</w:t>
      </w:r>
      <w:r w:rsidRPr="00097432">
        <w:rPr>
          <w:vertAlign w:val="superscript"/>
        </w:rPr>
        <w:fldChar w:fldCharType="end"/>
      </w:r>
      <w:r w:rsidRPr="00097432">
        <w:t xml:space="preserve"> and a recent campaign</w:t>
      </w:r>
      <w:r w:rsidR="0099516B" w:rsidRPr="00097432">
        <w:t xml:space="preserve"> </w:t>
      </w:r>
      <w:r w:rsidRPr="00097432">
        <w:t>in Ethiopia.</w:t>
      </w:r>
      <w:r w:rsidRPr="00097432">
        <w:rPr>
          <w:vertAlign w:val="superscript"/>
        </w:rPr>
        <w:fldChar w:fldCharType="begin"/>
      </w:r>
      <w:r w:rsidR="00345AF1">
        <w:rPr>
          <w:vertAlign w:val="superscript"/>
        </w:rPr>
        <w:instrText xml:space="preserve"> ADDIN ZOTERO_ITEM CSL_CITATION {"citationID":"BwRgO3HF","properties":{"formattedCitation":"\\super 66\\nosupersub{}","plainCitation":"66","noteIndex":0},"citationItems":[{"id":14931,"uris":["http://zotero.org/users/7663102/items/W7FJQA5W"],"itemData":{"id":14931,"type":"article-journal","abstract":"Background\nCholera outbreaks in Ethiopia necessitate frequent mass oral cholera vaccine (OCV) campaigns. Despite this, there is a notable absence of a comprehensive summary of these campaigns. Understanding national OCV vaccination history is essential to design appropriate and effective cholera control strategies. Here, we aimed to retrospectively review all OCV vaccination campaigns conducted across Ethiopia between 2019 and 2023.\n\nMethods\nThe OCV request records from 2019 to October 2023 and vaccination campaign reports for the period from 2019 to December 2023 were retrospectively accessed from the Ethiopia Public Health Institute (EPHI) database. Descriptive analysis was conducted using the retrospective data collected.\n\nResults\nFrom 2019 to October 2023, Ethiopian government requested 32 044 576 OCV doses (31 899 576 doses to global stockpile; 145 000 doses to outside of stockpile). Around 66.3% of requested doses were approved; of which 90.4% were received. Fifteen OCV campaigns (12 reactive and 3 pre-emptive) were conducted, including five two-dose campaigns with varying dose intervals and single-dose campaigns partially in 2019 and entirely in 2021, 2022 and 2023. Overall vaccine administrative coverage was high; except for Tigray region (41.8% in the 1st round; 2nd round didn't occur). The vaccine administrative coverage records were documented, but no OCV coverage survey data was available.\n\nConclusions\nThis study represents the first comprehensive review of OCV campaigns in Ethiopia spanning the last five years. Its findings offer valuable insights into informing future cholera control strategies, underscoring the importance of monitoring and evaluation despite resource constraints. Addressing the limitations in coverage survey data availability is crucial for enhancing the efficacy of future campaigns.","container-title":"Clinical Infectious Diseases: An Official Publication of the Infectious Diseases Society of America","DOI":"10.1093/cid/ciae194","ISSN":"1058-4838","issue":"Suppl 1","journalAbbreviation":"Clin Infect Dis","note":"PMID: 38996040\nPMCID: PMC11244176","page":"S20-S32","source":"PubMed Central","title":"Comprehensive Review on the Use of Oral Cholera Vaccine (OCV) in Ethiopia: 2019 to 2023","title-short":"Comprehensive Review on the Use of Oral Cholera Vaccine (OCV) in Ethiopia","volume":"79","author":[{"family":"Edosa","given":"Moti"},{"family":"Jeon","given":"Yeonji"},{"family":"Gedefaw","given":"Abel"},{"family":"Hailu","given":"Dejene"},{"family":"Mesfin Getachew","given":"Edlawit"},{"family":"Mogeni","given":"Ondari D"},{"family":"Jang","given":"Geun Hyeog"},{"family":"Mukasa","given":"David"},{"family":"Yeshitela","given":"Biruk"},{"family":"Getahun","given":"Tomas"},{"family":"Lynch","given":"Julia"},{"family":"Bouhenia","given":"Malika"},{"family":"Worku Demlie","given":"Yeshambel"},{"family":"Hussen","given":"Mukemil"},{"family":"Wossen","given":"Mesfin"},{"family":"Teferi","given":"Mekonnen"},{"family":"Park","given":"Se Eun"}],"issued":{"date-parts":[["2024",7,12]]},"citation-key":"edosaComprehensiveReviewUse2024"}}],"schema":"https://github.com/citation-style-language/schema/raw/master/csl-citation.json"} </w:instrText>
      </w:r>
      <w:r w:rsidRPr="00097432">
        <w:rPr>
          <w:vertAlign w:val="superscript"/>
        </w:rPr>
        <w:fldChar w:fldCharType="separate"/>
      </w:r>
      <w:r w:rsidR="00345AF1" w:rsidRPr="00345AF1">
        <w:rPr>
          <w:rFonts w:cs="Times New Roman"/>
          <w:vertAlign w:val="superscript"/>
        </w:rPr>
        <w:t>66</w:t>
      </w:r>
      <w:r w:rsidRPr="00097432">
        <w:rPr>
          <w:vertAlign w:val="superscript"/>
        </w:rPr>
        <w:fldChar w:fldCharType="end"/>
      </w:r>
      <w:r w:rsidRPr="00097432">
        <w:t xml:space="preserve"> </w:t>
      </w:r>
      <w:bookmarkStart w:id="22" w:name="_Hlk183345059"/>
      <w:r w:rsidR="007C3BBC" w:rsidRPr="00097432">
        <w:rPr>
          <w:rFonts w:hint="eastAsia"/>
        </w:rPr>
        <w:t>We</w:t>
      </w:r>
      <w:r w:rsidRPr="00097432">
        <w:t xml:space="preserve"> </w:t>
      </w:r>
      <w:r w:rsidR="007C3BBC" w:rsidRPr="00097432">
        <w:rPr>
          <w:rFonts w:hint="eastAsia"/>
        </w:rPr>
        <w:t>selected</w:t>
      </w:r>
      <w:r w:rsidRPr="00097432">
        <w:t xml:space="preserve"> 75% </w:t>
      </w:r>
      <w:r w:rsidR="0099516B" w:rsidRPr="00097432">
        <w:t xml:space="preserve">coverage </w:t>
      </w:r>
      <w:r w:rsidR="007C3BBC" w:rsidRPr="00097432">
        <w:rPr>
          <w:rFonts w:hint="eastAsia"/>
        </w:rPr>
        <w:t>as a</w:t>
      </w:r>
      <w:r w:rsidRPr="00097432">
        <w:t xml:space="preserve"> representative value for a single-dose regimen </w:t>
      </w:r>
      <w:r w:rsidR="007C3BBC" w:rsidRPr="00097432">
        <w:rPr>
          <w:rFonts w:hint="eastAsia"/>
        </w:rPr>
        <w:t xml:space="preserve">, reflecting </w:t>
      </w:r>
      <w:r w:rsidR="008F78FF" w:rsidRPr="00097432">
        <w:rPr>
          <w:rFonts w:hint="eastAsia"/>
        </w:rPr>
        <w:t xml:space="preserve">estimated </w:t>
      </w:r>
      <w:r w:rsidRPr="00097432">
        <w:t>coverage</w:t>
      </w:r>
      <w:r w:rsidR="007C3BBC" w:rsidRPr="00097432">
        <w:rPr>
          <w:rFonts w:hint="eastAsia"/>
        </w:rPr>
        <w:t xml:space="preserve"> level</w:t>
      </w:r>
      <w:r w:rsidR="00274651" w:rsidRPr="00097432">
        <w:t>s</w:t>
      </w:r>
      <w:r w:rsidRPr="00097432">
        <w:t xml:space="preserve"> </w:t>
      </w:r>
      <w:r w:rsidR="007C3BBC" w:rsidRPr="00097432">
        <w:rPr>
          <w:rFonts w:hint="eastAsia"/>
        </w:rPr>
        <w:t xml:space="preserve">typically observed </w:t>
      </w:r>
      <w:r w:rsidRPr="00097432">
        <w:t xml:space="preserve">during OCV </w:t>
      </w:r>
      <w:r w:rsidR="007C3BBC" w:rsidRPr="00097432">
        <w:rPr>
          <w:rFonts w:hint="eastAsia"/>
        </w:rPr>
        <w:t>responses in</w:t>
      </w:r>
      <w:r w:rsidRPr="00097432">
        <w:t xml:space="preserve"> humanitarian crises or outbreaks (</w:t>
      </w:r>
      <w:r w:rsidR="00363CA5" w:rsidRPr="00097432">
        <w:t xml:space="preserve">Supplementary Information </w:t>
      </w:r>
      <w:r w:rsidR="000F1A86" w:rsidRPr="00097432">
        <w:rPr>
          <w:b/>
          <w:bCs/>
        </w:rPr>
        <w:t>S</w:t>
      </w:r>
      <w:r w:rsidR="009206B5" w:rsidRPr="00097432">
        <w:rPr>
          <w:rFonts w:hint="eastAsia"/>
          <w:b/>
          <w:bCs/>
        </w:rPr>
        <w:t>7</w:t>
      </w:r>
      <w:r w:rsidRPr="00097432">
        <w:t>).</w:t>
      </w:r>
      <w:bookmarkEnd w:id="22"/>
      <w:r w:rsidR="003763C0" w:rsidRPr="00097432">
        <w:rPr>
          <w:rFonts w:hint="eastAsia"/>
        </w:rPr>
        <w:t xml:space="preserve"> T</w:t>
      </w:r>
      <w:r w:rsidR="007D27C4" w:rsidRPr="00097432">
        <w:t>he delay in protective immunity post-vaccination</w:t>
      </w:r>
      <w:r w:rsidR="003763C0" w:rsidRPr="00097432">
        <w:rPr>
          <w:rFonts w:hint="eastAsia"/>
        </w:rPr>
        <w:t xml:space="preserve"> was </w:t>
      </w:r>
      <w:r w:rsidR="00C34272" w:rsidRPr="00097432">
        <w:rPr>
          <w:rFonts w:hint="eastAsia"/>
        </w:rPr>
        <w:t xml:space="preserve">chosen </w:t>
      </w:r>
      <w:r w:rsidR="007D27C4" w:rsidRPr="00097432">
        <w:t>reflecting the time required for seroconversion</w:t>
      </w:r>
      <w:r w:rsidR="00722F43" w:rsidRPr="00097432">
        <w:rPr>
          <w:rFonts w:hint="eastAsia"/>
        </w:rPr>
        <w:t xml:space="preserve"> as a proxy</w:t>
      </w:r>
      <w:r w:rsidR="00E1583D" w:rsidRPr="00097432">
        <w:rPr>
          <w:vertAlign w:val="superscript"/>
        </w:rPr>
        <w:fldChar w:fldCharType="begin"/>
      </w:r>
      <w:r w:rsidR="00345AF1">
        <w:rPr>
          <w:vertAlign w:val="superscript"/>
        </w:rPr>
        <w:instrText xml:space="preserve"> ADDIN ZOTERO_ITEM CSL_CITATION {"citationID":"nvNCU5Za","properties":{"formattedCitation":"\\super 39\\uc0\\u8211{}47\\nosupersub{}","plainCitation":"39–47","noteIndex":0},"citationItems":[{"id":"EgwuGF5k/UPDcwlHQ","uris":["http://zotero.org/users/local/xDVOxgbN/items/VMBJ3ILL"],"itemData":{"id":4,"type":"article-journal","abstract":"INTRODUCTION: In cholera endemic areas, the periodicity of cholera outbreaks remains unpredictable, making it difficult to organize preventive efforts. Lack of data on duration of protection conferred by oral cholera vaccines further makes it difficult to determine when to deploy preemptive vaccination. We report on the immunogenicity and waning of immunity to Shanchol™ in Lukanga Swamps.\nMETHODS: We enrolled a cohort of 223 participants aged between 18 and 65 years old from whom serum samples were collected at baseline, day 28 before administration of the second dose, and consecutively at 6, 12, 24, 30, 36, and 48 months. Vibriocidal antibody titres were measured and expressed as geometric mean titres. Box plots and 95% CI were computed at each visit for both Inaba and Ogawa. Seroconversion was defined as a four fold or greater increase in antibody titres compared to baseline titres.\nRESULTS: Overall, seroconversion again</w:instrText>
      </w:r>
      <w:r w:rsidR="00345AF1">
        <w:rPr>
          <w:rFonts w:hint="eastAsia"/>
          <w:vertAlign w:val="superscript"/>
        </w:rPr>
        <w:instrText xml:space="preserve">st V. cholerae Inaba and Ogawa after 1st dose was 35/134 (26%) and 34/134 (25%) respectively. We observed a statistical difference in seroconversion between the two subgroups of baseline titres (low &lt;80 and high </w:instrText>
      </w:r>
      <w:r w:rsidR="00345AF1">
        <w:rPr>
          <w:rFonts w:hint="eastAsia"/>
          <w:vertAlign w:val="superscript"/>
        </w:rPr>
        <w:instrText>≥</w:instrText>
      </w:r>
      <w:r w:rsidR="00345AF1">
        <w:rPr>
          <w:rFonts w:hint="eastAsia"/>
          <w:vertAlign w:val="superscript"/>
        </w:rPr>
        <w:instrText>80) for both Inaba (p = 0.02) and Ogawa (p</w:instrText>
      </w:r>
      <w:r w:rsidR="00345AF1">
        <w:rPr>
          <w:vertAlign w:val="superscript"/>
        </w:rPr>
        <w:instrText>&lt;0.0001). From a baseline of 13.58, anti-Ogawa GMT increased to 21.95 after the first dose, but rapidly waned to 14.52, 13.13, and 12.78 at months 6, 12 and 24 respectively, and then increased to 13.21, 18.67 and 23.65 at months 30, 36 and 48 respectively. A similar trend was observed for anti-Inaba GMT across the same time points.\nCONCLUSION: We found that Shanchol™ was immunogenic in our study population and that vibriocidal antibodies may not be a good marker for long-term immunity. The observed rise in titres after 36 months suggests natural exposure, and this may be a critical time window opening for natural transmission in an endemic areas. We recommend re-vaccination at this time point in high risk areas.","container-title":"PloS One","DOI":"10.1371/journal.pone.0262239","ISSN":"1932-6203","issue":"1","journalAbbreviation":"PLoS One","language":"eng","note":"PMID: 34986195\nPMCID: PMC8730422","page":"e0262239","source":"PubMed","title":"Immunogenicity and waning immunity from the oral cholera vaccine (Shanchol™) in adults residing in Lukanga Swamps of Zambia","volume":"17","author":[{"family":"Ng Ombe","given":"Harriet"},{"family":"Simuyandi","given":"Michelo"},{"family":"Mwaba","given":"John"},{"family":"Luchen","given":"Charlie Chaluma"},{"family":"Alabi","given":"Peter"},{"family":"Chilyabanyama","given":"Obvious Nchimunya"},{"family":"Mubanga","given":"Cynthia"},{"family":"Hatyoka","given":"Luiza Miyanda"},{"family":"Muchimba","given":"Mutinta"},{"family":"Bosomprah","given":"Samuel"},{"family":"Chilengi","given":"Roma"},{"family":"Kwenda","given":"Geoffrey"},{"family":"Chisenga","given":"Caroline Cleopatra"}],"issued":{"date-parts":[["2022"]]}}},{"id":"EgwuGF5k/3pLpL7PN","uris":["http://zotero.org/users/local/xDVOxgbN/items/3XUCD5LV"],"itemData":{"id":7,"type":"article-journal","abstract":"Immune responses after one and two doses of the reformulated killed oral cholera vaccine were measured in a double-blind, randomized, placebo-controlled trial of 77 adults aged 18-40 years and 77 children aged 1-17 years residing in Kolkata, India. 65% of adults and 87% of children and 46% of adults and 82% of children exhibited a &gt; or =4-fold rise in serum Vibrio cholerae O1 vibriocidal antibody titers from baseline following dose 1 and 2, respectively. Responses to V. cholerae O139 were less pronounced but followed a similar pattern. We demonstrate that in a cholera-endemic area, the vaccine elicited vibriocidal responses after a single-dose of the vaccine.","container-title":"Vaccine","DOI":"10.1016/j.vaccine.2009.09.008","ISSN":"1873-2518","issue":"49","journalAbbreviation":"Vaccine","language":"eng","note":"PMID: 19761838","page":"6887-6893","source":"PubMed","title":"Immune responses following one and two doses of the reformulated, bivalent, killed, whole-cell, oral cholera vaccine among adults and children in Kolkata, India: a randomized, placebo-controlled trial","title-short":"Immune responses following one and two doses of the reformulated, bivalent, killed, whole-cell, oral cholera vaccine among adults and children in Kolkata, India","volume":"27","author":[{"family":"Kanungo","given":"Suman"},{"family":"Paisley","given":"Allison"},{"family":"Lopez","given":"Anna Lena"},{"family":"Bhattacharya","given":"Mihir"},{"family":"Manna","given":"Byomkesh"},{"family":"Kim","given":"Deok Ryun"},{"family":"Han","given":"Seung Hyun"},{"family":"Attridge","given":"Stephen"},{"family":"Carbis","given":"Rodney"},{"family":"Rao","given":"Raman"},{"family":"Holmgren","given":"Jan"},{"family":"Clemens","given":"John D."},{"family":"Sur","given":"Dipika"}],"issued":{"date-parts":[["2009",11,16]]}}},{"id":"EgwuGF5k/qcwvtkC1","uris":["http://zotero.org/users/local/xDVOxgbN/items/PQEELNWL"],"itemData":{"id":17,"type":"article-journal","abstract":"After the large influx of Rohingya nationals (termed Forcibly Displaced Myanmar National; FDMN) from Rakhine State of Myanmar to Cox's Bazar in Bangladesh, it was apparent that outbreaks of cholera was very likely in this setting where people were living under adverse water and sanitation conditions. Large campaigns of oral cholera vaccine (OCV) were carried out as a preemptive measure to control cholera epidemics. The aim of the study was to evaluate the immune responses of healthy adults and children after administration of two doses of OCV at 14 days interval in FDMN population and compare with the response observed in Bangladeshi's vaccinated earlier. A cross-sectional immunogenicity study was conducted among FDMNs of three age cohort; in adults (18+years; n = 83), in older children (6-17 years; n = 63) and in younger children (1-5 years; n = 80). Capillary blood was collected at three time points to measure vibriocidal antibodies using either plasma or dried blood spot (DBS) specimens. There was a significant increase of responder frequency of vibriocidal antibody titer at day 14 in all groups for Vibrio cholerae O1 (Ogawa/Inaba: adults-64%/64%, older children-70%/89% and younger children-51%/75%). There was no overall difference of vibriocidal antibody titer between FDMN and Bangladeshi population at baseline (p = 0.07-0.08) and at day 14, day 28 in all age groups for both serotypes. The seroconversion rate and geometric mean titer (GMT) of either serotype were comparable using both plasma and DBS specimens. These results showed that OCV is capable of inducing robust immune responses in adults and children among the FDMN population which is comparable to that seen in Bangladeshi participants in different age groups or that reported from other cholera endemic countries. Our results also suggest that the displaced population were exposed to V. cholerae prior to seeking shelter in Bangladesh.","container-title":"PLoS neglected tropical diseases","DOI":"10.1371/journal.pntd.0007989","ISSN":"1935-2735","issue":"3","journalAbbreviation":"PLoS Negl Trop Dis","language":"eng","note":"PMID: 32176695\nPMCID: PMC7075546","page":"e0007989","source":"PubMed","title":"Immunogenicity of a killed bivalent whole cell oral cholera vaccine in forcibly displaced Myanmar nationals in Cox's Bazar, Bangladesh","volume":"14","author":[{"family":"Chowdhury","given":"Fahima"},{"family":"Bhuiyan","given":"Taufiqur Rahman"},{"family":"Akter","given":"Afroza"},{"family":"Bhuiyan","given":"Md Saruar"},{"family":"Khan","given":"Ashraful Islam"},{"family":"Hossain","given":"Motaher"},{"family":"Tauheed","given":"Imam"},{"family":"Ahmed","given":"Tasnuva"},{"family":"Islam","given":"Shaumik"},{"family":"Rafique","given":"Tanzeem Ahmed"},{"family":"Siddique","given":"Shah Alam"},{"family":"Harun","given":"Nabila Binta"},{"family":"Islam","given":"Khaleda"},{"family":"Clemens","given":"John D."},{"family":"Qadri","given":"Firdausi"}],"issued":{"date-parts":[["2020",3]]}}},{"id":"EgwuGF5k/4u14LcVq","uris":["http://zotero.org/users/local/xDVOxgbN/items/ZG8J3XZ6"],"itemData":{"id":20,"type":"article-journal","container-title":"PLOS ONE","DOI":"10.1371/journal.pone.0218033","ISSN":"1932-6203","issue":"6","journalAbbreviation":"PLoS ONE","language":"en","page":"e0218033","source":"DOI.org (Crossref)","title":"Safety and immunogenicity of a killed bivalent (O1 and O139) whole-cell oral cholera vaccine in adults and children in Vellore, South India","volume":"14","author":[{"family":"Raghava Mohan","given":"Venkata"},{"family":"Raj","given":"Santosh"},{"family":"Dhingra","given":"Mandeep Singh"},{"family":"Aloysia D’Cor","given":"Naveena"},{"family":"Singh","given":"Ajit Pal"},{"family":"Saluja","given":"Tarun"},{"family":"Kim","given":"Deok Ryun"},{"family":"Midde","given":"Venkat Jayanth"},{"family":"Kim","given":"Yanghee"},{"family":"Vemula","given":"Sridhar"},{"family":"Narla","given":"Santhosh Kumar"},{"family":"Sah","given":"Binod"},{"family":"Ali","given":"Mohammad"}],"editor":[{"family":"Borrow","given":"Ray"}],"issued":{"date-parts":[["2019",6,18]]}}},{"id":"EgwuGF5k/MEiMcdvb","uris":["http://zotero.org/users/local/xDVOxgbN/items/TP75RAGU"],"itemData":{"id":22,"type":"article-journal","abstract":"BACKGROUND: Studies of the immunogenicity of the killed bivalent whole cell oral cholera vaccine, Shanchol, have been performed in historically cholera-endemic areas of Asia. There is a need to assess the immunogenicity of the vaccine in Haiti and other populations without historical exposure to Vibrio cholerae.\nMETHODOLOGY/PRINCIPAL FINDINGS: We measured imm</w:instrText>
      </w:r>
      <w:r w:rsidR="00345AF1">
        <w:rPr>
          <w:rFonts w:hint="eastAsia"/>
          <w:vertAlign w:val="superscript"/>
        </w:rPr>
        <w:instrText>une responses after administration of Shanchol, in 25 adults, 51 older children (6-17 years), and 47 younger children (1-5 years) in Haiti, where cholera was introduced in 2010. A</w:instrText>
      </w:r>
      <w:r w:rsidR="00345AF1">
        <w:rPr>
          <w:rFonts w:hint="eastAsia"/>
          <w:vertAlign w:val="superscript"/>
        </w:rPr>
        <w:instrText>≥</w:instrText>
      </w:r>
      <w:r w:rsidR="00345AF1">
        <w:rPr>
          <w:rFonts w:hint="eastAsia"/>
          <w:vertAlign w:val="superscript"/>
        </w:rPr>
        <w:instrText>4-fold increase in vibriocidal antibody titer against V. cholerae O1 Ogawa was observed in 91% of adults, 74% of older children, and 73% of younger children after two doses of Shanchol; similar responses were observed against the Inaba serotype. A</w:instrText>
      </w:r>
      <w:r w:rsidR="00345AF1">
        <w:rPr>
          <w:rFonts w:hint="eastAsia"/>
          <w:vertAlign w:val="superscript"/>
        </w:rPr>
        <w:instrText>≥</w:instrText>
      </w:r>
      <w:r w:rsidR="00345AF1">
        <w:rPr>
          <w:rFonts w:hint="eastAsia"/>
          <w:vertAlign w:val="superscript"/>
        </w:rPr>
        <w:instrText>2-fold increase in serum O-antigen specific polysaccharide IgA antibody levels aga</w:instrText>
      </w:r>
      <w:r w:rsidR="00345AF1">
        <w:rPr>
          <w:vertAlign w:val="superscript"/>
        </w:rPr>
        <w:instrText>inst V. cholerae O1 Ogawa was observed in 59% of adults, 45% of older children, and 61% of younger children; similar responses were observed against the Inaba serotype. We compared immune responses in Haitian individuals with age- and blood group-matched individuals from Bangladesh, a historically cholera-endemic area. The geometric mean vibriocidal titers after the first dose of vaccine were lower in Haitian than in Bangladeshi vaccinees. However, the mean vibriocidal titers did not differ between the two groups after the second dose of the vaccine.\nCONCLUSIONS/SIGNIFICANCE: A killed bivalent whole cell oral cholera vaccine, Shanchol, is highly immunogenic in Haitian adults and children. A two-dose regimen may be important in Haiti, and other populations lacking previous repeated exposures to V. cholerae.","container-title":"PLoS neglected tropical diseases","DOI":"10.1371/journal.pntd.0002828","ISSN":"1935-2735","issue":"5","journalAbbreviation":"PLoS Negl Trop Dis","language":"eng","note":"PMID: 24786645\nPMCID: PMC4006712","page":"e2828","source":"PubMed","title":"Immunogenicity of a killed bivalent (O1 and O139) whole cell oral cholera vaccine, Shanchol, in Haiti","volume":"8","author":[{"family":"Charles","given":"Richelle C."},{"family":"Hilaire","given":"Isabelle J."},{"family":"Mayo-Smith","given":"Leslie M."},{"family":"Teng","given":"Jessica E."},{"family":"Jerome","given":"J. Gregory"},{"family":"Franke","given":"Molly F."},{"family":"Saha","given":"Amit"},{"family":"Yu","given":"Yanan"},{"family":"Kováč","given":"Paul"},{"family":"Calderwood","given":"Stephen B."},{"family":"Ryan","given":"Edward T."},{"family":"LaRocque","given":"Regina C."},{"family":"Almazor","given":"Charles P."},{"family":"Qadri","given":"Firdausi"},{"family":"Ivers","given":"Louise C."},{"family":"Harris","given":"Jason B."}],"issued":{"date-parts":[["2014",5]]}}},{"id":"EgwuGF5k/xlwLEQSU","uris":["http://zotero.org/users/local/xDVOxgbN/items/885T83T7"],"itemData":{"id":28,"type":"article-journal","abstract":"Cholera is a diarrheal disease caused by Vibrio cholerae that continues to be a major public health concern in populations without access to safe water. IgG- and IgA-secreting memory B cells (MBC) targeting the V. cholerae O-specific polysaccharide (OSP) correlate with protection from infection in persons exposed to V. cholerae and may be a major determinant of long-term protection against cholera. Shanchol, a widely used oral cholera vaccine (OCV), stimulates OSP MBC responses in only some people after vaccination, and the gut microbiota is a possible determinant of variable immune responses observed after OCV. Using 16S rRNA sequencing of feces from the time of vaccination, we compared the gut microbiota among adults with and without MBC responses to OCV. Gut microbial diversity measures were not associated with MBC isotype or OSP-specific responses, but individuals with a higher abundance of Clostridiales and lower abundance of Enterobacterales were more likely to develop an MBC response. We applied protein-normalized fecal supernatants of high and low MBC responders to THP-1-derived human macrophages to investigate the effect of microbial factors at the time of vaccination. Feces from individuals with higher MBC responses induced significantly different IL-1β and IL-6 levels than individuals with lower responses, indicating that the gut microbiota at the time of vaccination may \"prime\" the mucosal immune response to vaccine antigens. Our results suggest the gut microbiota could impact immune responses to OCVs, and further study of microbial metabolites as potential vaccine adjuvants is warranted.","container-title":"Infection and Immunity","DOI":"10.1128/IAI.00217-21","ISSN":"1098-5522","issue":"9","journalAbbreviation":"Infect Immun","language":"eng","note":"PMID: 34228490\nPMCID: PMC8370679","page":"e0021721","source":"PubMed","title":"Gut Microbiota and Development of Vibrio cholerae-Specific Long-Term Memory B Cells in Adults after Whole-Cell Killed Oral Cholera Vaccine","volume":"89","author":[{"family":"Chac","given":"Denise"},{"family":"Bhuiyan","given":"Taufiqur R."},{"family":"Saha","given":"Amit"},{"family":"Alam","given":"Mohammad M."},{"family":"Salma","given":"Umme"},{"family":"Jahan","given":"Nusrat"},{"family":"Chowdhury","given":"Fahima"},{"family":"Khan","given":"Ashraful I."},{"family":"Ryan","given":"Edward T."},{"family":"LaRocque","given":"Regina"},{"family":"Harris","given":"Jason B."},{"family":"Qadri","given":"Firdausi"},{"family":"Weil","given":"Ana A."}],"issued":{"date-parts":[["2021",8,16]]}}},{"id":"EgwuGF5k/Ab3tKABC","uris":["http://zotero.org/users/local/xDVOxgbN/items/MD4Y8M2Z"],"itemData":{"id":30,"type":"article-journal","abstract":"As part of a phase 4, randomized, double-blind, placebo-controlled trial to assess the immunogenicity and safety of PXVX0200 in children and adolescents aged 2-17 years, a subset of 73 adolescent subjects aged 12-17 years was followed for 2 years after vaccination and had blood collected for antibody assays on days 1, 11, 29, 91, 181, 365, 547, and 730. Endpoints included serum vibriocidal antibody (SVA) seroconversion, defined as a 4-fold or greater rise in antibody titer over baseline; geometric mean titers (GMTs); and geometric mean fold increase (GMFI) over baseline. Serum vibriocidal antibody seroconversion persisted in most subjects, with a rate of 64.5% noted at day 730. Geometric mean titers and GMFI both peaked at day 11 and remained greater than baseline at all time points, including day 730. Vaccination with PXVX0200 produces an immune response which persists for at least 2 years in adolescents aged 12-17 years.","container-title":"The American Journal of Tropical Medicine and Hygiene","DOI":"10.4269/ajtmh.20-1576","ISSN":"1476-1645","issue":"5","journalAbbreviation":"Am J Trop Med Hyg","language":"eng","note":"PMID: 33819178\nPMCID: PMC8103473","page":"1758-1760","source":"PubMed","title":"Long-Term Immunogenicity of Live Oral Cholera Vaccine CVD 103-HgR in Adolescents Aged 12-17 Years in the United States","volume":"104","author":[{"family":"McCarty","given":"James M."},{"family":"Cassie","given":"David"},{"family":"Bedell","given":"Lisa"},{"family":"Lock","given":"Michael D."},{"family":"Bennett","given":"Sean"}],"issued":{"date-parts":[["2021",4,5]]}}},{"id":"EgwuGF5k/6BXRJpee","uris":["http://zotero.org/users/local/xDVOxgbN/items/3GSEZ5VI"],"itemData":{"id":33,"type":"article-journal","container-title":"Vaccine","DOI":"10.1016/j.vaccine.2017.12.062","ISSN":"0264410X","issue":"6","journalAbbreviation":"Vaccine","language":"en","page":"833-840","source":"DOI.org (Crossref)","title":"Safety and immunogenicity of single-dose live oral cholera vaccine strain CVD 103-HgR in healthy adults age 18–45","volume":"36","author":[{"family":"McCarty","given":"James M."},{"family":"Lock","given":"Michael D."},{"family":"Hunt","given":"Kristin M."},{"family":"Simon","given":"Jakub K."},{"family":"Gurwith","given":"Marc"}],"issued":{"date-parts":[["2018",2]]}}},{"id":"EgwuGF5k/3PlEbxC7","uris":["http://zotero.org/users/local/xDVOxgbN/items/88EEN4QJ"],"itemData":{"id":25,"type":"article-journal","abstract":"BACKGROUND: The World Health Organization (WHO) recommends the use of oral cholera vaccines (OCVs) as part of an integrated control program, both in highly endemic settings and during cholera epidemics. The available and internationally recommended WHO-prequalified OCVs (Dukoral, Shanchol, Euvichol) contain multiple heat and formalin-killed V. cholerae strains of Inaba and Ogawa serotypes. MSD Wellcome Trust Hilleman Laboratories Pvt. Ltd. in technical collaboration with University of Gothenburg, Sweden has developed a new single strain OCV, Hillchol. This vaccine consists of formaldehyde-inactivated whole cell El Tor V. cholerae O1 bacteria engineered into the Hikojima serotype for stable expression of both the Ogawa (AB) and Inaba (AC) LPS antigens on the bacterial surface. We evaluated the safety and immunogenicity of this novel and potentially much less expensive OCV in comparison with Shanchol.\nMETHODS: We conducted a randomized, non-infer</w:instrText>
      </w:r>
      <w:r w:rsidR="00345AF1">
        <w:rPr>
          <w:rFonts w:hint="eastAsia"/>
          <w:vertAlign w:val="superscript"/>
        </w:rPr>
        <w:instrText>iority, age-descending clinical trial of OCV (Hillchol vs. Shanchol) in the Mirpur area of Dhaka city from July 2016 to May 2017. This study was carried out in three different age cohorts (1-&lt;5, 5-17 and </w:instrText>
      </w:r>
      <w:r w:rsidR="00345AF1">
        <w:rPr>
          <w:rFonts w:hint="eastAsia"/>
          <w:vertAlign w:val="superscript"/>
        </w:rPr>
        <w:instrText>≥</w:instrText>
      </w:r>
      <w:r w:rsidR="00345AF1">
        <w:rPr>
          <w:rFonts w:hint="eastAsia"/>
          <w:vertAlign w:val="superscript"/>
        </w:rPr>
        <w:instrText xml:space="preserve">18 years old). Two doses of vaccine were given at </w:instrText>
      </w:r>
      <w:r w:rsidR="00345AF1">
        <w:rPr>
          <w:vertAlign w:val="superscript"/>
        </w:rPr>
        <w:instrText xml:space="preserve">14 days intervals to 560 healthy participants.\nFINDINGS: No serious adverse events were reported. There were no significant differences in the rates of adverse events between the test vaccine (Hillchol) and the comparator (Shanchol) group. Serum vibriocidal antibody responses in all age groups combined were comparable for all the O1 Ogawa (59% vs. 67%; 90% CI of difference: -14.55, -0.84) and Inaba (70% vs. 71%; 90% CI of difference: -7.24, 5.77) serotypes, showing that the Hillchol vaccine was non-inferior to Shanchol. This new vaccine was also non-inferior to Shanchol in the different age strata.\nCONCLUSION: The safety and immunogenicity profile of the new OCV Hillchol is comparable to Shanchol in persons residing in a cholera-endemic setting. ClinicalTrials.gov number: NCT02823899.","container-title":"Vaccine","DOI":"10.1016/j.vaccine.2021.06.069","ISSN":"1873-2518","issue":"32","journalAbbreviation":"Vaccine","language":"eng","note":"PMID: 34218960","page":"4450-4457","source":"PubMed","title":"A phase I/II study to evaluate safety, tolerability and immunogenicity of Hillchol®, an inactivated single Hikojima strain based oral cholera vaccine, in a sequentially age descending population in Bangladesh","volume":"39","author":[{"family":"Chowdhury","given":"Fahima"},{"family":"Ali Syed","given":"Khalid"},{"family":"Akter","given":"Afroza"},{"family":"Rahman Bhuiyan","given":"Taufiqur"},{"family":"Tauheed","given":"Imam"},{"family":"Khaton","given":"Fatema"},{"family":"Biswas","given":"Rajib"},{"family":"Ferdous","given":"Jannatul"},{"family":"Al Banna","given":"Hasan"},{"family":"Ross","given":"Allen G."},{"family":"Mc Millan","given":"Nigel"},{"family":"Sharma","given":"Tarun"},{"family":"Kanchan","given":"Vibhu"},{"family":"Pal Singh","given":"Ajit"},{"family":"Gill","given":"Davinder"},{"family":"Lebens","given":"Michael"},{"family":"Nordqvist","given":"Stefan"},{"family":"Holmgren","given":"Jan"},{"family":"Clemens","given":"John D."},{"family":"Qadri","given":"Firdausi"}],"issued":{"date-parts":[["2021",7,22]]}}}],"schema":"https://github.com/citation-style-language/schema/raw/master/csl-citation.json"} </w:instrText>
      </w:r>
      <w:r w:rsidR="00E1583D" w:rsidRPr="00097432">
        <w:rPr>
          <w:vertAlign w:val="superscript"/>
        </w:rPr>
        <w:fldChar w:fldCharType="separate"/>
      </w:r>
      <w:r w:rsidR="00345AF1" w:rsidRPr="00345AF1">
        <w:rPr>
          <w:rFonts w:cs="Times New Roman"/>
          <w:vertAlign w:val="superscript"/>
        </w:rPr>
        <w:t>39–47</w:t>
      </w:r>
      <w:r w:rsidR="00E1583D" w:rsidRPr="00097432">
        <w:rPr>
          <w:vertAlign w:val="superscript"/>
        </w:rPr>
        <w:fldChar w:fldCharType="end"/>
      </w:r>
      <w:r w:rsidR="00E1583D" w:rsidRPr="00097432">
        <w:t xml:space="preserve"> </w:t>
      </w:r>
      <w:r w:rsidR="00722F43" w:rsidRPr="00097432">
        <w:rPr>
          <w:rFonts w:hint="eastAsia"/>
        </w:rPr>
        <w:t xml:space="preserve">, which </w:t>
      </w:r>
      <w:r w:rsidR="00EA7B2D" w:rsidRPr="00097432">
        <w:t>occur between</w:t>
      </w:r>
      <w:r w:rsidR="00E1583D" w:rsidRPr="00097432">
        <w:t xml:space="preserve"> 3 to 28 days</w:t>
      </w:r>
      <w:r w:rsidR="00000724" w:rsidRPr="00097432">
        <w:rPr>
          <w:rFonts w:hint="eastAsia"/>
        </w:rPr>
        <w:t xml:space="preserve"> (most often </w:t>
      </w:r>
      <w:r w:rsidR="00221068" w:rsidRPr="00097432">
        <w:t>7 to 14 days</w:t>
      </w:r>
      <w:r w:rsidR="00000724" w:rsidRPr="00097432">
        <w:rPr>
          <w:rFonts w:hint="eastAsia"/>
        </w:rPr>
        <w:t xml:space="preserve">) following the first </w:t>
      </w:r>
      <w:r w:rsidR="00E1583D" w:rsidRPr="00097432">
        <w:t xml:space="preserve">dose in a two-dose </w:t>
      </w:r>
      <w:r w:rsidR="00EA7B2D" w:rsidRPr="00097432">
        <w:t>regimen</w:t>
      </w:r>
      <w:r w:rsidR="00E1583D" w:rsidRPr="00097432">
        <w:rPr>
          <w:vertAlign w:val="superscript"/>
        </w:rPr>
        <w:fldChar w:fldCharType="begin"/>
      </w:r>
      <w:r w:rsidR="00345AF1">
        <w:rPr>
          <w:vertAlign w:val="superscript"/>
        </w:rPr>
        <w:instrText xml:space="preserve"> ADDIN ZOTERO_ITEM CSL_CITATION {"citationID":"jjgfrtW4","properties":{"formattedCitation":"\\super 39,41\\uc0\\u8211{}44\\nosupersub{}","plainCitation":"39,41–44","noteIndex":0},"citationItems":[{"id":"EgwuGF5k/xlwLEQSU","uris":["http://zotero.org/users/local/xDVOxgbN/items/885T83T7"],"itemData":{"id":28,"type":"article-journal","abstract":"Cholera is a diarrheal disease caused by Vibrio cholerae that continues to be a major public health concern in populations without access to safe water. IgG- and IgA-secreting memory B cells (MBC) targeting the V. cholerae O-specific polysaccharide (OSP) correlate with protection from infection in persons exposed to V. cholerae and may be a major determinant of long-term protection against cholera. Shanchol, a widely used oral cholera vaccine (OCV), stimulates OSP MBC responses in only some people after vaccination, and the gut microbiota is a possible determinant of variable immune responses observed after OCV. Using 16S rRNA sequencing of feces from the time of vaccination, we compared the gut microbiota among adults with and without MBC responses to OCV. Gut microbial diversity measures were not associated with MBC isotype or OSP-specific responses, but individuals with a higher abundance of Clostridiales and lower abundance of Enterobacterales were more likely to develop an MBC response. We applied protein-normalized fecal supernatants of high and low MBC responders to THP-1-derived human macrophages to investigate the effect of microbial factors at the time of vaccination. Feces from individuals with higher MBC responses induced significantly different IL-1β and IL-6 levels than individuals with lower responses, indicating that the gut microbiota at the time of vaccination may \"prime\" the mucosal immune response to vaccine antigens. Our results suggest the gut microbiota could impact immune responses to OCVs, and further study of microbial metabolites as potential vaccine adjuvants is warranted.","container-title":"Infection and Immunity","DOI":"10.1128/IAI.00217-21","ISSN":"1098-5522","issue":"9","journalAbbreviation":"Infect Immun","language":"eng","note":"PMID: 34228490\nPMCID: PMC8370679","page":"e0021721","source":"PubMed","title":"Gut Microbiota and Development of Vibrio cholerae-Specific Long-Term Memory B Cells in Adults after Whole-Cell Killed Oral Cholera Vaccine","volume":"89","author":[{"family":"Chac","given":"Denise"},{"family":"Bhuiyan","given":"Taufiqur R."},{"family":"Saha","given":"Amit"},{"family":"Alam","given":"Mohammad M."},{"family":"Salma","given":"Umme"},{"family":"Jahan","given":"Nusrat"},{"family":"Chowdhury","given":"Fahima"},{"family":"Khan","given":"Ashraful I."},{"family":"Ryan","given":"Edward T."},{"family":"LaRocque","given":"Regina"},{"family":"Harris","given":"Jason B."},{"family":"Qadri","given":"Firdausi"},{"family":"Weil","given":"Ana A."}],"issued":{"date-parts":[["2021",8,16]]}}},{"id":"EgwuGF5k/UPDcwlHQ","uris":["http://zotero.org/users/local/xDVOxgbN/items/VMBJ3ILL"],"itemData":{"id":4,"type":"article-journal","abstract":"INTRODUCTION: In cholera endemic areas, the periodicity of cholera outbreaks remains unpredictable, making it difficult to organize preventive efforts. Lack of data on duration of protection conferred by oral cholera vaccines further makes it difficult to determine when to deploy preemptive vaccination. We report on the immunogenicity and waning of immunity to Shanchol™ in Lukanga Swamps.\nMETHODS: We enrolled a cohort of 223 participants aged between 18 and 65 years old from whom serum samples were collected at baseline, day 28 before administration of the second dose, and consecutively at 6, 12, 24, 30, 36, and 48 months. Vibriocidal antibody titres were measured and expressed as geometric mean titres. Box plots and 95% CI were computed at each visit for both Inaba and Ogawa. Seroconversion was defined as a four fold or greater increase in antibody titres compared to baseline titres.\nRESULTS: Overall, seroconversion against V. cholerae Inaba and Ogawa after 1st dose was 35/134 (26%) and 34/134 (25%</w:instrText>
      </w:r>
      <w:r w:rsidR="00345AF1">
        <w:rPr>
          <w:rFonts w:hint="eastAsia"/>
          <w:vertAlign w:val="superscript"/>
        </w:rPr>
        <w:instrText xml:space="preserve">) respectively. We observed a statistical difference in seroconversion between the two subgroups of baseline titres (low &lt;80 and high </w:instrText>
      </w:r>
      <w:r w:rsidR="00345AF1">
        <w:rPr>
          <w:rFonts w:hint="eastAsia"/>
          <w:vertAlign w:val="superscript"/>
        </w:rPr>
        <w:instrText>≥</w:instrText>
      </w:r>
      <w:r w:rsidR="00345AF1">
        <w:rPr>
          <w:rFonts w:hint="eastAsia"/>
          <w:vertAlign w:val="superscript"/>
        </w:rPr>
        <w:instrText>80) for both Inaba (p = 0.02) and Ogawa (p&lt;0.0001). From a baseline of 13.58, anti-Ogawa GMT increased to 21.95 after th</w:instrText>
      </w:r>
      <w:r w:rsidR="00345AF1">
        <w:rPr>
          <w:vertAlign w:val="superscript"/>
        </w:rPr>
        <w:instrText>e first dose, but rapidly waned to 14.52, 13.13, and 12.78 at months 6, 12 and 24 respectively, and then increased to 13.21, 18.67 and 23.65 at months 30, 36 and 48 respectively. A similar trend was observed for anti-Inaba GMT across the same time points.\nCONCLUSION: We found that Shanchol™ was immunogenic in our study population and that vibriocidal antibodies may not be a good marker for long-term immunity. The observed rise in titres after 36 months suggests natural exposure, and this may be a critical time window opening for natural transmission in an endemic areas. We recommend re-vaccination at this time point in high risk areas.","container-title":"PloS One","DOI":"10.1371/journal.pone.0262239","ISSN":"1932-6203","issue":"1","journalAbbreviation":"PLoS One","language":"eng","note":"PMID: 34986195\nPMCID: PMC8730422","page":"e0262239","source":"PubMed","title":"Immunogenicity and waning immunity from the oral cholera vaccine (Shanchol™) in adults residing in Lukanga Swamps of Zambia","volume":"17","author":[{"family":"Ng Ombe","given":"Harriet"},{"family":"Simuyandi","given":"Michelo"},{"family":"Mwaba","given":"John"},{"family":"Luchen","given":"Charlie Chaluma"},{"family":"Alabi","given":"Peter"},{"family":"Chilyabanyama","given":"Obvious Nchimunya"},{"family":"Mubanga","given":"Cynthia"},{"family":"Hatyoka","given":"Luiza Miyanda"},{"family":"Muchimba","given":"Mutinta"},{"family":"Bosomprah","given":"Samuel"},{"family":"Chilengi","given":"Roma"},{"family":"Kwenda","given":"Geoffrey"},{"family":"Chisenga","given":"Caroline Cleopatra"}],"issued":{"date-parts":[["2022"]]}}},{"id":"EgwuGF5k/qcwvtkC1","uris":["http://zotero.org/users/local/xDVOxgbN/items/PQEELNWL"],"itemData":{"id":17,"type":"article-journal","abstract":"After the large influx of Rohingya nationals (termed Forcibly Displaced Myanmar National; FDMN) from Rakhine State of Myanmar to Cox's Bazar in Bangladesh, it was apparent that outbreaks of cholera was very likely in this setting where people were living under adverse water and sanitation conditions. Large campaigns of oral cholera vaccine (OCV) were carried out as a preemptive measure to control cholera epidemics. The aim of the study was to evaluate the immune responses of healthy adults and children after administration of two doses of OCV at 14 days interval in FDMN population and compare with the response observed in Bangladeshi's vaccinated earlier. A cross-sectional immunogenicity study was conducted among FDMNs of three age cohort; in adults (18+years; n = 83), in older children (6-17 years; n = 63) and in younger children (1-5 years; n = 80). Capillary blood was collected at three time points to measure vibriocidal antibodies using either plasma or dried blood spot (DBS) specimens. There was a significant increase of responder frequency of vibriocidal antibody titer at day 14 in all groups for Vibrio cholerae O1 (Ogawa/Inaba: adults-64%/64%, older children-70%/89% and younger children-51%/75%). There was no overall difference of vibriocidal antibody titer between FDMN and Bangladeshi population at baseline (p = 0.07-0.08) and at day 14, day 28 in all age groups for both serotypes. The seroconversion rate and geometric mean titer (GMT) of either serotype were comparable using both plasma and DBS specimens. These results showed that OCV is capable of inducing robust immune responses in adults and children among the FDMN population which is comparable to that seen in Bangladeshi participants in different age groups or that reported from other cholera endemic countries. Our results also suggest that the displaced population were exposed to V. cholerae prior to seeking shelter in Bangladesh.","container-title":"PLoS neglected tropical diseases","DOI":"10.1371/journal.pntd.0007989","ISSN":"1935-2735","issue":"3","journalAbbreviation":"PLoS Negl Trop Dis","language":"eng","note":"PMID: 32176695\nPMCID: PMC7075546","page":"e0007989","source":"PubMed","title":"Immunogenicity of a killed bivalent whole cell oral cholera vaccine in forcibly displaced Myanmar nationals in Cox's Bazar, Bangladesh","volume":"14","author":[{"family":"Chowdhury","given":"Fahima"},{"family":"Bhuiyan","given":"Taufiqur Rahman"},{"family":"Akter","given":"Afroza"},{"family":"Bhuiyan","given":"Md Saruar"},{"family":"Khan","given":"Ashraful Islam"},{"family":"Hossain","given":"Motaher"},{"family":"Tauheed","given":"Imam"},{"family":"Ahmed","given":"Tasnuva"},{"family":"Islam","given":"Shaumik"},{"family":"Rafique","given":"Tanzeem Ahmed"},{"family":"Siddique","given":"Shah Alam"},{"family":"Harun","given":"Nabila Binta"},{"family":"Islam","given":"Khaleda"},{"family":"Clemens","given":"John D."},{"family":"Qadri","given":"Firdausi"}],"issued":{"date-parts":[["2020",3]]}}},{"id":"EgwuGF5k/4u14LcVq","uris":["http://zotero.org/users/local/xDVOxgbN/items/ZG8J3XZ6"],"itemData":{"id":20,"type":"article-journal","container-title":"PLOS ONE","DOI":"10.1371/journal.pone.0218033","ISSN":"1932-6203","issue":"6","journalAbbreviation":"PLoS ONE","language":"en","page":"e0218033","source":"DOI.org (Crossref)","title":"Safety and immunogenicity of a killed bivalent (O1 and O139) whole-cell oral cholera vaccine in adults and children in Vellore, South India","volume":"14","author":[{"family":"Raghava Mohan","given":"Venkata"},{"family":"Raj","given":"Santosh"},{"family":"Dhingra","given":"Mandeep Singh"},{"family":"Aloysia D’Cor","given":"Naveena"},{"family":"Singh","given":"Ajit Pal"},{"family":"Saluja","given":"Tarun"},{"family":"Kim","given":"Deok Ryun"},{"family":"Midde","given":"Venkat Jayanth"},{"family":"Kim","given":"Yanghee"},{"family":"Vemula","given":"Sridhar"},{"family":"Narla","given":"Santhosh Kumar"},{"family":"Sah","given":"Binod"},{"family":"Ali","given":"Mohammad"}],"editor":[{"family":"Borrow","given":"Ray"}],"issued":{"date-parts":[["2019",6,18]]}}},{"id":"EgwuGF5k/MEiMcdvb","uris":["http://zotero.org/users/local/xDVOxgbN/items/TP75RAGU"],"itemData":{"id":22,"type":"article-journal","abstract":"BACKGROUND: Studies of the immunogenicity of the killed bivalent whole cell oral cholera vaccine, Shanchol, have been performed in historically cholera-endemic areas of Asia. There is a need to assess the immunogenicity of the vaccine in Haiti and other populations without historical exposure to Vibrio cholerae.\nMETHODOLOGY/PRINCIPAL FINDINGS: We measured immune res</w:instrText>
      </w:r>
      <w:r w:rsidR="00345AF1">
        <w:rPr>
          <w:rFonts w:hint="eastAsia"/>
          <w:vertAlign w:val="superscript"/>
        </w:rPr>
        <w:instrText>ponses after administration of Shanchol, in 25 adults, 51 older children (6-17 years), and 47 younger children (1-5 years) in Haiti, where cholera was introduced in 2010. A</w:instrText>
      </w:r>
      <w:r w:rsidR="00345AF1">
        <w:rPr>
          <w:rFonts w:hint="eastAsia"/>
          <w:vertAlign w:val="superscript"/>
        </w:rPr>
        <w:instrText>≥</w:instrText>
      </w:r>
      <w:r w:rsidR="00345AF1">
        <w:rPr>
          <w:rFonts w:hint="eastAsia"/>
          <w:vertAlign w:val="superscript"/>
        </w:rPr>
        <w:instrText>4-fold increase in vibriocidal antibody titer against V. cholerae O1 Ogawa was observed in 91% of adults, 74% of older children, and 73% of younger children after two doses of Shanchol; similar responses were observed against the Inaba serotype. A</w:instrText>
      </w:r>
      <w:r w:rsidR="00345AF1">
        <w:rPr>
          <w:rFonts w:hint="eastAsia"/>
          <w:vertAlign w:val="superscript"/>
        </w:rPr>
        <w:instrText>≥</w:instrText>
      </w:r>
      <w:r w:rsidR="00345AF1">
        <w:rPr>
          <w:rFonts w:hint="eastAsia"/>
          <w:vertAlign w:val="superscript"/>
        </w:rPr>
        <w:instrText>2-fold increase in serum O-antigen specific polysaccharide IgA antibody levels against V.</w:instrText>
      </w:r>
      <w:r w:rsidR="00345AF1">
        <w:rPr>
          <w:vertAlign w:val="superscript"/>
        </w:rPr>
        <w:instrText xml:space="preserve"> cholerae O1 Ogawa was observed in 59% of adults, 45% of older children, and 61% of younger children; similar responses were observed against the Inaba serotype. We compared immune responses in Haitian individuals with age- and blood group-matched individuals from Bangladesh, a historically cholera-endemic area. The geometric mean vibriocidal titers after the first dose of vaccine were lower in Haitian than in Bangladeshi vaccinees. However, the mean vibriocidal titers did not differ between the two groups after the second dose of the vaccine.\nCONCLUSIONS/SIGNIFICANCE: A killed bivalent whole cell oral cholera vaccine, Shanchol, is highly immunogenic in Haitian adults and children. A two-dose regimen may be important in Haiti, and other populations lacking previous repeated exposures to V. cholerae.","container-title":"PLoS neglected tropical diseases","DOI":"10.1371/journal.pntd.0002828","ISSN":"1935-2735","issue":"5","journalAbbreviation":"PLoS Negl Trop Dis","language":"eng","note":"PMID: 24786645\nPMCID: PMC4006712","page":"e2828","source":"PubMed","title":"Immunogenicity of a killed bivalent (O1 and O139) whole cell oral cholera vaccine, Shanchol, in Haiti","volume":"8","author":[{"family":"Charles","given":"Richelle C."},{"family":"Hilaire","given":"Isabelle J."},{"family":"Mayo-Smith","given":"Leslie M."},{"family":"Teng","given":"Jessica E."},{"family":"Jerome","given":"J. Gregory"},{"family":"Franke","given":"Molly F."},{"family":"Saha","given":"Amit"},{"family":"Yu","given":"Yanan"},{"family":"Kováč","given":"Paul"},{"family":"Calderwood","given":"Stephen B."},{"family":"Ryan","given":"Edward T."},{"family":"LaRocque","given":"Regina C."},{"family":"Almazor","given":"Charles P."},{"family":"Qadri","given":"Firdausi"},{"family":"Ivers","given":"Louise C."},{"family":"Harris","given":"Jason B."}],"issued":{"date-parts":[["2014",5]]}}}],"schema":"https://github.com/citation-style-language/schema/raw/master/csl-citation.json"} </w:instrText>
      </w:r>
      <w:r w:rsidR="00E1583D" w:rsidRPr="00097432">
        <w:rPr>
          <w:vertAlign w:val="superscript"/>
        </w:rPr>
        <w:fldChar w:fldCharType="separate"/>
      </w:r>
      <w:r w:rsidR="00345AF1" w:rsidRPr="00345AF1">
        <w:rPr>
          <w:rFonts w:cs="Times New Roman"/>
          <w:vertAlign w:val="superscript"/>
        </w:rPr>
        <w:t>39,41–44</w:t>
      </w:r>
      <w:r w:rsidR="00E1583D" w:rsidRPr="00097432">
        <w:rPr>
          <w:vertAlign w:val="superscript"/>
        </w:rPr>
        <w:fldChar w:fldCharType="end"/>
      </w:r>
      <w:r w:rsidR="00BA5EA7" w:rsidRPr="00097432">
        <w:t xml:space="preserve"> (</w:t>
      </w:r>
      <w:r w:rsidR="00363CA5" w:rsidRPr="00097432">
        <w:t xml:space="preserve">Supplementary Information </w:t>
      </w:r>
      <w:r w:rsidR="00C3213E" w:rsidRPr="00097432">
        <w:rPr>
          <w:b/>
          <w:bCs/>
        </w:rPr>
        <w:t>S</w:t>
      </w:r>
      <w:r w:rsidR="009206B5" w:rsidRPr="00097432">
        <w:rPr>
          <w:rFonts w:hint="eastAsia"/>
          <w:b/>
          <w:bCs/>
        </w:rPr>
        <w:t>7</w:t>
      </w:r>
      <w:r w:rsidR="00BA5EA7" w:rsidRPr="00097432">
        <w:t>)</w:t>
      </w:r>
      <w:r w:rsidR="00EA7B2D" w:rsidRPr="00097432">
        <w:t xml:space="preserve">. </w:t>
      </w:r>
    </w:p>
    <w:p w14:paraId="26D6E135" w14:textId="77777777" w:rsidR="00CC549A" w:rsidRPr="00097432" w:rsidRDefault="00CC549A" w:rsidP="00F57F15"/>
    <w:p w14:paraId="6A131D4B" w14:textId="0B0A50B6" w:rsidR="00984293" w:rsidRPr="00097432" w:rsidRDefault="00984293" w:rsidP="00F57F15">
      <w:r w:rsidRPr="00097432">
        <w:rPr>
          <w:b/>
        </w:rPr>
        <w:t>Table 2</w:t>
      </w:r>
      <w:r w:rsidRPr="00097432">
        <w:t xml:space="preserve">. </w:t>
      </w:r>
      <w:r w:rsidR="00576A40">
        <w:rPr>
          <w:rFonts w:hint="eastAsia"/>
        </w:rPr>
        <w:t xml:space="preserve">Model settings for ORI (single-dose </w:t>
      </w:r>
      <w:r w:rsidRPr="00097432">
        <w:t>OCV campaign</w:t>
      </w:r>
      <w:r w:rsidR="00576A40">
        <w:rPr>
          <w:rFonts w:hint="eastAsia"/>
        </w:rPr>
        <w:t>)</w:t>
      </w:r>
      <w:r w:rsidRPr="00097432">
        <w:t xml:space="preserve"> settings</w:t>
      </w:r>
    </w:p>
    <w:tbl>
      <w:tblPr>
        <w:tblW w:w="9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0"/>
        <w:gridCol w:w="7560"/>
      </w:tblGrid>
      <w:tr w:rsidR="0091006A" w:rsidRPr="00097432" w14:paraId="171316E9" w14:textId="77777777" w:rsidTr="00E01854">
        <w:tc>
          <w:tcPr>
            <w:tcW w:w="1880" w:type="dxa"/>
            <w:tcMar>
              <w:top w:w="100" w:type="dxa"/>
              <w:left w:w="100" w:type="dxa"/>
              <w:bottom w:w="100" w:type="dxa"/>
              <w:right w:w="100" w:type="dxa"/>
            </w:tcMar>
          </w:tcPr>
          <w:p w14:paraId="7A57B849" w14:textId="77777777" w:rsidR="00984293" w:rsidRPr="00097432" w:rsidRDefault="00984293" w:rsidP="00C34272">
            <w:pPr>
              <w:spacing w:line="240" w:lineRule="auto"/>
            </w:pPr>
            <w:r w:rsidRPr="00097432">
              <w:t>OCV campaign feature</w:t>
            </w:r>
          </w:p>
        </w:tc>
        <w:tc>
          <w:tcPr>
            <w:tcW w:w="7560" w:type="dxa"/>
            <w:tcMar>
              <w:top w:w="100" w:type="dxa"/>
              <w:left w:w="100" w:type="dxa"/>
              <w:bottom w:w="100" w:type="dxa"/>
              <w:right w:w="100" w:type="dxa"/>
            </w:tcMar>
            <w:vAlign w:val="center"/>
          </w:tcPr>
          <w:p w14:paraId="1245B3E5" w14:textId="1A0B7137" w:rsidR="00984293" w:rsidRPr="00097432" w:rsidRDefault="00984293" w:rsidP="00C34272">
            <w:pPr>
              <w:spacing w:line="240" w:lineRule="auto"/>
            </w:pPr>
            <w:r w:rsidRPr="00097432">
              <w:t xml:space="preserve">Model settings that </w:t>
            </w:r>
            <w:r w:rsidR="007658FC" w:rsidRPr="00097432">
              <w:t>wer</w:t>
            </w:r>
            <w:r w:rsidRPr="00097432">
              <w:t>e tested</w:t>
            </w:r>
          </w:p>
        </w:tc>
      </w:tr>
      <w:tr w:rsidR="004669B4" w:rsidRPr="00097432" w14:paraId="4A13A8D9" w14:textId="77777777" w:rsidTr="00C34272">
        <w:trPr>
          <w:trHeight w:val="546"/>
        </w:trPr>
        <w:tc>
          <w:tcPr>
            <w:tcW w:w="1880" w:type="dxa"/>
            <w:tcMar>
              <w:top w:w="100" w:type="dxa"/>
              <w:left w:w="100" w:type="dxa"/>
              <w:bottom w:w="100" w:type="dxa"/>
              <w:right w:w="100" w:type="dxa"/>
            </w:tcMar>
          </w:tcPr>
          <w:p w14:paraId="1FA027BF" w14:textId="09911AB7" w:rsidR="004669B4" w:rsidRPr="00097432" w:rsidRDefault="004669B4" w:rsidP="00C34272">
            <w:pPr>
              <w:spacing w:line="240" w:lineRule="auto"/>
            </w:pPr>
            <w:r w:rsidRPr="00097432">
              <w:t>Campaign coverage</w:t>
            </w:r>
          </w:p>
        </w:tc>
        <w:tc>
          <w:tcPr>
            <w:tcW w:w="7560" w:type="dxa"/>
            <w:tcMar>
              <w:top w:w="100" w:type="dxa"/>
              <w:left w:w="100" w:type="dxa"/>
              <w:bottom w:w="100" w:type="dxa"/>
              <w:right w:w="100" w:type="dxa"/>
            </w:tcMar>
          </w:tcPr>
          <w:p w14:paraId="5E2199BC" w14:textId="277DE6FA" w:rsidR="004669B4" w:rsidRPr="00097432" w:rsidRDefault="00195CA7" w:rsidP="00C34272">
            <w:pPr>
              <w:spacing w:line="240" w:lineRule="auto"/>
            </w:pPr>
            <w:r w:rsidRPr="00195CA7">
              <w:t xml:space="preserve">Targeted the entire population of the affected administrative area. Coverage ranged from 60% to 90% in 5% increments. Main text presents </w:t>
            </w:r>
            <w:proofErr w:type="gramStart"/>
            <w:r w:rsidRPr="00195CA7">
              <w:t>results</w:t>
            </w:r>
            <w:proofErr w:type="gramEnd"/>
            <w:r w:rsidRPr="00195CA7">
              <w:t xml:space="preserve"> for 60%, 75%, and 90%.</w:t>
            </w:r>
          </w:p>
        </w:tc>
      </w:tr>
      <w:tr w:rsidR="004669B4" w:rsidRPr="00097432" w14:paraId="55B0D3A7" w14:textId="77777777" w:rsidTr="00A020EF">
        <w:trPr>
          <w:trHeight w:val="1446"/>
        </w:trPr>
        <w:tc>
          <w:tcPr>
            <w:tcW w:w="1880" w:type="dxa"/>
            <w:tcMar>
              <w:top w:w="100" w:type="dxa"/>
              <w:left w:w="100" w:type="dxa"/>
              <w:bottom w:w="100" w:type="dxa"/>
              <w:right w:w="100" w:type="dxa"/>
            </w:tcMar>
          </w:tcPr>
          <w:p w14:paraId="52629D65" w14:textId="3DDC7D09" w:rsidR="004669B4" w:rsidRPr="00097432" w:rsidRDefault="004669B4" w:rsidP="00C34272">
            <w:pPr>
              <w:spacing w:line="240" w:lineRule="auto"/>
              <w:rPr>
                <w:rFonts w:eastAsia="Aptos"/>
              </w:rPr>
            </w:pPr>
            <w:r w:rsidRPr="00097432">
              <w:t>Campaign triggers</w:t>
            </w:r>
          </w:p>
        </w:tc>
        <w:tc>
          <w:tcPr>
            <w:tcW w:w="7560" w:type="dxa"/>
            <w:tcMar>
              <w:top w:w="100" w:type="dxa"/>
              <w:left w:w="100" w:type="dxa"/>
              <w:bottom w:w="100" w:type="dxa"/>
              <w:right w:w="100" w:type="dxa"/>
            </w:tcMar>
          </w:tcPr>
          <w:p w14:paraId="44715545" w14:textId="281A1BA7" w:rsidR="00195CA7" w:rsidRDefault="00195CA7" w:rsidP="00195CA7">
            <w:pPr>
              <w:spacing w:line="240" w:lineRule="auto"/>
            </w:pPr>
            <w:r>
              <w:rPr>
                <w:rFonts w:hint="eastAsia"/>
              </w:rPr>
              <w:t>(</w:t>
            </w:r>
            <w:proofErr w:type="spellStart"/>
            <w:r>
              <w:rPr>
                <w:rFonts w:hint="eastAsia"/>
              </w:rPr>
              <w:t>i</w:t>
            </w:r>
            <w:proofErr w:type="spellEnd"/>
            <w:r>
              <w:rPr>
                <w:rFonts w:hint="eastAsia"/>
              </w:rPr>
              <w:t xml:space="preserve">) </w:t>
            </w:r>
            <w:r>
              <w:t>Outbreak onset–triggered: Initiated 1–20 weeks after outbreak onset, in 1-week increments; implementation set at the midpoint of the specified week.</w:t>
            </w:r>
          </w:p>
          <w:p w14:paraId="3B520C5B" w14:textId="1C0197A2" w:rsidR="004669B4" w:rsidRPr="00097432" w:rsidRDefault="00195CA7" w:rsidP="00195CA7">
            <w:pPr>
              <w:spacing w:line="240" w:lineRule="auto"/>
              <w:rPr>
                <w:lang w:val="en-US"/>
              </w:rPr>
            </w:pPr>
            <w:r>
              <w:rPr>
                <w:rFonts w:hint="eastAsia"/>
              </w:rPr>
              <w:t xml:space="preserve">(ii) </w:t>
            </w:r>
            <w:r>
              <w:t>Case-triggered: Initiated once cumulative cases reached a predefined threshold (1, 10, 20, …, 100, 200, …, 1,000), followed by an additional 1–</w:t>
            </w:r>
            <w:proofErr w:type="gramStart"/>
            <w:r>
              <w:t>20 week</w:t>
            </w:r>
            <w:proofErr w:type="gramEnd"/>
            <w:r>
              <w:t xml:space="preserve"> implementation delay.</w:t>
            </w:r>
          </w:p>
        </w:tc>
      </w:tr>
      <w:tr w:rsidR="004669B4" w:rsidRPr="00097432" w14:paraId="3DB88106" w14:textId="77777777" w:rsidTr="00C34272">
        <w:trPr>
          <w:trHeight w:val="393"/>
        </w:trPr>
        <w:tc>
          <w:tcPr>
            <w:tcW w:w="1880" w:type="dxa"/>
            <w:tcMar>
              <w:top w:w="100" w:type="dxa"/>
              <w:left w:w="100" w:type="dxa"/>
              <w:bottom w:w="100" w:type="dxa"/>
              <w:right w:w="100" w:type="dxa"/>
            </w:tcMar>
          </w:tcPr>
          <w:p w14:paraId="0601C861" w14:textId="35579AC2" w:rsidR="004669B4" w:rsidRPr="00097432" w:rsidRDefault="004669B4" w:rsidP="00C34272">
            <w:pPr>
              <w:spacing w:line="240" w:lineRule="auto"/>
            </w:pPr>
            <w:r w:rsidRPr="00097432">
              <w:lastRenderedPageBreak/>
              <w:t>Vaccination round</w:t>
            </w:r>
            <w:r w:rsidR="00195CA7">
              <w:rPr>
                <w:rFonts w:hint="eastAsia"/>
              </w:rPr>
              <w:t>s</w:t>
            </w:r>
          </w:p>
        </w:tc>
        <w:tc>
          <w:tcPr>
            <w:tcW w:w="7560" w:type="dxa"/>
            <w:tcMar>
              <w:top w:w="100" w:type="dxa"/>
              <w:left w:w="100" w:type="dxa"/>
              <w:bottom w:w="100" w:type="dxa"/>
              <w:right w:w="100" w:type="dxa"/>
            </w:tcMar>
          </w:tcPr>
          <w:p w14:paraId="0D70DC1A" w14:textId="31BF6CA1" w:rsidR="004669B4" w:rsidRPr="00097432" w:rsidRDefault="00195CA7" w:rsidP="00C34272">
            <w:pPr>
              <w:spacing w:line="240" w:lineRule="auto"/>
            </w:pPr>
            <w:r>
              <w:rPr>
                <w:rFonts w:hint="eastAsia"/>
              </w:rPr>
              <w:t>One round of vaccination per campa</w:t>
            </w:r>
            <w:r w:rsidR="004F7FEF">
              <w:rPr>
                <w:rFonts w:hint="eastAsia"/>
              </w:rPr>
              <w:t>ig</w:t>
            </w:r>
            <w:r>
              <w:rPr>
                <w:rFonts w:hint="eastAsia"/>
              </w:rPr>
              <w:t>n</w:t>
            </w:r>
          </w:p>
        </w:tc>
      </w:tr>
      <w:tr w:rsidR="00195CA7" w:rsidRPr="00097432" w14:paraId="73E2D6B6" w14:textId="77777777" w:rsidTr="00C34272">
        <w:trPr>
          <w:trHeight w:val="393"/>
        </w:trPr>
        <w:tc>
          <w:tcPr>
            <w:tcW w:w="1880" w:type="dxa"/>
            <w:tcMar>
              <w:top w:w="100" w:type="dxa"/>
              <w:left w:w="100" w:type="dxa"/>
              <w:bottom w:w="100" w:type="dxa"/>
              <w:right w:w="100" w:type="dxa"/>
            </w:tcMar>
          </w:tcPr>
          <w:p w14:paraId="4C7DCDFF" w14:textId="03A33618" w:rsidR="00195CA7" w:rsidRPr="00097432" w:rsidRDefault="00195CA7" w:rsidP="00C34272">
            <w:pPr>
              <w:spacing w:line="240" w:lineRule="auto"/>
            </w:pPr>
            <w:r>
              <w:rPr>
                <w:rFonts w:hint="eastAsia"/>
              </w:rPr>
              <w:t>Outbreak data</w:t>
            </w:r>
          </w:p>
        </w:tc>
        <w:tc>
          <w:tcPr>
            <w:tcW w:w="7560" w:type="dxa"/>
            <w:tcMar>
              <w:top w:w="100" w:type="dxa"/>
              <w:left w:w="100" w:type="dxa"/>
              <w:bottom w:w="100" w:type="dxa"/>
              <w:right w:w="100" w:type="dxa"/>
            </w:tcMar>
          </w:tcPr>
          <w:p w14:paraId="11548E46" w14:textId="5A95F74D" w:rsidR="00195CA7" w:rsidRPr="00F91CEE" w:rsidRDefault="00195CA7" w:rsidP="00C34272">
            <w:pPr>
              <w:spacing w:line="240" w:lineRule="auto"/>
            </w:pPr>
            <w:r w:rsidRPr="00F91CEE">
              <w:t>Analyses were performed across all reconstructed outbreaks and in subsets reflecting OCV stockpile deployments during 2013–2020.</w:t>
            </w:r>
          </w:p>
        </w:tc>
      </w:tr>
    </w:tbl>
    <w:p w14:paraId="29AB9BF4" w14:textId="7E2AA71E" w:rsidR="00C75641" w:rsidRPr="00097432" w:rsidRDefault="00AB0EE1" w:rsidP="00F57F15">
      <w:pPr>
        <w:pStyle w:val="Heading3"/>
      </w:pPr>
      <w:bookmarkStart w:id="23" w:name="_Toc184909203"/>
      <w:r w:rsidRPr="00097432">
        <w:t>Cost-effectiveness analysis</w:t>
      </w:r>
      <w:bookmarkStart w:id="24" w:name="_heading=h.2jxsxqh" w:colFirst="0" w:colLast="0"/>
      <w:bookmarkEnd w:id="23"/>
      <w:bookmarkEnd w:id="24"/>
    </w:p>
    <w:p w14:paraId="0ACC3EC3" w14:textId="16926B2B" w:rsidR="005601C2" w:rsidRPr="00097432" w:rsidRDefault="00F903D5" w:rsidP="00F57F15">
      <w:r w:rsidRPr="00097432">
        <w:t xml:space="preserve">We evaluated cost-effectiveness by calculating the cost per case, death, and DALY averted. </w:t>
      </w:r>
      <w:r w:rsidR="00422D17" w:rsidRPr="00097432">
        <w:rPr>
          <w:rFonts w:hint="eastAsia"/>
        </w:rPr>
        <w:t xml:space="preserve">Following </w:t>
      </w:r>
      <w:r w:rsidR="00422D17" w:rsidRPr="00097432">
        <w:t>a literature review</w:t>
      </w:r>
      <w:r w:rsidR="007C178B">
        <w:rPr>
          <w:rFonts w:hint="eastAsia"/>
        </w:rPr>
        <w:t xml:space="preserve"> </w:t>
      </w:r>
      <w:r w:rsidR="00422D17" w:rsidRPr="00097432">
        <w:t>(</w:t>
      </w:r>
      <w:r w:rsidR="007C178B" w:rsidRPr="007C178B">
        <w:rPr>
          <w:rFonts w:hint="eastAsia"/>
          <w:b/>
          <w:bCs/>
        </w:rPr>
        <w:t>Table 1</w:t>
      </w:r>
      <w:r w:rsidR="007C178B">
        <w:rPr>
          <w:rFonts w:hint="eastAsia"/>
        </w:rPr>
        <w:t xml:space="preserve"> and</w:t>
      </w:r>
      <w:r w:rsidR="00422D17" w:rsidRPr="00097432">
        <w:t xml:space="preserve"> Supplementary Material </w:t>
      </w:r>
      <w:r w:rsidR="00422D17" w:rsidRPr="00097432">
        <w:rPr>
          <w:b/>
          <w:bCs/>
        </w:rPr>
        <w:t>S</w:t>
      </w:r>
      <w:r w:rsidR="009206B5" w:rsidRPr="00097432">
        <w:rPr>
          <w:rFonts w:hint="eastAsia"/>
          <w:b/>
          <w:bCs/>
        </w:rPr>
        <w:t>8</w:t>
      </w:r>
      <w:r w:rsidR="00422D17" w:rsidRPr="00097432">
        <w:t>)</w:t>
      </w:r>
      <w:r w:rsidR="00422D17" w:rsidRPr="00097432">
        <w:rPr>
          <w:rFonts w:hint="eastAsia"/>
        </w:rPr>
        <w:t xml:space="preserve">, we selected </w:t>
      </w:r>
      <w:r w:rsidR="00422D17" w:rsidRPr="00097432">
        <w:t>recent, high-quality cost estimates representative of our modeling data.</w:t>
      </w:r>
      <w:r w:rsidRPr="00097432">
        <w:t xml:space="preserve"> To </w:t>
      </w:r>
      <w:r w:rsidR="00422D17" w:rsidRPr="00097432">
        <w:rPr>
          <w:rFonts w:hint="eastAsia"/>
        </w:rPr>
        <w:t xml:space="preserve">be </w:t>
      </w:r>
      <w:r w:rsidRPr="00097432">
        <w:t>comprehensive, we adopted a societal perspective</w:t>
      </w:r>
      <w:r w:rsidR="00422D17" w:rsidRPr="00097432">
        <w:rPr>
          <w:rFonts w:hint="eastAsia"/>
        </w:rPr>
        <w:t xml:space="preserve"> that includes </w:t>
      </w:r>
      <w:r w:rsidRPr="00097432">
        <w:t>direct costs</w:t>
      </w:r>
      <w:r w:rsidR="00422D17" w:rsidRPr="00097432">
        <w:rPr>
          <w:rFonts w:hint="eastAsia"/>
        </w:rPr>
        <w:t xml:space="preserve"> (e.g., </w:t>
      </w:r>
      <w:r w:rsidRPr="00097432">
        <w:t>vaccine procurement and healthcare utilization</w:t>
      </w:r>
      <w:r w:rsidR="00422D17" w:rsidRPr="00097432">
        <w:rPr>
          <w:rFonts w:hint="eastAsia"/>
        </w:rPr>
        <w:t>)</w:t>
      </w:r>
      <w:r w:rsidRPr="00097432">
        <w:t xml:space="preserve"> and indirect costs</w:t>
      </w:r>
      <w:r w:rsidR="00422D17" w:rsidRPr="00097432">
        <w:rPr>
          <w:rFonts w:hint="eastAsia"/>
        </w:rPr>
        <w:t xml:space="preserve"> (e.g., </w:t>
      </w:r>
      <w:r w:rsidRPr="00097432">
        <w:t>productivity losses</w:t>
      </w:r>
      <w:r w:rsidR="00422D17" w:rsidRPr="00097432">
        <w:rPr>
          <w:rFonts w:hint="eastAsia"/>
        </w:rPr>
        <w:t>)</w:t>
      </w:r>
      <w:r w:rsidRPr="00097432">
        <w:t xml:space="preserve">. This perspective provides a holistic </w:t>
      </w:r>
      <w:r w:rsidR="00422D17" w:rsidRPr="00097432">
        <w:rPr>
          <w:rFonts w:hint="eastAsia"/>
        </w:rPr>
        <w:t xml:space="preserve">view of </w:t>
      </w:r>
      <w:r w:rsidRPr="00097432">
        <w:t>ORI intervention</w:t>
      </w:r>
      <w:r w:rsidR="00422D17" w:rsidRPr="00097432">
        <w:rPr>
          <w:rFonts w:hint="eastAsia"/>
        </w:rPr>
        <w:t>s</w:t>
      </w:r>
      <w:r w:rsidRPr="00097432">
        <w:t>.</w:t>
      </w:r>
      <w:r w:rsidRPr="00097432" w:rsidDel="00A60B50">
        <w:t xml:space="preserve"> </w:t>
      </w:r>
      <w:r w:rsidR="00422D17" w:rsidRPr="00097432">
        <w:rPr>
          <w:rFonts w:hint="eastAsia"/>
        </w:rPr>
        <w:t>All costs were</w:t>
      </w:r>
      <w:r w:rsidR="005601C2" w:rsidRPr="00097432">
        <w:t xml:space="preserve"> adjusted to 2023 US</w:t>
      </w:r>
      <w:r w:rsidR="00B42B4E" w:rsidRPr="00097432">
        <w:rPr>
          <w:rFonts w:hint="eastAsia"/>
        </w:rPr>
        <w:t>$</w:t>
      </w:r>
      <w:r w:rsidR="005601C2" w:rsidRPr="00097432">
        <w:t xml:space="preserve"> equivalents by </w:t>
      </w:r>
      <w:r w:rsidR="00422D17" w:rsidRPr="00097432">
        <w:rPr>
          <w:rFonts w:hint="eastAsia"/>
        </w:rPr>
        <w:t xml:space="preserve">inflating </w:t>
      </w:r>
      <w:r w:rsidR="005601C2" w:rsidRPr="00097432">
        <w:t xml:space="preserve">the costs from the </w:t>
      </w:r>
      <w:r w:rsidR="00422D17" w:rsidRPr="00097432">
        <w:rPr>
          <w:rFonts w:hint="eastAsia"/>
        </w:rPr>
        <w:t xml:space="preserve">original </w:t>
      </w:r>
      <w:r w:rsidR="005601C2" w:rsidRPr="00097432">
        <w:t xml:space="preserve">reporting year </w:t>
      </w:r>
      <w:r w:rsidR="00422D17" w:rsidRPr="00097432">
        <w:rPr>
          <w:rFonts w:hint="eastAsia"/>
        </w:rPr>
        <w:t>b</w:t>
      </w:r>
      <w:r w:rsidR="005601C2" w:rsidRPr="00097432">
        <w:t>ased on annual consumer price index change</w:t>
      </w:r>
      <w:r w:rsidR="007D5760" w:rsidRPr="00097432">
        <w:rPr>
          <w:rFonts w:hint="eastAsia"/>
        </w:rPr>
        <w:t xml:space="preserve">s for </w:t>
      </w:r>
      <w:r w:rsidR="00422D17" w:rsidRPr="00097432">
        <w:t xml:space="preserve">sub-Saharan Africa </w:t>
      </w:r>
      <w:r w:rsidR="00422D17" w:rsidRPr="00097432">
        <w:rPr>
          <w:rFonts w:hint="eastAsia"/>
        </w:rPr>
        <w:t xml:space="preserve">through </w:t>
      </w:r>
      <w:r w:rsidR="005601C2" w:rsidRPr="00097432">
        <w:t>2023</w:t>
      </w:r>
      <w:r w:rsidR="009E1BFE" w:rsidRPr="00097432">
        <w:t>.</w:t>
      </w:r>
      <w:r w:rsidR="005601C2" w:rsidRPr="00097432">
        <w:fldChar w:fldCharType="begin"/>
      </w:r>
      <w:r w:rsidR="00345AF1">
        <w:instrText xml:space="preserve"> ADDIN ZOTERO_ITEM CSL_CITATION {"citationID":"MJcbYW5h","properties":{"formattedCitation":"\\super 67\\uc0\\u8211{}69\\nosupersub{}","plainCitation":"67–69","noteIndex":0},"citationItems":[{"id":"EgwuGF5k/nR6s5J8e","uris":["http://zotero.org/users/local/xDVOxgbN/items/YGY5ASJX"],"itemData":{"id":186,"type":"article-journal","container-title":"PLOS Neglected Tropical Diseases","DOI":"10.1371/journal.pntd.0005124","ISSN":"1935-2735","issue":"12","journalAbbreviation":"PLoS Negl Trop Dis","language":"en","page":"e0005124","source":"DOI.org (Crossref)","title":"Oral Cholera Vaccination Delivery Cost in Low- and Middle-Income Countries: An Analysis Based on Systematic Review","title-short":"Oral Cholera Vaccination Delivery Cost in Low- and Middle-Income Countries","volume":"10","author":[{"family":"Mogasale","given":"Vittal"},{"family":"Ramani","given":"Enusa"},{"family":"Wee","given":"Hyeseung"},{"family":"Kim","given":"Jerome H."}],"editor":[{"family":"Ryan","given":"Edward T."}],"issued":{"date-parts":[["2016",12,8]]}}},{"id":"EgwuGF5k/8f1KEHfm","uris":["http://zotero.org/users/local/xDVOxgbN/items/NR3RX8QH"],"itemData":{"id":188,"type":"article-journal","container-title":"Value in Health","DOI":"10.1016/j.jval.2019.03.021","ISSN":"10983015","issue":"9","journalAbbreviation":"Value in Health","language":"en","page":"1026-1032","source":"DOI.org (Crossref)","title":"Adjusting for Inflation and Currency Changes Within Health Economic Studies","volume":"22","author":[{"family":"Turner","given":"Hugo C."},{"family":"Lauer","given":"Jeremy A."},{"family":"Tran","given":"Bach Xuan"},{"family":"Teerawattananon","given":"Yot"},{"family":"Jit","given":"Mark"}],"issued":{"date-parts":[["2019",9]]}}},{"id":"EgwuGF5k/cYVYVGZj","uris":["http://zotero.org/users/local/xDVOxgbN/items/VRNK5YWM"],"itemData":{"id":185,"type":"report","publisher":"Bureau of Labor Statistics","title":"Math calculations to better utilize CPI data","URL":"https://www.bls.gov/cpi/factsheets/cpi-math-calculations.pdf","author":[{"literal":"Bureau of Labor Statistics"}]}}],"schema":"https://github.com/citation-style-language/schema/raw/master/csl-citation.json"} </w:instrText>
      </w:r>
      <w:r w:rsidR="005601C2" w:rsidRPr="00097432">
        <w:fldChar w:fldCharType="separate"/>
      </w:r>
      <w:r w:rsidR="00345AF1" w:rsidRPr="00345AF1">
        <w:rPr>
          <w:rFonts w:cs="Times New Roman"/>
          <w:vertAlign w:val="superscript"/>
        </w:rPr>
        <w:t>67–69</w:t>
      </w:r>
      <w:r w:rsidR="005601C2" w:rsidRPr="00097432">
        <w:fldChar w:fldCharType="end"/>
      </w:r>
    </w:p>
    <w:p w14:paraId="00000180" w14:textId="636AEB63" w:rsidR="00E7552A" w:rsidRPr="00097432" w:rsidRDefault="0091383D" w:rsidP="00F57F15">
      <w:pPr>
        <w:pStyle w:val="Heading2"/>
      </w:pPr>
      <w:bookmarkStart w:id="25" w:name="_heading=h.3j2qqm3" w:colFirst="0" w:colLast="0"/>
      <w:bookmarkStart w:id="26" w:name="_Toc184909204"/>
      <w:bookmarkEnd w:id="25"/>
      <w:r w:rsidRPr="00097432">
        <w:t>Result</w:t>
      </w:r>
      <w:r w:rsidR="00161527" w:rsidRPr="00097432">
        <w:t>s</w:t>
      </w:r>
      <w:bookmarkEnd w:id="26"/>
    </w:p>
    <w:p w14:paraId="1A57C6BF" w14:textId="00304B68" w:rsidR="009505A3" w:rsidRPr="00097432" w:rsidRDefault="004A0798" w:rsidP="00AE499B">
      <w:pPr>
        <w:pStyle w:val="Heading3"/>
      </w:pPr>
      <w:bookmarkStart w:id="27" w:name="_Toc184909205"/>
      <w:r w:rsidRPr="00097432">
        <w:rPr>
          <w:rFonts w:hint="eastAsia"/>
        </w:rPr>
        <w:t>O</w:t>
      </w:r>
      <w:r w:rsidR="000C4FE2" w:rsidRPr="00097432">
        <w:t>utbreak</w:t>
      </w:r>
      <w:r w:rsidRPr="00097432">
        <w:rPr>
          <w:rFonts w:hint="eastAsia"/>
        </w:rPr>
        <w:t xml:space="preserve"> data</w:t>
      </w:r>
      <w:bookmarkEnd w:id="27"/>
    </w:p>
    <w:p w14:paraId="1D0BC1FA" w14:textId="6A343F83" w:rsidR="00C94D30" w:rsidRPr="00097432" w:rsidRDefault="005A7B66" w:rsidP="003938CB">
      <w:r w:rsidRPr="00097432">
        <w:t xml:space="preserve">We </w:t>
      </w:r>
      <w:r w:rsidR="00BF23EA" w:rsidRPr="00097432">
        <w:rPr>
          <w:rFonts w:hint="eastAsia"/>
        </w:rPr>
        <w:t>identified</w:t>
      </w:r>
      <w:r w:rsidR="00BA543A" w:rsidRPr="00097432">
        <w:t xml:space="preserve"> 1,</w:t>
      </w:r>
      <w:r w:rsidR="00280018" w:rsidRPr="00097432">
        <w:rPr>
          <w:rFonts w:hint="eastAsia"/>
        </w:rPr>
        <w:t>192</w:t>
      </w:r>
      <w:r w:rsidR="00BA543A" w:rsidRPr="00097432">
        <w:t xml:space="preserve"> cholera </w:t>
      </w:r>
      <w:r w:rsidR="00722B3A" w:rsidRPr="00097432">
        <w:t>outbreaks</w:t>
      </w:r>
      <w:r w:rsidR="00A46621" w:rsidRPr="00097432">
        <w:t xml:space="preserve"> </w:t>
      </w:r>
      <w:r w:rsidRPr="00097432">
        <w:t>across sub-Saharan Africa</w:t>
      </w:r>
      <w:r w:rsidR="00A46621" w:rsidRPr="00097432">
        <w:t xml:space="preserve"> </w:t>
      </w:r>
      <w:r w:rsidR="001E21A7" w:rsidRPr="00097432">
        <w:rPr>
          <w:rFonts w:hint="eastAsia"/>
        </w:rPr>
        <w:t>between</w:t>
      </w:r>
      <w:r w:rsidR="00A46621" w:rsidRPr="00097432">
        <w:t xml:space="preserve"> 2010 </w:t>
      </w:r>
      <w:r w:rsidR="001E21A7" w:rsidRPr="00097432">
        <w:rPr>
          <w:rFonts w:hint="eastAsia"/>
        </w:rPr>
        <w:t>and</w:t>
      </w:r>
      <w:r w:rsidR="00A46621" w:rsidRPr="00097432">
        <w:t xml:space="preserve"> 202</w:t>
      </w:r>
      <w:r w:rsidR="00280018" w:rsidRPr="00097432">
        <w:rPr>
          <w:rFonts w:hint="eastAsia"/>
        </w:rPr>
        <w:t>0</w:t>
      </w:r>
      <w:r w:rsidR="00C94D30" w:rsidRPr="00097432">
        <w:t>.</w:t>
      </w:r>
      <w:r w:rsidR="00BA543A" w:rsidRPr="00097432">
        <w:t xml:space="preserve"> </w:t>
      </w:r>
      <w:r w:rsidR="001E21A7" w:rsidRPr="00097432">
        <w:rPr>
          <w:rFonts w:hint="eastAsia"/>
        </w:rPr>
        <w:t>At the continental level</w:t>
      </w:r>
      <w:r w:rsidR="006C3069" w:rsidRPr="00097432">
        <w:rPr>
          <w:rFonts w:hint="eastAsia"/>
        </w:rPr>
        <w:t>,</w:t>
      </w:r>
      <w:r w:rsidR="001E21A7" w:rsidRPr="00097432">
        <w:rPr>
          <w:rFonts w:hint="eastAsia"/>
        </w:rPr>
        <w:t xml:space="preserve"> </w:t>
      </w:r>
      <w:r w:rsidR="00D55E1D" w:rsidRPr="00097432">
        <w:rPr>
          <w:rFonts w:hint="eastAsia"/>
        </w:rPr>
        <w:t xml:space="preserve">cholera </w:t>
      </w:r>
      <w:r w:rsidR="003938CB" w:rsidRPr="00097432">
        <w:rPr>
          <w:rFonts w:hint="eastAsia"/>
        </w:rPr>
        <w:t>incidence</w:t>
      </w:r>
      <w:r w:rsidR="00D55E1D" w:rsidRPr="00097432">
        <w:rPr>
          <w:rFonts w:hint="eastAsia"/>
        </w:rPr>
        <w:t xml:space="preserve"> displayed marked </w:t>
      </w:r>
      <w:r w:rsidR="003938CB" w:rsidRPr="00097432">
        <w:rPr>
          <w:rFonts w:hint="eastAsia"/>
        </w:rPr>
        <w:t>temporal</w:t>
      </w:r>
      <w:r w:rsidR="00CF2402" w:rsidRPr="00097432">
        <w:rPr>
          <w:rFonts w:hint="eastAsia"/>
        </w:rPr>
        <w:t xml:space="preserve"> and </w:t>
      </w:r>
      <w:r w:rsidR="007268BF" w:rsidRPr="00097432">
        <w:rPr>
          <w:rFonts w:hint="eastAsia"/>
        </w:rPr>
        <w:t>spatial</w:t>
      </w:r>
      <w:r w:rsidR="003938CB" w:rsidRPr="00097432">
        <w:rPr>
          <w:rFonts w:hint="eastAsia"/>
        </w:rPr>
        <w:t xml:space="preserve"> heterogeneity</w:t>
      </w:r>
      <w:r w:rsidR="007268BF" w:rsidRPr="00097432">
        <w:rPr>
          <w:rFonts w:hint="eastAsia"/>
        </w:rPr>
        <w:t xml:space="preserve">. Monthly time series </w:t>
      </w:r>
      <w:r w:rsidR="00D55E1D" w:rsidRPr="00097432">
        <w:rPr>
          <w:rFonts w:hint="eastAsia"/>
        </w:rPr>
        <w:t>(</w:t>
      </w:r>
      <w:r w:rsidR="00D55E1D" w:rsidRPr="00097432">
        <w:rPr>
          <w:rFonts w:hint="eastAsia"/>
          <w:b/>
          <w:bCs/>
        </w:rPr>
        <w:t>Figure 2A</w:t>
      </w:r>
      <w:r w:rsidR="00D55E1D" w:rsidRPr="00097432">
        <w:rPr>
          <w:rFonts w:hint="eastAsia"/>
        </w:rPr>
        <w:t>) show</w:t>
      </w:r>
      <w:r w:rsidR="007268BF" w:rsidRPr="00097432">
        <w:rPr>
          <w:rFonts w:hint="eastAsia"/>
        </w:rPr>
        <w:t xml:space="preserve"> that most outbreaks </w:t>
      </w:r>
      <w:r w:rsidR="00D55E1D" w:rsidRPr="00097432">
        <w:rPr>
          <w:rFonts w:hint="eastAsia"/>
        </w:rPr>
        <w:t xml:space="preserve">occurred in </w:t>
      </w:r>
      <w:r w:rsidR="007268BF" w:rsidRPr="00097432">
        <w:rPr>
          <w:rFonts w:hint="eastAsia"/>
        </w:rPr>
        <w:t xml:space="preserve">Eastern, Western, and </w:t>
      </w:r>
      <w:r w:rsidR="00D4284E" w:rsidRPr="00097432">
        <w:rPr>
          <w:rFonts w:hint="eastAsia"/>
        </w:rPr>
        <w:t xml:space="preserve">Central </w:t>
      </w:r>
      <w:r w:rsidR="007268BF" w:rsidRPr="00097432">
        <w:rPr>
          <w:rFonts w:hint="eastAsia"/>
        </w:rPr>
        <w:t xml:space="preserve">Africa. </w:t>
      </w:r>
      <w:r w:rsidR="00D55E1D" w:rsidRPr="00097432">
        <w:t xml:space="preserve">Outbreaks during the first half of the period (2010–2015) were concentrated in Western Africa, while those in the latter half (2016–2021) were more prevalent in Eastern Africa. In contrast, </w:t>
      </w:r>
      <w:r w:rsidR="008D2EC7" w:rsidRPr="00097432">
        <w:rPr>
          <w:rFonts w:hint="eastAsia"/>
        </w:rPr>
        <w:t>Central</w:t>
      </w:r>
      <w:r w:rsidR="00D55E1D" w:rsidRPr="00097432">
        <w:t xml:space="preserve"> Africa experienced outbreaks </w:t>
      </w:r>
      <w:r w:rsidR="004E5C8A">
        <w:rPr>
          <w:rFonts w:hint="eastAsia"/>
        </w:rPr>
        <w:t xml:space="preserve">more consistently </w:t>
      </w:r>
      <w:r w:rsidR="00D55E1D" w:rsidRPr="00097432">
        <w:t>across the study period.</w:t>
      </w:r>
      <w:r w:rsidR="0036255C" w:rsidRPr="00097432">
        <w:rPr>
          <w:rFonts w:hint="eastAsia"/>
        </w:rPr>
        <w:t xml:space="preserve"> </w:t>
      </w:r>
      <w:r w:rsidR="00D55E1D" w:rsidRPr="00097432">
        <w:rPr>
          <w:rFonts w:hint="eastAsia"/>
        </w:rPr>
        <w:t xml:space="preserve">Spatial heterogeneity was also </w:t>
      </w:r>
      <w:r w:rsidR="0036255C" w:rsidRPr="00097432">
        <w:rPr>
          <w:rFonts w:hint="eastAsia"/>
        </w:rPr>
        <w:t xml:space="preserve">evident </w:t>
      </w:r>
      <w:r w:rsidR="00D55E1D" w:rsidRPr="00097432">
        <w:rPr>
          <w:rFonts w:hint="eastAsia"/>
        </w:rPr>
        <w:t xml:space="preserve">at finer </w:t>
      </w:r>
      <w:r w:rsidR="003770F2" w:rsidRPr="00097432">
        <w:rPr>
          <w:rFonts w:hint="eastAsia"/>
        </w:rPr>
        <w:t>geographic scales, such as at the country level</w:t>
      </w:r>
      <w:r w:rsidR="0036255C" w:rsidRPr="00097432">
        <w:rPr>
          <w:rFonts w:hint="eastAsia"/>
        </w:rPr>
        <w:t xml:space="preserve"> (</w:t>
      </w:r>
      <w:r w:rsidR="0036255C" w:rsidRPr="00097432">
        <w:rPr>
          <w:rFonts w:hint="eastAsia"/>
          <w:b/>
          <w:bCs/>
        </w:rPr>
        <w:t>Figure 2B</w:t>
      </w:r>
      <w:r w:rsidR="0036255C" w:rsidRPr="00097432">
        <w:rPr>
          <w:rFonts w:hint="eastAsia"/>
        </w:rPr>
        <w:t xml:space="preserve">). Outbreaks </w:t>
      </w:r>
      <w:r w:rsidR="003770F2" w:rsidRPr="00097432">
        <w:rPr>
          <w:rFonts w:hint="eastAsia"/>
        </w:rPr>
        <w:t xml:space="preserve">typically </w:t>
      </w:r>
      <w:r w:rsidR="0036255C" w:rsidRPr="00097432">
        <w:rPr>
          <w:rFonts w:hint="eastAsia"/>
        </w:rPr>
        <w:t>peak</w:t>
      </w:r>
      <w:r w:rsidR="003770F2" w:rsidRPr="00097432">
        <w:rPr>
          <w:rFonts w:hint="eastAsia"/>
        </w:rPr>
        <w:t>ed</w:t>
      </w:r>
      <w:r w:rsidR="0036255C" w:rsidRPr="00097432">
        <w:rPr>
          <w:rFonts w:hint="eastAsia"/>
        </w:rPr>
        <w:t xml:space="preserve"> around week 5 (mean = 6</w:t>
      </w:r>
      <w:r w:rsidR="003770F2" w:rsidRPr="00097432">
        <w:rPr>
          <w:rFonts w:hint="eastAsia"/>
        </w:rPr>
        <w:t xml:space="preserve"> </w:t>
      </w:r>
      <w:r w:rsidR="0098208C">
        <w:rPr>
          <w:rFonts w:hint="eastAsia"/>
        </w:rPr>
        <w:t xml:space="preserve">weeks </w:t>
      </w:r>
      <w:r w:rsidR="0036255C" w:rsidRPr="00097432">
        <w:rPr>
          <w:rFonts w:hint="eastAsia"/>
        </w:rPr>
        <w:t>and median =</w:t>
      </w:r>
      <w:r w:rsidR="003770F2" w:rsidRPr="00097432">
        <w:rPr>
          <w:rFonts w:hint="eastAsia"/>
        </w:rPr>
        <w:t xml:space="preserve"> </w:t>
      </w:r>
      <w:r w:rsidR="0036255C" w:rsidRPr="00097432">
        <w:rPr>
          <w:rFonts w:hint="eastAsia"/>
        </w:rPr>
        <w:t>4</w:t>
      </w:r>
      <w:r w:rsidR="003770F2" w:rsidRPr="00097432">
        <w:rPr>
          <w:rFonts w:hint="eastAsia"/>
        </w:rPr>
        <w:t xml:space="preserve"> weeks</w:t>
      </w:r>
      <w:r w:rsidR="0036255C" w:rsidRPr="00097432">
        <w:rPr>
          <w:rFonts w:hint="eastAsia"/>
        </w:rPr>
        <w:t>)</w:t>
      </w:r>
      <w:r w:rsidR="003770F2" w:rsidRPr="00097432">
        <w:rPr>
          <w:rFonts w:hint="eastAsia"/>
        </w:rPr>
        <w:t>,</w:t>
      </w:r>
      <w:r w:rsidR="0036255C" w:rsidRPr="00097432">
        <w:rPr>
          <w:rFonts w:hint="eastAsia"/>
        </w:rPr>
        <w:t xml:space="preserve"> with </w:t>
      </w:r>
      <w:r w:rsidR="003770F2" w:rsidRPr="00097432">
        <w:rPr>
          <w:rFonts w:hint="eastAsia"/>
        </w:rPr>
        <w:t xml:space="preserve">approximately </w:t>
      </w:r>
      <w:r w:rsidR="0036255C" w:rsidRPr="00097432">
        <w:rPr>
          <w:rFonts w:hint="eastAsia"/>
        </w:rPr>
        <w:t xml:space="preserve">88% </w:t>
      </w:r>
      <w:r w:rsidR="003770F2" w:rsidRPr="00097432">
        <w:rPr>
          <w:rFonts w:hint="eastAsia"/>
        </w:rPr>
        <w:t>reaching their</w:t>
      </w:r>
      <w:r w:rsidR="0036255C" w:rsidRPr="00097432">
        <w:rPr>
          <w:rFonts w:hint="eastAsia"/>
        </w:rPr>
        <w:t xml:space="preserve"> peak before week 10 (</w:t>
      </w:r>
      <w:r w:rsidR="0036255C" w:rsidRPr="00097432">
        <w:rPr>
          <w:rFonts w:hint="eastAsia"/>
          <w:b/>
          <w:bCs/>
        </w:rPr>
        <w:t>Figure 2C</w:t>
      </w:r>
      <w:r w:rsidR="0036255C" w:rsidRPr="00097432">
        <w:rPr>
          <w:rFonts w:hint="eastAsia"/>
        </w:rPr>
        <w:t xml:space="preserve">). </w:t>
      </w:r>
      <w:r w:rsidR="003770F2" w:rsidRPr="00097432">
        <w:rPr>
          <w:rFonts w:hint="eastAsia"/>
        </w:rPr>
        <w:t>Substantial variation was observed in outbreak characteristics, including size duration, and attack rate (</w:t>
      </w:r>
      <w:r w:rsidR="003770F2" w:rsidRPr="00097432">
        <w:rPr>
          <w:rFonts w:hint="eastAsia"/>
          <w:b/>
          <w:bCs/>
        </w:rPr>
        <w:t>Figures 2D-E</w:t>
      </w:r>
      <w:r w:rsidR="003770F2" w:rsidRPr="00097432">
        <w:rPr>
          <w:rFonts w:hint="eastAsia"/>
        </w:rPr>
        <w:t xml:space="preserve">). </w:t>
      </w:r>
      <w:r w:rsidR="006C3069" w:rsidRPr="00097432">
        <w:rPr>
          <w:rFonts w:hint="eastAsia"/>
        </w:rPr>
        <w:t>Outbreak d</w:t>
      </w:r>
      <w:r w:rsidR="003938CB" w:rsidRPr="00097432">
        <w:rPr>
          <w:rFonts w:hint="eastAsia"/>
        </w:rPr>
        <w:t>uration</w:t>
      </w:r>
      <w:r w:rsidR="006C3069" w:rsidRPr="00097432">
        <w:rPr>
          <w:rFonts w:hint="eastAsia"/>
        </w:rPr>
        <w:t>s</w:t>
      </w:r>
      <w:r w:rsidR="003938CB" w:rsidRPr="00097432">
        <w:rPr>
          <w:rFonts w:hint="eastAsia"/>
        </w:rPr>
        <w:t xml:space="preserve"> </w:t>
      </w:r>
      <w:r w:rsidR="00BA543A" w:rsidRPr="00097432">
        <w:lastRenderedPageBreak/>
        <w:t>rang</w:t>
      </w:r>
      <w:r w:rsidR="006C3069" w:rsidRPr="00097432">
        <w:rPr>
          <w:rFonts w:hint="eastAsia"/>
        </w:rPr>
        <w:t>ed</w:t>
      </w:r>
      <w:r w:rsidR="00BA543A" w:rsidRPr="00097432">
        <w:t xml:space="preserve"> from 5 to </w:t>
      </w:r>
      <w:r w:rsidR="009B4EE0">
        <w:rPr>
          <w:rFonts w:hint="eastAsia"/>
        </w:rPr>
        <w:t>93</w:t>
      </w:r>
      <w:r w:rsidR="00BA543A" w:rsidRPr="00097432">
        <w:t xml:space="preserve"> weeks</w:t>
      </w:r>
      <w:r w:rsidR="006C3069" w:rsidRPr="00097432">
        <w:rPr>
          <w:rFonts w:hint="eastAsia"/>
        </w:rPr>
        <w:t xml:space="preserve">, </w:t>
      </w:r>
      <w:r w:rsidR="003938CB" w:rsidRPr="00097432">
        <w:t xml:space="preserve">sizes </w:t>
      </w:r>
      <w:r w:rsidR="006C3069" w:rsidRPr="00097432">
        <w:rPr>
          <w:rFonts w:hint="eastAsia"/>
        </w:rPr>
        <w:t>f</w:t>
      </w:r>
      <w:r w:rsidR="003938CB" w:rsidRPr="00097432">
        <w:t>rom 3 to 1</w:t>
      </w:r>
      <w:r w:rsidR="009B4EE0">
        <w:rPr>
          <w:rFonts w:hint="eastAsia"/>
        </w:rPr>
        <w:t>4</w:t>
      </w:r>
      <w:r w:rsidR="003938CB" w:rsidRPr="00097432">
        <w:t>,</w:t>
      </w:r>
      <w:r w:rsidR="009B4EE0">
        <w:rPr>
          <w:rFonts w:hint="eastAsia"/>
        </w:rPr>
        <w:t>522</w:t>
      </w:r>
      <w:r w:rsidR="003938CB" w:rsidRPr="00097432">
        <w:t xml:space="preserve"> suspected cases</w:t>
      </w:r>
      <w:r w:rsidR="006C3069" w:rsidRPr="00097432">
        <w:rPr>
          <w:rFonts w:hint="eastAsia"/>
        </w:rPr>
        <w:t>, and t</w:t>
      </w:r>
      <w:r w:rsidR="006C3069" w:rsidRPr="00097432">
        <w:t>he attack rate</w:t>
      </w:r>
      <w:r w:rsidR="003770F2" w:rsidRPr="00097432">
        <w:rPr>
          <w:rFonts w:hint="eastAsia"/>
        </w:rPr>
        <w:t>s</w:t>
      </w:r>
      <w:r w:rsidR="006C3069" w:rsidRPr="00097432">
        <w:t xml:space="preserve"> from 0.00</w:t>
      </w:r>
      <w:r w:rsidR="009B4EE0">
        <w:rPr>
          <w:rFonts w:hint="eastAsia"/>
        </w:rPr>
        <w:t>5</w:t>
      </w:r>
      <w:r w:rsidR="006C3069" w:rsidRPr="00097432">
        <w:t xml:space="preserve"> to </w:t>
      </w:r>
      <w:r w:rsidR="009B4EE0">
        <w:rPr>
          <w:rFonts w:hint="eastAsia"/>
        </w:rPr>
        <w:t>112</w:t>
      </w:r>
      <w:r w:rsidR="006C3069" w:rsidRPr="00097432">
        <w:t xml:space="preserve"> rates per 10,000 p</w:t>
      </w:r>
      <w:r w:rsidR="003770F2" w:rsidRPr="00097432">
        <w:rPr>
          <w:rFonts w:hint="eastAsia"/>
        </w:rPr>
        <w:t>opulations</w:t>
      </w:r>
      <w:r w:rsidR="003938CB" w:rsidRPr="00097432">
        <w:rPr>
          <w:rFonts w:hint="eastAsia"/>
          <w:b/>
          <w:bCs/>
        </w:rPr>
        <w:t>.</w:t>
      </w:r>
      <w:r w:rsidR="00722B3A" w:rsidRPr="00097432">
        <w:t xml:space="preserve"> </w:t>
      </w:r>
      <w:r w:rsidR="00A51D17" w:rsidRPr="00097432">
        <w:t>Of the 1</w:t>
      </w:r>
      <w:r w:rsidR="00C94D30" w:rsidRPr="00097432">
        <w:t>5</w:t>
      </w:r>
      <w:r w:rsidR="00722B3A" w:rsidRPr="00097432">
        <w:t>2</w:t>
      </w:r>
      <w:r w:rsidR="00A51D17" w:rsidRPr="00097432">
        <w:t xml:space="preserve"> </w:t>
      </w:r>
      <w:r w:rsidR="00262CE6" w:rsidRPr="00097432">
        <w:t xml:space="preserve">outbreaks </w:t>
      </w:r>
      <w:r w:rsidR="001E21A7" w:rsidRPr="00097432">
        <w:rPr>
          <w:rFonts w:hint="eastAsia"/>
        </w:rPr>
        <w:t xml:space="preserve">reporting </w:t>
      </w:r>
      <w:r w:rsidR="00722B3A" w:rsidRPr="00097432">
        <w:t>at least one laboratory-confirmed case</w:t>
      </w:r>
      <w:r w:rsidR="00A51D17" w:rsidRPr="00097432">
        <w:t xml:space="preserve">, duration ranged from </w:t>
      </w:r>
      <w:r w:rsidR="00262CE6" w:rsidRPr="00097432">
        <w:t>5</w:t>
      </w:r>
      <w:r w:rsidR="005A20BB" w:rsidRPr="00097432">
        <w:t xml:space="preserve"> </w:t>
      </w:r>
      <w:r w:rsidR="00A51D17" w:rsidRPr="00097432">
        <w:t>to</w:t>
      </w:r>
      <w:r w:rsidR="00722B3A" w:rsidRPr="00097432">
        <w:t xml:space="preserve"> 56 </w:t>
      </w:r>
      <w:r w:rsidR="005A20BB" w:rsidRPr="00097432">
        <w:t>weeks</w:t>
      </w:r>
      <w:r w:rsidR="00F333D1" w:rsidRPr="00097432">
        <w:rPr>
          <w:rFonts w:hint="eastAsia"/>
        </w:rPr>
        <w:t xml:space="preserve">, outbreak </w:t>
      </w:r>
      <w:r w:rsidR="00A51D17" w:rsidRPr="00097432">
        <w:t>size</w:t>
      </w:r>
      <w:r w:rsidR="00C94D30" w:rsidRPr="00097432">
        <w:t>s</w:t>
      </w:r>
      <w:r w:rsidR="00A51D17" w:rsidRPr="00097432">
        <w:t xml:space="preserve"> </w:t>
      </w:r>
      <w:r w:rsidR="00F333D1" w:rsidRPr="00097432">
        <w:rPr>
          <w:rFonts w:hint="eastAsia"/>
        </w:rPr>
        <w:t xml:space="preserve">from </w:t>
      </w:r>
      <w:r w:rsidR="009B0441" w:rsidRPr="00097432">
        <w:t>10</w:t>
      </w:r>
      <w:r w:rsidR="00A51D17" w:rsidRPr="00097432">
        <w:t xml:space="preserve"> </w:t>
      </w:r>
      <w:r w:rsidR="00F333D1" w:rsidRPr="00097432">
        <w:rPr>
          <w:rFonts w:hint="eastAsia"/>
        </w:rPr>
        <w:t>to</w:t>
      </w:r>
      <w:r w:rsidR="00A51D17" w:rsidRPr="00097432">
        <w:t xml:space="preserve"> </w:t>
      </w:r>
      <w:r w:rsidR="00970F23">
        <w:rPr>
          <w:rFonts w:hint="eastAsia"/>
        </w:rPr>
        <w:t>7</w:t>
      </w:r>
      <w:r w:rsidR="009B0441" w:rsidRPr="00097432">
        <w:t>,</w:t>
      </w:r>
      <w:r w:rsidR="00970F23">
        <w:rPr>
          <w:rFonts w:hint="eastAsia"/>
        </w:rPr>
        <w:t>726</w:t>
      </w:r>
      <w:r w:rsidR="005A20BB" w:rsidRPr="00097432">
        <w:t xml:space="preserve"> suspected cases</w:t>
      </w:r>
      <w:r w:rsidR="00F333D1" w:rsidRPr="00097432">
        <w:rPr>
          <w:rFonts w:hint="eastAsia"/>
        </w:rPr>
        <w:t xml:space="preserve">, and attack rates </w:t>
      </w:r>
      <w:r w:rsidR="003770F2" w:rsidRPr="00097432">
        <w:rPr>
          <w:rFonts w:hint="eastAsia"/>
        </w:rPr>
        <w:t>from</w:t>
      </w:r>
      <w:r w:rsidR="00F333D1" w:rsidRPr="00097432">
        <w:rPr>
          <w:rFonts w:hint="eastAsia"/>
        </w:rPr>
        <w:t xml:space="preserve"> 0</w:t>
      </w:r>
      <w:r w:rsidR="002E5B0B" w:rsidRPr="00097432">
        <w:t>.00</w:t>
      </w:r>
      <w:r w:rsidR="00970F23">
        <w:rPr>
          <w:rFonts w:hint="eastAsia"/>
        </w:rPr>
        <w:t>5</w:t>
      </w:r>
      <w:r w:rsidR="002E5B0B" w:rsidRPr="00097432">
        <w:t xml:space="preserve"> </w:t>
      </w:r>
      <w:r w:rsidR="003770F2" w:rsidRPr="00097432">
        <w:rPr>
          <w:rFonts w:hint="eastAsia"/>
        </w:rPr>
        <w:t>to</w:t>
      </w:r>
      <w:r w:rsidR="002E5B0B" w:rsidRPr="00097432">
        <w:t xml:space="preserve"> </w:t>
      </w:r>
      <w:r w:rsidR="00970F23">
        <w:rPr>
          <w:rFonts w:hint="eastAsia"/>
        </w:rPr>
        <w:t>19</w:t>
      </w:r>
      <w:r w:rsidR="002E5B0B" w:rsidRPr="00097432">
        <w:t xml:space="preserve"> rates per 10,000 </w:t>
      </w:r>
      <w:r w:rsidR="003770F2" w:rsidRPr="00097432">
        <w:rPr>
          <w:rFonts w:hint="eastAsia"/>
        </w:rPr>
        <w:t>population</w:t>
      </w:r>
      <w:r w:rsidR="002E5B0B" w:rsidRPr="00097432">
        <w:t>.</w:t>
      </w:r>
      <w:r w:rsidR="00A43F14" w:rsidRPr="00097432">
        <w:t xml:space="preserve"> </w:t>
      </w:r>
      <w:r w:rsidR="00CF2402" w:rsidRPr="00097432">
        <w:rPr>
          <w:rFonts w:hint="eastAsia"/>
        </w:rPr>
        <w:t xml:space="preserve">Excluded outbreaks </w:t>
      </w:r>
      <w:r w:rsidR="003770F2" w:rsidRPr="00097432">
        <w:rPr>
          <w:rFonts w:hint="eastAsia"/>
        </w:rPr>
        <w:t xml:space="preserve">exhibited </w:t>
      </w:r>
      <w:r w:rsidR="00CF2402" w:rsidRPr="00097432">
        <w:rPr>
          <w:rFonts w:hint="eastAsia"/>
        </w:rPr>
        <w:t>similar spatiotemporal patterns</w:t>
      </w:r>
      <w:r w:rsidR="003770F2" w:rsidRPr="00097432">
        <w:rPr>
          <w:rFonts w:hint="eastAsia"/>
        </w:rPr>
        <w:t>, although their sizes tended to be larger.</w:t>
      </w:r>
      <w:r w:rsidR="00CF2402" w:rsidRPr="00097432">
        <w:rPr>
          <w:rFonts w:hint="eastAsia"/>
        </w:rPr>
        <w:t xml:space="preserve"> </w:t>
      </w:r>
      <w:r w:rsidR="003770F2" w:rsidRPr="00097432">
        <w:t xml:space="preserve">These consistencies </w:t>
      </w:r>
      <w:r w:rsidR="003770F2" w:rsidRPr="00097432">
        <w:rPr>
          <w:rFonts w:hint="eastAsia"/>
        </w:rPr>
        <w:t xml:space="preserve">between </w:t>
      </w:r>
      <w:r w:rsidR="003770F2" w:rsidRPr="00097432">
        <w:t>included and excluded outbreaks suggest that the dataset is broadly representative</w:t>
      </w:r>
      <w:r w:rsidR="003770F2" w:rsidRPr="00097432">
        <w:rPr>
          <w:rFonts w:hint="eastAsia"/>
        </w:rPr>
        <w:t xml:space="preserve"> </w:t>
      </w:r>
      <w:r w:rsidR="00CF2402" w:rsidRPr="00097432">
        <w:rPr>
          <w:rFonts w:hint="eastAsia"/>
        </w:rPr>
        <w:t>(</w:t>
      </w:r>
      <w:r w:rsidR="000B37F2" w:rsidRPr="00097432">
        <w:rPr>
          <w:rFonts w:hint="eastAsia"/>
          <w:b/>
          <w:bCs/>
        </w:rPr>
        <w:t>Figure S</w:t>
      </w:r>
      <w:r w:rsidR="00A80FF7">
        <w:rPr>
          <w:rFonts w:hint="eastAsia"/>
          <w:b/>
          <w:bCs/>
        </w:rPr>
        <w:t>2</w:t>
      </w:r>
      <w:r w:rsidR="000B37F2" w:rsidRPr="00097432">
        <w:rPr>
          <w:rFonts w:hint="eastAsia"/>
        </w:rPr>
        <w:t xml:space="preserve"> in Supplementary Material</w:t>
      </w:r>
      <w:r w:rsidR="00CF2402" w:rsidRPr="00097432">
        <w:rPr>
          <w:rFonts w:hint="eastAsia"/>
        </w:rPr>
        <w:t>)</w:t>
      </w:r>
      <w:r w:rsidR="00B42B4E" w:rsidRPr="00097432">
        <w:rPr>
          <w:rFonts w:hint="eastAsia"/>
        </w:rPr>
        <w:t>.</w:t>
      </w:r>
      <w:r w:rsidR="00C94D30" w:rsidRPr="00097432">
        <w:t xml:space="preserve"> </w:t>
      </w:r>
    </w:p>
    <w:p w14:paraId="768EC1D7" w14:textId="0457159C" w:rsidR="00F07ABA" w:rsidRPr="00097432" w:rsidRDefault="008C5352" w:rsidP="00F57F15">
      <w:pPr>
        <w:pStyle w:val="Heading3"/>
      </w:pPr>
      <w:bookmarkStart w:id="28" w:name="_Toc184909206"/>
      <w:r w:rsidRPr="00097432">
        <w:t>Impact of ORI</w:t>
      </w:r>
      <w:bookmarkEnd w:id="28"/>
      <w:r w:rsidR="00CE75ED" w:rsidRPr="00097432">
        <w:rPr>
          <w:rFonts w:hint="eastAsia"/>
        </w:rPr>
        <w:t>s</w:t>
      </w:r>
      <w:r w:rsidR="004A0798" w:rsidRPr="00097432">
        <w:rPr>
          <w:rFonts w:hint="eastAsia"/>
        </w:rPr>
        <w:t xml:space="preserve"> </w:t>
      </w:r>
      <w:proofErr w:type="gramStart"/>
      <w:r w:rsidR="002837D3">
        <w:rPr>
          <w:rFonts w:hint="eastAsia"/>
        </w:rPr>
        <w:t>in</w:t>
      </w:r>
      <w:proofErr w:type="gramEnd"/>
      <w:r w:rsidR="002837D3">
        <w:rPr>
          <w:rFonts w:hint="eastAsia"/>
        </w:rPr>
        <w:t xml:space="preserve"> </w:t>
      </w:r>
      <w:r w:rsidR="004A0798" w:rsidRPr="00097432">
        <w:rPr>
          <w:rFonts w:hint="eastAsia"/>
        </w:rPr>
        <w:t>individual outbreak</w:t>
      </w:r>
      <w:r w:rsidR="002837D3">
        <w:rPr>
          <w:rFonts w:hint="eastAsia"/>
        </w:rPr>
        <w:t>s</w:t>
      </w:r>
    </w:p>
    <w:p w14:paraId="3DAB3980" w14:textId="1C821B3A" w:rsidR="00CE75ED" w:rsidRPr="00097432" w:rsidRDefault="00CE75ED" w:rsidP="00CE75ED">
      <w:pPr>
        <w:pStyle w:val="Heading4"/>
      </w:pPr>
      <w:r w:rsidRPr="00097432">
        <w:rPr>
          <w:rFonts w:hint="eastAsia"/>
        </w:rPr>
        <w:t>Impact of ORIs across campaign timing and coverage levels</w:t>
      </w:r>
    </w:p>
    <w:p w14:paraId="71C3F339" w14:textId="62209193" w:rsidR="008946DF" w:rsidRDefault="00972DD3" w:rsidP="000A78DF">
      <w:r w:rsidRPr="00097432">
        <w:rPr>
          <w:rFonts w:hint="eastAsia"/>
        </w:rPr>
        <w:t>In the o</w:t>
      </w:r>
      <w:r w:rsidR="00CE75ED" w:rsidRPr="00097432">
        <w:rPr>
          <w:rFonts w:hint="eastAsia"/>
        </w:rPr>
        <w:t>utbreak onset-</w:t>
      </w:r>
      <w:r w:rsidR="00707FAB" w:rsidRPr="00097432">
        <w:t xml:space="preserve">triggered </w:t>
      </w:r>
      <w:r w:rsidRPr="00097432">
        <w:rPr>
          <w:rFonts w:hint="eastAsia"/>
        </w:rPr>
        <w:t xml:space="preserve">scenario, </w:t>
      </w:r>
      <w:r w:rsidR="0081188F" w:rsidRPr="00097432">
        <w:rPr>
          <w:rFonts w:hint="eastAsia"/>
        </w:rPr>
        <w:t xml:space="preserve">an </w:t>
      </w:r>
      <w:r w:rsidRPr="00097432">
        <w:rPr>
          <w:rFonts w:hint="eastAsia"/>
        </w:rPr>
        <w:t xml:space="preserve">ORI </w:t>
      </w:r>
      <w:r w:rsidR="0081188F" w:rsidRPr="00097432">
        <w:t xml:space="preserve">launched without delay (week 1) </w:t>
      </w:r>
      <w:r w:rsidR="0081188F" w:rsidRPr="00097432">
        <w:rPr>
          <w:rFonts w:hint="eastAsia"/>
        </w:rPr>
        <w:t xml:space="preserve">at 75% coverage </w:t>
      </w:r>
      <w:proofErr w:type="gramStart"/>
      <w:r w:rsidR="0081188F" w:rsidRPr="00097432">
        <w:rPr>
          <w:rFonts w:hint="eastAsia"/>
        </w:rPr>
        <w:t>averted</w:t>
      </w:r>
      <w:proofErr w:type="gramEnd"/>
      <w:r w:rsidR="0081188F" w:rsidRPr="00097432">
        <w:rPr>
          <w:rFonts w:hint="eastAsia"/>
        </w:rPr>
        <w:t xml:space="preserve"> a median of</w:t>
      </w:r>
      <w:r w:rsidR="00445A45" w:rsidRPr="00097432">
        <w:rPr>
          <w:rFonts w:hint="eastAsia"/>
        </w:rPr>
        <w:t xml:space="preserve"> </w:t>
      </w:r>
      <w:r w:rsidR="00114033" w:rsidRPr="00097432">
        <w:t>130</w:t>
      </w:r>
      <w:r w:rsidR="00114033" w:rsidRPr="00097432">
        <w:rPr>
          <w:rFonts w:hint="eastAsia"/>
        </w:rPr>
        <w:t xml:space="preserve"> </w:t>
      </w:r>
      <w:r w:rsidR="00A81382" w:rsidRPr="00097432">
        <w:t>cases</w:t>
      </w:r>
      <w:r w:rsidR="00A81382" w:rsidRPr="00097432">
        <w:rPr>
          <w:rFonts w:hint="eastAsia"/>
        </w:rPr>
        <w:t xml:space="preserve"> </w:t>
      </w:r>
      <w:r w:rsidR="00B2340C" w:rsidRPr="00097432">
        <w:rPr>
          <w:rFonts w:hint="eastAsia"/>
        </w:rPr>
        <w:t>[</w:t>
      </w:r>
      <w:r w:rsidR="00114033" w:rsidRPr="00097432">
        <w:rPr>
          <w:rFonts w:hint="eastAsia"/>
        </w:rPr>
        <w:t>IQR</w:t>
      </w:r>
      <w:r w:rsidR="00B2340C" w:rsidRPr="00097432">
        <w:rPr>
          <w:rFonts w:hint="eastAsia"/>
        </w:rPr>
        <w:t>:</w:t>
      </w:r>
      <w:r w:rsidR="00114033" w:rsidRPr="00097432">
        <w:t xml:space="preserve"> 41.5</w:t>
      </w:r>
      <w:r w:rsidR="00662D4B">
        <w:rPr>
          <w:rFonts w:hint="eastAsia"/>
        </w:rPr>
        <w:t xml:space="preserve"> -</w:t>
      </w:r>
      <w:r w:rsidR="00114033" w:rsidRPr="00097432">
        <w:rPr>
          <w:rFonts w:hint="eastAsia"/>
        </w:rPr>
        <w:t xml:space="preserve"> </w:t>
      </w:r>
      <w:r w:rsidR="00114033" w:rsidRPr="00097432">
        <w:t>377</w:t>
      </w:r>
      <w:r w:rsidR="00B2340C" w:rsidRPr="00097432">
        <w:rPr>
          <w:rFonts w:hint="eastAsia"/>
        </w:rPr>
        <w:t>]</w:t>
      </w:r>
      <w:r w:rsidR="0081188F" w:rsidRPr="00097432">
        <w:rPr>
          <w:rFonts w:hint="eastAsia"/>
        </w:rPr>
        <w:t>,</w:t>
      </w:r>
      <w:r w:rsidR="008D2EC7" w:rsidRPr="00097432">
        <w:rPr>
          <w:rFonts w:hint="eastAsia"/>
        </w:rPr>
        <w:t xml:space="preserve"> </w:t>
      </w:r>
      <w:proofErr w:type="gramStart"/>
      <w:r w:rsidR="008D2EC7" w:rsidRPr="00097432">
        <w:rPr>
          <w:rFonts w:hint="eastAsia"/>
        </w:rPr>
        <w:t>corresponding</w:t>
      </w:r>
      <w:proofErr w:type="gramEnd"/>
      <w:r w:rsidR="008D2EC7" w:rsidRPr="00097432">
        <w:rPr>
          <w:rFonts w:hint="eastAsia"/>
        </w:rPr>
        <w:t xml:space="preserve"> </w:t>
      </w:r>
      <w:r w:rsidR="0088044A" w:rsidRPr="00097432">
        <w:t>70.5</w:t>
      </w:r>
      <w:r w:rsidR="00A81382">
        <w:rPr>
          <w:rFonts w:hint="eastAsia"/>
        </w:rPr>
        <w:t>%</w:t>
      </w:r>
      <w:r w:rsidR="0088044A" w:rsidRPr="00097432">
        <w:t xml:space="preserve"> [IQR: 49.5</w:t>
      </w:r>
      <w:r w:rsidR="002D36BC">
        <w:rPr>
          <w:rFonts w:hint="eastAsia"/>
        </w:rPr>
        <w:t xml:space="preserve"> </w:t>
      </w:r>
      <w:proofErr w:type="gramStart"/>
      <w:r w:rsidR="002D36BC">
        <w:rPr>
          <w:rFonts w:hint="eastAsia"/>
        </w:rPr>
        <w:t xml:space="preserve">- </w:t>
      </w:r>
      <w:r w:rsidR="0088044A" w:rsidRPr="00097432">
        <w:t xml:space="preserve"> 83.6</w:t>
      </w:r>
      <w:proofErr w:type="gramEnd"/>
      <w:r w:rsidR="0088044A" w:rsidRPr="00097432">
        <w:t>]</w:t>
      </w:r>
      <w:r w:rsidR="008D2EC7" w:rsidRPr="00097432">
        <w:rPr>
          <w:rFonts w:hint="eastAsia"/>
        </w:rPr>
        <w:t xml:space="preserve"> o</w:t>
      </w:r>
      <w:r w:rsidR="008D2EC7" w:rsidRPr="00097432">
        <w:t xml:space="preserve">f all </w:t>
      </w:r>
      <w:r w:rsidR="002D36BC">
        <w:rPr>
          <w:rFonts w:hint="eastAsia"/>
        </w:rPr>
        <w:t xml:space="preserve">outbreak </w:t>
      </w:r>
      <w:r w:rsidR="008D2EC7" w:rsidRPr="00097432">
        <w:t>cases, including those before and after the trigger</w:t>
      </w:r>
      <w:r w:rsidR="008D2EC7" w:rsidRPr="00097432">
        <w:rPr>
          <w:rFonts w:hint="eastAsia"/>
        </w:rPr>
        <w:t xml:space="preserve"> </w:t>
      </w:r>
      <w:r w:rsidR="00445A45" w:rsidRPr="00097432">
        <w:rPr>
          <w:rFonts w:hint="eastAsia"/>
        </w:rPr>
        <w:t>(</w:t>
      </w:r>
      <w:r w:rsidR="00445A45" w:rsidRPr="00097432">
        <w:rPr>
          <w:rFonts w:hint="eastAsia"/>
          <w:b/>
          <w:bCs/>
        </w:rPr>
        <w:t>Figure</w:t>
      </w:r>
      <w:r w:rsidR="00DB4817" w:rsidRPr="00097432">
        <w:rPr>
          <w:rFonts w:hint="eastAsia"/>
          <w:b/>
          <w:bCs/>
        </w:rPr>
        <w:t>s</w:t>
      </w:r>
      <w:r w:rsidR="00445A45" w:rsidRPr="00097432">
        <w:rPr>
          <w:rFonts w:hint="eastAsia"/>
          <w:b/>
          <w:bCs/>
        </w:rPr>
        <w:t xml:space="preserve"> 3A</w:t>
      </w:r>
      <w:r w:rsidR="00186FD2" w:rsidRPr="00097432">
        <w:rPr>
          <w:rFonts w:hint="eastAsia"/>
        </w:rPr>
        <w:t>-</w:t>
      </w:r>
      <w:r w:rsidR="003814DE" w:rsidRPr="00097432">
        <w:rPr>
          <w:rFonts w:hint="eastAsia"/>
          <w:b/>
          <w:bCs/>
        </w:rPr>
        <w:t>B</w:t>
      </w:r>
      <w:r w:rsidR="00445A45" w:rsidRPr="00097432">
        <w:rPr>
          <w:rFonts w:hint="eastAsia"/>
        </w:rPr>
        <w:t>)</w:t>
      </w:r>
      <w:r w:rsidR="00B2340C" w:rsidRPr="00097432">
        <w:rPr>
          <w:rFonts w:hint="eastAsia"/>
        </w:rPr>
        <w:t xml:space="preserve">. </w:t>
      </w:r>
      <w:r w:rsidRPr="00097432">
        <w:rPr>
          <w:rFonts w:hint="eastAsia"/>
        </w:rPr>
        <w:t>ORI</w:t>
      </w:r>
      <w:r w:rsidR="003814DE" w:rsidRPr="00097432">
        <w:rPr>
          <w:rFonts w:hint="eastAsia"/>
        </w:rPr>
        <w:t xml:space="preserve"> </w:t>
      </w:r>
      <w:r w:rsidR="00186FD2" w:rsidRPr="00097432">
        <w:rPr>
          <w:rFonts w:hint="eastAsia"/>
        </w:rPr>
        <w:t xml:space="preserve">effectiveness </w:t>
      </w:r>
      <w:r w:rsidR="003814DE" w:rsidRPr="00097432">
        <w:rPr>
          <w:rFonts w:hint="eastAsia"/>
        </w:rPr>
        <w:t xml:space="preserve">declined </w:t>
      </w:r>
      <w:r w:rsidR="00A81382">
        <w:rPr>
          <w:rFonts w:hint="eastAsia"/>
        </w:rPr>
        <w:t>sharply</w:t>
      </w:r>
      <w:r w:rsidRPr="00097432">
        <w:rPr>
          <w:rFonts w:hint="eastAsia"/>
        </w:rPr>
        <w:t xml:space="preserve"> </w:t>
      </w:r>
      <w:r w:rsidR="00186FD2" w:rsidRPr="00097432">
        <w:rPr>
          <w:rFonts w:hint="eastAsia"/>
        </w:rPr>
        <w:t>with later implementation</w:t>
      </w:r>
      <w:r w:rsidR="002D36BC">
        <w:rPr>
          <w:rFonts w:hint="eastAsia"/>
        </w:rPr>
        <w:t>: b</w:t>
      </w:r>
      <w:r w:rsidR="00A81382">
        <w:rPr>
          <w:rFonts w:hint="eastAsia"/>
        </w:rPr>
        <w:t>y week 9</w:t>
      </w:r>
      <w:r w:rsidR="00530F5F" w:rsidRPr="00097432">
        <w:rPr>
          <w:rFonts w:hint="eastAsia"/>
        </w:rPr>
        <w:t xml:space="preserve">, </w:t>
      </w:r>
      <w:r w:rsidR="003814DE" w:rsidRPr="00097432">
        <w:rPr>
          <w:rFonts w:eastAsia="Aptos"/>
        </w:rPr>
        <w:t xml:space="preserve">the </w:t>
      </w:r>
      <w:r w:rsidR="00804684" w:rsidRPr="00097432">
        <w:rPr>
          <w:rFonts w:hint="eastAsia"/>
        </w:rPr>
        <w:t xml:space="preserve">median </w:t>
      </w:r>
      <w:r w:rsidR="00186FD2" w:rsidRPr="00097432">
        <w:rPr>
          <w:rFonts w:hint="eastAsia"/>
        </w:rPr>
        <w:t>number of cases averted dropped</w:t>
      </w:r>
      <w:r w:rsidR="003814DE" w:rsidRPr="00097432">
        <w:rPr>
          <w:rFonts w:hint="eastAsia"/>
        </w:rPr>
        <w:t xml:space="preserve"> below</w:t>
      </w:r>
      <w:r w:rsidR="003814DE" w:rsidRPr="00097432">
        <w:t xml:space="preserve"> </w:t>
      </w:r>
      <w:r w:rsidR="00580173" w:rsidRPr="00097432">
        <w:rPr>
          <w:rFonts w:hint="eastAsia"/>
        </w:rPr>
        <w:t>29</w:t>
      </w:r>
      <w:r w:rsidR="00C44680">
        <w:rPr>
          <w:rFonts w:hint="eastAsia"/>
        </w:rPr>
        <w:t xml:space="preserve">, </w:t>
      </w:r>
      <w:r w:rsidR="002D36BC">
        <w:rPr>
          <w:rFonts w:hint="eastAsia"/>
        </w:rPr>
        <w:t>re</w:t>
      </w:r>
      <w:r w:rsidR="00C44680">
        <w:rPr>
          <w:rFonts w:hint="eastAsia"/>
        </w:rPr>
        <w:t xml:space="preserve">presenting </w:t>
      </w:r>
      <w:r w:rsidR="002D36BC">
        <w:rPr>
          <w:rFonts w:hint="eastAsia"/>
        </w:rPr>
        <w:t>&lt;</w:t>
      </w:r>
      <w:r w:rsidR="00C44680">
        <w:rPr>
          <w:rFonts w:hint="eastAsia"/>
        </w:rPr>
        <w:t xml:space="preserve"> </w:t>
      </w:r>
      <w:r w:rsidR="00580173" w:rsidRPr="00097432">
        <w:rPr>
          <w:rFonts w:hint="eastAsia"/>
        </w:rPr>
        <w:t>13</w:t>
      </w:r>
      <w:r w:rsidR="003814DE" w:rsidRPr="00097432">
        <w:t>%</w:t>
      </w:r>
      <w:r w:rsidR="00C44680">
        <w:rPr>
          <w:rFonts w:hint="eastAsia"/>
        </w:rPr>
        <w:t xml:space="preserve"> of outbreak cases</w:t>
      </w:r>
      <w:r w:rsidR="00114033" w:rsidRPr="00097432">
        <w:rPr>
          <w:rFonts w:hint="eastAsia"/>
        </w:rPr>
        <w:t xml:space="preserve"> </w:t>
      </w:r>
      <w:r w:rsidR="00186FD2" w:rsidRPr="00097432">
        <w:rPr>
          <w:rFonts w:hint="eastAsia"/>
        </w:rPr>
        <w:t xml:space="preserve">across </w:t>
      </w:r>
      <w:r w:rsidR="003814DE" w:rsidRPr="00097432">
        <w:rPr>
          <w:rFonts w:eastAsia="Aptos"/>
        </w:rPr>
        <w:t>all coverage</w:t>
      </w:r>
      <w:r w:rsidR="003814DE" w:rsidRPr="00097432">
        <w:rPr>
          <w:rFonts w:hint="eastAsia"/>
        </w:rPr>
        <w:t xml:space="preserve"> level</w:t>
      </w:r>
      <w:r w:rsidR="003814DE" w:rsidRPr="00097432">
        <w:t>s</w:t>
      </w:r>
      <w:r w:rsidR="00DC5959" w:rsidRPr="00097432">
        <w:rPr>
          <w:rFonts w:hint="eastAsia"/>
        </w:rPr>
        <w:t xml:space="preserve">. </w:t>
      </w:r>
      <w:r w:rsidR="00C44680" w:rsidRPr="00C44680">
        <w:t xml:space="preserve">Substantial variability was observed, with some simulations achieving near-complete prevention, reflecting </w:t>
      </w:r>
      <w:r w:rsidR="002D36BC" w:rsidRPr="002D36BC">
        <w:t>outbreak-to-outbreak variability and</w:t>
      </w:r>
      <w:r w:rsidR="002D36BC">
        <w:rPr>
          <w:rFonts w:hint="eastAsia"/>
        </w:rPr>
        <w:t xml:space="preserve"> </w:t>
      </w:r>
      <w:r w:rsidR="00C44680" w:rsidRPr="00C44680">
        <w:t>uncertainty in ORI parameters</w:t>
      </w:r>
      <w:r w:rsidR="009F27C8" w:rsidRPr="00097432">
        <w:t xml:space="preserve">. </w:t>
      </w:r>
      <w:r w:rsidR="001A205D" w:rsidRPr="00097432">
        <w:rPr>
          <w:rFonts w:hint="eastAsia"/>
        </w:rPr>
        <w:t>Delay</w:t>
      </w:r>
      <w:r w:rsidR="00C44680">
        <w:rPr>
          <w:rFonts w:hint="eastAsia"/>
        </w:rPr>
        <w:t xml:space="preserve">s also resulted in </w:t>
      </w:r>
      <w:r w:rsidR="002D36BC">
        <w:rPr>
          <w:rFonts w:hint="eastAsia"/>
        </w:rPr>
        <w:t xml:space="preserve">entire </w:t>
      </w:r>
      <w:r w:rsidR="00C44680">
        <w:rPr>
          <w:rFonts w:hint="eastAsia"/>
        </w:rPr>
        <w:t xml:space="preserve">outbreaks being </w:t>
      </w:r>
      <w:r w:rsidR="001A205D" w:rsidRPr="00097432">
        <w:rPr>
          <w:rFonts w:hint="eastAsia"/>
        </w:rPr>
        <w:t>misse</w:t>
      </w:r>
      <w:r w:rsidR="00C44680">
        <w:rPr>
          <w:rFonts w:hint="eastAsia"/>
        </w:rPr>
        <w:t>d:</w:t>
      </w:r>
      <w:r w:rsidR="001A205D" w:rsidRPr="00C72093">
        <w:rPr>
          <w:rFonts w:hint="eastAsia"/>
          <w:highlight w:val="yellow"/>
        </w:rPr>
        <w:t xml:space="preserve"> with 5, 9, 1</w:t>
      </w:r>
      <w:r w:rsidR="00F55F56">
        <w:rPr>
          <w:rFonts w:hint="eastAsia"/>
          <w:highlight w:val="yellow"/>
        </w:rPr>
        <w:t>7</w:t>
      </w:r>
      <w:r w:rsidR="001A205D" w:rsidRPr="00C72093">
        <w:rPr>
          <w:rFonts w:hint="eastAsia"/>
          <w:highlight w:val="yellow"/>
        </w:rPr>
        <w:t xml:space="preserve"> weeks of delay</w:t>
      </w:r>
      <w:r w:rsidR="00C44680">
        <w:rPr>
          <w:rFonts w:hint="eastAsia"/>
          <w:highlight w:val="yellow"/>
        </w:rPr>
        <w:t xml:space="preserve">, </w:t>
      </w:r>
      <w:r w:rsidR="00390F55">
        <w:rPr>
          <w:rFonts w:hint="eastAsia"/>
          <w:highlight w:val="yellow"/>
        </w:rPr>
        <w:t xml:space="preserve">56 </w:t>
      </w:r>
      <w:r w:rsidR="00DD664D" w:rsidRPr="00C72093">
        <w:rPr>
          <w:rFonts w:hint="eastAsia"/>
          <w:highlight w:val="yellow"/>
        </w:rPr>
        <w:t>(4.7%)</w:t>
      </w:r>
      <w:r w:rsidR="001A205D" w:rsidRPr="00C72093">
        <w:rPr>
          <w:rFonts w:hint="eastAsia"/>
          <w:highlight w:val="yellow"/>
        </w:rPr>
        <w:t>, 302</w:t>
      </w:r>
      <w:r w:rsidR="00DD664D" w:rsidRPr="00C72093">
        <w:rPr>
          <w:rFonts w:hint="eastAsia"/>
          <w:highlight w:val="yellow"/>
        </w:rPr>
        <w:t xml:space="preserve"> (25.3%)</w:t>
      </w:r>
      <w:r w:rsidR="001A205D" w:rsidRPr="00C72093">
        <w:rPr>
          <w:rFonts w:hint="eastAsia"/>
          <w:highlight w:val="yellow"/>
        </w:rPr>
        <w:t xml:space="preserve">, and </w:t>
      </w:r>
      <w:r w:rsidR="00F55F56">
        <w:rPr>
          <w:rFonts w:hint="eastAsia"/>
          <w:highlight w:val="yellow"/>
        </w:rPr>
        <w:t>625</w:t>
      </w:r>
      <w:r w:rsidR="001A205D" w:rsidRPr="00C72093">
        <w:rPr>
          <w:rFonts w:hint="eastAsia"/>
          <w:highlight w:val="yellow"/>
        </w:rPr>
        <w:t xml:space="preserve"> </w:t>
      </w:r>
      <w:r w:rsidR="00DD664D" w:rsidRPr="00C72093">
        <w:rPr>
          <w:rFonts w:hint="eastAsia"/>
          <w:highlight w:val="yellow"/>
        </w:rPr>
        <w:t>(</w:t>
      </w:r>
      <w:r w:rsidR="00F55F56">
        <w:rPr>
          <w:rFonts w:hint="eastAsia"/>
          <w:highlight w:val="yellow"/>
        </w:rPr>
        <w:t>52</w:t>
      </w:r>
      <w:r w:rsidR="00DD664D" w:rsidRPr="00C72093">
        <w:rPr>
          <w:rFonts w:hint="eastAsia"/>
          <w:highlight w:val="yellow"/>
        </w:rPr>
        <w:t>.</w:t>
      </w:r>
      <w:r w:rsidR="00F55F56">
        <w:rPr>
          <w:rFonts w:hint="eastAsia"/>
          <w:highlight w:val="yellow"/>
        </w:rPr>
        <w:t>4</w:t>
      </w:r>
      <w:r w:rsidR="00DD664D" w:rsidRPr="00C72093">
        <w:rPr>
          <w:rFonts w:hint="eastAsia"/>
          <w:highlight w:val="yellow"/>
        </w:rPr>
        <w:t xml:space="preserve">%) </w:t>
      </w:r>
      <w:r w:rsidR="001A205D" w:rsidRPr="00C72093">
        <w:rPr>
          <w:rFonts w:hint="eastAsia"/>
          <w:highlight w:val="yellow"/>
        </w:rPr>
        <w:t>outbreaks</w:t>
      </w:r>
      <w:r w:rsidR="00C72093" w:rsidRPr="00C72093">
        <w:rPr>
          <w:rFonts w:hint="eastAsia"/>
          <w:highlight w:val="yellow"/>
        </w:rPr>
        <w:t xml:space="preserve">, </w:t>
      </w:r>
      <w:r w:rsidR="00074046" w:rsidRPr="00C72093">
        <w:rPr>
          <w:highlight w:val="yellow"/>
        </w:rPr>
        <w:t>respectively</w:t>
      </w:r>
      <w:r w:rsidR="00C44680">
        <w:rPr>
          <w:rFonts w:hint="eastAsia"/>
        </w:rPr>
        <w:t>, r</w:t>
      </w:r>
      <w:r w:rsidR="00C44680" w:rsidRPr="00C44680">
        <w:t>eceived no vaccination</w:t>
      </w:r>
      <w:r w:rsidR="002D36BC" w:rsidRPr="00C44680">
        <w:t xml:space="preserve"> (</w:t>
      </w:r>
      <w:r w:rsidR="002D36BC" w:rsidRPr="00C44680">
        <w:rPr>
          <w:b/>
          <w:bCs/>
        </w:rPr>
        <w:t>Figure</w:t>
      </w:r>
      <w:r w:rsidR="002D36BC" w:rsidRPr="00C44680">
        <w:t xml:space="preserve"> </w:t>
      </w:r>
      <w:r w:rsidR="002D36BC" w:rsidRPr="00C44680">
        <w:rPr>
          <w:b/>
          <w:bCs/>
        </w:rPr>
        <w:t>3C</w:t>
      </w:r>
      <w:r w:rsidR="002D36BC" w:rsidRPr="00C44680">
        <w:t>)</w:t>
      </w:r>
      <w:r w:rsidR="00C44680" w:rsidRPr="00C44680">
        <w:t>.</w:t>
      </w:r>
      <w:r w:rsidR="00074046">
        <w:t xml:space="preserve"> </w:t>
      </w:r>
      <w:r w:rsidR="00C44680" w:rsidRPr="00C44680">
        <w:t>The proportion of outbreaks included did not decline until week 4</w:t>
      </w:r>
      <w:r w:rsidR="002D36BC">
        <w:rPr>
          <w:rFonts w:hint="eastAsia"/>
        </w:rPr>
        <w:t xml:space="preserve">, after which </w:t>
      </w:r>
      <w:r w:rsidR="00C44680" w:rsidRPr="00C44680">
        <w:t xml:space="preserve">each additional week of delay was associated with an </w:t>
      </w:r>
      <w:r w:rsidR="002D36BC">
        <w:rPr>
          <w:rFonts w:hint="eastAsia"/>
        </w:rPr>
        <w:t>estimated</w:t>
      </w:r>
      <w:r w:rsidR="00C44680" w:rsidRPr="00C44680">
        <w:t xml:space="preserve"> 5.4-percentage-point reduction, </w:t>
      </w:r>
      <w:r w:rsidR="002D36BC">
        <w:rPr>
          <w:rFonts w:hint="eastAsia"/>
        </w:rPr>
        <w:t>based on a piecewi</w:t>
      </w:r>
      <w:r w:rsidR="00C44680" w:rsidRPr="00C44680">
        <w:t>se regression</w:t>
      </w:r>
      <w:r w:rsidR="00B811DD" w:rsidRPr="00B811DD">
        <w:t>.</w:t>
      </w:r>
      <w:r w:rsidR="001A205D" w:rsidRPr="00097432">
        <w:rPr>
          <w:rFonts w:hint="eastAsia"/>
        </w:rPr>
        <w:t xml:space="preserve"> </w:t>
      </w:r>
      <w:r w:rsidR="00186FD2" w:rsidRPr="00097432">
        <w:t>Higher vaccine coverage consistently yielded greater benefit</w:t>
      </w:r>
      <w:r w:rsidR="002D36BC">
        <w:rPr>
          <w:rFonts w:hint="eastAsia"/>
        </w:rPr>
        <w:t>. A</w:t>
      </w:r>
      <w:r w:rsidR="00186FD2" w:rsidRPr="00097432">
        <w:t>t week 1 the median cases averted were 118, 130, and 136 for coverage levels of 60%, 75%, and 90%, respectively; by week 9 these</w:t>
      </w:r>
      <w:r w:rsidR="00C44680">
        <w:rPr>
          <w:rFonts w:hint="eastAsia"/>
        </w:rPr>
        <w:t xml:space="preserve"> values</w:t>
      </w:r>
      <w:r w:rsidR="00186FD2" w:rsidRPr="00097432">
        <w:t xml:space="preserve"> fell to </w:t>
      </w:r>
      <w:r w:rsidR="00580173" w:rsidRPr="00097432">
        <w:rPr>
          <w:rFonts w:hint="eastAsia"/>
        </w:rPr>
        <w:t>26</w:t>
      </w:r>
      <w:r w:rsidR="00186FD2" w:rsidRPr="00097432">
        <w:t xml:space="preserve">, </w:t>
      </w:r>
      <w:r w:rsidR="00580173" w:rsidRPr="00097432">
        <w:rPr>
          <w:rFonts w:hint="eastAsia"/>
        </w:rPr>
        <w:t>28</w:t>
      </w:r>
      <w:r w:rsidR="00186FD2" w:rsidRPr="00097432">
        <w:t xml:space="preserve">, and </w:t>
      </w:r>
      <w:r w:rsidR="00580173" w:rsidRPr="00097432">
        <w:rPr>
          <w:rFonts w:hint="eastAsia"/>
        </w:rPr>
        <w:t>30</w:t>
      </w:r>
      <w:r w:rsidR="00186FD2" w:rsidRPr="00097432">
        <w:rPr>
          <w:rFonts w:hint="eastAsia"/>
        </w:rPr>
        <w:t xml:space="preserve">. </w:t>
      </w:r>
      <w:r w:rsidR="008946DF" w:rsidRPr="008946DF">
        <w:rPr>
          <w:highlight w:val="yellow"/>
        </w:rPr>
        <w:t>While the impact of ORI declined with increasing implementation delays, the magnitude of this decline varied markedly by outbreak characteristics (</w:t>
      </w:r>
      <w:r w:rsidR="008946DF" w:rsidRPr="008946DF">
        <w:rPr>
          <w:b/>
          <w:bCs/>
          <w:highlight w:val="yellow"/>
        </w:rPr>
        <w:t>Figure 3</w:t>
      </w:r>
      <w:r w:rsidR="008946DF" w:rsidRPr="008946DF">
        <w:rPr>
          <w:rFonts w:hint="eastAsia"/>
          <w:b/>
          <w:bCs/>
          <w:highlight w:val="yellow"/>
        </w:rPr>
        <w:t>D</w:t>
      </w:r>
      <w:r w:rsidR="008946DF" w:rsidRPr="008946DF">
        <w:rPr>
          <w:highlight w:val="yellow"/>
        </w:rPr>
        <w:t xml:space="preserve">). At any given delay, ORIs were more impactful in outbreaks that were larger, longer, or had higher attack rates. The contrast was most pronounced when outbreaks were stratified by duration: under a 13-week delay, the impact in the longest quartile of outbreaks remained </w:t>
      </w:r>
      <w:r w:rsidR="008946DF" w:rsidRPr="008946DF">
        <w:rPr>
          <w:highlight w:val="yellow"/>
        </w:rPr>
        <w:lastRenderedPageBreak/>
        <w:t>comparable to that achieved with a 5-week delay across all outbreaks.</w:t>
      </w:r>
      <w:r w:rsidR="008946DF" w:rsidRPr="008946DF">
        <w:t xml:space="preserve"> </w:t>
      </w:r>
      <w:r w:rsidR="008946DF" w:rsidRPr="00593F9A">
        <w:rPr>
          <w:highlight w:val="yellow"/>
        </w:rPr>
        <w:t>A log-linear fit of weekly cases averted estimated a median decline of 17.5% per week [IQR: 8.5–31.5], with slower decay in larger, longer, or high-attack-rate outbreaks (</w:t>
      </w:r>
      <w:r w:rsidR="008946DF" w:rsidRPr="00593F9A">
        <w:rPr>
          <w:b/>
          <w:bCs/>
          <w:highlight w:val="yellow"/>
        </w:rPr>
        <w:t>Figure 3E</w:t>
      </w:r>
      <w:r w:rsidR="008946DF" w:rsidRPr="00593F9A">
        <w:rPr>
          <w:highlight w:val="yellow"/>
        </w:rPr>
        <w:t>). Correspondingly, the median halving time—the delay at which cases averted fell to half of their initial value—was 3.6 weeks [IQR: 1.8–7.8], with extended halving times observed in larger</w:t>
      </w:r>
      <w:r w:rsidR="008946DF" w:rsidRPr="008946DF">
        <w:t xml:space="preserve"> or more prolonged outbreaks and in those with high attack rates (</w:t>
      </w:r>
      <w:r w:rsidR="008946DF" w:rsidRPr="00593F9A">
        <w:rPr>
          <w:b/>
          <w:bCs/>
        </w:rPr>
        <w:t>Figure 3F</w:t>
      </w:r>
      <w:r w:rsidR="008946DF" w:rsidRPr="008946DF">
        <w:t>).</w:t>
      </w:r>
    </w:p>
    <w:p w14:paraId="6C0DC86D" w14:textId="77777777" w:rsidR="008946DF" w:rsidRDefault="008946DF" w:rsidP="000A78DF"/>
    <w:p w14:paraId="0C0480FA" w14:textId="58C2019A" w:rsidR="00E2389A" w:rsidRDefault="00E2389A" w:rsidP="000A78DF">
      <w:pPr>
        <w:rPr>
          <w:highlight w:val="yellow"/>
        </w:rPr>
      </w:pPr>
      <w:r w:rsidRPr="00E2389A">
        <w:rPr>
          <w:highlight w:val="yellow"/>
        </w:rPr>
        <w:t>When ORI was triggered by reaching a cumulative case threshold rather than outbreak onset, impact declined with increasing thresholds and with additional implementation delays (</w:t>
      </w:r>
      <w:r w:rsidRPr="00E2389A">
        <w:rPr>
          <w:b/>
          <w:bCs/>
          <w:highlight w:val="yellow"/>
        </w:rPr>
        <w:t>Figure S3A</w:t>
      </w:r>
      <w:r w:rsidRPr="00E2389A">
        <w:rPr>
          <w:highlight w:val="yellow"/>
        </w:rPr>
        <w:t>). The proportion of outbreaks receiving vaccination also decreased with higher thresholds and longer delays (</w:t>
      </w:r>
      <w:r w:rsidRPr="00E2389A">
        <w:rPr>
          <w:b/>
          <w:bCs/>
          <w:highlight w:val="yellow"/>
        </w:rPr>
        <w:t>Figure S3B</w:t>
      </w:r>
      <w:r w:rsidRPr="00E2389A">
        <w:rPr>
          <w:highlight w:val="yellow"/>
        </w:rPr>
        <w:t xml:space="preserve">). </w:t>
      </w:r>
      <w:r w:rsidR="002C6E6D">
        <w:rPr>
          <w:rFonts w:hint="eastAsia"/>
          <w:highlight w:val="yellow"/>
        </w:rPr>
        <w:t>The rate of d</w:t>
      </w:r>
      <w:r w:rsidRPr="00E2389A">
        <w:rPr>
          <w:highlight w:val="yellow"/>
        </w:rPr>
        <w:t>eclines</w:t>
      </w:r>
      <w:r w:rsidR="00A15E05">
        <w:rPr>
          <w:rFonts w:hint="eastAsia"/>
          <w:highlight w:val="yellow"/>
        </w:rPr>
        <w:t xml:space="preserve"> in the impact of ORIs with delay </w:t>
      </w:r>
      <w:r w:rsidRPr="00E2389A">
        <w:rPr>
          <w:highlight w:val="yellow"/>
        </w:rPr>
        <w:t>w</w:t>
      </w:r>
      <w:r w:rsidR="002C6E6D">
        <w:rPr>
          <w:rFonts w:hint="eastAsia"/>
          <w:highlight w:val="yellow"/>
        </w:rPr>
        <w:t>as less</w:t>
      </w:r>
      <w:r w:rsidRPr="00E2389A">
        <w:rPr>
          <w:highlight w:val="yellow"/>
        </w:rPr>
        <w:t xml:space="preserve"> </w:t>
      </w:r>
      <w:r w:rsidR="002C6E6D">
        <w:rPr>
          <w:rFonts w:hint="eastAsia"/>
          <w:highlight w:val="yellow"/>
        </w:rPr>
        <w:t>pronounced</w:t>
      </w:r>
      <w:r w:rsidRPr="00E2389A">
        <w:rPr>
          <w:highlight w:val="yellow"/>
        </w:rPr>
        <w:t xml:space="preserve"> for large</w:t>
      </w:r>
      <w:r w:rsidR="002C6E6D">
        <w:rPr>
          <w:rFonts w:hint="eastAsia"/>
          <w:highlight w:val="yellow"/>
        </w:rPr>
        <w:t>r</w:t>
      </w:r>
      <w:r w:rsidRPr="00E2389A">
        <w:rPr>
          <w:highlight w:val="yellow"/>
        </w:rPr>
        <w:t>, long</w:t>
      </w:r>
      <w:r w:rsidR="002C6E6D">
        <w:rPr>
          <w:rFonts w:hint="eastAsia"/>
          <w:highlight w:val="yellow"/>
        </w:rPr>
        <w:t>er</w:t>
      </w:r>
      <w:r w:rsidRPr="00E2389A">
        <w:rPr>
          <w:highlight w:val="yellow"/>
        </w:rPr>
        <w:t>, or high</w:t>
      </w:r>
      <w:r w:rsidR="002C6E6D">
        <w:rPr>
          <w:rFonts w:hint="eastAsia"/>
          <w:highlight w:val="yellow"/>
        </w:rPr>
        <w:t>er</w:t>
      </w:r>
      <w:r>
        <w:rPr>
          <w:rFonts w:hint="eastAsia"/>
          <w:highlight w:val="yellow"/>
        </w:rPr>
        <w:t>-</w:t>
      </w:r>
      <w:r w:rsidRPr="00E2389A">
        <w:rPr>
          <w:highlight w:val="yellow"/>
        </w:rPr>
        <w:t>attack</w:t>
      </w:r>
      <w:r>
        <w:rPr>
          <w:rFonts w:hint="eastAsia"/>
          <w:highlight w:val="yellow"/>
        </w:rPr>
        <w:t>-</w:t>
      </w:r>
      <w:r w:rsidRPr="00E2389A">
        <w:rPr>
          <w:highlight w:val="yellow"/>
        </w:rPr>
        <w:t>rate outbreaks</w:t>
      </w:r>
      <w:r w:rsidR="002C6E6D">
        <w:rPr>
          <w:rFonts w:hint="eastAsia"/>
          <w:highlight w:val="yellow"/>
        </w:rPr>
        <w:t>, regardless</w:t>
      </w:r>
      <w:r w:rsidRPr="00E2389A">
        <w:rPr>
          <w:highlight w:val="yellow"/>
        </w:rPr>
        <w:t xml:space="preserve"> </w:t>
      </w:r>
      <w:r w:rsidR="002C6E6D">
        <w:rPr>
          <w:rFonts w:hint="eastAsia"/>
          <w:highlight w:val="yellow"/>
        </w:rPr>
        <w:t>of</w:t>
      </w:r>
      <w:r w:rsidRPr="00E2389A">
        <w:rPr>
          <w:highlight w:val="yellow"/>
        </w:rPr>
        <w:t xml:space="preserve"> threshold (</w:t>
      </w:r>
      <w:r w:rsidRPr="00E2389A">
        <w:rPr>
          <w:b/>
          <w:bCs/>
          <w:highlight w:val="yellow"/>
        </w:rPr>
        <w:t>Figure S3C</w:t>
      </w:r>
      <w:r w:rsidRPr="00E2389A">
        <w:rPr>
          <w:highlight w:val="yellow"/>
        </w:rPr>
        <w:t>).</w:t>
      </w:r>
      <w:r>
        <w:rPr>
          <w:rFonts w:hint="eastAsia"/>
          <w:highlight w:val="yellow"/>
        </w:rPr>
        <w:t xml:space="preserve"> </w:t>
      </w:r>
      <w:r w:rsidR="002C6E6D">
        <w:rPr>
          <w:rFonts w:hint="eastAsia"/>
          <w:highlight w:val="yellow"/>
        </w:rPr>
        <w:t>H</w:t>
      </w:r>
      <w:r w:rsidRPr="00E2389A">
        <w:rPr>
          <w:highlight w:val="yellow"/>
        </w:rPr>
        <w:t xml:space="preserve">alving times </w:t>
      </w:r>
      <w:r w:rsidR="00A15E05">
        <w:rPr>
          <w:rFonts w:hint="eastAsia"/>
          <w:highlight w:val="yellow"/>
        </w:rPr>
        <w:t xml:space="preserve">were </w:t>
      </w:r>
      <w:r w:rsidR="002C6E6D">
        <w:rPr>
          <w:rFonts w:hint="eastAsia"/>
          <w:highlight w:val="yellow"/>
        </w:rPr>
        <w:t xml:space="preserve">correspondingly </w:t>
      </w:r>
      <w:r w:rsidRPr="00E2389A">
        <w:rPr>
          <w:highlight w:val="yellow"/>
        </w:rPr>
        <w:t xml:space="preserve">longer </w:t>
      </w:r>
      <w:r w:rsidR="002C6E6D">
        <w:rPr>
          <w:rFonts w:hint="eastAsia"/>
          <w:highlight w:val="yellow"/>
        </w:rPr>
        <w:t>in these outbreaks</w:t>
      </w:r>
      <w:r w:rsidRPr="00E2389A">
        <w:rPr>
          <w:highlight w:val="yellow"/>
        </w:rPr>
        <w:t xml:space="preserve"> (</w:t>
      </w:r>
      <w:r w:rsidRPr="00E2389A">
        <w:rPr>
          <w:b/>
          <w:bCs/>
          <w:highlight w:val="yellow"/>
        </w:rPr>
        <w:t>Figure S3D</w:t>
      </w:r>
      <w:r w:rsidRPr="00E2389A">
        <w:rPr>
          <w:highlight w:val="yellow"/>
        </w:rPr>
        <w:t>).</w:t>
      </w:r>
      <w:r w:rsidR="00A15E05">
        <w:rPr>
          <w:rFonts w:hint="eastAsia"/>
          <w:highlight w:val="yellow"/>
        </w:rPr>
        <w:t xml:space="preserve"> </w:t>
      </w:r>
      <w:r w:rsidR="002C6E6D">
        <w:rPr>
          <w:rFonts w:hint="eastAsia"/>
          <w:highlight w:val="yellow"/>
        </w:rPr>
        <w:t>All else equal,</w:t>
      </w:r>
      <w:r w:rsidR="002C6E6D" w:rsidRPr="002C6E6D">
        <w:rPr>
          <w:rFonts w:hint="eastAsia"/>
          <w:highlight w:val="yellow"/>
        </w:rPr>
        <w:t xml:space="preserve"> higher</w:t>
      </w:r>
      <w:r w:rsidR="002C6E6D" w:rsidRPr="002C6E6D">
        <w:rPr>
          <w:highlight w:val="yellow"/>
        </w:rPr>
        <w:t xml:space="preserve"> case thresholds were associated with steeper declines in impact and shorter halving times</w:t>
      </w:r>
      <w:r w:rsidR="002C6E6D" w:rsidRPr="002C6E6D">
        <w:rPr>
          <w:rFonts w:hint="eastAsia"/>
          <w:highlight w:val="yellow"/>
        </w:rPr>
        <w:t>.</w:t>
      </w:r>
    </w:p>
    <w:p w14:paraId="5EAE12BC" w14:textId="77777777" w:rsidR="00E2389A" w:rsidRDefault="00E2389A" w:rsidP="000A78DF">
      <w:pPr>
        <w:rPr>
          <w:highlight w:val="yellow"/>
        </w:rPr>
      </w:pPr>
    </w:p>
    <w:p w14:paraId="5BDD3BEC" w14:textId="13ED62ED" w:rsidR="005154CA" w:rsidRPr="00097432" w:rsidRDefault="0033445E" w:rsidP="00CE75ED">
      <w:pPr>
        <w:pStyle w:val="Heading4"/>
      </w:pPr>
      <w:bookmarkStart w:id="29" w:name="_Toc184909207"/>
      <w:r w:rsidRPr="00097432">
        <w:t>E</w:t>
      </w:r>
      <w:r w:rsidR="005154CA" w:rsidRPr="00097432">
        <w:t>fficiency and cost</w:t>
      </w:r>
      <w:r w:rsidR="00BB052F" w:rsidRPr="00097432">
        <w:t xml:space="preserve"> </w:t>
      </w:r>
      <w:r w:rsidR="005154CA" w:rsidRPr="00097432">
        <w:t>effectiveness</w:t>
      </w:r>
      <w:r w:rsidR="009505A3" w:rsidRPr="00097432">
        <w:t xml:space="preserve"> of the ORI</w:t>
      </w:r>
      <w:bookmarkEnd w:id="29"/>
    </w:p>
    <w:p w14:paraId="37A309AB" w14:textId="78328418" w:rsidR="006B235C" w:rsidRPr="00097432" w:rsidRDefault="00CD0A6C" w:rsidP="00F57F15">
      <w:r w:rsidRPr="00565DAF">
        <w:rPr>
          <w:b/>
          <w:bCs/>
          <w:highlight w:val="yellow"/>
        </w:rPr>
        <w:t>Table 3</w:t>
      </w:r>
      <w:r w:rsidRPr="00565DAF">
        <w:rPr>
          <w:highlight w:val="yellow"/>
        </w:rPr>
        <w:t xml:space="preserve"> summarizes </w:t>
      </w:r>
      <w:r w:rsidR="00362788" w:rsidRPr="00565DAF">
        <w:rPr>
          <w:highlight w:val="yellow"/>
        </w:rPr>
        <w:t>the</w:t>
      </w:r>
      <w:r w:rsidR="003B5F48" w:rsidRPr="00565DAF">
        <w:rPr>
          <w:rFonts w:hint="eastAsia"/>
          <w:highlight w:val="yellow"/>
        </w:rPr>
        <w:t xml:space="preserve"> impact of</w:t>
      </w:r>
      <w:r w:rsidR="00362788" w:rsidRPr="00565DAF">
        <w:rPr>
          <w:highlight w:val="yellow"/>
        </w:rPr>
        <w:t xml:space="preserve"> </w:t>
      </w:r>
      <w:r w:rsidR="00E232A3" w:rsidRPr="00565DAF">
        <w:rPr>
          <w:rFonts w:hint="eastAsia"/>
          <w:highlight w:val="yellow"/>
        </w:rPr>
        <w:t>ORI</w:t>
      </w:r>
      <w:r w:rsidR="00362788" w:rsidRPr="00565DAF">
        <w:rPr>
          <w:highlight w:val="yellow"/>
        </w:rPr>
        <w:t xml:space="preserve"> </w:t>
      </w:r>
      <w:r w:rsidR="00E232A3" w:rsidRPr="00565DAF">
        <w:rPr>
          <w:rFonts w:hint="eastAsia"/>
          <w:highlight w:val="yellow"/>
        </w:rPr>
        <w:t>under</w:t>
      </w:r>
      <w:r w:rsidR="00F20009" w:rsidRPr="00565DAF">
        <w:rPr>
          <w:highlight w:val="yellow"/>
        </w:rPr>
        <w:t xml:space="preserve"> </w:t>
      </w:r>
      <w:r w:rsidR="003D7D41" w:rsidRPr="00565DAF">
        <w:rPr>
          <w:rFonts w:hint="eastAsia"/>
          <w:highlight w:val="yellow"/>
        </w:rPr>
        <w:t xml:space="preserve">the </w:t>
      </w:r>
      <w:r w:rsidR="00BC2FA4" w:rsidRPr="00565DAF">
        <w:rPr>
          <w:rFonts w:hint="eastAsia"/>
          <w:highlight w:val="yellow"/>
        </w:rPr>
        <w:t>outbreak onset-</w:t>
      </w:r>
      <w:r w:rsidR="00F20009" w:rsidRPr="00565DAF">
        <w:rPr>
          <w:highlight w:val="yellow"/>
        </w:rPr>
        <w:t>trigger</w:t>
      </w:r>
      <w:r w:rsidR="00BC2FA4" w:rsidRPr="00565DAF">
        <w:rPr>
          <w:rFonts w:hint="eastAsia"/>
          <w:highlight w:val="yellow"/>
        </w:rPr>
        <w:t>ed</w:t>
      </w:r>
      <w:r w:rsidR="00F20009" w:rsidRPr="00565DAF">
        <w:rPr>
          <w:highlight w:val="yellow"/>
        </w:rPr>
        <w:t xml:space="preserve"> </w:t>
      </w:r>
      <w:r w:rsidR="00BC2FA4" w:rsidRPr="00565DAF">
        <w:rPr>
          <w:rFonts w:hint="eastAsia"/>
          <w:highlight w:val="yellow"/>
        </w:rPr>
        <w:t>scenario</w:t>
      </w:r>
      <w:r w:rsidR="00F20009" w:rsidRPr="00565DAF">
        <w:rPr>
          <w:highlight w:val="yellow"/>
        </w:rPr>
        <w:t xml:space="preserve"> </w:t>
      </w:r>
      <w:r w:rsidR="003D7D41" w:rsidRPr="00565DAF">
        <w:rPr>
          <w:rFonts w:hint="eastAsia"/>
          <w:highlight w:val="yellow"/>
        </w:rPr>
        <w:t>with</w:t>
      </w:r>
      <w:r w:rsidR="00362788" w:rsidRPr="00565DAF">
        <w:rPr>
          <w:highlight w:val="yellow"/>
        </w:rPr>
        <w:t xml:space="preserve"> 75% vaccine </w:t>
      </w:r>
      <w:r w:rsidRPr="00565DAF">
        <w:rPr>
          <w:highlight w:val="yellow"/>
        </w:rPr>
        <w:t>coverage</w:t>
      </w:r>
      <w:r w:rsidR="003F3A8F" w:rsidRPr="00565DAF">
        <w:rPr>
          <w:highlight w:val="yellow"/>
        </w:rPr>
        <w:t xml:space="preserve"> (</w:t>
      </w:r>
      <w:r w:rsidR="00D0371D" w:rsidRPr="00565DAF">
        <w:rPr>
          <w:highlight w:val="yellow"/>
        </w:rPr>
        <w:t xml:space="preserve">results for other coverage levels and delays are provided </w:t>
      </w:r>
      <w:r w:rsidR="003F3A8F" w:rsidRPr="00565DAF">
        <w:rPr>
          <w:b/>
          <w:bCs/>
          <w:highlight w:val="yellow"/>
        </w:rPr>
        <w:t>Table S1</w:t>
      </w:r>
      <w:r w:rsidR="001571CE" w:rsidRPr="00565DAF">
        <w:rPr>
          <w:highlight w:val="yellow"/>
        </w:rPr>
        <w:t>)</w:t>
      </w:r>
      <w:r w:rsidRPr="00565DAF">
        <w:rPr>
          <w:highlight w:val="yellow"/>
        </w:rPr>
        <w:t xml:space="preserve">. </w:t>
      </w:r>
      <w:r w:rsidR="00D0371D" w:rsidRPr="00565DAF">
        <w:rPr>
          <w:highlight w:val="yellow"/>
        </w:rPr>
        <w:t xml:space="preserve">Consistent with the pattern of cases averted shown in </w:t>
      </w:r>
      <w:r w:rsidR="009C669B" w:rsidRPr="00565DAF">
        <w:rPr>
          <w:rFonts w:hint="eastAsia"/>
          <w:b/>
          <w:bCs/>
          <w:highlight w:val="yellow"/>
        </w:rPr>
        <w:t>Figure 3</w:t>
      </w:r>
      <w:r w:rsidR="009C669B" w:rsidRPr="00565DAF">
        <w:rPr>
          <w:rFonts w:hint="eastAsia"/>
          <w:highlight w:val="yellow"/>
        </w:rPr>
        <w:t>,</w:t>
      </w:r>
      <w:r w:rsidR="00A842BD" w:rsidRPr="00565DAF">
        <w:rPr>
          <w:highlight w:val="yellow"/>
        </w:rPr>
        <w:t xml:space="preserve"> the impact of ORI diminished across other health and economic metrics, including deaths averted, DALYs averted, and efficiency measured as outcomes averted per 1,000 OCV doses, while the cost per case, death, or DALY averted increased with longer delays.</w:t>
      </w:r>
      <w:r w:rsidR="00A842BD" w:rsidRPr="00565DAF">
        <w:rPr>
          <w:rFonts w:hint="eastAsia"/>
          <w:highlight w:val="yellow"/>
        </w:rPr>
        <w:t xml:space="preserve"> </w:t>
      </w:r>
      <w:r w:rsidR="00A842BD" w:rsidRPr="00565DAF">
        <w:rPr>
          <w:highlight w:val="yellow"/>
        </w:rPr>
        <w:t>ORI efficiency</w:t>
      </w:r>
      <w:r w:rsidR="00C73AD4">
        <w:rPr>
          <w:rFonts w:hint="eastAsia"/>
          <w:highlight w:val="yellow"/>
        </w:rPr>
        <w:t xml:space="preserve"> </w:t>
      </w:r>
      <w:r w:rsidR="00A842BD" w:rsidRPr="00565DAF">
        <w:rPr>
          <w:highlight w:val="yellow"/>
        </w:rPr>
        <w:t>declined from 0.695 [IQR: 0.188</w:t>
      </w:r>
      <w:r w:rsidR="00A842BD" w:rsidRPr="00565DAF">
        <w:rPr>
          <w:rFonts w:hint="eastAsia"/>
          <w:highlight w:val="yellow"/>
        </w:rPr>
        <w:t xml:space="preserve"> - </w:t>
      </w:r>
      <w:r w:rsidR="00A842BD" w:rsidRPr="00565DAF">
        <w:rPr>
          <w:highlight w:val="yellow"/>
        </w:rPr>
        <w:t xml:space="preserve">2.411] </w:t>
      </w:r>
      <w:r w:rsidR="00A842BD" w:rsidRPr="00565DAF">
        <w:rPr>
          <w:rFonts w:hint="eastAsia"/>
          <w:highlight w:val="yellow"/>
        </w:rPr>
        <w:t xml:space="preserve">to </w:t>
      </w:r>
      <w:r w:rsidR="00A842BD" w:rsidRPr="00565DAF">
        <w:rPr>
          <w:highlight w:val="yellow"/>
        </w:rPr>
        <w:t>0.118 [IQR: 0.008</w:t>
      </w:r>
      <w:r w:rsidR="00A842BD" w:rsidRPr="00565DAF">
        <w:rPr>
          <w:rFonts w:hint="eastAsia"/>
          <w:highlight w:val="yellow"/>
        </w:rPr>
        <w:t xml:space="preserve"> - </w:t>
      </w:r>
      <w:r w:rsidR="00A842BD" w:rsidRPr="00565DAF">
        <w:rPr>
          <w:highlight w:val="yellow"/>
        </w:rPr>
        <w:t xml:space="preserve">0.744] when initiated in </w:t>
      </w:r>
      <w:r w:rsidR="00A842BD" w:rsidRPr="00565DAF">
        <w:rPr>
          <w:rFonts w:hint="eastAsia"/>
          <w:highlight w:val="yellow"/>
        </w:rPr>
        <w:t xml:space="preserve">week 1 and </w:t>
      </w:r>
      <w:r w:rsidR="00A842BD" w:rsidRPr="00565DAF">
        <w:rPr>
          <w:highlight w:val="yellow"/>
        </w:rPr>
        <w:t>week 13</w:t>
      </w:r>
      <w:r w:rsidR="00A842BD" w:rsidRPr="00565DAF">
        <w:rPr>
          <w:rFonts w:hint="eastAsia"/>
          <w:highlight w:val="yellow"/>
        </w:rPr>
        <w:t>, respectively</w:t>
      </w:r>
      <w:r w:rsidR="00A842BD" w:rsidRPr="00565DAF">
        <w:rPr>
          <w:highlight w:val="yellow"/>
        </w:rPr>
        <w:t>. The cost per case averted was approximately $4,623 [IQR: 972</w:t>
      </w:r>
      <w:r w:rsidR="00A842BD" w:rsidRPr="00565DAF">
        <w:rPr>
          <w:rFonts w:hint="eastAsia"/>
          <w:highlight w:val="yellow"/>
        </w:rPr>
        <w:t xml:space="preserve"> - </w:t>
      </w:r>
      <w:r w:rsidR="00A842BD" w:rsidRPr="00565DAF">
        <w:rPr>
          <w:highlight w:val="yellow"/>
        </w:rPr>
        <w:t>17,853] for ORIs initiated in the first week, remaining below the benchmark cost-effectiveness threshold of three times the GDP per capita in sub-Saharan Africa (≈$1,636</w:t>
      </w:r>
      <w:r w:rsidR="00A842BD" w:rsidRPr="00565DAF">
        <w:rPr>
          <w:rFonts w:eastAsia="Aptos"/>
          <w:highlight w:val="yellow"/>
        </w:rPr>
        <w:fldChar w:fldCharType="begin"/>
      </w:r>
      <w:r w:rsidR="00345AF1">
        <w:rPr>
          <w:rFonts w:eastAsia="Aptos"/>
          <w:highlight w:val="yellow"/>
        </w:rPr>
        <w:instrText xml:space="preserve"> ADDIN ZOTERO_ITEM CSL_CITATION {"citationID":"JoVXGF3J","properties":{"formattedCitation":"\\super 63\\nosupersub{}","plainCitation":"63","noteIndex":0},"citationItems":[{"id":"EgwuGF5k/xbAzyDr0","uris":["http://zotero.org/users/local/xDVOxgbN/items/G7M42ZDC"],"itemData":{"id":183,"type":"dataset","title":"GDP per capita (current US$)","URL":"https://data.worldbank.org/indicator/NY.GDP.PCAP.CD","author":[{"literal":"World Bank Group"}]}}],"schema":"https://github.com/citation-style-language/schema/raw/master/csl-citation.json"} </w:instrText>
      </w:r>
      <w:r w:rsidR="00A842BD" w:rsidRPr="00565DAF">
        <w:rPr>
          <w:rFonts w:eastAsia="Aptos"/>
          <w:highlight w:val="yellow"/>
        </w:rPr>
        <w:fldChar w:fldCharType="separate"/>
      </w:r>
      <w:r w:rsidR="00345AF1" w:rsidRPr="00345AF1">
        <w:rPr>
          <w:rFonts w:cs="Times New Roman"/>
          <w:vertAlign w:val="superscript"/>
        </w:rPr>
        <w:t>63</w:t>
      </w:r>
      <w:r w:rsidR="00A842BD" w:rsidRPr="00565DAF">
        <w:rPr>
          <w:rFonts w:eastAsia="Aptos"/>
          <w:highlight w:val="yellow"/>
        </w:rPr>
        <w:fldChar w:fldCharType="end"/>
      </w:r>
      <w:r w:rsidR="00A842BD" w:rsidRPr="00565DAF">
        <w:rPr>
          <w:highlight w:val="yellow"/>
        </w:rPr>
        <w:t>)</w:t>
      </w:r>
      <w:r w:rsidR="00A842BD" w:rsidRPr="00565DAF">
        <w:rPr>
          <w:rFonts w:hint="eastAsia"/>
          <w:highlight w:val="yellow"/>
        </w:rPr>
        <w:t xml:space="preserve">. </w:t>
      </w:r>
      <w:r w:rsidR="003D7D41" w:rsidRPr="00565DAF">
        <w:rPr>
          <w:rFonts w:hint="eastAsia"/>
          <w:highlight w:val="yellow"/>
        </w:rPr>
        <w:t xml:space="preserve">However, this </w:t>
      </w:r>
      <w:r w:rsidR="00A842BD" w:rsidRPr="00565DAF">
        <w:rPr>
          <w:rFonts w:hint="eastAsia"/>
          <w:highlight w:val="yellow"/>
        </w:rPr>
        <w:t xml:space="preserve">cost </w:t>
      </w:r>
      <w:r w:rsidR="002A46E4" w:rsidRPr="00565DAF">
        <w:rPr>
          <w:rFonts w:hint="eastAsia"/>
          <w:highlight w:val="yellow"/>
        </w:rPr>
        <w:t>rose markedly</w:t>
      </w:r>
      <w:r w:rsidR="00C80B24" w:rsidRPr="00565DAF">
        <w:rPr>
          <w:highlight w:val="yellow"/>
        </w:rPr>
        <w:t xml:space="preserve"> to $</w:t>
      </w:r>
      <w:r w:rsidR="00B41538" w:rsidRPr="00565DAF">
        <w:rPr>
          <w:highlight w:val="yellow"/>
        </w:rPr>
        <w:t>15,53</w:t>
      </w:r>
      <w:r w:rsidR="006503FE" w:rsidRPr="00565DAF">
        <w:rPr>
          <w:rFonts w:hint="eastAsia"/>
          <w:highlight w:val="yellow"/>
        </w:rPr>
        <w:t>0</w:t>
      </w:r>
      <w:r w:rsidR="00C80B24" w:rsidRPr="00565DAF">
        <w:rPr>
          <w:highlight w:val="yellow"/>
        </w:rPr>
        <w:t xml:space="preserve"> </w:t>
      </w:r>
      <w:r w:rsidR="004A6BCD" w:rsidRPr="00565DAF">
        <w:rPr>
          <w:rFonts w:hint="eastAsia"/>
          <w:highlight w:val="yellow"/>
        </w:rPr>
        <w:t xml:space="preserve">[IQR: </w:t>
      </w:r>
      <w:r w:rsidR="004A6BCD" w:rsidRPr="00565DAF">
        <w:rPr>
          <w:highlight w:val="yellow"/>
        </w:rPr>
        <w:t>2,885 - 75,590</w:t>
      </w:r>
      <w:r w:rsidR="004A6BCD" w:rsidRPr="00565DAF">
        <w:rPr>
          <w:rFonts w:hint="eastAsia"/>
          <w:highlight w:val="yellow"/>
        </w:rPr>
        <w:t xml:space="preserve">] </w:t>
      </w:r>
      <w:r w:rsidR="002A46E4" w:rsidRPr="00565DAF">
        <w:rPr>
          <w:rFonts w:hint="eastAsia"/>
          <w:highlight w:val="yellow"/>
        </w:rPr>
        <w:t xml:space="preserve">when </w:t>
      </w:r>
      <w:r w:rsidR="00B41538" w:rsidRPr="00565DAF">
        <w:rPr>
          <w:rFonts w:hint="eastAsia"/>
          <w:highlight w:val="yellow"/>
        </w:rPr>
        <w:t>the ORI</w:t>
      </w:r>
      <w:r w:rsidR="002A46E4" w:rsidRPr="00565DAF">
        <w:rPr>
          <w:rFonts w:hint="eastAsia"/>
          <w:highlight w:val="yellow"/>
        </w:rPr>
        <w:t xml:space="preserve"> implementation</w:t>
      </w:r>
      <w:r w:rsidR="00B41538" w:rsidRPr="00565DAF">
        <w:rPr>
          <w:rFonts w:hint="eastAsia"/>
          <w:highlight w:val="yellow"/>
        </w:rPr>
        <w:t xml:space="preserve"> was</w:t>
      </w:r>
      <w:r w:rsidR="00C80B24" w:rsidRPr="00565DAF">
        <w:rPr>
          <w:highlight w:val="yellow"/>
        </w:rPr>
        <w:t xml:space="preserve"> delayed </w:t>
      </w:r>
      <w:r w:rsidR="000D0A1C" w:rsidRPr="00565DAF">
        <w:rPr>
          <w:rFonts w:hint="eastAsia"/>
          <w:highlight w:val="yellow"/>
        </w:rPr>
        <w:t xml:space="preserve">until week </w:t>
      </w:r>
      <w:r w:rsidR="00C80B24" w:rsidRPr="00565DAF">
        <w:rPr>
          <w:highlight w:val="yellow"/>
        </w:rPr>
        <w:t>13.</w:t>
      </w:r>
      <w:r w:rsidR="004A6BCD" w:rsidRPr="00565DAF">
        <w:rPr>
          <w:rFonts w:hint="eastAsia"/>
          <w:highlight w:val="yellow"/>
        </w:rPr>
        <w:t xml:space="preserve"> </w:t>
      </w:r>
      <w:r w:rsidR="004A6BCD" w:rsidRPr="00565DAF">
        <w:rPr>
          <w:b/>
          <w:bCs/>
          <w:highlight w:val="yellow"/>
        </w:rPr>
        <w:t>Table 3</w:t>
      </w:r>
      <w:r w:rsidR="004A6BCD" w:rsidRPr="00565DAF">
        <w:rPr>
          <w:rFonts w:hint="eastAsia"/>
          <w:b/>
          <w:bCs/>
          <w:highlight w:val="yellow"/>
        </w:rPr>
        <w:t xml:space="preserve"> </w:t>
      </w:r>
      <w:r w:rsidR="004A6BCD" w:rsidRPr="00565DAF">
        <w:rPr>
          <w:rFonts w:hint="eastAsia"/>
          <w:highlight w:val="yellow"/>
        </w:rPr>
        <w:t xml:space="preserve">also shows that the number of outbreaks </w:t>
      </w:r>
      <w:r w:rsidR="00A842BD" w:rsidRPr="00565DAF">
        <w:rPr>
          <w:rFonts w:hint="eastAsia"/>
          <w:highlight w:val="yellow"/>
        </w:rPr>
        <w:t xml:space="preserve">eligible for </w:t>
      </w:r>
      <w:r w:rsidR="00A842BD" w:rsidRPr="00565DAF">
        <w:rPr>
          <w:rFonts w:hint="eastAsia"/>
          <w:highlight w:val="yellow"/>
        </w:rPr>
        <w:lastRenderedPageBreak/>
        <w:t xml:space="preserve">vaccination </w:t>
      </w:r>
      <w:r w:rsidR="004A6BCD" w:rsidRPr="00565DAF">
        <w:rPr>
          <w:rFonts w:hint="eastAsia"/>
          <w:highlight w:val="yellow"/>
        </w:rPr>
        <w:t>de</w:t>
      </w:r>
      <w:r w:rsidR="00A842BD" w:rsidRPr="00565DAF">
        <w:rPr>
          <w:rFonts w:hint="eastAsia"/>
          <w:highlight w:val="yellow"/>
        </w:rPr>
        <w:t>clined steadily w</w:t>
      </w:r>
      <w:r w:rsidR="004A6BCD" w:rsidRPr="00565DAF">
        <w:rPr>
          <w:rFonts w:hint="eastAsia"/>
          <w:highlight w:val="yellow"/>
        </w:rPr>
        <w:t>ith increasing delays</w:t>
      </w:r>
      <w:r w:rsidR="0067774C">
        <w:rPr>
          <w:rFonts w:hint="eastAsia"/>
          <w:highlight w:val="yellow"/>
        </w:rPr>
        <w:t>.</w:t>
      </w:r>
      <w:r w:rsidR="00117ADF" w:rsidRPr="00565DAF">
        <w:rPr>
          <w:rFonts w:hint="eastAsia"/>
          <w:highlight w:val="yellow"/>
        </w:rPr>
        <w:t xml:space="preserve"> </w:t>
      </w:r>
      <w:r w:rsidR="00A842BD" w:rsidRPr="00565DAF">
        <w:rPr>
          <w:highlight w:val="yellow"/>
        </w:rPr>
        <w:t xml:space="preserve">ORI impact was consistently greater in the top quartile of outbreaks by attack rate, duration, or size. For example, case reduction in the </w:t>
      </w:r>
      <w:r w:rsidR="00A842BD" w:rsidRPr="00565DAF">
        <w:rPr>
          <w:rFonts w:hint="eastAsia"/>
          <w:highlight w:val="yellow"/>
        </w:rPr>
        <w:t>top quartile of o</w:t>
      </w:r>
      <w:r w:rsidR="00A842BD" w:rsidRPr="00565DAF">
        <w:rPr>
          <w:highlight w:val="yellow"/>
        </w:rPr>
        <w:t>utbreaks</w:t>
      </w:r>
      <w:r w:rsidR="00A842BD" w:rsidRPr="00565DAF">
        <w:rPr>
          <w:rFonts w:hint="eastAsia"/>
          <w:highlight w:val="yellow"/>
        </w:rPr>
        <w:t xml:space="preserve"> by duration</w:t>
      </w:r>
      <w:r w:rsidR="00A842BD" w:rsidRPr="00565DAF">
        <w:rPr>
          <w:highlight w:val="yellow"/>
        </w:rPr>
        <w:t xml:space="preserve"> </w:t>
      </w:r>
      <w:r w:rsidR="00A842BD" w:rsidRPr="00203322">
        <w:rPr>
          <w:highlight w:val="yellow"/>
        </w:rPr>
        <w:t xml:space="preserve">reached </w:t>
      </w:r>
      <w:r w:rsidR="00203322" w:rsidRPr="00203322">
        <w:rPr>
          <w:highlight w:val="yellow"/>
        </w:rPr>
        <w:t xml:space="preserve">84% </w:t>
      </w:r>
      <w:r w:rsidR="00203322" w:rsidRPr="00203322">
        <w:rPr>
          <w:rFonts w:hint="eastAsia"/>
          <w:highlight w:val="yellow"/>
        </w:rPr>
        <w:t xml:space="preserve">[IQR: </w:t>
      </w:r>
      <w:r w:rsidR="00203322" w:rsidRPr="00203322">
        <w:rPr>
          <w:highlight w:val="yellow"/>
        </w:rPr>
        <w:t>67.1 - 93.6</w:t>
      </w:r>
      <w:r w:rsidR="00A842BD" w:rsidRPr="00203322">
        <w:rPr>
          <w:highlight w:val="yellow"/>
        </w:rPr>
        <w:t xml:space="preserve">] when </w:t>
      </w:r>
      <w:r w:rsidR="00A842BD" w:rsidRPr="00565DAF">
        <w:rPr>
          <w:highlight w:val="yellow"/>
        </w:rPr>
        <w:t xml:space="preserve">ORI was launched in week 1 but fell to </w:t>
      </w:r>
      <w:r w:rsidR="00203322" w:rsidRPr="00203322">
        <w:rPr>
          <w:highlight w:val="yellow"/>
          <w:lang w:val="en-US"/>
        </w:rPr>
        <w:t>19</w:t>
      </w:r>
      <w:r w:rsidR="00203322">
        <w:rPr>
          <w:rFonts w:hint="eastAsia"/>
          <w:highlight w:val="yellow"/>
          <w:lang w:val="en-US"/>
        </w:rPr>
        <w:t>%</w:t>
      </w:r>
      <w:r w:rsidR="00203322" w:rsidRPr="00203322">
        <w:rPr>
          <w:highlight w:val="yellow"/>
          <w:lang w:val="en-US"/>
        </w:rPr>
        <w:t xml:space="preserve"> </w:t>
      </w:r>
      <w:r w:rsidR="00203322">
        <w:rPr>
          <w:rFonts w:hint="eastAsia"/>
          <w:highlight w:val="yellow"/>
          <w:lang w:val="en-US"/>
        </w:rPr>
        <w:t xml:space="preserve">[IQR: </w:t>
      </w:r>
      <w:r w:rsidR="00203322" w:rsidRPr="00203322">
        <w:rPr>
          <w:highlight w:val="yellow"/>
          <w:lang w:val="en-US"/>
        </w:rPr>
        <w:t>0 - 47.8</w:t>
      </w:r>
      <w:r w:rsidR="00203322">
        <w:rPr>
          <w:rFonts w:hint="eastAsia"/>
          <w:highlight w:val="yellow"/>
          <w:lang w:val="en-US"/>
        </w:rPr>
        <w:t xml:space="preserve">] </w:t>
      </w:r>
      <w:r w:rsidR="00A842BD" w:rsidRPr="00565DAF">
        <w:rPr>
          <w:highlight w:val="yellow"/>
        </w:rPr>
        <w:t>when delayed until week 15.</w:t>
      </w:r>
      <w:r w:rsidR="00A46471">
        <w:rPr>
          <w:rFonts w:hint="eastAsia"/>
          <w:highlight w:val="yellow"/>
        </w:rPr>
        <w:t xml:space="preserve"> For the case-triggered scenario</w:t>
      </w:r>
      <w:r w:rsidR="00A46471">
        <w:rPr>
          <w:rFonts w:hint="eastAsia"/>
        </w:rPr>
        <w:t>,</w:t>
      </w:r>
      <w:r w:rsidR="0016071A">
        <w:rPr>
          <w:rFonts w:hint="eastAsia"/>
          <w:highlight w:val="yellow"/>
        </w:rPr>
        <w:t xml:space="preserve"> </w:t>
      </w:r>
      <w:r w:rsidR="00721A2F" w:rsidRPr="00565DAF">
        <w:rPr>
          <w:highlight w:val="yellow"/>
        </w:rPr>
        <w:t xml:space="preserve">the impact of ORI </w:t>
      </w:r>
      <w:r w:rsidR="00717498">
        <w:rPr>
          <w:rFonts w:hint="eastAsia"/>
          <w:highlight w:val="yellow"/>
        </w:rPr>
        <w:t>declined</w:t>
      </w:r>
      <w:r w:rsidR="00721A2F" w:rsidRPr="00565DAF">
        <w:rPr>
          <w:highlight w:val="yellow"/>
        </w:rPr>
        <w:t xml:space="preserve"> with longer delays</w:t>
      </w:r>
      <w:r w:rsidR="00717498">
        <w:rPr>
          <w:rFonts w:hint="eastAsia"/>
        </w:rPr>
        <w:t xml:space="preserve"> after the trigger and </w:t>
      </w:r>
      <w:r w:rsidR="0016071A" w:rsidRPr="0016071A">
        <w:rPr>
          <w:rFonts w:hint="eastAsia"/>
          <w:highlight w:val="yellow"/>
        </w:rPr>
        <w:t>higher thresholds</w:t>
      </w:r>
      <w:r w:rsidR="00A46471">
        <w:rPr>
          <w:rFonts w:hint="eastAsia"/>
          <w:highlight w:val="yellow"/>
        </w:rPr>
        <w:t xml:space="preserve"> (</w:t>
      </w:r>
      <w:r w:rsidR="00A46471" w:rsidRPr="00A46471">
        <w:rPr>
          <w:rFonts w:hint="eastAsia"/>
          <w:b/>
          <w:bCs/>
          <w:highlight w:val="yellow"/>
        </w:rPr>
        <w:t>Table S2</w:t>
      </w:r>
      <w:r w:rsidR="00A46471">
        <w:rPr>
          <w:rFonts w:hint="eastAsia"/>
          <w:highlight w:val="yellow"/>
        </w:rPr>
        <w:t>)</w:t>
      </w:r>
      <w:r w:rsidR="000A7845">
        <w:rPr>
          <w:rFonts w:hint="eastAsia"/>
          <w:highlight w:val="yellow"/>
        </w:rPr>
        <w:t>.</w:t>
      </w:r>
      <w:r w:rsidR="00A46471">
        <w:rPr>
          <w:rFonts w:hint="eastAsia"/>
          <w:highlight w:val="yellow"/>
        </w:rPr>
        <w:t xml:space="preserve"> </w:t>
      </w:r>
      <w:r w:rsidR="000A7845" w:rsidRPr="000A7845">
        <w:rPr>
          <w:highlight w:val="yellow"/>
        </w:rPr>
        <w:t>Efficiency also decreased with higher thresholds and longer delays</w:t>
      </w:r>
      <w:r w:rsidR="00A46471">
        <w:rPr>
          <w:rFonts w:hint="eastAsia"/>
          <w:highlight w:val="yellow"/>
        </w:rPr>
        <w:t xml:space="preserve">. </w:t>
      </w:r>
      <w:r w:rsidR="006B235C" w:rsidRPr="003B3D47">
        <w:rPr>
          <w:highlight w:val="yellow"/>
        </w:rPr>
        <w:t>Accordingly, the median cost per case</w:t>
      </w:r>
      <w:r w:rsidR="00F264A5">
        <w:rPr>
          <w:rFonts w:hint="eastAsia"/>
          <w:highlight w:val="yellow"/>
        </w:rPr>
        <w:t>, death,</w:t>
      </w:r>
      <w:r w:rsidR="006B235C" w:rsidRPr="003B3D47">
        <w:rPr>
          <w:highlight w:val="yellow"/>
        </w:rPr>
        <w:t xml:space="preserve"> and DALY averted </w:t>
      </w:r>
      <w:r w:rsidR="00F475AB">
        <w:rPr>
          <w:rFonts w:hint="eastAsia"/>
          <w:highlight w:val="yellow"/>
        </w:rPr>
        <w:t>rose with higher</w:t>
      </w:r>
      <w:r w:rsidR="006B235C" w:rsidRPr="003B3D47">
        <w:rPr>
          <w:highlight w:val="yellow"/>
        </w:rPr>
        <w:t xml:space="preserve"> thresholds</w:t>
      </w:r>
      <w:r w:rsidR="00F475AB">
        <w:rPr>
          <w:rFonts w:hint="eastAsia"/>
          <w:highlight w:val="yellow"/>
        </w:rPr>
        <w:t xml:space="preserve"> and longer delays</w:t>
      </w:r>
      <w:r w:rsidR="00A07832" w:rsidRPr="003B3D47">
        <w:rPr>
          <w:rFonts w:hint="eastAsia"/>
          <w:highlight w:val="yellow"/>
        </w:rPr>
        <w:t xml:space="preserve">, </w:t>
      </w:r>
      <w:r w:rsidR="006B235C" w:rsidRPr="003B3D47">
        <w:rPr>
          <w:highlight w:val="yellow"/>
        </w:rPr>
        <w:t xml:space="preserve">remaining below </w:t>
      </w:r>
      <w:r w:rsidR="00F475AB">
        <w:rPr>
          <w:rFonts w:hint="eastAsia"/>
          <w:highlight w:val="yellow"/>
        </w:rPr>
        <w:t xml:space="preserve">conventional </w:t>
      </w:r>
      <w:r w:rsidR="006B235C" w:rsidRPr="003B3D47">
        <w:rPr>
          <w:highlight w:val="yellow"/>
        </w:rPr>
        <w:t xml:space="preserve">cost-effectiveness </w:t>
      </w:r>
      <w:r w:rsidR="00F475AB">
        <w:rPr>
          <w:rFonts w:hint="eastAsia"/>
          <w:highlight w:val="yellow"/>
        </w:rPr>
        <w:t>benchmark</w:t>
      </w:r>
      <w:r w:rsidR="006B235C" w:rsidRPr="003B3D47">
        <w:rPr>
          <w:highlight w:val="yellow"/>
        </w:rPr>
        <w:t>s</w:t>
      </w:r>
      <w:r w:rsidR="00F475AB">
        <w:rPr>
          <w:rFonts w:hint="eastAsia"/>
          <w:highlight w:val="yellow"/>
        </w:rPr>
        <w:t xml:space="preserve">. </w:t>
      </w:r>
    </w:p>
    <w:p w14:paraId="4C38061F" w14:textId="3A32293D" w:rsidR="00CE75ED" w:rsidRPr="00097432" w:rsidRDefault="00CE75ED" w:rsidP="00F57F15">
      <w:pPr>
        <w:pStyle w:val="Heading3"/>
      </w:pPr>
      <w:bookmarkStart w:id="30" w:name="_Toc184909208"/>
      <w:r w:rsidRPr="00097432">
        <w:rPr>
          <w:rFonts w:hint="eastAsia"/>
        </w:rPr>
        <w:t xml:space="preserve">Impact of ORIs </w:t>
      </w:r>
      <w:r w:rsidR="00F666B7" w:rsidRPr="00097432">
        <w:rPr>
          <w:rFonts w:hint="eastAsia"/>
        </w:rPr>
        <w:t xml:space="preserve">aggregated </w:t>
      </w:r>
      <w:r w:rsidR="004647EB">
        <w:rPr>
          <w:rFonts w:hint="eastAsia"/>
        </w:rPr>
        <w:t>across</w:t>
      </w:r>
      <w:r w:rsidRPr="00097432">
        <w:rPr>
          <w:rFonts w:hint="eastAsia"/>
        </w:rPr>
        <w:t xml:space="preserve"> multiple outbreaks</w:t>
      </w:r>
    </w:p>
    <w:bookmarkEnd w:id="30"/>
    <w:p w14:paraId="751EB781" w14:textId="77777777" w:rsidR="00F666B7" w:rsidRPr="00097432" w:rsidRDefault="00F666B7" w:rsidP="00F666B7">
      <w:pPr>
        <w:pStyle w:val="Heading4"/>
      </w:pPr>
      <w:r w:rsidRPr="00097432">
        <w:rPr>
          <w:rFonts w:hint="eastAsia"/>
        </w:rPr>
        <w:t>Impact of ORIs across campaign timing and coverage levels</w:t>
      </w:r>
    </w:p>
    <w:p w14:paraId="16038545" w14:textId="51FD3787" w:rsidR="00A3640F" w:rsidRPr="00097432" w:rsidRDefault="0073569F" w:rsidP="009810DC">
      <w:r w:rsidRPr="00097432">
        <w:t>When the impact</w:t>
      </w:r>
      <w:r w:rsidR="00A46471">
        <w:rPr>
          <w:rFonts w:hint="eastAsia"/>
        </w:rPr>
        <w:t xml:space="preserve"> and efficiency</w:t>
      </w:r>
      <w:r w:rsidRPr="00097432">
        <w:t xml:space="preserve"> of ORI campaigns with 75% vaccine coverage was evaluated across aggregated sets of outbreaks</w:t>
      </w:r>
      <w:r w:rsidR="00B1216A">
        <w:rPr>
          <w:rFonts w:hint="eastAsia"/>
        </w:rPr>
        <w:t>,</w:t>
      </w:r>
      <w:r w:rsidRPr="00097432">
        <w:t xml:space="preserve"> median effectiveness</w:t>
      </w:r>
      <w:r w:rsidR="00A46471">
        <w:rPr>
          <w:rFonts w:hint="eastAsia"/>
        </w:rPr>
        <w:t xml:space="preserve"> and efficiency</w:t>
      </w:r>
      <w:r w:rsidRPr="00097432">
        <w:t xml:space="preserve"> increased with the number of outbreaks included in the sample </w:t>
      </w:r>
      <w:r w:rsidR="00711225" w:rsidRPr="00097432">
        <w:t>(</w:t>
      </w:r>
      <w:r w:rsidR="00251C88" w:rsidRPr="00097432">
        <w:rPr>
          <w:rFonts w:hint="eastAsia"/>
          <w:b/>
          <w:bCs/>
        </w:rPr>
        <w:t xml:space="preserve">Figure </w:t>
      </w:r>
      <w:r w:rsidR="00A46471">
        <w:rPr>
          <w:rFonts w:hint="eastAsia"/>
          <w:b/>
          <w:bCs/>
        </w:rPr>
        <w:t>S4</w:t>
      </w:r>
      <w:r w:rsidR="001E69BC" w:rsidRPr="00097432">
        <w:t>)</w:t>
      </w:r>
      <w:r w:rsidR="00DB6385" w:rsidRPr="00097432">
        <w:t>.</w:t>
      </w:r>
      <w:r w:rsidR="001116CD" w:rsidRPr="00097432">
        <w:rPr>
          <w:rFonts w:hint="eastAsia"/>
        </w:rPr>
        <w:t xml:space="preserve"> </w:t>
      </w:r>
      <w:bookmarkStart w:id="31" w:name="_Hlk203670219"/>
      <w:r w:rsidR="002F5474">
        <w:rPr>
          <w:rFonts w:hint="eastAsia"/>
        </w:rPr>
        <w:t>As such s</w:t>
      </w:r>
      <w:r w:rsidR="00E334EE" w:rsidRPr="00097432">
        <w:rPr>
          <w:rFonts w:hint="eastAsia"/>
        </w:rPr>
        <w:t>ubstantial impact w</w:t>
      </w:r>
      <w:r w:rsidR="00260A60" w:rsidRPr="00097432">
        <w:rPr>
          <w:rFonts w:hint="eastAsia"/>
        </w:rPr>
        <w:t>as</w:t>
      </w:r>
      <w:r w:rsidR="00E334EE" w:rsidRPr="00097432">
        <w:rPr>
          <w:rFonts w:hint="eastAsia"/>
        </w:rPr>
        <w:t xml:space="preserve"> observed when the outbreaks were </w:t>
      </w:r>
      <w:r w:rsidR="002146B4" w:rsidRPr="00097432">
        <w:rPr>
          <w:rFonts w:hint="eastAsia"/>
        </w:rPr>
        <w:t>aggregated</w:t>
      </w:r>
      <w:r w:rsidR="00E334EE" w:rsidRPr="00097432">
        <w:rPr>
          <w:rFonts w:hint="eastAsia"/>
        </w:rPr>
        <w:t xml:space="preserve"> </w:t>
      </w:r>
      <w:r w:rsidR="002146B4" w:rsidRPr="00097432">
        <w:rPr>
          <w:rFonts w:hint="eastAsia"/>
        </w:rPr>
        <w:t xml:space="preserve">to reflect </w:t>
      </w:r>
      <w:r w:rsidR="00E334EE" w:rsidRPr="00097432">
        <w:rPr>
          <w:rFonts w:hint="eastAsia"/>
        </w:rPr>
        <w:t xml:space="preserve">the </w:t>
      </w:r>
      <w:r w:rsidR="00260A60" w:rsidRPr="00097432">
        <w:rPr>
          <w:rFonts w:hint="eastAsia"/>
        </w:rPr>
        <w:t xml:space="preserve">volume </w:t>
      </w:r>
      <w:r w:rsidR="00E334EE" w:rsidRPr="00097432">
        <w:rPr>
          <w:rFonts w:hint="eastAsia"/>
        </w:rPr>
        <w:t xml:space="preserve">of OCVs deployed </w:t>
      </w:r>
      <w:r w:rsidR="00260A60" w:rsidRPr="00097432">
        <w:rPr>
          <w:rFonts w:hint="eastAsia"/>
        </w:rPr>
        <w:t>t</w:t>
      </w:r>
      <w:r w:rsidR="00E334EE" w:rsidRPr="00097432">
        <w:rPr>
          <w:rFonts w:hint="eastAsia"/>
        </w:rPr>
        <w:t xml:space="preserve">hrough the global stockpile </w:t>
      </w:r>
      <w:bookmarkEnd w:id="31"/>
      <w:r w:rsidR="00E334EE" w:rsidRPr="00097432">
        <w:rPr>
          <w:rFonts w:hint="eastAsia"/>
        </w:rPr>
        <w:t>(</w:t>
      </w:r>
      <w:r w:rsidR="00E334EE" w:rsidRPr="00097432">
        <w:rPr>
          <w:rFonts w:hint="eastAsia"/>
          <w:b/>
          <w:bCs/>
        </w:rPr>
        <w:t xml:space="preserve">Figure </w:t>
      </w:r>
      <w:r w:rsidR="00BE2DE0">
        <w:rPr>
          <w:rFonts w:hint="eastAsia"/>
          <w:b/>
          <w:bCs/>
        </w:rPr>
        <w:t>4</w:t>
      </w:r>
      <w:r w:rsidR="00C20B98">
        <w:rPr>
          <w:rFonts w:hint="eastAsia"/>
          <w:b/>
          <w:bCs/>
        </w:rPr>
        <w:t>;</w:t>
      </w:r>
      <w:r w:rsidR="00C20B98" w:rsidRPr="00C20B98">
        <w:rPr>
          <w:rFonts w:hint="eastAsia"/>
        </w:rPr>
        <w:t xml:space="preserve"> more details in </w:t>
      </w:r>
      <w:r w:rsidR="00C20B98">
        <w:rPr>
          <w:rFonts w:hint="eastAsia"/>
          <w:b/>
          <w:bCs/>
        </w:rPr>
        <w:t>Table S3</w:t>
      </w:r>
      <w:r w:rsidR="00E334EE" w:rsidRPr="00097432">
        <w:rPr>
          <w:rFonts w:hint="eastAsia"/>
        </w:rPr>
        <w:t>). Over time</w:t>
      </w:r>
      <w:r w:rsidR="00711225" w:rsidRPr="00097432">
        <w:rPr>
          <w:rFonts w:hint="eastAsia"/>
        </w:rPr>
        <w:t xml:space="preserve">, </w:t>
      </w:r>
      <w:r w:rsidR="00711225" w:rsidRPr="00097432">
        <w:t>the</w:t>
      </w:r>
      <w:r w:rsidR="00711225" w:rsidRPr="00097432">
        <w:rPr>
          <w:rFonts w:hint="eastAsia"/>
        </w:rPr>
        <w:t xml:space="preserve"> </w:t>
      </w:r>
      <w:r w:rsidR="004647EB" w:rsidRPr="004647EB">
        <w:rPr>
          <w:rFonts w:hint="eastAsia"/>
          <w:highlight w:val="yellow"/>
        </w:rPr>
        <w:t>aggreg</w:t>
      </w:r>
      <w:r w:rsidR="004647EB" w:rsidRPr="00EE0BD4">
        <w:rPr>
          <w:rFonts w:hint="eastAsia"/>
          <w:highlight w:val="yellow"/>
        </w:rPr>
        <w:t xml:space="preserve">ated </w:t>
      </w:r>
      <w:r w:rsidR="00711225" w:rsidRPr="00EE0BD4">
        <w:rPr>
          <w:rFonts w:hint="eastAsia"/>
          <w:highlight w:val="yellow"/>
        </w:rPr>
        <w:t xml:space="preserve">number of </w:t>
      </w:r>
      <w:r w:rsidR="001649DA" w:rsidRPr="00EE0BD4">
        <w:rPr>
          <w:rFonts w:hint="eastAsia"/>
          <w:highlight w:val="yellow"/>
        </w:rPr>
        <w:t>case</w:t>
      </w:r>
      <w:r w:rsidR="004257A0" w:rsidRPr="00EE0BD4">
        <w:rPr>
          <w:rFonts w:hint="eastAsia"/>
          <w:highlight w:val="yellow"/>
        </w:rPr>
        <w:t>s</w:t>
      </w:r>
      <w:r w:rsidR="00711225" w:rsidRPr="00EE0BD4">
        <w:rPr>
          <w:rFonts w:hint="eastAsia"/>
          <w:highlight w:val="yellow"/>
        </w:rPr>
        <w:t xml:space="preserve"> a</w:t>
      </w:r>
      <w:r w:rsidR="00711225" w:rsidRPr="00EE0BD4">
        <w:rPr>
          <w:highlight w:val="yellow"/>
        </w:rPr>
        <w:t>verted by these campaigns increased</w:t>
      </w:r>
      <w:r w:rsidR="00260A60" w:rsidRPr="00EE0BD4">
        <w:rPr>
          <w:rFonts w:hint="eastAsia"/>
          <w:highlight w:val="yellow"/>
        </w:rPr>
        <w:t>,</w:t>
      </w:r>
      <w:r w:rsidR="001649DA" w:rsidRPr="00EE0BD4">
        <w:rPr>
          <w:rFonts w:hint="eastAsia"/>
          <w:highlight w:val="yellow"/>
        </w:rPr>
        <w:t xml:space="preserve"> </w:t>
      </w:r>
      <w:r w:rsidR="001E653C" w:rsidRPr="00EE0BD4">
        <w:rPr>
          <w:highlight w:val="yellow"/>
        </w:rPr>
        <w:t>reach</w:t>
      </w:r>
      <w:r w:rsidR="00711225" w:rsidRPr="00EE0BD4">
        <w:rPr>
          <w:rFonts w:hint="eastAsia"/>
          <w:highlight w:val="yellow"/>
        </w:rPr>
        <w:t>ing</w:t>
      </w:r>
      <w:r w:rsidR="001E653C" w:rsidRPr="00EE0BD4">
        <w:rPr>
          <w:highlight w:val="yellow"/>
        </w:rPr>
        <w:t xml:space="preserve"> </w:t>
      </w:r>
      <w:r w:rsidR="007A5971">
        <w:rPr>
          <w:rFonts w:hint="eastAsia"/>
          <w:highlight w:val="yellow"/>
        </w:rPr>
        <w:t>4,028</w:t>
      </w:r>
      <w:r w:rsidR="004F5322" w:rsidRPr="004F5322">
        <w:rPr>
          <w:highlight w:val="yellow"/>
          <w:lang w:val="en-US"/>
        </w:rPr>
        <w:t xml:space="preserve"> [IQR: </w:t>
      </w:r>
      <w:r w:rsidR="007A5971">
        <w:rPr>
          <w:rFonts w:hint="eastAsia"/>
          <w:highlight w:val="yellow"/>
          <w:lang w:val="en-US"/>
        </w:rPr>
        <w:t>3</w:t>
      </w:r>
      <w:r w:rsidR="004F5322" w:rsidRPr="004F5322">
        <w:rPr>
          <w:highlight w:val="yellow"/>
          <w:lang w:val="en-US"/>
        </w:rPr>
        <w:t>,</w:t>
      </w:r>
      <w:r w:rsidR="007A5971">
        <w:rPr>
          <w:rFonts w:hint="eastAsia"/>
          <w:highlight w:val="yellow"/>
          <w:lang w:val="en-US"/>
        </w:rPr>
        <w:t>679</w:t>
      </w:r>
      <w:r w:rsidR="004F5322" w:rsidRPr="004F5322">
        <w:rPr>
          <w:highlight w:val="yellow"/>
          <w:lang w:val="en-US"/>
        </w:rPr>
        <w:t xml:space="preserve"> - </w:t>
      </w:r>
      <w:r w:rsidR="007A5971">
        <w:rPr>
          <w:rFonts w:hint="eastAsia"/>
          <w:highlight w:val="yellow"/>
          <w:lang w:val="en-US"/>
        </w:rPr>
        <w:t>4</w:t>
      </w:r>
      <w:r w:rsidR="004F5322" w:rsidRPr="004F5322">
        <w:rPr>
          <w:highlight w:val="yellow"/>
          <w:lang w:val="en-US"/>
        </w:rPr>
        <w:t>,</w:t>
      </w:r>
      <w:r w:rsidR="007A5971">
        <w:rPr>
          <w:rFonts w:hint="eastAsia"/>
          <w:highlight w:val="yellow"/>
          <w:lang w:val="en-US"/>
        </w:rPr>
        <w:t>376</w:t>
      </w:r>
      <w:r w:rsidR="004F5322" w:rsidRPr="004F5322">
        <w:rPr>
          <w:highlight w:val="yellow"/>
          <w:lang w:val="en-US"/>
        </w:rPr>
        <w:t>]</w:t>
      </w:r>
      <w:r w:rsidR="00C20B98">
        <w:rPr>
          <w:rFonts w:hint="eastAsia"/>
          <w:highlight w:val="yellow"/>
          <w:lang w:val="en-US"/>
        </w:rPr>
        <w:t xml:space="preserve"> </w:t>
      </w:r>
      <w:r w:rsidR="00260A60" w:rsidRPr="00EE0BD4">
        <w:rPr>
          <w:rFonts w:hint="eastAsia"/>
          <w:highlight w:val="yellow"/>
        </w:rPr>
        <w:t>by</w:t>
      </w:r>
      <w:r w:rsidR="004257A0" w:rsidRPr="00EE0BD4">
        <w:rPr>
          <w:rFonts w:hint="eastAsia"/>
          <w:highlight w:val="yellow"/>
        </w:rPr>
        <w:t xml:space="preserve"> 202</w:t>
      </w:r>
      <w:r w:rsidR="00093854" w:rsidRPr="00EE0BD4">
        <w:rPr>
          <w:rFonts w:hint="eastAsia"/>
          <w:highlight w:val="yellow"/>
        </w:rPr>
        <w:t>0</w:t>
      </w:r>
      <w:r w:rsidR="00DD5AD5">
        <w:rPr>
          <w:rFonts w:hint="eastAsia"/>
        </w:rPr>
        <w:t>.</w:t>
      </w:r>
      <w:r w:rsidR="007A5971">
        <w:rPr>
          <w:rFonts w:hint="eastAsia"/>
        </w:rPr>
        <w:t xml:space="preserve"> </w:t>
      </w:r>
      <w:r w:rsidR="00B32D8B" w:rsidRPr="00097432">
        <w:t>The percent</w:t>
      </w:r>
      <w:r w:rsidR="00E334EE" w:rsidRPr="00097432">
        <w:rPr>
          <w:rFonts w:hint="eastAsia"/>
        </w:rPr>
        <w:t>age</w:t>
      </w:r>
      <w:r w:rsidR="0041282D" w:rsidRPr="00097432">
        <w:rPr>
          <w:rFonts w:hint="eastAsia"/>
        </w:rPr>
        <w:t xml:space="preserve"> </w:t>
      </w:r>
      <w:r w:rsidR="00260A60" w:rsidRPr="00097432">
        <w:rPr>
          <w:rFonts w:hint="eastAsia"/>
        </w:rPr>
        <w:t>cases averted also rose steadily</w:t>
      </w:r>
      <w:r w:rsidR="00EB4D9D" w:rsidRPr="00097432">
        <w:rPr>
          <w:rFonts w:hint="eastAsia"/>
        </w:rPr>
        <w:t xml:space="preserve"> to</w:t>
      </w:r>
      <w:r w:rsidR="0041282D" w:rsidRPr="00097432">
        <w:rPr>
          <w:rFonts w:hint="eastAsia"/>
        </w:rPr>
        <w:t xml:space="preserve"> </w:t>
      </w:r>
      <w:r w:rsidR="007A5971" w:rsidRPr="007A5971">
        <w:rPr>
          <w:rFonts w:hint="eastAsia"/>
          <w:highlight w:val="yellow"/>
        </w:rPr>
        <w:t>32.3</w:t>
      </w:r>
      <w:r w:rsidR="006B235C" w:rsidRPr="007A5971">
        <w:rPr>
          <w:rFonts w:hint="eastAsia"/>
          <w:highlight w:val="yellow"/>
          <w:lang w:val="en-US"/>
        </w:rPr>
        <w:t>%</w:t>
      </w:r>
      <w:r w:rsidR="006B235C" w:rsidRPr="007A5971">
        <w:rPr>
          <w:highlight w:val="yellow"/>
          <w:lang w:val="en-US"/>
        </w:rPr>
        <w:t xml:space="preserve"> [IQR: </w:t>
      </w:r>
      <w:r w:rsidR="007A5971" w:rsidRPr="007A5971">
        <w:rPr>
          <w:rFonts w:hint="eastAsia"/>
          <w:highlight w:val="yellow"/>
          <w:lang w:val="en-US"/>
        </w:rPr>
        <w:t xml:space="preserve">29.1 - </w:t>
      </w:r>
      <w:r w:rsidR="006B235C" w:rsidRPr="007A5971">
        <w:rPr>
          <w:highlight w:val="yellow"/>
          <w:lang w:val="en-US"/>
        </w:rPr>
        <w:t>3</w:t>
      </w:r>
      <w:r w:rsidR="007A5971" w:rsidRPr="007A5971">
        <w:rPr>
          <w:rFonts w:hint="eastAsia"/>
          <w:highlight w:val="yellow"/>
          <w:lang w:val="en-US"/>
        </w:rPr>
        <w:t>5.2</w:t>
      </w:r>
      <w:r w:rsidR="006B235C" w:rsidRPr="007A5971">
        <w:rPr>
          <w:highlight w:val="yellow"/>
          <w:lang w:val="en-US"/>
        </w:rPr>
        <w:t>]</w:t>
      </w:r>
      <w:r w:rsidR="0049285E" w:rsidRPr="00097432">
        <w:rPr>
          <w:rFonts w:hint="eastAsia"/>
          <w:lang w:val="en-US"/>
        </w:rPr>
        <w:t xml:space="preserve"> </w:t>
      </w:r>
      <w:r w:rsidR="0041282D" w:rsidRPr="00097432">
        <w:rPr>
          <w:rFonts w:hint="eastAsia"/>
        </w:rPr>
        <w:t>in 202</w:t>
      </w:r>
      <w:r w:rsidR="00EB4D9D" w:rsidRPr="00097432">
        <w:rPr>
          <w:rFonts w:hint="eastAsia"/>
        </w:rPr>
        <w:t>0</w:t>
      </w:r>
      <w:r w:rsidR="00BE2DE0">
        <w:rPr>
          <w:rFonts w:hint="eastAsia"/>
        </w:rPr>
        <w:t xml:space="preserve">, assuming a 9-week delay </w:t>
      </w:r>
      <w:proofErr w:type="gramStart"/>
      <w:r w:rsidR="00BE2DE0">
        <w:rPr>
          <w:rFonts w:hint="eastAsia"/>
        </w:rPr>
        <w:t>in ORI</w:t>
      </w:r>
      <w:proofErr w:type="gramEnd"/>
      <w:r w:rsidR="00BE2DE0">
        <w:rPr>
          <w:rFonts w:hint="eastAsia"/>
        </w:rPr>
        <w:t xml:space="preserve"> implementation</w:t>
      </w:r>
      <w:r w:rsidR="007A5971">
        <w:rPr>
          <w:rFonts w:hint="eastAsia"/>
        </w:rPr>
        <w:t xml:space="preserve"> with 75% coverage</w:t>
      </w:r>
      <w:r w:rsidR="00260A60" w:rsidRPr="00097432">
        <w:rPr>
          <w:rFonts w:hint="eastAsia"/>
        </w:rPr>
        <w:t>.</w:t>
      </w:r>
      <w:r w:rsidR="00C20B98">
        <w:rPr>
          <w:rFonts w:hint="eastAsia"/>
        </w:rPr>
        <w:t xml:space="preserve"> These values increase further if ORIs are prioritized to longer outbreaks. If outbreaks are targeted to top 25% of outbreaks by duration, case averted increased to </w:t>
      </w:r>
      <w:r w:rsidR="00C20B98" w:rsidRPr="009818F3">
        <w:rPr>
          <w:highlight w:val="yellow"/>
        </w:rPr>
        <w:t xml:space="preserve">7,805 </w:t>
      </w:r>
      <w:r w:rsidR="00C20B98" w:rsidRPr="009818F3">
        <w:rPr>
          <w:rFonts w:hint="eastAsia"/>
          <w:highlight w:val="yellow"/>
        </w:rPr>
        <w:t xml:space="preserve">[IQR: </w:t>
      </w:r>
      <w:r w:rsidR="00C20B98" w:rsidRPr="009818F3">
        <w:rPr>
          <w:highlight w:val="yellow"/>
        </w:rPr>
        <w:t>7,126 - 8,438</w:t>
      </w:r>
      <w:r w:rsidR="00C20B98" w:rsidRPr="009818F3">
        <w:rPr>
          <w:rFonts w:hint="eastAsia"/>
          <w:highlight w:val="yellow"/>
        </w:rPr>
        <w:t>]</w:t>
      </w:r>
      <w:r w:rsidR="00C20B98">
        <w:rPr>
          <w:rFonts w:hint="eastAsia"/>
        </w:rPr>
        <w:t xml:space="preserve">, corresponding to </w:t>
      </w:r>
      <w:r w:rsidR="00C20B98" w:rsidRPr="00C91CA5">
        <w:t>41.3</w:t>
      </w:r>
      <w:r w:rsidR="00C20B98">
        <w:rPr>
          <w:rFonts w:hint="eastAsia"/>
        </w:rPr>
        <w:t>%</w:t>
      </w:r>
      <w:r w:rsidR="00C20B98" w:rsidRPr="00C91CA5">
        <w:t xml:space="preserve"> </w:t>
      </w:r>
      <w:r w:rsidR="00C20B98">
        <w:rPr>
          <w:rFonts w:hint="eastAsia"/>
        </w:rPr>
        <w:t xml:space="preserve">[IQR: </w:t>
      </w:r>
      <w:r w:rsidR="00C20B98" w:rsidRPr="00C91CA5">
        <w:t>37.6 - 44.8</w:t>
      </w:r>
      <w:r w:rsidR="00C20B98">
        <w:rPr>
          <w:rFonts w:hint="eastAsia"/>
        </w:rPr>
        <w:t>]</w:t>
      </w:r>
      <w:r w:rsidR="00C20B98" w:rsidRPr="009818F3">
        <w:rPr>
          <w:rFonts w:hint="eastAsia"/>
        </w:rPr>
        <w:t xml:space="preserve"> </w:t>
      </w:r>
      <w:r w:rsidR="00C20B98">
        <w:rPr>
          <w:rFonts w:hint="eastAsia"/>
        </w:rPr>
        <w:t xml:space="preserve">under the same conditions of 9-week delay in ORI implementation with 70% coverage. </w:t>
      </w:r>
      <w:r w:rsidR="00260A60" w:rsidRPr="00097432">
        <w:t xml:space="preserve">These </w:t>
      </w:r>
      <w:r w:rsidR="00C20B98">
        <w:rPr>
          <w:rFonts w:hint="eastAsia"/>
        </w:rPr>
        <w:t>e</w:t>
      </w:r>
      <w:r w:rsidR="00260A60" w:rsidRPr="00097432">
        <w:t>stimates</w:t>
      </w:r>
      <w:r w:rsidR="00C20B98">
        <w:rPr>
          <w:rFonts w:hint="eastAsia"/>
        </w:rPr>
        <w:t xml:space="preserve"> across aggregated outbreaks</w:t>
      </w:r>
      <w:r w:rsidR="00260A60" w:rsidRPr="00097432">
        <w:t xml:space="preserve"> contrast with the lower median impact observed when vaccination scenarios were evaluated at the level of individual outbreaks—e.g., </w:t>
      </w:r>
      <w:r w:rsidR="007A5971" w:rsidRPr="00547B10">
        <w:rPr>
          <w:highlight w:val="yellow"/>
        </w:rPr>
        <w:t>12.3 [IQR: 1.7 - 34.2]</w:t>
      </w:r>
      <w:r w:rsidR="007A5971">
        <w:rPr>
          <w:rFonts w:hint="eastAsia"/>
        </w:rPr>
        <w:t xml:space="preserve"> </w:t>
      </w:r>
      <w:r w:rsidR="00260A60" w:rsidRPr="00097432">
        <w:t>under a comparable implementation delay</w:t>
      </w:r>
      <w:r w:rsidR="009810DC" w:rsidRPr="00097432">
        <w:rPr>
          <w:rFonts w:hint="eastAsia"/>
        </w:rPr>
        <w:t xml:space="preserve"> (</w:t>
      </w:r>
      <w:r w:rsidR="009818F3">
        <w:rPr>
          <w:rFonts w:hint="eastAsia"/>
        </w:rPr>
        <w:t xml:space="preserve">as </w:t>
      </w:r>
      <w:r w:rsidR="00344F4D">
        <w:rPr>
          <w:rFonts w:hint="eastAsia"/>
        </w:rPr>
        <w:t xml:space="preserve">previously </w:t>
      </w:r>
      <w:r w:rsidR="009818F3">
        <w:rPr>
          <w:rFonts w:hint="eastAsia"/>
        </w:rPr>
        <w:t xml:space="preserve">illustrated in </w:t>
      </w:r>
      <w:r w:rsidR="009810DC" w:rsidRPr="00097432">
        <w:rPr>
          <w:rFonts w:hint="eastAsia"/>
          <w:b/>
          <w:bCs/>
        </w:rPr>
        <w:t>Table2</w:t>
      </w:r>
      <w:r w:rsidR="009818F3" w:rsidRPr="009818F3">
        <w:rPr>
          <w:rFonts w:hint="eastAsia"/>
        </w:rPr>
        <w:t xml:space="preserve"> and </w:t>
      </w:r>
      <w:r w:rsidR="009810DC" w:rsidRPr="00097432">
        <w:rPr>
          <w:rFonts w:hint="eastAsia"/>
          <w:b/>
          <w:bCs/>
        </w:rPr>
        <w:t>Figure 3</w:t>
      </w:r>
      <w:r w:rsidR="009810DC" w:rsidRPr="00097432">
        <w:rPr>
          <w:rFonts w:hint="eastAsia"/>
        </w:rPr>
        <w:t>)</w:t>
      </w:r>
      <w:r w:rsidR="004257A0" w:rsidRPr="00097432">
        <w:rPr>
          <w:rFonts w:hint="eastAsia"/>
        </w:rPr>
        <w:t xml:space="preserve">. </w:t>
      </w:r>
    </w:p>
    <w:p w14:paraId="04F4F890" w14:textId="7715A553" w:rsidR="00A3640F" w:rsidRPr="00097432" w:rsidRDefault="00A3640F" w:rsidP="00A3640F">
      <w:pPr>
        <w:pStyle w:val="Heading4"/>
      </w:pPr>
      <w:r w:rsidRPr="00097432">
        <w:lastRenderedPageBreak/>
        <w:t>Efficiency and cost</w:t>
      </w:r>
      <w:r w:rsidR="00C20B98">
        <w:rPr>
          <w:rFonts w:hint="eastAsia"/>
        </w:rPr>
        <w:t xml:space="preserve"> effectiveness</w:t>
      </w:r>
    </w:p>
    <w:p w14:paraId="589D4CBB" w14:textId="759E5675" w:rsidR="005D7F75" w:rsidRDefault="0026334F" w:rsidP="005D7F75">
      <w:pPr>
        <w:rPr>
          <w:color w:val="000000"/>
        </w:rPr>
      </w:pPr>
      <w:r>
        <w:rPr>
          <w:rFonts w:hint="eastAsia"/>
        </w:rPr>
        <w:t>C</w:t>
      </w:r>
      <w:r w:rsidR="00372943" w:rsidRPr="00097432">
        <w:rPr>
          <w:rFonts w:hint="eastAsia"/>
        </w:rPr>
        <w:t>ase</w:t>
      </w:r>
      <w:r w:rsidR="00A10060" w:rsidRPr="00097432">
        <w:rPr>
          <w:rFonts w:hint="eastAsia"/>
        </w:rPr>
        <w:t>s</w:t>
      </w:r>
      <w:r w:rsidR="00372943" w:rsidRPr="00097432">
        <w:rPr>
          <w:rFonts w:hint="eastAsia"/>
        </w:rPr>
        <w:t xml:space="preserve"> averted per </w:t>
      </w:r>
      <w:r w:rsidR="00B32D8B" w:rsidRPr="00097432">
        <w:rPr>
          <w:rFonts w:hint="eastAsia"/>
        </w:rPr>
        <w:t>1,000 OCVs</w:t>
      </w:r>
      <w:r w:rsidR="00372943" w:rsidRPr="00097432">
        <w:rPr>
          <w:rFonts w:hint="eastAsia"/>
        </w:rPr>
        <w:t xml:space="preserve"> (</w:t>
      </w:r>
      <w:r w:rsidR="00372943" w:rsidRPr="00097432">
        <w:rPr>
          <w:rFonts w:hint="eastAsia"/>
          <w:b/>
          <w:bCs/>
        </w:rPr>
        <w:t xml:space="preserve">Figure </w:t>
      </w:r>
      <w:r w:rsidR="003E19A6">
        <w:rPr>
          <w:rFonts w:hint="eastAsia"/>
          <w:b/>
          <w:bCs/>
        </w:rPr>
        <w:t>5</w:t>
      </w:r>
      <w:r w:rsidR="00372943" w:rsidRPr="00097432">
        <w:rPr>
          <w:rFonts w:hint="eastAsia"/>
          <w:b/>
          <w:bCs/>
        </w:rPr>
        <w:t>D</w:t>
      </w:r>
      <w:r w:rsidR="00372943" w:rsidRPr="00097432">
        <w:rPr>
          <w:rFonts w:hint="eastAsia"/>
        </w:rPr>
        <w:t>)</w:t>
      </w:r>
      <w:r>
        <w:rPr>
          <w:rFonts w:hint="eastAsia"/>
        </w:rPr>
        <w:t xml:space="preserve"> tended to increase while </w:t>
      </w:r>
      <w:r w:rsidRPr="00097432">
        <w:rPr>
          <w:rFonts w:hint="eastAsia"/>
        </w:rPr>
        <w:t>the cost per case averted (</w:t>
      </w:r>
      <w:r w:rsidRPr="00097432">
        <w:rPr>
          <w:rFonts w:hint="eastAsia"/>
          <w:b/>
          <w:bCs/>
        </w:rPr>
        <w:t xml:space="preserve">Figure </w:t>
      </w:r>
      <w:r w:rsidR="003E19A6">
        <w:rPr>
          <w:rFonts w:hint="eastAsia"/>
          <w:b/>
          <w:bCs/>
        </w:rPr>
        <w:t>5</w:t>
      </w:r>
      <w:r w:rsidRPr="00097432">
        <w:rPr>
          <w:rFonts w:hint="eastAsia"/>
          <w:b/>
          <w:bCs/>
        </w:rPr>
        <w:t>E</w:t>
      </w:r>
      <w:r w:rsidRPr="00097432">
        <w:rPr>
          <w:rFonts w:hint="eastAsia"/>
        </w:rPr>
        <w:t xml:space="preserve">) </w:t>
      </w:r>
      <w:r>
        <w:rPr>
          <w:rFonts w:hint="eastAsia"/>
        </w:rPr>
        <w:t xml:space="preserve">and the cost per DALY averted </w:t>
      </w:r>
      <w:r w:rsidR="00BD6493" w:rsidRPr="00097432">
        <w:rPr>
          <w:rFonts w:hint="eastAsia"/>
        </w:rPr>
        <w:t>(</w:t>
      </w:r>
      <w:r w:rsidR="00BD6493" w:rsidRPr="00097432">
        <w:rPr>
          <w:rFonts w:hint="eastAsia"/>
          <w:b/>
          <w:bCs/>
        </w:rPr>
        <w:t xml:space="preserve">Figure </w:t>
      </w:r>
      <w:r w:rsidR="003E19A6">
        <w:rPr>
          <w:rFonts w:hint="eastAsia"/>
          <w:b/>
          <w:bCs/>
        </w:rPr>
        <w:t>5</w:t>
      </w:r>
      <w:r w:rsidR="00BD6493">
        <w:rPr>
          <w:rFonts w:hint="eastAsia"/>
          <w:b/>
          <w:bCs/>
        </w:rPr>
        <w:t>F</w:t>
      </w:r>
      <w:r w:rsidR="00BD6493" w:rsidRPr="00097432">
        <w:rPr>
          <w:rFonts w:hint="eastAsia"/>
        </w:rPr>
        <w:t xml:space="preserve">) </w:t>
      </w:r>
      <w:r>
        <w:rPr>
          <w:rFonts w:hint="eastAsia"/>
        </w:rPr>
        <w:t xml:space="preserve">tended to </w:t>
      </w:r>
      <w:r w:rsidR="00534B1A">
        <w:t>decrease</w:t>
      </w:r>
      <w:r>
        <w:rPr>
          <w:rFonts w:hint="eastAsia"/>
        </w:rPr>
        <w:t xml:space="preserve"> as the years went by and the number of OCV doses used increased. Also, variability</w:t>
      </w:r>
      <w:r w:rsidR="00BD6493">
        <w:rPr>
          <w:rFonts w:hint="eastAsia"/>
        </w:rPr>
        <w:t xml:space="preserve"> in these metrics</w:t>
      </w:r>
      <w:r>
        <w:rPr>
          <w:rFonts w:hint="eastAsia"/>
        </w:rPr>
        <w:t xml:space="preserve"> decreased</w:t>
      </w:r>
      <w:r w:rsidR="00711225" w:rsidRPr="00097432">
        <w:t xml:space="preserve"> as the number of deployed</w:t>
      </w:r>
      <w:r w:rsidR="002B77C2" w:rsidRPr="00097432">
        <w:rPr>
          <w:rFonts w:hint="eastAsia"/>
        </w:rPr>
        <w:t xml:space="preserve"> </w:t>
      </w:r>
      <w:r w:rsidR="00265040" w:rsidRPr="00097432">
        <w:rPr>
          <w:rFonts w:hint="eastAsia"/>
        </w:rPr>
        <w:t>doses</w:t>
      </w:r>
      <w:r w:rsidR="00711225" w:rsidRPr="00097432">
        <w:t xml:space="preserve"> increased.</w:t>
      </w:r>
      <w:r w:rsidR="00B32D8B" w:rsidRPr="00097432">
        <w:rPr>
          <w:rFonts w:hint="eastAsia"/>
        </w:rPr>
        <w:t xml:space="preserve"> </w:t>
      </w:r>
      <w:r w:rsidR="00657355" w:rsidRPr="00097432">
        <w:rPr>
          <w:rFonts w:hint="eastAsia"/>
        </w:rPr>
        <w:t xml:space="preserve">By 2020, </w:t>
      </w:r>
      <w:r w:rsidR="00711225" w:rsidRPr="00097432">
        <w:rPr>
          <w:rFonts w:hint="eastAsia"/>
        </w:rPr>
        <w:t>the estimated c</w:t>
      </w:r>
      <w:r w:rsidR="00B32D8B" w:rsidRPr="00097432">
        <w:rPr>
          <w:rFonts w:hint="eastAsia"/>
        </w:rPr>
        <w:t xml:space="preserve">ase averted per 1,000 OCVs </w:t>
      </w:r>
      <w:proofErr w:type="gramStart"/>
      <w:r w:rsidR="00B32D8B" w:rsidRPr="00097432">
        <w:rPr>
          <w:rFonts w:hint="eastAsia"/>
        </w:rPr>
        <w:t>were</w:t>
      </w:r>
      <w:proofErr w:type="gramEnd"/>
      <w:r w:rsidR="00B32D8B" w:rsidRPr="00097432">
        <w:rPr>
          <w:rFonts w:hint="eastAsia"/>
        </w:rPr>
        <w:t xml:space="preserve"> </w:t>
      </w:r>
      <w:r w:rsidR="00547B10" w:rsidRPr="00547B10">
        <w:rPr>
          <w:lang w:val="en-US"/>
        </w:rPr>
        <w:t>0.409 [IQR: 0.374 - 0.451]</w:t>
      </w:r>
      <w:r w:rsidR="00B32D8B" w:rsidRPr="00097432">
        <w:rPr>
          <w:rFonts w:hint="eastAsia"/>
        </w:rPr>
        <w:t>,</w:t>
      </w:r>
      <w:r w:rsidR="00B67AF4">
        <w:rPr>
          <w:rFonts w:hint="eastAsia"/>
        </w:rPr>
        <w:t xml:space="preserve"> which could increase to</w:t>
      </w:r>
      <w:r w:rsidR="00B32D8B" w:rsidRPr="00097432">
        <w:rPr>
          <w:rFonts w:hint="eastAsia"/>
        </w:rPr>
        <w:t xml:space="preserve"> </w:t>
      </w:r>
      <w:r w:rsidR="00B67AF4" w:rsidRPr="00B67AF4">
        <w:t>0.736 [IQR: 0.663 - 0.813]</w:t>
      </w:r>
      <w:r w:rsidR="00B67AF4">
        <w:rPr>
          <w:rFonts w:hint="eastAsia"/>
        </w:rPr>
        <w:t xml:space="preserve"> if top quartile of outbreaks by duration are prioritized. These median values are substantially higher </w:t>
      </w:r>
      <w:r w:rsidR="00711225" w:rsidRPr="00097432">
        <w:rPr>
          <w:rFonts w:hint="eastAsia"/>
        </w:rPr>
        <w:t xml:space="preserve">than </w:t>
      </w:r>
      <w:r w:rsidR="00547B10" w:rsidRPr="00547B10">
        <w:rPr>
          <w:lang w:val="en-US"/>
        </w:rPr>
        <w:t>0.151 [IQR: 0.013 - 0.892]</w:t>
      </w:r>
      <w:r w:rsidR="00CF1D2D" w:rsidRPr="00097432">
        <w:rPr>
          <w:rFonts w:hint="eastAsia"/>
          <w:lang w:val="en-US"/>
        </w:rPr>
        <w:t xml:space="preserve"> </w:t>
      </w:r>
      <w:r w:rsidR="00B32D8B" w:rsidRPr="00097432">
        <w:rPr>
          <w:rFonts w:hint="eastAsia"/>
          <w:lang w:val="en-US"/>
        </w:rPr>
        <w:t>per 1,000 OCVs</w:t>
      </w:r>
      <w:r w:rsidR="00711225" w:rsidRPr="00097432">
        <w:rPr>
          <w:rFonts w:hint="eastAsia"/>
          <w:lang w:val="en-US"/>
        </w:rPr>
        <w:t xml:space="preserve"> when</w:t>
      </w:r>
      <w:r w:rsidR="00A3640F" w:rsidRPr="00097432">
        <w:rPr>
          <w:rFonts w:hint="eastAsia"/>
          <w:lang w:val="en-US"/>
        </w:rPr>
        <w:t xml:space="preserve"> the estimate was </w:t>
      </w:r>
      <w:r w:rsidR="00662D4B">
        <w:rPr>
          <w:rFonts w:hint="eastAsia"/>
          <w:lang w:val="en-US"/>
        </w:rPr>
        <w:t>e</w:t>
      </w:r>
      <w:r w:rsidR="00A3640F" w:rsidRPr="00097432">
        <w:rPr>
          <w:rFonts w:hint="eastAsia"/>
          <w:lang w:val="en-US"/>
        </w:rPr>
        <w:t xml:space="preserve">valuated at the individual outbreak level. </w:t>
      </w:r>
      <w:r w:rsidR="0047646C">
        <w:rPr>
          <w:rFonts w:hint="eastAsia"/>
        </w:rPr>
        <w:t>T</w:t>
      </w:r>
      <w:r w:rsidR="00711225" w:rsidRPr="00097432">
        <w:rPr>
          <w:rFonts w:hint="eastAsia"/>
        </w:rPr>
        <w:t>he c</w:t>
      </w:r>
      <w:r w:rsidR="00B32D8B" w:rsidRPr="00097432">
        <w:rPr>
          <w:rFonts w:hint="eastAsia"/>
        </w:rPr>
        <w:t xml:space="preserve">ost per case averted were </w:t>
      </w:r>
      <w:r w:rsidR="00711225" w:rsidRPr="00097432">
        <w:t>US$</w:t>
      </w:r>
      <w:r w:rsidR="004632B6" w:rsidRPr="00097432">
        <w:rPr>
          <w:rFonts w:hint="eastAsia"/>
        </w:rPr>
        <w:t xml:space="preserve"> </w:t>
      </w:r>
      <w:r w:rsidR="00547B10" w:rsidRPr="00547B10">
        <w:rPr>
          <w:highlight w:val="yellow"/>
          <w:lang w:val="en-US"/>
        </w:rPr>
        <w:t>9,035 [IQR: 8,142 - 9,945</w:t>
      </w:r>
      <w:proofErr w:type="gramStart"/>
      <w:r w:rsidR="00547B10" w:rsidRPr="00547B10">
        <w:rPr>
          <w:highlight w:val="yellow"/>
          <w:lang w:val="en-US"/>
        </w:rPr>
        <w:t>]</w:t>
      </w:r>
      <w:r w:rsidR="00B67AF4">
        <w:rPr>
          <w:rFonts w:hint="eastAsia"/>
          <w:lang w:val="en-US"/>
        </w:rPr>
        <w:t>,which</w:t>
      </w:r>
      <w:proofErr w:type="gramEnd"/>
      <w:r w:rsidR="00B67AF4">
        <w:rPr>
          <w:rFonts w:hint="eastAsia"/>
          <w:lang w:val="en-US"/>
        </w:rPr>
        <w:t xml:space="preserve"> could be reduced to</w:t>
      </w:r>
      <w:r w:rsidR="00547B10">
        <w:rPr>
          <w:rFonts w:hint="eastAsia"/>
          <w:lang w:val="en-US"/>
        </w:rPr>
        <w:t xml:space="preserve"> </w:t>
      </w:r>
      <w:r w:rsidR="00B67AF4" w:rsidRPr="00B67AF4">
        <w:rPr>
          <w:lang w:val="en-US"/>
        </w:rPr>
        <w:t>4,498 [IQR: 4,017 - 5,054]</w:t>
      </w:r>
      <w:r w:rsidR="00B67AF4">
        <w:rPr>
          <w:rFonts w:hint="eastAsia"/>
          <w:lang w:val="en-US"/>
        </w:rPr>
        <w:t xml:space="preserve"> if top quartile of outbreaks by duration are prioritized. These values again are </w:t>
      </w:r>
      <w:r w:rsidR="004632B6" w:rsidRPr="00097432">
        <w:rPr>
          <w:rFonts w:hint="eastAsia"/>
          <w:lang w:val="en-US"/>
        </w:rPr>
        <w:t xml:space="preserve">much lower than </w:t>
      </w:r>
      <w:r w:rsidR="0047646C" w:rsidRPr="00BE2DE0">
        <w:rPr>
          <w:highlight w:val="yellow"/>
        </w:rPr>
        <w:t>US$</w:t>
      </w:r>
      <w:r w:rsidR="0047646C" w:rsidRPr="00BE2DE0">
        <w:rPr>
          <w:rFonts w:hint="eastAsia"/>
          <w:highlight w:val="yellow"/>
        </w:rPr>
        <w:t xml:space="preserve"> </w:t>
      </w:r>
      <w:r w:rsidR="00547B10" w:rsidRPr="00547B10">
        <w:rPr>
          <w:highlight w:val="yellow"/>
          <w:lang w:val="en-US"/>
        </w:rPr>
        <w:t>13,045 [IQR: 2,546 - 59,533]</w:t>
      </w:r>
      <w:r w:rsidR="00B67AF4">
        <w:rPr>
          <w:rFonts w:hint="eastAsia"/>
          <w:highlight w:val="yellow"/>
          <w:lang w:val="en-US"/>
        </w:rPr>
        <w:t xml:space="preserve"> </w:t>
      </w:r>
      <w:r w:rsidR="00711225" w:rsidRPr="00097432">
        <w:rPr>
          <w:lang w:val="en-US"/>
        </w:rPr>
        <w:t>when evaluated for individual outbreaks</w:t>
      </w:r>
      <w:r w:rsidR="00E27257" w:rsidRPr="00097432">
        <w:rPr>
          <w:lang w:val="en-US"/>
        </w:rPr>
        <w:t xml:space="preserve"> </w:t>
      </w:r>
      <w:r w:rsidR="004632B6" w:rsidRPr="00097432">
        <w:rPr>
          <w:rFonts w:hint="eastAsia"/>
          <w:lang w:val="en-US"/>
        </w:rPr>
        <w:t>(</w:t>
      </w:r>
      <w:r w:rsidR="00B67AF4">
        <w:rPr>
          <w:rFonts w:hint="eastAsia"/>
          <w:lang w:val="en-US"/>
        </w:rPr>
        <w:t xml:space="preserve">as previously shown in </w:t>
      </w:r>
      <w:r w:rsidR="00E27257" w:rsidRPr="00097432">
        <w:rPr>
          <w:b/>
          <w:bCs/>
          <w:color w:val="000000"/>
        </w:rPr>
        <w:t xml:space="preserve">Table </w:t>
      </w:r>
      <w:r w:rsidR="0085544E">
        <w:rPr>
          <w:rFonts w:hint="eastAsia"/>
          <w:b/>
          <w:bCs/>
          <w:color w:val="000000"/>
        </w:rPr>
        <w:t>3</w:t>
      </w:r>
      <w:r w:rsidR="00E27257" w:rsidRPr="00097432">
        <w:rPr>
          <w:color w:val="000000"/>
        </w:rPr>
        <w:t>).</w:t>
      </w:r>
      <w:r w:rsidR="005D7F75">
        <w:rPr>
          <w:rFonts w:hint="eastAsia"/>
          <w:color w:val="000000"/>
        </w:rPr>
        <w:t xml:space="preserve"> Similarly, the cost per DALY averted was </w:t>
      </w:r>
      <w:r w:rsidR="0047646C" w:rsidRPr="00097432">
        <w:t>US$</w:t>
      </w:r>
      <w:r w:rsidR="0047646C" w:rsidRPr="00097432">
        <w:rPr>
          <w:rFonts w:hint="eastAsia"/>
        </w:rPr>
        <w:t xml:space="preserve"> </w:t>
      </w:r>
      <w:r w:rsidR="00547B10" w:rsidRPr="00547B10">
        <w:rPr>
          <w:color w:val="000000"/>
          <w:highlight w:val="yellow"/>
          <w:lang w:val="en-US"/>
        </w:rPr>
        <w:t>27,307 [IQR: 23,727 - 31,423]</w:t>
      </w:r>
      <w:r w:rsidR="0047646C">
        <w:rPr>
          <w:rFonts w:hint="eastAsia"/>
          <w:color w:val="000000"/>
          <w:lang w:val="en-US"/>
        </w:rPr>
        <w:t xml:space="preserve">, </w:t>
      </w:r>
      <w:r w:rsidR="00B67AF4">
        <w:rPr>
          <w:rFonts w:hint="eastAsia"/>
          <w:color w:val="000000"/>
          <w:lang w:val="en-US"/>
        </w:rPr>
        <w:t xml:space="preserve">which could decrease to </w:t>
      </w:r>
      <w:r w:rsidR="00B67AF4" w:rsidRPr="00097432">
        <w:t>US$</w:t>
      </w:r>
      <w:r w:rsidR="00B67AF4">
        <w:rPr>
          <w:rFonts w:hint="eastAsia"/>
        </w:rPr>
        <w:t xml:space="preserve"> </w:t>
      </w:r>
      <w:r w:rsidR="00B67AF4" w:rsidRPr="00B67AF4">
        <w:rPr>
          <w:color w:val="000000"/>
          <w:lang w:val="en-US"/>
        </w:rPr>
        <w:t>10,695 [IQR: 9,807 - 11,761]</w:t>
      </w:r>
      <w:r w:rsidR="00B67AF4">
        <w:rPr>
          <w:rFonts w:hint="eastAsia"/>
          <w:color w:val="000000"/>
          <w:lang w:val="en-US"/>
        </w:rPr>
        <w:t xml:space="preserve"> when ORIs were prioritized to the top quartile of outbreak by duration. The median values are again</w:t>
      </w:r>
      <w:r w:rsidR="0047646C">
        <w:rPr>
          <w:rFonts w:hint="eastAsia"/>
          <w:color w:val="000000"/>
          <w:lang w:val="en-US"/>
        </w:rPr>
        <w:t xml:space="preserve"> much lower than </w:t>
      </w:r>
      <w:r w:rsidR="0047646C" w:rsidRPr="00097432">
        <w:t>US$</w:t>
      </w:r>
      <w:r w:rsidR="0047646C" w:rsidRPr="00097432">
        <w:rPr>
          <w:rFonts w:hint="eastAsia"/>
        </w:rPr>
        <w:t xml:space="preserve"> </w:t>
      </w:r>
      <w:r w:rsidR="00547B10" w:rsidRPr="00547B10">
        <w:rPr>
          <w:color w:val="000000"/>
          <w:highlight w:val="yellow"/>
          <w:lang w:val="en-US"/>
        </w:rPr>
        <w:t>1,744,390 [IQR: 11,650 - 40,068,121]</w:t>
      </w:r>
      <w:r w:rsidR="0047646C" w:rsidRPr="0047646C">
        <w:rPr>
          <w:lang w:val="en-US"/>
        </w:rPr>
        <w:t xml:space="preserve"> </w:t>
      </w:r>
      <w:r w:rsidR="0047646C" w:rsidRPr="00097432">
        <w:rPr>
          <w:lang w:val="en-US"/>
        </w:rPr>
        <w:t>when evaluated for individual outbreaks</w:t>
      </w:r>
      <w:r w:rsidR="0047646C">
        <w:rPr>
          <w:rFonts w:hint="eastAsia"/>
          <w:lang w:val="en-US"/>
        </w:rPr>
        <w:t xml:space="preserve"> </w:t>
      </w:r>
      <w:r w:rsidR="0047646C" w:rsidRPr="00097432">
        <w:rPr>
          <w:rFonts w:hint="eastAsia"/>
          <w:lang w:val="en-US"/>
        </w:rPr>
        <w:t>(</w:t>
      </w:r>
      <w:r w:rsidR="00B67AF4">
        <w:rPr>
          <w:rFonts w:hint="eastAsia"/>
          <w:lang w:val="en-US"/>
        </w:rPr>
        <w:t xml:space="preserve">as </w:t>
      </w:r>
      <w:r w:rsidR="000D466C">
        <w:rPr>
          <w:rFonts w:hint="eastAsia"/>
          <w:lang w:val="en-US"/>
        </w:rPr>
        <w:t xml:space="preserve">previously shown in </w:t>
      </w:r>
      <w:r w:rsidR="00B61FF5">
        <w:rPr>
          <w:rFonts w:hint="eastAsia"/>
          <w:b/>
          <w:bCs/>
          <w:color w:val="000000"/>
        </w:rPr>
        <w:t>Ta</w:t>
      </w:r>
      <w:r w:rsidR="0047646C" w:rsidRPr="00097432">
        <w:rPr>
          <w:b/>
          <w:bCs/>
          <w:color w:val="000000"/>
        </w:rPr>
        <w:t xml:space="preserve">ble </w:t>
      </w:r>
      <w:r w:rsidR="0085544E">
        <w:rPr>
          <w:rFonts w:hint="eastAsia"/>
          <w:b/>
          <w:bCs/>
          <w:color w:val="000000"/>
        </w:rPr>
        <w:t>3</w:t>
      </w:r>
      <w:r w:rsidR="0047646C" w:rsidRPr="00097432">
        <w:rPr>
          <w:color w:val="000000"/>
        </w:rPr>
        <w:t>).</w:t>
      </w:r>
      <w:r w:rsidR="00C91CA5">
        <w:rPr>
          <w:rFonts w:hint="eastAsia"/>
          <w:color w:val="000000"/>
        </w:rPr>
        <w:t xml:space="preserve">  </w:t>
      </w:r>
    </w:p>
    <w:p w14:paraId="6C707527" w14:textId="25958AFC" w:rsidR="005F544E" w:rsidRPr="00097432" w:rsidRDefault="005F544E" w:rsidP="009810DC">
      <w:pPr>
        <w:rPr>
          <w:color w:val="000000"/>
        </w:rPr>
      </w:pPr>
    </w:p>
    <w:p w14:paraId="0AA52432" w14:textId="71251F4D" w:rsidR="000F26E2" w:rsidRPr="00097432" w:rsidRDefault="0091383D" w:rsidP="00F57F15">
      <w:pPr>
        <w:pStyle w:val="Heading2"/>
      </w:pPr>
      <w:bookmarkStart w:id="32" w:name="_Toc184909209"/>
      <w:r w:rsidRPr="00097432">
        <w:t>Discussion</w:t>
      </w:r>
      <w:bookmarkEnd w:id="32"/>
    </w:p>
    <w:p w14:paraId="5109B5E4" w14:textId="50C2D02F" w:rsidR="000F37C7" w:rsidRPr="00097432" w:rsidRDefault="002063E9" w:rsidP="000F37C7">
      <w:pPr>
        <w:rPr>
          <w:lang w:val="en-US"/>
        </w:rPr>
      </w:pPr>
      <w:r w:rsidRPr="00097432">
        <w:rPr>
          <w:rFonts w:hint="eastAsia"/>
        </w:rPr>
        <w:t>Our</w:t>
      </w:r>
      <w:r w:rsidR="00A07B98" w:rsidRPr="00097432">
        <w:t xml:space="preserve"> study</w:t>
      </w:r>
      <w:r w:rsidR="00AD3B10" w:rsidRPr="00097432">
        <w:t xml:space="preserve"> demonstrat</w:t>
      </w:r>
      <w:r w:rsidR="00AD3B10" w:rsidRPr="00097432">
        <w:rPr>
          <w:rFonts w:hint="eastAsia"/>
        </w:rPr>
        <w:t>ed</w:t>
      </w:r>
      <w:r w:rsidR="00AD3B10" w:rsidRPr="00097432">
        <w:t xml:space="preserve"> the substantial </w:t>
      </w:r>
      <w:r w:rsidR="00364F26" w:rsidRPr="00097432">
        <w:rPr>
          <w:rFonts w:hint="eastAsia"/>
        </w:rPr>
        <w:t xml:space="preserve">potential impact </w:t>
      </w:r>
      <w:r w:rsidR="00AD3B10" w:rsidRPr="00097432">
        <w:t xml:space="preserve">of </w:t>
      </w:r>
      <w:r w:rsidR="00364F26" w:rsidRPr="00097432">
        <w:rPr>
          <w:rFonts w:hint="eastAsia"/>
        </w:rPr>
        <w:t>oral cholera vaccines (</w:t>
      </w:r>
      <w:r w:rsidR="00AD3B10" w:rsidRPr="00097432">
        <w:t>OCVs</w:t>
      </w:r>
      <w:r w:rsidR="00364F26" w:rsidRPr="00097432">
        <w:rPr>
          <w:rFonts w:hint="eastAsia"/>
        </w:rPr>
        <w:t>)</w:t>
      </w:r>
      <w:r w:rsidR="00AD3B10" w:rsidRPr="00097432">
        <w:t xml:space="preserve"> to </w:t>
      </w:r>
      <w:r w:rsidR="00364F26" w:rsidRPr="00097432">
        <w:rPr>
          <w:rFonts w:hint="eastAsia"/>
        </w:rPr>
        <w:t>reduce</w:t>
      </w:r>
      <w:r w:rsidR="00AD3B10" w:rsidRPr="00097432">
        <w:t xml:space="preserve"> the </w:t>
      </w:r>
      <w:r w:rsidR="00AD3B10" w:rsidRPr="00097432">
        <w:rPr>
          <w:rFonts w:hint="eastAsia"/>
        </w:rPr>
        <w:t>burden</w:t>
      </w:r>
      <w:r w:rsidR="00AD3B10" w:rsidRPr="00097432">
        <w:t xml:space="preserve"> of </w:t>
      </w:r>
      <w:r w:rsidR="00AD3B10" w:rsidRPr="00097432">
        <w:rPr>
          <w:rFonts w:hint="eastAsia"/>
        </w:rPr>
        <w:t xml:space="preserve">cholera </w:t>
      </w:r>
      <w:r w:rsidR="00AD3B10" w:rsidRPr="00097432">
        <w:t>outbreaks</w:t>
      </w:r>
      <w:r w:rsidR="00364F26" w:rsidRPr="00097432">
        <w:rPr>
          <w:rFonts w:hint="eastAsia"/>
        </w:rPr>
        <w:t>, based on m</w:t>
      </w:r>
      <w:r w:rsidR="00AD3B10" w:rsidRPr="00097432">
        <w:rPr>
          <w:rFonts w:hint="eastAsia"/>
        </w:rPr>
        <w:t xml:space="preserve">odeling </w:t>
      </w:r>
      <w:r w:rsidR="00364F26" w:rsidRPr="00097432">
        <w:rPr>
          <w:rFonts w:hint="eastAsia"/>
        </w:rPr>
        <w:t xml:space="preserve">of </w:t>
      </w:r>
      <w:r w:rsidR="00A07B98" w:rsidRPr="00097432">
        <w:t>1,</w:t>
      </w:r>
      <w:r w:rsidR="00AD3B10" w:rsidRPr="00097432">
        <w:rPr>
          <w:rFonts w:hint="eastAsia"/>
        </w:rPr>
        <w:t>192</w:t>
      </w:r>
      <w:r w:rsidR="00A07B98" w:rsidRPr="00097432">
        <w:t xml:space="preserve"> outbreaks in sub-Saharan Africa from 2010 to 202</w:t>
      </w:r>
      <w:r w:rsidR="00AD3B10" w:rsidRPr="00097432">
        <w:rPr>
          <w:rFonts w:hint="eastAsia"/>
        </w:rPr>
        <w:t xml:space="preserve">0. </w:t>
      </w:r>
      <w:r w:rsidR="00364F26" w:rsidRPr="00097432">
        <w:t xml:space="preserve">We found that the timing of outbreak response immunization (ORI) is critical: the median percentage reduction in cases declined from </w:t>
      </w:r>
      <w:r w:rsidR="00364F26" w:rsidRPr="0081024F">
        <w:rPr>
          <w:highlight w:val="yellow"/>
        </w:rPr>
        <w:t xml:space="preserve">70.5% to </w:t>
      </w:r>
      <w:r w:rsidR="0081024F" w:rsidRPr="0081024F">
        <w:rPr>
          <w:rFonts w:hint="eastAsia"/>
          <w:highlight w:val="yellow"/>
        </w:rPr>
        <w:t>8</w:t>
      </w:r>
      <w:r w:rsidR="00364F26" w:rsidRPr="0081024F">
        <w:rPr>
          <w:highlight w:val="yellow"/>
        </w:rPr>
        <w:t>.</w:t>
      </w:r>
      <w:r w:rsidR="0081024F" w:rsidRPr="0081024F">
        <w:rPr>
          <w:rFonts w:hint="eastAsia"/>
          <w:highlight w:val="yellow"/>
        </w:rPr>
        <w:t>2</w:t>
      </w:r>
      <w:r w:rsidR="00364F26" w:rsidRPr="0081024F">
        <w:rPr>
          <w:highlight w:val="yellow"/>
        </w:rPr>
        <w:t>%</w:t>
      </w:r>
      <w:r w:rsidR="00364F26" w:rsidRPr="00097432">
        <w:t xml:space="preserve"> when ORI was delayed from week 1 to week 9. This corresponds to a </w:t>
      </w:r>
      <w:r w:rsidR="00364F26" w:rsidRPr="0081024F">
        <w:rPr>
          <w:highlight w:val="yellow"/>
        </w:rPr>
        <w:t>17.</w:t>
      </w:r>
      <w:r w:rsidR="0081024F">
        <w:rPr>
          <w:rFonts w:hint="eastAsia"/>
          <w:highlight w:val="yellow"/>
        </w:rPr>
        <w:t>5</w:t>
      </w:r>
      <w:r w:rsidR="00364F26" w:rsidRPr="0081024F">
        <w:rPr>
          <w:highlight w:val="yellow"/>
        </w:rPr>
        <w:t>%</w:t>
      </w:r>
      <w:r w:rsidR="00364F26" w:rsidRPr="00097432">
        <w:t xml:space="preserve"> reduction in impact</w:t>
      </w:r>
      <w:r w:rsidR="00353A49" w:rsidRPr="00097432">
        <w:t xml:space="preserve"> per week of delay in vaccination</w:t>
      </w:r>
      <w:r w:rsidR="00364F26" w:rsidRPr="00097432">
        <w:t xml:space="preserve">, with the benefit halving approximately every </w:t>
      </w:r>
      <w:r w:rsidR="0081024F" w:rsidRPr="0081024F">
        <w:rPr>
          <w:rFonts w:hint="eastAsia"/>
          <w:highlight w:val="yellow"/>
        </w:rPr>
        <w:t>3.6</w:t>
      </w:r>
      <w:r w:rsidR="00364F26" w:rsidRPr="00097432">
        <w:t xml:space="preserve"> weeks. Despite this steep decline in effectiveness at the individual outbreak level, delayed ORIs still conferred meaningful public health impact when aggregated across multiple outbreaks. This is largely due to their disproportionate effect on large, prolonged </w:t>
      </w:r>
      <w:r w:rsidR="00364F26" w:rsidRPr="00097432">
        <w:lastRenderedPageBreak/>
        <w:t>outbreaks. For instance, using the number of doses deployed from the global OCV stockpile between 2013 and 2020, ORIs implemented at week 9 still averted an estimated 2</w:t>
      </w:r>
      <w:r w:rsidR="0081024F">
        <w:rPr>
          <w:rFonts w:hint="eastAsia"/>
        </w:rPr>
        <w:t>9</w:t>
      </w:r>
      <w:r w:rsidR="00364F26" w:rsidRPr="00097432">
        <w:t>.</w:t>
      </w:r>
      <w:r w:rsidR="0081024F">
        <w:rPr>
          <w:rFonts w:hint="eastAsia"/>
        </w:rPr>
        <w:t>4</w:t>
      </w:r>
      <w:r w:rsidR="00364F26" w:rsidRPr="00097432">
        <w:t>%</w:t>
      </w:r>
      <w:r w:rsidR="00F5505A" w:rsidRPr="00097432">
        <w:t xml:space="preserve"> </w:t>
      </w:r>
      <w:r w:rsidR="00F5505A" w:rsidRPr="00097432">
        <w:rPr>
          <w:rFonts w:hint="eastAsia"/>
        </w:rPr>
        <w:t xml:space="preserve">reduction </w:t>
      </w:r>
      <w:r w:rsidR="00364F26" w:rsidRPr="00097432">
        <w:rPr>
          <w:rFonts w:hint="eastAsia"/>
        </w:rPr>
        <w:t>of</w:t>
      </w:r>
      <w:r w:rsidR="00F5505A" w:rsidRPr="00097432">
        <w:rPr>
          <w:rFonts w:hint="eastAsia"/>
        </w:rPr>
        <w:t xml:space="preserve"> cases</w:t>
      </w:r>
      <w:r w:rsidR="006B5475" w:rsidRPr="00097432">
        <w:rPr>
          <w:rFonts w:hint="eastAsia"/>
        </w:rPr>
        <w:t xml:space="preserve">. </w:t>
      </w:r>
    </w:p>
    <w:p w14:paraId="03E30C08" w14:textId="77777777" w:rsidR="003E7E81" w:rsidRPr="00097432" w:rsidRDefault="003E7E81" w:rsidP="00F57F15"/>
    <w:p w14:paraId="50DB7C47" w14:textId="2CF72A21" w:rsidR="005F6B03" w:rsidRPr="00097432" w:rsidRDefault="00A21D3A" w:rsidP="00F57F15">
      <w:r w:rsidRPr="00097432">
        <w:t xml:space="preserve">Our findings highlight that </w:t>
      </w:r>
      <w:r w:rsidR="0081024F">
        <w:rPr>
          <w:rFonts w:hint="eastAsia"/>
        </w:rPr>
        <w:t xml:space="preserve">impact of ORI </w:t>
      </w:r>
      <w:r w:rsidR="00C91102">
        <w:rPr>
          <w:rFonts w:hint="eastAsia"/>
        </w:rPr>
        <w:t>depends</w:t>
      </w:r>
      <w:r w:rsidR="0081024F">
        <w:rPr>
          <w:rFonts w:hint="eastAsia"/>
        </w:rPr>
        <w:t xml:space="preserve"> </w:t>
      </w:r>
      <w:r w:rsidR="00CC2462">
        <w:rPr>
          <w:rFonts w:hint="eastAsia"/>
        </w:rPr>
        <w:t xml:space="preserve">not only </w:t>
      </w:r>
      <w:r w:rsidR="00C91102">
        <w:rPr>
          <w:rFonts w:hint="eastAsia"/>
        </w:rPr>
        <w:t xml:space="preserve">on </w:t>
      </w:r>
      <w:r w:rsidR="0081024F">
        <w:rPr>
          <w:rFonts w:hint="eastAsia"/>
        </w:rPr>
        <w:t>campaign parameters but also</w:t>
      </w:r>
      <w:r w:rsidR="00C91102">
        <w:rPr>
          <w:rFonts w:hint="eastAsia"/>
        </w:rPr>
        <w:t xml:space="preserve"> on </w:t>
      </w:r>
      <w:r w:rsidR="0081024F">
        <w:rPr>
          <w:rFonts w:hint="eastAsia"/>
        </w:rPr>
        <w:t xml:space="preserve">outbreak </w:t>
      </w:r>
      <w:r w:rsidR="00C91102">
        <w:rPr>
          <w:rFonts w:hint="eastAsia"/>
        </w:rPr>
        <w:t>characteristics</w:t>
      </w:r>
      <w:r w:rsidR="0081024F">
        <w:rPr>
          <w:rFonts w:hint="eastAsia"/>
        </w:rPr>
        <w:t xml:space="preserve">. Delays in campaign initiation can be </w:t>
      </w:r>
      <w:r w:rsidR="00C91102">
        <w:rPr>
          <w:rFonts w:hint="eastAsia"/>
        </w:rPr>
        <w:t>partially offset b</w:t>
      </w:r>
      <w:r w:rsidR="0081024F">
        <w:rPr>
          <w:rFonts w:hint="eastAsia"/>
        </w:rPr>
        <w:t xml:space="preserve">y targeting outbreaks that </w:t>
      </w:r>
      <w:r w:rsidR="00C91102">
        <w:rPr>
          <w:rFonts w:hint="eastAsia"/>
        </w:rPr>
        <w:t xml:space="preserve">are likely to be </w:t>
      </w:r>
      <w:r w:rsidR="0081024F">
        <w:rPr>
          <w:rFonts w:hint="eastAsia"/>
        </w:rPr>
        <w:t>longer, and larger in the absence of intervention</w:t>
      </w:r>
      <w:r w:rsidR="00CC2462">
        <w:rPr>
          <w:rFonts w:hint="eastAsia"/>
        </w:rPr>
        <w:t xml:space="preserve">. For example, </w:t>
      </w:r>
      <w:r w:rsidR="00C91102">
        <w:rPr>
          <w:rFonts w:hint="eastAsia"/>
        </w:rPr>
        <w:t xml:space="preserve">median </w:t>
      </w:r>
      <w:r w:rsidR="00CC2462">
        <w:rPr>
          <w:rFonts w:hint="eastAsia"/>
        </w:rPr>
        <w:t xml:space="preserve">case reduction </w:t>
      </w:r>
      <w:r w:rsidR="00C91102">
        <w:rPr>
          <w:rFonts w:hint="eastAsia"/>
        </w:rPr>
        <w:t>achieved by an ORI with 5-week delay across all outbreaks (</w:t>
      </w:r>
      <w:r w:rsidR="00CC2462" w:rsidRPr="00CC2462">
        <w:t>26.1</w:t>
      </w:r>
      <w:r w:rsidR="00C91102">
        <w:rPr>
          <w:rFonts w:hint="eastAsia"/>
        </w:rPr>
        <w:t>%</w:t>
      </w:r>
      <w:r w:rsidR="00CC2462" w:rsidRPr="00CC2462">
        <w:t xml:space="preserve"> </w:t>
      </w:r>
      <w:r w:rsidR="00CC2462">
        <w:rPr>
          <w:rFonts w:hint="eastAsia"/>
        </w:rPr>
        <w:t xml:space="preserve">[IQR: </w:t>
      </w:r>
      <w:r w:rsidR="00CC2462" w:rsidRPr="00CC2462">
        <w:t>6.5 - 50.7</w:t>
      </w:r>
      <w:r w:rsidR="00CC2462">
        <w:rPr>
          <w:rFonts w:hint="eastAsia"/>
        </w:rPr>
        <w:t>]</w:t>
      </w:r>
      <w:r w:rsidR="00C91102">
        <w:rPr>
          <w:rFonts w:hint="eastAsia"/>
        </w:rPr>
        <w:t xml:space="preserve">) is comparable to </w:t>
      </w:r>
      <w:r w:rsidR="004C522D">
        <w:rPr>
          <w:rFonts w:hint="eastAsia"/>
        </w:rPr>
        <w:t>that of a</w:t>
      </w:r>
      <w:r w:rsidR="00C91102">
        <w:rPr>
          <w:rFonts w:hint="eastAsia"/>
        </w:rPr>
        <w:t xml:space="preserve"> 13-week delay in </w:t>
      </w:r>
      <w:r w:rsidR="004C522D">
        <w:rPr>
          <w:rFonts w:hint="eastAsia"/>
        </w:rPr>
        <w:t xml:space="preserve">outbreaks in </w:t>
      </w:r>
      <w:r w:rsidR="00C91102">
        <w:rPr>
          <w:rFonts w:hint="eastAsia"/>
        </w:rPr>
        <w:t>the top quartile by duration (</w:t>
      </w:r>
      <w:r w:rsidR="00CC2462" w:rsidRPr="00CC2462">
        <w:t>24.7</w:t>
      </w:r>
      <w:r w:rsidR="00CC2462">
        <w:rPr>
          <w:rFonts w:hint="eastAsia"/>
        </w:rPr>
        <w:t>%</w:t>
      </w:r>
      <w:r w:rsidR="00CC2462" w:rsidRPr="00CC2462">
        <w:t xml:space="preserve"> </w:t>
      </w:r>
      <w:r w:rsidR="00CC2462">
        <w:rPr>
          <w:rFonts w:hint="eastAsia"/>
        </w:rPr>
        <w:t>[IQR:</w:t>
      </w:r>
      <w:r w:rsidR="00CC2462" w:rsidRPr="00CC2462">
        <w:t>13 - 44.5</w:t>
      </w:r>
      <w:r w:rsidR="00CC2462">
        <w:rPr>
          <w:rFonts w:hint="eastAsia"/>
        </w:rPr>
        <w:t>]</w:t>
      </w:r>
      <w:r w:rsidR="00C91102">
        <w:rPr>
          <w:rFonts w:hint="eastAsia"/>
        </w:rPr>
        <w:t>)</w:t>
      </w:r>
      <w:r w:rsidRPr="00097432">
        <w:t xml:space="preserve">. This underscores the value of strategic prioritization: </w:t>
      </w:r>
      <w:r w:rsidR="004C522D">
        <w:rPr>
          <w:rFonts w:hint="eastAsia"/>
        </w:rPr>
        <w:t xml:space="preserve">directing limited OCV supplies to outbreaks with </w:t>
      </w:r>
      <w:r w:rsidRPr="00097432">
        <w:t>a higher likelihood of being large or prolonged can significantly amplify the overall effect of ORIs (</w:t>
      </w:r>
      <w:r w:rsidRPr="00097432">
        <w:rPr>
          <w:b/>
          <w:bCs/>
        </w:rPr>
        <w:t>Figure 3</w:t>
      </w:r>
      <w:r w:rsidRPr="00097432">
        <w:t xml:space="preserve"> and </w:t>
      </w:r>
      <w:r w:rsidRPr="00097432">
        <w:rPr>
          <w:b/>
          <w:bCs/>
        </w:rPr>
        <w:t>Figure S2</w:t>
      </w:r>
      <w:r w:rsidRPr="00097432">
        <w:t xml:space="preserve">). While </w:t>
      </w:r>
      <w:r w:rsidR="004C522D">
        <w:rPr>
          <w:rFonts w:hint="eastAsia"/>
        </w:rPr>
        <w:t xml:space="preserve">this approach </w:t>
      </w:r>
      <w:r w:rsidRPr="00097432">
        <w:t>assumes an idealized ability to predict outbreak size at the time of response, such prediction may be partially feasible using known risk factors—such as environmental indicators, socioeconomic conditions (e.g., poverty, literacy, healthcare access), and WASH infrastructure</w:t>
      </w:r>
      <w:r w:rsidR="009704F7" w:rsidRPr="00097432">
        <w:t>.</w:t>
      </w:r>
      <w:r w:rsidR="0091605D" w:rsidRPr="00097432">
        <w:fldChar w:fldCharType="begin"/>
      </w:r>
      <w:r w:rsidR="00345AF1">
        <w:instrText xml:space="preserve"> ADDIN ZOTERO_ITEM CSL_CITATION {"citationID":"sdNtNpkT","properties":{"formattedCitation":"\\super 19,70\\uc0\\u8211{}73\\nosupersub{}","plainCitation":"19,70–73","noteIndex":0},"citationItems":[{"id":15132,"uris":["http://zotero.org/users/7663102/items/JFZ6PANM"],"itemData":{"id":15132,"type":"article-journal","abstract":"Improvements in water and sanitation should reduce cholera risk though the associations between cholera and specific water and sanitation access measures remain unclear. We estimated the association between eight water and sanitation measures and annual cholera incidence access across sub-Saharan Africa (2010–2016) for data aggregated at the country and district levels. We fit random forest regression and classification models to understand how well these measures combined might be able to predict cholera incidence rates and identify high cholera incidence areas. Across spatial scales, piped or “other improved” water access was inversely associated with cholera incidence. Access to piped water, septic or sewer sanitation, and septic, sewer, or “other improved” sanitation were associated with decreased district-level cholera incidence. The classification model had moderate performance in identifying high cholera incidence areas (cross-validated-AUC 0.81, 95% CI 0.78–0.83) with high negative predictive values (93–100%) indicating the utility of water and sanitation measures for screening out areas that are unlikely to be at high cholera risk. While comprehensive cholera risk assessments must incorporate other data sources (e.g., historical incidence), our results suggest that water and sanitation measures could alone be useful in narrowing the geographic focus for detailed risk assessments.","container-title":"Environmental Science &amp; Technology","DOI":"10.1021/acs.est.3c01317","ISSN":"0013-936X","issue":"28","journalAbbreviation":"Environ. Sci. Technol.","note":"publisher: American Chemical Society","page":"10185-10192","source":"ACS Publications","title":"Water, Sanitation, and Cholera in Sub-Saharan Africa","volume":"57","author":[{"family":"Sikder","given":"Mustafa"},{"family":"Deshpande","given":"Aniruddha"},{"family":"Hegde","given":"Sonia T."},{"family":"Malembaka","given":"Espoir Bwenge"},{"family":"Gallandat","given":"Karin"},{"family":"Reiner","given":"Robert C."},{"family":"Lessler","given":"Justin"},{"family":"Lee","given":"Elizabeth C."},{"family":"Azman","given":"Andrew S."}],"issued":{"date-parts":[["2023",7,18]]},"citation-key":"sikderWaterSanitationCholera2023"}},{"id":15130,"uris":["http://zotero.org/users/7663102/items/GQUIFY9N"],"itemData":{"id":15130,"type":"article-journal","abstract":"The recurring cholera outbreaks in sub-Saharan Africa are of growing concern, especially considering the potential acceleration in the global trend of larger and more lethal cholera outbreaks due to the impacts of climate change. However, there is a scarcity of evidence-based research addressing the environmental and infrastructure factors that sustain cholera recurrence in Africa. This study adopts a statistical approach to investigate over two decades of endemic cholera outbreaks and their relationship with five environmental factors: water provision, sanitation provision, raising temperatures, increased rainfall and GDP. The analysis covers thirteen of the forty-two countries in the mainland sub-Saharan region, collectively representing one-third of the region’s territory and half of its population. This breadth enables the findings to be generalised at a regional level. Results from all analyses consistently associate water provision with cholera reduction. The stratified model links increased water provision with a reduction in cholera risk that ranged from 4.2 % to 84.1 % among eight countries (out of 13 countries) as well as a reduction of such risk that ranged from 9.8 % to 68.9 % when there is increased sanitation provision, which was observed in nine countries (out of 13). These results indicate that the population's limited access to water and sanitation, as well as the rise in temperatures, are critical infrastructure and environmental factors contributing to endemic cholera and the heightened risk of outbreaks across the sub-Saharan region. Therefore, these are key areas for targeted interventions and cross-border collaboration to enhance resilience to outbreaks and lead to the end of endemic cholera in the region. However, it is important to interpret the results of this study with caution; hence, further investigation is recommended to conduct a more detailed analysis of the impact of infrastructure and environmental factors on reducing cholera risk.","container-title":"Science of The Total Environment","DOI":"10.1016/j.scitotenv.2024.171896","ISSN":"0048-9697","journalAbbreviation":"Science of The Total Environment","page":"171896","source":"ScienceDirect","title":"Analysis of environmental factors influencing endemic cholera risks in sub-Saharan Africa","volume":"926","author":[{"family":"Girotto","given":"Cristiane D."},{"family":"Behzadian","given":"Kourosh"},{"family":"Musah","given":"Anwar"},{"family":"Chen","given":"Albert S."},{"family":"Djordjević","given":"Slobodan"},{"family":"Nichols","given":"Gordon"},{"family":"Campos","given":"Luiza C."}],"issued":{"date-parts":[["2024",5,20]]},"citation-key":"girottoAnalysisEnvironmentalFactors2024"}},{"id":15142,"uris":["http://zotero.org/users/7663102/items/KPLJYLZ2"],"itemData":{"id":15142,"type":"article-journal","abstract":"Despite seasonal cholera outbreaks in Bangladesh, little is known about the relationship between environmental conditions and cholera cases. We seek to develop a predictive model for cholera outbreaks in Bangladesh based on environmental predictors. To do this, we estimate the contribution of environmental variables, such as water depth and water temperature, to cholera outbreaks in the context of a disease transmission model. We implement a method which simultaneously accounts for disease dynamics and environmental variables in a Susceptible-Infected-Recovered-Susceptible (SIRS) model. The entire system is treated as a continuous-time hidden Markov model, where the hidden Markov states are the numbers of people who are susceptible, infected, or recovered at each time point, and the observed states are the numbers of cholera cases reported. We use a Bayesian framework to fit this hidden SIRS model, implementing particle Markov chain Monte Carlo methods to sample from the posterior distribution of the environmental and transmission parameters given the observed data. We test this method using both simulation and data from Mathbaria, Bangladesh. Parameter estimates are used to make short-term predictions that capture the formation and decline of epidemic peaks. We demonstrate that our model can successfully predict an increase in the number of infected individuals in the population weeks before the observed number of cholera cases increases, which could allow for early notification of an epidemic and timely allocation of resources.","container-title":"The annals of applied statistics","DOI":"10.1214/16-AOAS908","ISSN":"1932-6157","issue":"2","journalAbbreviation":"Ann Appl Stat","note":"PMID: 27746850\nPMCID: PMC5061460","page":"575-595","source":"PubMed Central","title":"PREDICTIVE MODELING OF CHOLERA OUTBREAKS IN BANGLADESH","volume":"10","author":[{"family":"Koepke","given":"Amanda A."},{"family":"Longini","given":"Ira M."},{"family":"Halloran","given":"M. Elizabeth"},{"family":"Wakefield","given":"Jon"},{"family":"Minin","given":"Vladimir N."}],"issued":{"date-parts":[["2016",6]]},"citation-key":"koepkePREDICTIVEMODELINGCHOLERA2016"}},{"id":"EgwuGF5k/ws8mD2P8","uris":["http://zotero.org/users/local/xDVOxgbN/items/FWDM2MLV"],"itemData":{"id":224,"type":"article-journal","abstract":"Objectives\n              This study aims to assess both socioeconomic and climatic factors of cholera morbidity in Mozambique considering both spatial and temporal dimensions.\n            \n            \n              Design\n              An ecological longitudinal retrospective study using monthly provincial cholera cases from Mozambican Ministry of Health between 2000 and 2018. The cholera cases were linked to socioeconomic data from Mozambique Demographic and Health Surveys conducted in the period 2000–2018 and climatic data; relative humidity (RH), mean temperature, precipitation and Normalised Difference Vegetation Index (NDVI). A negative binomial regression model in a Bayesian framework was used to model cholera incidence while adjusting for the spatiotemporal covariance, lagged effect of environmental factors and the socioeconomic indicators.\n            \n            \n              Setting\n              Eleven provinces in Mozambique.\n            \n            \n              Results\n              Over the 19-year period, a total of 153</w:instrText>
      </w:r>
      <w:r w:rsidR="00345AF1">
        <w:rPr>
          <w:rFonts w:ascii="Arial" w:hAnsi="Arial"/>
        </w:rPr>
        <w:instrText> </w:instrText>
      </w:r>
      <w:r w:rsidR="00345AF1">
        <w:instrText>941 cholera cases were notified to the surveillance system in Mozambique. Risk of cholera increased with higher monthly mean temperatures above 24</w:instrText>
      </w:r>
      <w:r w:rsidR="00345AF1">
        <w:rPr>
          <w:rFonts w:cs="Aptos"/>
        </w:rPr>
        <w:instrText>°</w:instrText>
      </w:r>
      <w:r w:rsidR="00345AF1">
        <w:instrText>C in comparison to the reference mean temperature of 23</w:instrText>
      </w:r>
      <w:r w:rsidR="00345AF1">
        <w:rPr>
          <w:rFonts w:cs="Aptos"/>
        </w:rPr>
        <w:instrText>°</w:instrText>
      </w:r>
      <w:r w:rsidR="00345AF1">
        <w:instrText>C. At mean temperature of 19</w:instrText>
      </w:r>
      <w:r w:rsidR="00345AF1">
        <w:rPr>
          <w:rFonts w:cs="Aptos"/>
        </w:rPr>
        <w:instrText>°</w:instrText>
      </w:r>
      <w:r w:rsidR="00345AF1">
        <w:instrText>C, cholera risk was higher at a lag of 5</w:instrText>
      </w:r>
      <w:r w:rsidR="00345AF1">
        <w:rPr>
          <w:rFonts w:cs="Aptos"/>
        </w:rPr>
        <w:instrText>–</w:instrText>
      </w:r>
      <w:r w:rsidR="00345AF1">
        <w:instrText>6 months. At a shorter lag of 1</w:instrText>
      </w:r>
      <w:r w:rsidR="00345AF1">
        <w:rPr>
          <w:rFonts w:ascii="Arial" w:hAnsi="Arial"/>
        </w:rPr>
        <w:instrText> </w:instrText>
      </w:r>
      <w:r w:rsidR="00345AF1">
        <w:instrText>month, precipitation of 223.3</w:instrText>
      </w:r>
      <w:r w:rsidR="00345AF1">
        <w:rPr>
          <w:rFonts w:ascii="Arial" w:hAnsi="Arial"/>
        </w:rPr>
        <w:instrText> </w:instrText>
      </w:r>
      <w:r w:rsidR="00345AF1">
        <w:instrText>mm resulted in an 57% increase in cholera risk (relative risk, RR 1.57 (95% CI 1.06 to 2.31)). Cholera risk was greatest at 3 lag months with monthly NDVI of 0.137 (RR 1.220 (95% CI 1.042 to 1.430)), compared with the reference value of 0.2. At an RH of 54%, cholera RR was increased by 62% (RR 1.620 (95% CI 1.124 to 2.342)) at a lag of 4</w:instrText>
      </w:r>
      <w:r w:rsidR="00345AF1">
        <w:rPr>
          <w:rFonts w:ascii="Arial" w:hAnsi="Arial"/>
        </w:rPr>
        <w:instrText> </w:instrText>
      </w:r>
      <w:r w:rsidR="00345AF1">
        <w:instrText xml:space="preserve">months. We found that ownership of radio RR 0.29, (95% CI 0.109 to 0.776) and mobile phones RR 0.262 (95% CI 0.097 to 0.711) were significantly associated with low cholera risk.\n            \n            \n              Conclusion\n              The derived lagged patterns can provide appropriate lead times in a climate-driven cholera early warning system that could contribute to the prevention and management of outbreaks.","container-title":"BMJ Open","DOI":"10.1136/bmjopen-2023-082503","ISSN":"2044-6055, 2044-6055","issue":"8","journalAbbreviation":"BMJ Open","language":"en","page":"e082503","source":"DOI.org (Crossref)","title":"Spatial-temporal analysis of climate and socioeconomic conditions on cholera incidence in Mozambique from 2000 to 2018: an ecological longitudinal retrospective study","title-short":"Spatial-temporal analysis of climate and socioeconomic conditions on cholera incidence in Mozambique from 2000 to 2018","volume":"14","author":[{"family":"Armando","given":"Chaibo Jose"},{"family":"Rocklöv","given":"Joacim"},{"family":"Sidat","given":"Mohsin"},{"family":"Tozan","given":"Yesim"},{"family":"Mavume","given":"Alberto Francisco"},{"family":"Bunker","given":"Aditi"},{"family":"Sewe","given":"Maquins Odhiambo"}],"issued":{"date-parts":[["2024",8]]}}},{"id":"EgwuGF5k/nMRtuTPp","uris":["http://zotero.org/users/local/xDVOxgbN/items/HUSMITWH"],"itemData":{"id":226,"type":"article-journal","container-title":"PLOS ONE","DOI":"10.1371/journal.pone.0183100","ISSN":"1932-6203","issue":"8","journalAbbreviation":"PLoS ONE","language":"en","page":"e0183100","source":"DOI.org (Crossref)","title":"Identification of burden hotspots and risk factors for cholera in India: An observational study","title-short":"Identification of burden hotspots and risk factors for cholera in India","volume":"12","author":[{"family":"Ali","given":"Mohammad"},{"family":"Sen Gupta","given":"Sanjukta"},{"family":"Arora","given":"Nisha"},{"family":"Khasnobis","given":"Pradeep"},{"family":"Venkatesh","given":"Srinivas"},{"family":"Sur","given":"Dipika"},{"family":"Nair","given":"Gopinath B."},{"family":"Sack","given":"David A."},{"family":"Ganguly","given":"Nirmal K."}],"editor":[{"family":"Moise","given":"Imelda K."}],"issued":{"date-parts":[["2017",8,24]]}}}],"schema":"https://github.com/citation-style-language/schema/raw/master/csl-citation.json"} </w:instrText>
      </w:r>
      <w:r w:rsidR="0091605D" w:rsidRPr="00097432">
        <w:fldChar w:fldCharType="separate"/>
      </w:r>
      <w:r w:rsidR="00345AF1" w:rsidRPr="00345AF1">
        <w:rPr>
          <w:rFonts w:cs="Times New Roman"/>
          <w:vertAlign w:val="superscript"/>
        </w:rPr>
        <w:t>19,70–73</w:t>
      </w:r>
      <w:r w:rsidR="0091605D" w:rsidRPr="00097432">
        <w:fldChar w:fldCharType="end"/>
      </w:r>
      <w:r w:rsidR="0091605D" w:rsidRPr="00097432">
        <w:t xml:space="preserve"> </w:t>
      </w:r>
      <w:r w:rsidRPr="00097432">
        <w:t>These proxies can help guide the allocation of limited OCV supplies toward outbreaks with the greatest potential for impact. Prioritizing high-risk geographic areas has similarly been shown to improve the effectiveness and efficiency of OCV campaigns in sub-Saharan Africa</w:t>
      </w:r>
      <w:r w:rsidR="005F6B03" w:rsidRPr="00097432">
        <w:t>.</w:t>
      </w:r>
      <w:r w:rsidR="005F6B03" w:rsidRPr="00097432">
        <w:fldChar w:fldCharType="begin"/>
      </w:r>
      <w:r w:rsidR="00345AF1">
        <w:instrText xml:space="preserve"> ADDIN ZOTERO_ITEM CSL_CITATION {"citationID":"RLMhfORh","properties":{"formattedCitation":"\\super 74\\nosupersub{}","plainCitation":"74","noteIndex":0},"citationItems":[{"id":"EgwuGF5k/Sk970oci","uris":["http://zotero.org/users/local/xDVOxgbN/items/9SKJXDU4"],"itemData":{"id":"ZN66rL7d/srPBwIBI","type":"article-journal","container-title":"PLOS Medicine","DOI":"10.1371/journal.pmed.1003003","ISSN":"1549-1676","issue":"12","journalAbbreviation":"PLoS Med","language":"en","page":"e1003003","source":"DOI.org (Crossref)","title":"The projected impact of geographic targeting of oral cholera vaccination in sub-Saharan Africa: A modeling study","title-short":"The projected impact of geographic targeting of oral cholera vaccination in sub-Saharan Africa","volume":"16","author":[{"family":"Lee","given":"Elizabeth C."},{"family":"Azman","given":"Andrew S."},{"family":"Kaminsky","given":"Joshua"},{"family":"Moore","given":"Sean M."},{"family":"McKay","given":"Heather S."},{"family":"Lessler","given":"Justin"}],"editor":[{"family":"Kretzschmar","given":"Mirjam E. E."}],"issued":{"date-parts":[["2019",12,11]]}},"label":"page"}],"schema":"https://github.com/citation-style-language/schema/raw/master/csl-citation.json"} </w:instrText>
      </w:r>
      <w:r w:rsidR="005F6B03" w:rsidRPr="00097432">
        <w:fldChar w:fldCharType="separate"/>
      </w:r>
      <w:r w:rsidR="00345AF1" w:rsidRPr="00345AF1">
        <w:rPr>
          <w:rFonts w:cs="Times New Roman"/>
          <w:vertAlign w:val="superscript"/>
        </w:rPr>
        <w:t>74</w:t>
      </w:r>
      <w:r w:rsidR="005F6B03" w:rsidRPr="00097432">
        <w:fldChar w:fldCharType="end"/>
      </w:r>
      <w:r w:rsidR="005F6B03" w:rsidRPr="00097432">
        <w:t xml:space="preserve"> </w:t>
      </w:r>
      <w:r w:rsidRPr="00097432">
        <w:t>In addition,</w:t>
      </w:r>
      <w:r w:rsidRPr="00097432">
        <w:rPr>
          <w:rFonts w:hint="eastAsia"/>
        </w:rPr>
        <w:t xml:space="preserve"> highly targeted interventions such as</w:t>
      </w:r>
      <w:r w:rsidRPr="00097432">
        <w:t xml:space="preserve"> case-area targeted interventions have demonstrated enhanced OCV efficiency</w:t>
      </w:r>
      <w:r w:rsidR="005F6B03" w:rsidRPr="00097432">
        <w:t>.</w:t>
      </w:r>
      <w:r w:rsidR="005F6B03" w:rsidRPr="00097432">
        <w:fldChar w:fldCharType="begin"/>
      </w:r>
      <w:r w:rsidR="00345AF1">
        <w:instrText xml:space="preserve"> ADDIN ZOTERO_ITEM CSL_CITATION {"citationID":"tEqNrGuN","properties":{"formattedCitation":"\\super 1\\nosupersub{}","plainCitation":"1","noteIndex":0},"citationItems":[{"id":"EgwuGF5k/Hmz3wwbU","uris":["http://zotero.org/users/local/xDVOxgbN/items/3KCFPCDX"],"itemData":{"id":"ZN66rL7d/xLgkmKAb","type":"article-journal","container-title":"PLOS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Seidlein","given":"Lorenz"}],"issued":{"date-parts":[["2018",2,27]]}}}],"schema":"https://github.com/citation-style-language/schema/raw/master/csl-citation.json"} </w:instrText>
      </w:r>
      <w:r w:rsidR="005F6B03" w:rsidRPr="00097432">
        <w:fldChar w:fldCharType="separate"/>
      </w:r>
      <w:r w:rsidR="005F6B03" w:rsidRPr="00097432">
        <w:rPr>
          <w:vertAlign w:val="superscript"/>
        </w:rPr>
        <w:t>1</w:t>
      </w:r>
      <w:r w:rsidR="005F6B03" w:rsidRPr="00097432">
        <w:fldChar w:fldCharType="end"/>
      </w:r>
      <w:r w:rsidR="005F6B03" w:rsidRPr="00097432">
        <w:t xml:space="preserve"> </w:t>
      </w:r>
      <w:r w:rsidRPr="00097432">
        <w:t xml:space="preserve">As predictive models </w:t>
      </w:r>
      <w:r w:rsidR="004C522D">
        <w:rPr>
          <w:rFonts w:hint="eastAsia"/>
        </w:rPr>
        <w:t xml:space="preserve">and surveillance systems </w:t>
      </w:r>
      <w:r w:rsidRPr="00097432">
        <w:t xml:space="preserve">continue to improve, the </w:t>
      </w:r>
      <w:r w:rsidR="004C522D">
        <w:rPr>
          <w:rFonts w:hint="eastAsia"/>
        </w:rPr>
        <w:t xml:space="preserve">capacity </w:t>
      </w:r>
      <w:r w:rsidRPr="00097432">
        <w:t>to forecast outbreak characteristics in real time will support more effective and targeted vaccination strategies.</w:t>
      </w:r>
    </w:p>
    <w:p w14:paraId="78F3CAD7" w14:textId="77777777" w:rsidR="005F6B03" w:rsidRPr="00097432" w:rsidRDefault="005F6B03" w:rsidP="00F57F15"/>
    <w:p w14:paraId="0558AC23" w14:textId="28D2CF49" w:rsidR="005C75E1" w:rsidRPr="00097432" w:rsidRDefault="00A21D3A" w:rsidP="00F57F15">
      <w:r w:rsidRPr="00097432">
        <w:rPr>
          <w:rFonts w:hint="eastAsia"/>
        </w:rPr>
        <w:t>In contrast to our extensive dataset, m</w:t>
      </w:r>
      <w:r w:rsidRPr="00097432">
        <w:t>ost previous studies assessing OCV impact during or prior to cholera outbreaks have focused on single outbreaks or a small number of large-scale events</w:t>
      </w:r>
      <w:r w:rsidRPr="00097432">
        <w:rPr>
          <w:rFonts w:hint="eastAsia"/>
        </w:rPr>
        <w:t>.</w:t>
      </w:r>
      <w:r w:rsidR="005C75E1" w:rsidRPr="00097432">
        <w:rPr>
          <w:vertAlign w:val="superscript"/>
        </w:rPr>
        <w:fldChar w:fldCharType="begin"/>
      </w:r>
      <w:r w:rsidR="00345AF1">
        <w:rPr>
          <w:vertAlign w:val="superscript"/>
        </w:rPr>
        <w:instrText xml:space="preserve"> ADDIN ZOTERO_ITEM CSL_CITATION {"citationID":"fwgAfALq","properties":{"formattedCitation":"\\super 1\\uc0\\u8211{}4,6\\uc0\\u8211{}8,10,16,75\\nosupersub{}","plainCitation":"1–4,6–8,10,16,75","noteIndex":0},"citationItems":[{"id":"EgwuGF5k/lwl7uSxR","uris":["http://zotero.org/users/local/xDVOxgbN/items/C9VJ6Y9N"],"itemData":{"id":87,"type":"article-journal","abstract":"In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M."}],"issued":{"date-parts":[["2011",4,26]]}}},{"id":"EgwuGF5k/K5w3Oly2","uris":["http://zotero.org/users/local/xDVOxgbN/items/A7JBWGAG"],"itemData":{"id":97,"type":"article-journal","container-title":"PLoS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M."}],"issued":{"date-parts":[["2012",11,8]]}}},{"id":"EgwuGF5k/Hmz3wwbU","uris":["http://zotero.org/users/local/xDVOxgbN/items/3KCFPCDX"],"itemData":{"id":67,"type":"article-journal","container-title":"PLOS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Seidlein","given":"Lorenz"}],"issued":{"date-parts":[["2018",2,27]]}}},{"id":"EgwuGF5k/8HczsYmK","uris":["http://zotero.org/users/local/xDVOxgbN/items/Z93MZCN2"],"itemData":{"id":74,"type":"article-journal","container-title":"PLoS Neglected Tropical Diseases","DOI":"10.1371/journal.pntd.0003343","ISSN":"1935-2735","issue":"12","journalAbbreviation":"PLoS Negl Trop Dis","language":"en","page":"e3343","source":"DOI.org (Crossref)","title":"Comparative Effectiveness of Different Strategies of Oral Cholera Vaccination in Bangladesh: A Modeling Study","title-short":"Comparative Effectiveness of Different Strategies of Oral Cholera Vaccination in Bangladesh","volume":"8","author":[{"family":"Dimitrov","given":"Dobromir T."},{"family":"Troeger","given":"Christopher"},{"family":"Halloran","given":"M. Elizabeth"},{"family":"Longini","given":"Ira M."},{"family":"Chao","given":"Dennis L."}],"editor":[{"family":"Baker","given":"Stephen"}],"issued":{"date-parts":[["2014",12,4]]}}},{"id":"EgwuGF5k/YImEJoFE","uris":["http://zotero.org/users/local/xDVOxgbN/items/PMGMMCST"],"itemData":{"id":38,"type":"article-journal","container-title":"PLOS Neglected Tropical Diseases","DOI":"10.1371/journal.pntd.0006652","ISSN":"1935-2735","issue":"10","journalAbbreviation":"PLoS Negl Trop Dis","language":"en","page":"e0006652","source":"DOI.org (Crossref)","title":"The impact and cost-effectiveness of controlling cholera through the use of oral cholera vaccines in urban Bangladesh: A disease modeling and economic analysis","title-short":"The impact and cost-effectiveness of controlling cholera through the use of oral cholera vaccines in urban Bangladesh","volume":"12","author":[{"family":"Khan","given":"Ashraful Islam"},{"family":"Levin","given":"Ann"},{"family":"Chao","given":"Dennis L."},{"family":"DeRoeck","given":"Denise"},{"family":"Dimitrov","given":"Dobromir T."},{"family":"Khan","given":"Jahangir A. M."},{"family":"Islam","given":"Muhammad Shariful"},{"family":"Ali","given":"Mohammad"},{"family":"Islam","given":"Md. Taufiqul"},{"family":"Sarker","given":"Abdur Razzaque"},{"family":"Clemens","given":"John D."},{"family":"Qadri","given":"Firdausi"}],"editor":[{"family":"Maheu-Giroux","given":"Mathieu"}],"issued":{"date-parts":[["2018",10,9]]}}},{"id":"EgwuGF5k/U08vjAgk","uris":["http://zotero.org/users/local/xDVOxgbN/items/JZWUIAKP"],"itemData":{"id":69,"type":"article-journal","container-title":"International Journal of Infectious Diseases","DOI":"10.1016/j.ijid.2020.03.077","ISSN":"12019712","journalAbbreviation":"International Journal of Infectious Diseases","language":"en","page":"222-227","source":"DOI.org (Crossref)","title":"Stemming cholera tides in Zimbabwe through mass vaccination","volume":"96","author":[{"family":"Mukandavire","given":"Zindoga"},{"family":"Manangazira","given":"Portia"},{"family":"Nyabadza","given":"Farai"},{"family":"Cuadros","given":"Diego F"},{"family":"Musuka","given":"Godfrey"},{"family":"Morris","given":"J. Glenn"}],"issued":{"date-parts":[["2020",7]]}}},{"id":"EgwuGF5k/MhkXC2hV","uris":["http://zotero.org/users/local/xDVOxgbN/items/4F2U9M9L"],"itemData":{"id":84,"type":"article-journal","container-title":"Vaccine","DOI":"10.1016/j.vaccine.2016.03.004","ISSN":"0264410X","issue":"18","journalAbbreviation":"Vaccine","language":"en","page":"2113-2120","source":"DOI.org (Crossref)","title":"Impact of oral cholera vaccines in cholera-endemic countries: A mathematical modeling study","title-short":"Impact of oral cholera vaccines in cholera-endemic countries","volume":"34","author":[{"family":"Kim","given":"Jong-Hoon"},{"family":"Mogasale","given":"Vittal"},{"family":"Burgess","given":"Colleen"},{"family":"Wierzba","given":"Thomas F."}],"issued":{"date-parts":[["2016",4]]}}},{"id":"EgwuGF5k/cf7uiWML","uris":["http://zotero.org/users/local/xDVOxgbN/items/QWND6R6T"],"itemData":{"id":89,"type":"article-journal","container-title":"PLOS Neglected Tropical Diseases","DOI":"10.1371/journal.pntd.0005482","ISSN":"1935-2735","issue":"4","journalAbbreviation":"PLoS Negl Trop Dis","language":"en","page":"e0005482","source":"DOI.org (Crossref)","title":"Controlling cholera in the Ouest Department of Haiti using oral vaccines","volume":"11","author":[{"family":"Kirpich","given":"Alexander"},{"family":"Weppelmann","given":"Thomas A."},{"family":"Yang","given":"Yang"},{"family":"Morris","given":"John Glenn"},{"family":"Longini","given":"Ira M."}],"editor":[{"family":"Coudeville","given":"Laurent"}],"issued":{"date-parts":[["2017",4,14]]}}},{"id":"EgwuGF5k/o2xX9Gov","uris":["http://zotero.org/users/local/xDVOxgbN/items/TR5894IS"],"itemData":{"id":91,"type":"article-journal","abstract":"Abstract\n            \n              Background\n              Cholera is a major public health concern in displaced-person camps, which often contend with overcrowding and scarcity of resources. Maela, the largest and longest-standing refugee camp in Thailand, located along the Thai-Burmese border, experienced four cholera outbreaks between 2005 and 2010. In 2013, a cholera vaccine campaign was implemented in the camp. To assist in the evaluation of the campaign and planning for subsequent campaigns, we developed a mathematical model of cholera in Maela.\n            \n            \n              Methods\n              We formulated a Susceptible-Infectious-Water-Recovered-based transmission model and estimated parameters using incidence data from 2010. We next evaluated the reduction in cases conferred by several immunization strategies, varying timing, effectiveness, and resources (i.e., vaccine availability). After the vaccine campaign, we generated case forecasts for the next year, to inform on-the-ground decision-making regarding whether a booster campaign was needed.\n            \n            \n              Results\n              \n                We found that preexposure vaccination can substantially reduce the risk of cholera even when &lt;50\n                %\n                of the population is given the full two-dose series. Additionally, the preferred number of doses per person should be considered in the context of one vs. two dose effectiveness and vaccine availability. For reactive vaccination, a trade-off between timing and effectiveness was revealed, indicating that it may be beneficial to give one dose to more people rather than two doses to fewer people, given that a two-dose schedule would incur a delay in administration of the second dose. Forecasting using realistic coverage levels predicted that there was no need for a booster campaign in 2014 (consistent with our predictions, there was not a cholera epidemic in 2014).\n              \n            \n            \n              Conclusions\n              Our analyses suggest that vaccination in conjunction with ongoing water sanitation and hygiene efforts provides an effective strategy for controlling cholera outbreaks in refugee camps. Effective preexposure vaccination depends on timing and effectiveness. If a camp is facing an outbreak, delayed distribution of vaccines can substantially alter the effectiveness of reactive vaccination, suggesting that quick distribution of vaccines may be more important than ensuring every individual receives both vaccine doses. Overall, this analysis illustrates how mathematical models can be applied in public health practice, to assist in evaluating alternative intervention strategies and inform decision-making.","container-title":"BMC Infectious Diseases","DOI":"10.1186/s12879-019-4688-6","ISSN":"1471-2334","issue":"1","journalAbbreviation":"BMC Infect Dis","language":"en","page":"1075","source":"DOI.org (Crossref)","title":"Comparing alternative cholera vaccination strategies in Maela refugee camp: using a transmission model in public health practice","title-short":"Comparing alternative cholera vaccination strategies in Maela refugee camp","volume":"19","author":[{"family":"Havumaki","given":"Joshua"},{"family":"Meza","given":"Rafael"},{"family":"Phares","given":"Christina R."},{"family":"Date","given":"Kashmira"},{"family":"Eisenberg","given":"Marisa C."}],"issued":{"date-parts":[["2019",12]]}}},{"id":15384,"uris":["http://zotero.org/users/7663102/items/V45PRDVH"],"itemData":{"id":15384,"type":"article","abstract":"Background Outbreaks of vaccine-preventable diseases continue to occur in low- and middle-income countries (LMICs), requiring outbreak response immunization (ORI) programs for containment. To inform future investment decisions, this study aimed to estimate the cases, deaths, disability-adjusted life years (DALYs), and societal economic costs averted by past ORI programs. Outbreaks of measles, Ebola, yellow fever, cholera, and meningococcal meningitis in LMICs between 2000-2023 were considered.\nMethods 210 outbreaks (51 measles, 40 cholera, 88 yellow fever, 24 meningitis, 7 Ebola) were identified with sufficient data for analysis. Agent-based models were calibrated for each disease such that after controlling for baseline vaccine coverage, ORI initiation time, speed of vaccine delivery, environmental variables, or endemic prevalence of the disease, observed outbreaks were within the distribution of simulated outbreaks. A status-quo and no ORI scenario were compared for each outbreak.\nFindings Across 210 outbreaks, ORI programs are estimated to have averted 5·81M [95% uncertainty interval 5·75M–5·87M] cases (4·01M measles, 283K cholera, 1·50M yellow fever, 21·3K meningitis, 820 Ebola), 327K [317K–338K] deaths (20.0K measles, 5215 cholera, 300K yellow fever, 1599 meningitis, 381 Ebola), 14·6M [14·1M–15·1M] DALYs (1·27M measles, 220K cholera, 13·0M yellow fever, 113K meningitis, 16·6K Ebola), and US$31·7B [29·0B–34·9B] (US$710M measles, US$156M cholera, US$30·7B yellow fever, US$97·6M meningitis, US$6·72M Ebola) in societal economic costs. In general, the more rapidly the ORI was initiated the greater the impact.\nInterpretation ORI programs are critical for reducing the health and economic impacts of outbreaks of vaccine-preventable diseases.\nFunding Gavi,the Vaccine Alliance.","DOI":"10.1101/2024.06.02.24308241","language":"en","license":"© 2024, Posted by Cold Spring Harbor Laboratory. This pre-print is available under a Creative Commons License (Attribution 4.0 International), CC BY 4.0, as described at http://creativecommons.org/licenses/by/4.0/","note":"page: 2024.06.02.24308241","publisher":"medRxiv","source":"medRxiv","title":"Estimating the historical impact of outbreak response immunization programs across 210 outbreaks in LMICs","URL":"https://www.medrxiv.org/content/10.1101/2024.06.02.24308241v1","author":[{"family":"Delport","given":"D."},{"family":"Muellenmeister","given":"A. M."},{"family":"MacKechnie","given":"G."},{"family":"Vaccher","given":"S."},{"family":"Mengistu","given":"T."},{"family":"Hogan","given":"D."},{"family":"Abeysuriya","given":"R. G."},{"family":"Scott","given":"N."}],"accessed":{"date-parts":[["2025",2,21]]},"issued":{"date-parts":[["2024",6,3]]},"citation-key":"delportEstimatingHistoricalImpact2024"}}],"schema":"https://github.com/citation-style-language/schema/raw/master/csl-citation.json"} </w:instrText>
      </w:r>
      <w:r w:rsidR="005C75E1" w:rsidRPr="00097432">
        <w:rPr>
          <w:vertAlign w:val="superscript"/>
        </w:rPr>
        <w:fldChar w:fldCharType="separate"/>
      </w:r>
      <w:r w:rsidR="00345AF1" w:rsidRPr="00345AF1">
        <w:rPr>
          <w:rFonts w:cs="Times New Roman"/>
          <w:vertAlign w:val="superscript"/>
        </w:rPr>
        <w:t>1–4,6–8,10,16,75</w:t>
      </w:r>
      <w:r w:rsidR="005C75E1" w:rsidRPr="00097432">
        <w:rPr>
          <w:vertAlign w:val="superscript"/>
        </w:rPr>
        <w:fldChar w:fldCharType="end"/>
      </w:r>
      <w:r w:rsidR="005C75E1" w:rsidRPr="00097432">
        <w:t xml:space="preserve">. </w:t>
      </w:r>
      <w:r w:rsidR="00A16201" w:rsidRPr="00097432">
        <w:t>For example, a preemptive vaccination campaign in Matlab, Bangladesh with 50% coverage was associated with a 93% reduction in cholera cases</w:t>
      </w:r>
      <w:r w:rsidR="00BF0ED8" w:rsidRPr="00097432">
        <w:t xml:space="preserve"> </w:t>
      </w:r>
      <w:r w:rsidR="0029688A" w:rsidRPr="00097432">
        <w:t>[</w:t>
      </w:r>
      <w:r w:rsidR="00BF0ED8" w:rsidRPr="00097432">
        <w:t>95% CI</w:t>
      </w:r>
      <w:r w:rsidR="0029688A" w:rsidRPr="00097432">
        <w:t>:</w:t>
      </w:r>
      <w:r w:rsidR="00BF0ED8" w:rsidRPr="00097432">
        <w:t xml:space="preserve"> 82%</w:t>
      </w:r>
      <w:r w:rsidR="0029688A" w:rsidRPr="00097432">
        <w:t xml:space="preserve"> - </w:t>
      </w:r>
      <w:r w:rsidR="00BF0ED8" w:rsidRPr="00097432">
        <w:t>99%</w:t>
      </w:r>
      <w:r w:rsidR="0029688A" w:rsidRPr="00097432">
        <w:t>]</w:t>
      </w:r>
      <w:r w:rsidR="006B7E4E" w:rsidRPr="00097432">
        <w:rPr>
          <w:rFonts w:hint="eastAsia"/>
        </w:rPr>
        <w:t>.</w:t>
      </w:r>
      <w:r w:rsidR="005C75E1" w:rsidRPr="00097432">
        <w:fldChar w:fldCharType="begin"/>
      </w:r>
      <w:r w:rsidR="00345AF1">
        <w:instrText xml:space="preserve"> ADDIN ZOTERO_ITEM CSL_CITATION {"citationID":"vRmoYNMT","properties":{"formattedCitation":"\\super 11\\nosupersub{}","plainCitation":"11","noteIndex":0},"citationItems":[{"id":"EgwuGF5k/N5wRjVQd","uris":["http://zotero.org/users/local/xDVOxgbN/items/37LE7P3K"],"itemData":{"id":"ZN66rL7d/hXqTsIEn","type":"article-journal","container-title":"PLoS Medicine","DOI":"10.1371/journal.pmed.0040336","ISSN":"1549-1676","issue":"11","journalAbbreviation":"PLoS Med","language":"en","page":"e336","source":"DOI.org (Crossref)","title":"Controlling Endemic Cholera with Oral Vaccines","volume":"4","author":[{"family":"Longini","given":"Ira M"},{"family":"Nizam","given":"Azhar"},{"family":"Ali","given":"Mohammad"},{"family":"Yunus","given":"Mohammad"},{"family":"Shenvi","given":"Neeta"},{"family":"Clemens","given":"John D"}],"editor":[{"family":"Von Seidlein","given":"Lorenz"}],"issued":{"date-parts":[["2007",11,27]]}}}],"schema":"https://github.com/citation-style-language/schema/raw/master/csl-citation.json"} </w:instrText>
      </w:r>
      <w:r w:rsidR="005C75E1" w:rsidRPr="00097432">
        <w:fldChar w:fldCharType="separate"/>
      </w:r>
      <w:r w:rsidR="005C75E1" w:rsidRPr="00097432">
        <w:rPr>
          <w:vertAlign w:val="superscript"/>
        </w:rPr>
        <w:t>11</w:t>
      </w:r>
      <w:r w:rsidR="005C75E1" w:rsidRPr="00097432">
        <w:fldChar w:fldCharType="end"/>
      </w:r>
      <w:r w:rsidR="005C75E1" w:rsidRPr="00097432">
        <w:t xml:space="preserve"> </w:t>
      </w:r>
      <w:r w:rsidR="00417190" w:rsidRPr="00097432">
        <w:t>A</w:t>
      </w:r>
      <w:r w:rsidR="006B7E4E" w:rsidRPr="00097432">
        <w:rPr>
          <w:rFonts w:hint="eastAsia"/>
        </w:rPr>
        <w:t>nother modeling</w:t>
      </w:r>
      <w:r w:rsidR="00417190" w:rsidRPr="00097432">
        <w:t xml:space="preserve"> study </w:t>
      </w:r>
      <w:r w:rsidR="000F7281" w:rsidRPr="00097432">
        <w:t>of reactive</w:t>
      </w:r>
      <w:r w:rsidR="00A16201" w:rsidRPr="00097432">
        <w:rPr>
          <w:rFonts w:hint="eastAsia"/>
        </w:rPr>
        <w:t xml:space="preserve"> evaluating </w:t>
      </w:r>
      <w:r w:rsidR="000F7281" w:rsidRPr="00097432">
        <w:t xml:space="preserve">single-dose OCV </w:t>
      </w:r>
      <w:r w:rsidR="000F7281" w:rsidRPr="00097432">
        <w:lastRenderedPageBreak/>
        <w:t xml:space="preserve">campaigns </w:t>
      </w:r>
      <w:r w:rsidR="006B7E4E" w:rsidRPr="00097432">
        <w:rPr>
          <w:rFonts w:hint="eastAsia"/>
        </w:rPr>
        <w:t>i</w:t>
      </w:r>
      <w:r w:rsidR="000F7281" w:rsidRPr="00097432">
        <w:t xml:space="preserve">n Zimbabwe, </w:t>
      </w:r>
      <w:r w:rsidR="00417190" w:rsidRPr="00097432">
        <w:t>Haiti</w:t>
      </w:r>
      <w:r w:rsidR="000F7281" w:rsidRPr="00097432">
        <w:t>, and Guinea</w:t>
      </w:r>
      <w:r w:rsidR="00417190" w:rsidRPr="00097432">
        <w:t xml:space="preserve"> </w:t>
      </w:r>
      <w:r w:rsidR="006B7E4E" w:rsidRPr="00097432">
        <w:rPr>
          <w:rFonts w:hint="eastAsia"/>
        </w:rPr>
        <w:t xml:space="preserve">found case reductions of </w:t>
      </w:r>
      <w:r w:rsidR="000F7281" w:rsidRPr="00097432">
        <w:t xml:space="preserve">71.6%, </w:t>
      </w:r>
      <w:r w:rsidR="00417190" w:rsidRPr="00097432">
        <w:t>65.3%</w:t>
      </w:r>
      <w:r w:rsidR="000F7281" w:rsidRPr="00097432">
        <w:t>, and</w:t>
      </w:r>
      <w:r w:rsidR="00417190" w:rsidRPr="00097432">
        <w:t xml:space="preserve"> </w:t>
      </w:r>
      <w:r w:rsidR="000F7281" w:rsidRPr="00097432">
        <w:t>61.9%</w:t>
      </w:r>
      <w:r w:rsidR="006B7E4E" w:rsidRPr="00097432">
        <w:rPr>
          <w:rFonts w:hint="eastAsia"/>
        </w:rPr>
        <w:t xml:space="preserve">, </w:t>
      </w:r>
      <w:r w:rsidR="00A16201" w:rsidRPr="00097432">
        <w:rPr>
          <w:rFonts w:hint="eastAsia"/>
        </w:rPr>
        <w:t xml:space="preserve">when campaigns were initiated on </w:t>
      </w:r>
      <w:r w:rsidR="000F7281" w:rsidRPr="00097432">
        <w:t>day 122, day 76, and day 61, respectively.</w:t>
      </w:r>
      <w:r w:rsidR="00417190" w:rsidRPr="00097432">
        <w:fldChar w:fldCharType="begin"/>
      </w:r>
      <w:r w:rsidR="00345AF1">
        <w:instrText xml:space="preserve"> ADDIN ZOTERO_ITEM CSL_CITATION {"citationID":"GSTDb111","properties":{"formattedCitation":"\\super 15\\nosupersub{}","plainCitation":"15","noteIndex":0},"citationItems":[{"id":"EgwuGF5k/8rAvwhna","uris":["http://zotero.org/users/local/xDVOxgbN/items/D9HE3GUQ"],"itemData":{"id":78,"type":"article-journal","container-title":"PLOS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E."}],"issued":{"date-parts":[["2015",8,25]]}}}],"schema":"https://github.com/citation-style-language/schema/raw/master/csl-citation.json"} </w:instrText>
      </w:r>
      <w:r w:rsidR="00417190" w:rsidRPr="00097432">
        <w:fldChar w:fldCharType="separate"/>
      </w:r>
      <w:r w:rsidR="00417190" w:rsidRPr="00097432">
        <w:rPr>
          <w:vertAlign w:val="superscript"/>
          <w:lang w:val="en-US"/>
        </w:rPr>
        <w:t>15</w:t>
      </w:r>
      <w:r w:rsidR="00417190" w:rsidRPr="00097432">
        <w:fldChar w:fldCharType="end"/>
      </w:r>
      <w:r w:rsidR="003330B0" w:rsidRPr="00097432">
        <w:t xml:space="preserve"> </w:t>
      </w:r>
      <w:r w:rsidR="00A16201" w:rsidRPr="00097432">
        <w:rPr>
          <w:rFonts w:hint="eastAsia"/>
        </w:rPr>
        <w:t>Similarly,</w:t>
      </w:r>
      <w:r w:rsidR="006B7E4E" w:rsidRPr="00097432">
        <w:rPr>
          <w:rFonts w:hint="eastAsia"/>
        </w:rPr>
        <w:t xml:space="preserve"> </w:t>
      </w:r>
      <w:r w:rsidR="000F7281" w:rsidRPr="00097432">
        <w:t xml:space="preserve">a single-dose OCV campaign </w:t>
      </w:r>
      <w:r w:rsidR="00B9349E" w:rsidRPr="00097432">
        <w:t xml:space="preserve">in N'Djamena, Chad </w:t>
      </w:r>
      <w:r w:rsidR="006B7E4E" w:rsidRPr="00097432">
        <w:rPr>
          <w:rFonts w:hint="eastAsia"/>
        </w:rPr>
        <w:t xml:space="preserve">reduced cases </w:t>
      </w:r>
      <w:r w:rsidR="006B7E4E" w:rsidRPr="00097432">
        <w:t>by 81% (or 43% or 8%)</w:t>
      </w:r>
      <w:r w:rsidR="00A16201" w:rsidRPr="00097432">
        <w:rPr>
          <w:rFonts w:hint="eastAsia"/>
        </w:rPr>
        <w:t xml:space="preserve"> when initiated on</w:t>
      </w:r>
      <w:r w:rsidR="00A16201" w:rsidRPr="00097432">
        <w:t xml:space="preserve"> day 50 (or day 130 or day 180) </w:t>
      </w:r>
      <w:r w:rsidR="006B7E4E" w:rsidRPr="00097432">
        <w:fldChar w:fldCharType="begin"/>
      </w:r>
      <w:r w:rsidR="00345AF1">
        <w:instrText xml:space="preserve"> ADDIN ZOTERO_ITEM CSL_CITATION {"citationID":"BVVGrKHM","properties":{"formattedCitation":"\\super 1\\nosupersub{}","plainCitation":"1","noteIndex":0},"citationItems":[{"id":"EgwuGF5k/Hmz3wwbU","uris":["http://zotero.org/users/local/xDVOxgbN/items/3KCFPCDX"],"itemData":{"id":"ZN66rL7d/xLgkmKAb","type":"article-journal","container-title":"PLOS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Seidlein","given":"Lorenz"}],"issued":{"date-parts":[["2018",2,27]]}}}],"schema":"https://github.com/citation-style-language/schema/raw/master/csl-citation.json"} </w:instrText>
      </w:r>
      <w:r w:rsidR="006B7E4E" w:rsidRPr="00097432">
        <w:fldChar w:fldCharType="separate"/>
      </w:r>
      <w:r w:rsidR="006B7E4E" w:rsidRPr="00097432">
        <w:rPr>
          <w:vertAlign w:val="superscript"/>
        </w:rPr>
        <w:t>1</w:t>
      </w:r>
      <w:r w:rsidR="006B7E4E" w:rsidRPr="00097432">
        <w:fldChar w:fldCharType="end"/>
      </w:r>
      <w:r w:rsidR="006B7E4E" w:rsidRPr="00097432">
        <w:t xml:space="preserve"> </w:t>
      </w:r>
      <w:r w:rsidR="006B7E4E" w:rsidRPr="00097432">
        <w:rPr>
          <w:rFonts w:hint="eastAsia"/>
        </w:rPr>
        <w:t xml:space="preserve">Additional modeling of multiple </w:t>
      </w:r>
      <w:r w:rsidR="006B7E4E" w:rsidRPr="00097432">
        <w:t>strategies in N’Djamena, Maela</w:t>
      </w:r>
      <w:r w:rsidR="006B7E4E" w:rsidRPr="00097432">
        <w:rPr>
          <w:rFonts w:hint="eastAsia"/>
        </w:rPr>
        <w:t xml:space="preserve"> (</w:t>
      </w:r>
      <w:r w:rsidR="006B7E4E" w:rsidRPr="00097432">
        <w:t>Thailand</w:t>
      </w:r>
      <w:r w:rsidR="006B7E4E" w:rsidRPr="00097432">
        <w:rPr>
          <w:rFonts w:hint="eastAsia"/>
        </w:rPr>
        <w:t>)</w:t>
      </w:r>
      <w:r w:rsidR="006B7E4E" w:rsidRPr="00097432">
        <w:t xml:space="preserve">, and Haiti </w:t>
      </w:r>
      <w:r w:rsidR="00A16201" w:rsidRPr="00097432">
        <w:rPr>
          <w:rFonts w:hint="eastAsia"/>
        </w:rPr>
        <w:t>found</w:t>
      </w:r>
      <w:r w:rsidR="006B7E4E" w:rsidRPr="00097432">
        <w:rPr>
          <w:rFonts w:hint="eastAsia"/>
        </w:rPr>
        <w:t xml:space="preserve"> </w:t>
      </w:r>
      <w:r w:rsidR="00FA1F7C" w:rsidRPr="00097432">
        <w:t xml:space="preserve">that a single-dose regimen </w:t>
      </w:r>
      <w:r w:rsidR="00A16201" w:rsidRPr="00097432">
        <w:rPr>
          <w:rFonts w:hint="eastAsia"/>
        </w:rPr>
        <w:t>targeting</w:t>
      </w:r>
      <w:r w:rsidR="006B7E4E" w:rsidRPr="00097432">
        <w:rPr>
          <w:rFonts w:hint="eastAsia"/>
        </w:rPr>
        <w:t xml:space="preserve"> individuals over five years </w:t>
      </w:r>
      <w:r w:rsidR="00FA1F7C" w:rsidRPr="00097432">
        <w:t xml:space="preserve">old </w:t>
      </w:r>
      <w:r w:rsidR="006B7E4E" w:rsidRPr="00097432">
        <w:rPr>
          <w:rFonts w:hint="eastAsia"/>
        </w:rPr>
        <w:t xml:space="preserve">often produced </w:t>
      </w:r>
      <w:r w:rsidR="00A16201" w:rsidRPr="00097432">
        <w:rPr>
          <w:rFonts w:hint="eastAsia"/>
        </w:rPr>
        <w:t xml:space="preserve">greatest </w:t>
      </w:r>
      <w:r w:rsidR="00FA1F7C" w:rsidRPr="00097432">
        <w:t>reduction</w:t>
      </w:r>
      <w:r w:rsidR="006B7E4E" w:rsidRPr="00097432">
        <w:rPr>
          <w:rFonts w:hint="eastAsia"/>
        </w:rPr>
        <w:t>s</w:t>
      </w:r>
      <w:r w:rsidR="00FA1F7C" w:rsidRPr="00097432">
        <w:t xml:space="preserve">, </w:t>
      </w:r>
      <w:r w:rsidR="00A16201" w:rsidRPr="00097432">
        <w:rPr>
          <w:rFonts w:hint="eastAsia"/>
        </w:rPr>
        <w:t xml:space="preserve">lowering </w:t>
      </w:r>
      <w:r w:rsidR="00A16201" w:rsidRPr="00097432">
        <w:t>total and symptomatic infections</w:t>
      </w:r>
      <w:r w:rsidR="00A16201" w:rsidRPr="00097432">
        <w:rPr>
          <w:rFonts w:hint="eastAsia"/>
        </w:rPr>
        <w:t xml:space="preserve"> by</w:t>
      </w:r>
      <w:r w:rsidR="00A16201" w:rsidRPr="00097432">
        <w:t xml:space="preserve"> </w:t>
      </w:r>
      <w:r w:rsidR="00FA1F7C" w:rsidRPr="00097432">
        <w:t>up to 68%, 90%, and 36%</w:t>
      </w:r>
      <w:r w:rsidR="006B7E4E" w:rsidRPr="00097432">
        <w:rPr>
          <w:rFonts w:hint="eastAsia"/>
        </w:rPr>
        <w:t>, respectively</w:t>
      </w:r>
      <w:r w:rsidR="003330B0" w:rsidRPr="00097432">
        <w:fldChar w:fldCharType="begin"/>
      </w:r>
      <w:r w:rsidR="00345AF1">
        <w:instrText xml:space="preserve"> ADDIN ZOTERO_ITEM CSL_CITATION {"citationID":"ExGdrT0W","properties":{"formattedCitation":"\\super 14\\nosupersub{}","plainCitation":"14","noteIndex":0},"citationItems":[{"id":"EgwuGF5k/vnWyEUA7","uris":["http://zotero.org/users/local/xDVOxgbN/items/P34TEJN2"],"itemData":{"id":"ZN66rL7d/T0HOJMjP","type":"article-journal","abstract":"Background\n              A global stockpile of oral cholera vaccine (OCV) was established in 2013 for use in outbreak response and are licensed as two-dose regimens. Vaccine availability, however, remains limited. Previous studies have found that a single dose of OCV may provide substantial protection against cholera.\n            \n            \n              Methods\n              Using a mathematical model with two age groups paired with optimization algorithms, we determine the optimal vaccination strategy with one and two doses of vaccine to minimize cumulative overall infections, symptomatic infections, and deaths. We explore counterfactual vaccination scenarios in three distinct settings: Maela, the largest refugee camp in Thailand, with high in- and out-migration; N’Djamena, Chad, a densely populated region; and Haiti, where departments are connected by rivers and roads.\n            \n            \n              Results\n              Over the short term under limited vaccine supply, the optimal strategies for all objectives prioritize one dose to the older age group (over five years old), irrespective of setting and level of vaccination coverage. As more vaccine becomes available, it is optimal to administer a second dose for long-term protection. With enough vaccine to cover the whole population with one dose, the optimal strategies can avert up to 30% to 90% of deaths and 36% to 92% of symptomatic infections across the three settings over one year. The one-dose optimal strategies can avert 1.2 to 1.8 times as many cases and deaths compared to the standard two-dose strategy.\n            \n            \n              Conclusions\n              In an outbreak setting, speedy vaccination campaigns with a single dose of OCV is likely to avert more cases and deaths than a two-dose pro-rata campaign under a limited vaccine supply.","container-title":"PLOS Neglected Tropical Diseases","DOI":"10.1371/journal.pntd.0010358","ISSN":"1935-2735","issue":"4","journalAbbreviation":"PLoS Negl Trop Dis","language":"en","page":"e0010358","source":"DOI.org (Crossref)","title":"Optimizing one-dose and two-dose cholera vaccine allocation in outbreak settings: A modeling study","title-short":"Optimizing one-dose and two-dose cholera vaccine allocation in outbreak settings","volume":"16","author":[{"family":"Leung","given":"Tiffany"},{"family":"Eaton","given":"Julia"},{"family":"Matrajt","given":"Laura"}],"editor":[{"family":"Fleckenstein","given":"James Michael"}],"issued":{"date-parts":[["2022",4,20]]}}}],"schema":"https://github.com/citation-style-language/schema/raw/master/csl-citation.json"} </w:instrText>
      </w:r>
      <w:r w:rsidR="003330B0" w:rsidRPr="00097432">
        <w:fldChar w:fldCharType="separate"/>
      </w:r>
      <w:r w:rsidR="003330B0" w:rsidRPr="00097432">
        <w:rPr>
          <w:vertAlign w:val="superscript"/>
        </w:rPr>
        <w:t>14</w:t>
      </w:r>
      <w:r w:rsidR="003330B0" w:rsidRPr="00097432">
        <w:fldChar w:fldCharType="end"/>
      </w:r>
      <w:r w:rsidR="00334A5E" w:rsidRPr="00097432">
        <w:t xml:space="preserve"> </w:t>
      </w:r>
      <w:r w:rsidR="006B7E4E" w:rsidRPr="00097432">
        <w:rPr>
          <w:rFonts w:hint="eastAsia"/>
        </w:rPr>
        <w:t xml:space="preserve">Together, </w:t>
      </w:r>
      <w:r w:rsidR="00AA489D" w:rsidRPr="00097432">
        <w:t xml:space="preserve">these </w:t>
      </w:r>
      <w:r w:rsidR="00334A5E" w:rsidRPr="00097432">
        <w:t xml:space="preserve">studies </w:t>
      </w:r>
      <w:r w:rsidR="00A16201" w:rsidRPr="00097432">
        <w:rPr>
          <w:rFonts w:hint="eastAsia"/>
        </w:rPr>
        <w:t>demonstrate</w:t>
      </w:r>
      <w:r w:rsidR="006B7E4E" w:rsidRPr="00097432">
        <w:rPr>
          <w:rFonts w:hint="eastAsia"/>
        </w:rPr>
        <w:t xml:space="preserve"> </w:t>
      </w:r>
      <w:r w:rsidR="00A16201" w:rsidRPr="00097432">
        <w:rPr>
          <w:rFonts w:hint="eastAsia"/>
        </w:rPr>
        <w:t xml:space="preserve">the large potential </w:t>
      </w:r>
      <w:r w:rsidR="00334A5E" w:rsidRPr="00097432">
        <w:t>of OCV campaign</w:t>
      </w:r>
      <w:r w:rsidR="006B7E4E" w:rsidRPr="00097432">
        <w:rPr>
          <w:rFonts w:hint="eastAsia"/>
        </w:rPr>
        <w:t>s</w:t>
      </w:r>
      <w:r w:rsidR="00334A5E" w:rsidRPr="00097432">
        <w:t xml:space="preserve">, </w:t>
      </w:r>
      <w:r w:rsidR="00361A6D" w:rsidRPr="00097432">
        <w:t xml:space="preserve">but their focus on large outbreaks may </w:t>
      </w:r>
      <w:r w:rsidR="008E7059" w:rsidRPr="00097432">
        <w:rPr>
          <w:rFonts w:hint="eastAsia"/>
        </w:rPr>
        <w:t>bias estimates upward</w:t>
      </w:r>
      <w:r w:rsidR="00361A6D" w:rsidRPr="00097432">
        <w:t>.</w:t>
      </w:r>
      <w:r w:rsidR="00361A6D" w:rsidRPr="00097432">
        <w:rPr>
          <w:rFonts w:hint="eastAsia"/>
        </w:rPr>
        <w:t xml:space="preserve"> By contrast, o</w:t>
      </w:r>
      <w:r w:rsidR="00334A5E" w:rsidRPr="00097432">
        <w:t>u</w:t>
      </w:r>
      <w:r w:rsidR="00C9313A" w:rsidRPr="00097432">
        <w:t xml:space="preserve">r analysis </w:t>
      </w:r>
      <w:r w:rsidR="00361A6D" w:rsidRPr="00097432">
        <w:rPr>
          <w:rFonts w:hint="eastAsia"/>
        </w:rPr>
        <w:t xml:space="preserve">of </w:t>
      </w:r>
      <w:r w:rsidR="008E7059" w:rsidRPr="00097432">
        <w:t>1,</w:t>
      </w:r>
      <w:r w:rsidR="008E7059" w:rsidRPr="00097432">
        <w:rPr>
          <w:rFonts w:hint="eastAsia"/>
        </w:rPr>
        <w:t>192</w:t>
      </w:r>
      <w:r w:rsidR="008E7059" w:rsidRPr="00097432">
        <w:t xml:space="preserve"> </w:t>
      </w:r>
      <w:r w:rsidR="00361A6D" w:rsidRPr="00097432">
        <w:t xml:space="preserve">outbreaks </w:t>
      </w:r>
      <w:r w:rsidR="008E7059" w:rsidRPr="00097432">
        <w:t>across a range of sizes and attack rates</w:t>
      </w:r>
      <w:r w:rsidR="00361A6D" w:rsidRPr="00097432">
        <w:rPr>
          <w:rFonts w:hint="eastAsia"/>
        </w:rPr>
        <w:t xml:space="preserve"> </w:t>
      </w:r>
      <w:r w:rsidR="008E7059" w:rsidRPr="00097432">
        <w:rPr>
          <w:rFonts w:hint="eastAsia"/>
        </w:rPr>
        <w:t>reveals</w:t>
      </w:r>
      <w:r w:rsidR="00361A6D" w:rsidRPr="00097432">
        <w:t xml:space="preserve"> that </w:t>
      </w:r>
      <w:r w:rsidR="008E7059" w:rsidRPr="00097432">
        <w:t>while OCV impact can vary widely at the individual outbreak level</w:t>
      </w:r>
      <w:r w:rsidR="008E7059" w:rsidRPr="00097432">
        <w:rPr>
          <w:rFonts w:hint="eastAsia"/>
        </w:rPr>
        <w:t>, the aggregated benefit remains substantial.</w:t>
      </w:r>
      <w:r w:rsidR="00334A5E" w:rsidRPr="00097432">
        <w:t xml:space="preserve"> </w:t>
      </w:r>
    </w:p>
    <w:p w14:paraId="35D07097" w14:textId="77777777" w:rsidR="005C75E1" w:rsidRPr="00097432" w:rsidRDefault="005C75E1" w:rsidP="00F57F15"/>
    <w:p w14:paraId="08271BA5" w14:textId="79188F7D" w:rsidR="00A65A3C" w:rsidRPr="00097432" w:rsidRDefault="0091605D" w:rsidP="00F57F15">
      <w:r w:rsidRPr="00097432">
        <w:t xml:space="preserve">Despite its </w:t>
      </w:r>
      <w:r w:rsidR="00361A6D" w:rsidRPr="00097432">
        <w:rPr>
          <w:rFonts w:hint="eastAsia"/>
        </w:rPr>
        <w:t>strengths</w:t>
      </w:r>
      <w:r w:rsidRPr="00097432">
        <w:t xml:space="preserve">, our </w:t>
      </w:r>
      <w:r w:rsidR="001865A9" w:rsidRPr="00097432">
        <w:rPr>
          <w:rFonts w:hint="eastAsia"/>
        </w:rPr>
        <w:t>study</w:t>
      </w:r>
      <w:r w:rsidRPr="00097432">
        <w:t xml:space="preserve"> </w:t>
      </w:r>
      <w:r w:rsidR="00361A6D" w:rsidRPr="00097432">
        <w:rPr>
          <w:rFonts w:hint="eastAsia"/>
        </w:rPr>
        <w:t xml:space="preserve">has </w:t>
      </w:r>
      <w:r w:rsidRPr="00097432">
        <w:t xml:space="preserve">several limitations. </w:t>
      </w:r>
      <w:r w:rsidR="008E7059" w:rsidRPr="00097432">
        <w:t>First, we assumed uniform vaccine coverage within administrative units, which may underestimate the benefits of more spatially focused strategies such as case-area targeted interventions</w:t>
      </w:r>
      <w:r w:rsidRPr="00097432">
        <w:fldChar w:fldCharType="begin"/>
      </w:r>
      <w:r w:rsidR="00345AF1">
        <w:instrText xml:space="preserve"> ADDIN ZOTERO_ITEM CSL_CITATION {"citationID":"TnNKrFWO","properties":{"formattedCitation":"\\super 1,76\\uc0\\u8211{}78\\nosupersub{}","plainCitation":"1,76–78","noteIndex":0},"citationItems":[{"id":"EgwuGF5k/Hmz3wwbU","uris":["http://zotero.org/users/local/xDVOxgbN/items/3KCFPCDX"],"itemData":{"id":"uzNuC9xx/prXsVH16","type":"article-journal","container-title":"PLOS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Seidlein","given":"Lorenz"}],"issued":{"date-parts":[["2018",2,27]]}}},{"id":15178,"uris":["http://zotero.org/users/7663102/items/ZIFQRHRQ"],"itemData":{"id":15178,"type":"article-journal","abstract":"BACKGROUND: Cholera is a major cause of mortality and morbidity in low-resource and humanitarian settings. It is transmitted by fecal-oral route, and the infection risk is higher to those living in and near cholera cases. Rapid identification of cholera cases and implementation of measures to prevent subsequent transmission around cases may be an efficient strategy to reduce the size and scale of cholera outbreaks.\nMETHODOLOGY/PRINCIPLE FINDINGS: We investigated implementation of cholera case-area targeted interventions (CATIs) using systematic reviews and case studies. We identified 11 peer-reviewed and eight grey literature articles documenting CATIs and completed 30 key informant interviews in case studies in Democratic Republic of Congo, Haiti, Yemen, and Zimbabwe. We documented 15 outbreaks in 12 countries where CATIs were used. The team composition and the interventions varied, with water, sanitation, and hygiene interventions implemented more commonly than those of health. Alert systems triggering interventions were diverse ranging from suspected cholera cases to culture confirmed cases. Selection of high-risk households around the case household was inconsistent and ranged from only one case to approximately 100 surrounding households with different methods of selecting them. Coordination among actors and integration between sectors were consistently reported as challenging. Delays in sharing case information impeded rapid implementation of this approach, while evaluation of the effectiveness of interventions varied.\nCONCLUSIONS/SIGNIFICANCE: CATIs appear effective in reducing cholera outbreaks, but there is limited and context specific evidence of their effectiveness in reducing the incidence of cholera cases and lack of guidance for their consistent implementation. We propose to 1) use uniform cholera case definitions considering a local capacity to trigger alert; 2) evaluate the effectiveness of individual or sets of interventions to interrupt cholera, and establish a set of evidence-based interventions; 3) establish criteria to select high-risk households; and 4) improve coordination and data sharing amongst actors and facilitate integration among sectors to strengthen CATI approaches in cholera outbreaks.","container-title":"PLoS neglected tropical diseases","DOI":"10.1371/journal.pntd.0010042","ISSN":"1935-2735","issue":"12","journalAbbreviation":"PLoS Negl Trop Dis","language":"eng","note":"PMID: 34919551\nPMCID: PMC8719662","page":"e0010042","source":"PubMed","title":"Case-area targeted preventive interventions to interrupt cholera transmission: Current implementation practices and lessons learned","title-short":"Case-area targeted preventive interventions to interrupt cholera transmission","volume":"15","author":[{"family":"Sikder","given":"Mustafa"},{"family":"Altare","given":"Chiara"},{"family":"Doocy","given":"Shannon"},{"family":"Trowbridge","given":"Daniella"},{"family":"Kaur","given":"Gurpreet"},{"family":"Kaushal","given":"Natasha"},{"family":"Lyles","given":"Emily"},{"family":"Lantagne","given":"Daniele"},{"family":"Azman","given":"Andrew S."},{"family":"Spiegel","given":"Paul"}],"issued":{"date-parts":[["2021",12]]},"citation-key":"sikderCaseareaTargetedPreventive2021"}},{"id":15166,"uris":["http://zotero.org/users/7663102/items/HLFJ79SF"],"itemData":{"id":15166,"type":"article-journal","abstract":"BACKGROUND: Cholera outbreaks are on the rise globally, with conflict-affected settings particularly at risk. Case-area targeted interventions (CATIs), a strategy whereby teams provide a package of interventions to case and neighboring households within a predefined \"ring,\" are increasingly employed in cholera responses. However, evidence on their ability to attenuate incidence is limited.\nMETHODS AND FINDINGS: We conducted a prospective observational cohort study in 3 conflict-affected states in Nigeria in 2021. Enumerators within rapid response teams observed CATI implementation during a cholera outbreak and collected data on household demographics; existing water, sanitation, and hygiene (WASH) infrastructure; and CATI interventions. Descriptive statistics showed that CATIs were delivered to 46,864 case and neighbor households, with 80.0% of cases and 33.5% of neighbors receiving all intended supplies and activities, in a context with operational challenges of population density, supply stock outs, and security constraints. We then applied prospective Poisson space-time scan statistics (STSS) across 3 models for each state: (1) an unadjusted model with case and population data; (2) an environmentally adjusted model adjusting for distance to cholera treatment centers and existing WASH infrastructure (improved water source, improved latrine, and handwashing station); and (3) a fully adjusted model adjusting for environmental and CATI variables (supply of Aquatabs and soap, hygiene promotion, bedding and latrine disinfection activities, ring coverage, and response timeliness). We ran the STSS each day of our study period to evaluate the space-time dynamics of the cholera outbreaks. Compared to the unadjusted model, significant cholera clustering was attenuated in the environmentally adjusted model (from 572 to 18 clusters) but there was still risk of cholera transmission. Two states still yielded significant clusters (range 8-10 total clusters, relative risk of 2.2-5.5, 16.6-19.9 day duration, including 11.1-56.8 cholera cases). Cholera clustering was completely attenuated in the fully adjusted model, with no significant anomalous clusters across time and space. Associated measures including quantity, relative risk, significance, likelihood of recurrence, size, and duration of clusters reinforced the results. Key limitations include selection bias, remote data monitoring, and the lack of a control group.\nCONCLUSIONS: CATIs were associated with significant reductions in cholera clustering in Northeast Nigeria despite operational challenges. Our results provide a strong justification for rapid implementation and scale-up CATIs in cholera-response, particularly in conflict settings where WASH access is often limited.","container-title":"PLoS medicine","DOI":"10.1371/journal.pmed.1004404","ISSN":"1549-1676","issue":"5","journalAbbreviation":"PLoS Med","language":"eng","note":"PMID: 38728366\nPMCID: PMC11149837","page":"e1004404","source":"PubMed","title":"Case-area targeted interventions during a large-scale cholera epidemic: A prospective cohort study in Northeast Nigeria","title-short":"Case-area targeted interventions during a large-scale cholera epidemic","volume":"21","author":[{"family":"OKeeffe","given":"Jennifer"},{"family":"Salem-Bango","given":"Lindsay"},{"family":"Desjardins","given":"Michael R."},{"family":"Lantagne","given":"Daniele"},{"family":"Altare","given":"Chiara"},{"family":"Kaur","given":"Gurpreet"},{"family":"Heath","given":"Thomas"},{"family":"Rangaiya","given":"Kanaganathan"},{"family":"Obroh","given":"Patricia Oke-Oghene"},{"family":"Audu","given":"Ahmadu"},{"family":"Lecuyot","given":"Baptiste"},{"family":"Zoungrana","given":"Timothée"},{"family":"Ihemezue","given":"Emmanuel Emeka"},{"family":"Aye","given":"Solomon"},{"family":"Sikder","given":"Mustafa"},{"family":"Doocy","given":"Shannon"},{"family":"Wang","given":"Qiulin"},{"family":"Xiao","given":"Melody"},{"family":"Spiegel","given":"Paul B."}],"issued":{"date-parts":[["2024",5]]},"citation-key":"okeeffeCaseareaTargetedInterventions2024"}},{"id":15172,"uris":["http://zotero.org/users/7663102/items/YDFYAS8X"],"itemData":{"id":15172,"type":"article-journal","abstract":"Cholera outbreaks primarily occur in areas lacking adequate water, sanitation, and hygiene (WASH), and infection can cause severe dehydration and death. As individuals living near cholera cases are more likely to contract cholera, case-area targeted interventions (CATI), where a response team visits case and neighbor households and conducts WASH and/or epidemiological interventions, are increasingly implemented to interrupt cholera transmission. As part of a multi-pronged evaluation on whether CATIs reduce cholera transmission, we compared two organizations' standard operating procedures (SOPs) with information from key informant interviews with 26 staff at national/headquarters and field levels who implemented CATIs in Nigeria in 2021. While organizations generally adhered to SOPs during implementation, deviations related to accessing case household and neighbor household selection were made due to incomplete line lists, high population density, and insufficient staffing and materials. We recommend reducing the CATI radius, providing more explicit context-specific guidance in SOPs, adopting more measures to ensure sufficient staffing and supplies, improving surveillance and data management, and strengthening risk communication and community engagement. The qualitative results herein will inform future quantitative analysis to provide recommendations for overall CATI implementation in future cholera responses in fragile contexts.","container-title":"PLoS neglected tropical diseases","DOI":"10.1371/journal.pntd.0011298","ISSN":"1935-2735","issue":"4","journalAbbreviation":"PLoS Negl Trop Dis","language":"eng","note":"PMID: 37115769\nPMCID: PMC10171589","page":"e0011298","source":"PubMed","title":"Implementation considerations in case-area targeted interventions to prevent cholera transmission in Northeast Nigeria: A qualitative analysis","title-short":"Implementation considerations in case-area targeted interventions to prevent cholera transmission in Northeast Nigeria","volume":"17","author":[{"family":"Kaur","given":"Gurpreet"},{"family":"Salem-Bango","given":"Lindsay"},{"family":"Nery","given":"Ana Leticia Melquiades Dos Santos"},{"family":"Solomon","given":"Emmanuel Chimda"},{"family":"Ihemezue","given":"Emmanuel"},{"family":"Kelly","given":"Christine"},{"family":"Altare","given":"Chiara"},{"family":"Azman","given":"Andrew S."},{"family":"Spiegel","given":"Paul B."},{"family":"Lantagne","given":"Daniele"}],"issued":{"date-parts":[["2023",4]]},"citation-key":"kaurImplementationConsiderationsCasearea2023"}}],"schema":"https://github.com/citation-style-language/schema/raw/master/csl-citation.json"} </w:instrText>
      </w:r>
      <w:r w:rsidRPr="00097432">
        <w:fldChar w:fldCharType="separate"/>
      </w:r>
      <w:r w:rsidR="00345AF1" w:rsidRPr="00345AF1">
        <w:rPr>
          <w:rFonts w:cs="Times New Roman"/>
          <w:vertAlign w:val="superscript"/>
        </w:rPr>
        <w:t>1,76–78</w:t>
      </w:r>
      <w:r w:rsidRPr="00097432">
        <w:fldChar w:fldCharType="end"/>
      </w:r>
      <w:r w:rsidRPr="00097432">
        <w:t xml:space="preserve"> or geographic targeting.</w:t>
      </w:r>
      <w:r w:rsidRPr="00097432">
        <w:fldChar w:fldCharType="begin"/>
      </w:r>
      <w:r w:rsidR="00345AF1">
        <w:instrText xml:space="preserve"> ADDIN ZOTERO_ITEM CSL_CITATION {"citationID":"1vq5fwhU","properties":{"formattedCitation":"\\super 74\\nosupersub{}","plainCitation":"74","noteIndex":0},"citationItems":[{"id":"EgwuGF5k/Sk970oci","uris":["http://zotero.org/users/local/xDVOxgbN/items/9SKJXDU4"],"itemData":{"id":"uzNuC9xx/LKQ0djug","type":"article-journal","container-title":"PLOS Medicine","DOI":"10.1371/journal.pmed.1003003","ISSN":"1549-1676","issue":"12","journalAbbreviation":"PLoS Med","language":"en","page":"e1003003","source":"DOI.org (Crossref)","title":"The projected impact of geographic targeting of oral cholera vaccination in sub-Saharan Africa: A modeling study","title-short":"The projected impact of geographic targeting of oral cholera vaccination in sub-Saharan Africa","volume":"16","author":[{"family":"Lee","given":"Elizabeth C."},{"family":"Azman","given":"Andrew S."},{"family":"Kaminsky","given":"Joshua"},{"family":"Moore","given":"Sean M."},{"family":"McKay","given":"Heather S."},{"family":"Lessler","given":"Justin"}],"editor":[{"family":"Kretzschmar","given":"Mirjam E. E."}],"issued":{"date-parts":[["2019",12,11]]}}}],"schema":"https://github.com/citation-style-language/schema/raw/master/csl-citation.json"} </w:instrText>
      </w:r>
      <w:r w:rsidRPr="00097432">
        <w:fldChar w:fldCharType="separate"/>
      </w:r>
      <w:r w:rsidR="00345AF1" w:rsidRPr="00345AF1">
        <w:rPr>
          <w:rFonts w:cs="Times New Roman"/>
          <w:vertAlign w:val="superscript"/>
        </w:rPr>
        <w:t>74</w:t>
      </w:r>
      <w:r w:rsidRPr="00097432">
        <w:fldChar w:fldCharType="end"/>
      </w:r>
      <w:r w:rsidRPr="00097432">
        <w:t xml:space="preserve"> Conversely, vaccine wastage</w:t>
      </w:r>
      <w:r w:rsidR="008E7059" w:rsidRPr="00097432">
        <w:t>—</w:t>
      </w:r>
      <w:r w:rsidR="001865A9" w:rsidRPr="00097432">
        <w:rPr>
          <w:rFonts w:hint="eastAsia"/>
        </w:rPr>
        <w:t xml:space="preserve">documented in </w:t>
      </w:r>
      <w:r w:rsidR="00361A6D" w:rsidRPr="00097432">
        <w:rPr>
          <w:rFonts w:hint="eastAsia"/>
        </w:rPr>
        <w:t>coverage reports</w:t>
      </w:r>
      <w:r w:rsidRPr="00097432">
        <w:fldChar w:fldCharType="begin"/>
      </w:r>
      <w:r w:rsidR="00345AF1">
        <w:instrText xml:space="preserve"> ADDIN ZOTERO_ITEM CSL_CITATION {"citationID":"dwlotRU0","properties":{"formattedCitation":"\\super 79\\nosupersub{}","plainCitation":"79","noteIndex":0},"citationItems":[{"id":14926,"uris":["http://zotero.org/users/7663102/items/RG8HI75U"],"itemData":{"id":14926,"type":"article-journal","abstract":"Justin Lessler and colleagues describe a method that estimates the fraction of a population accessible to vaccination activities, and they apply it to measles vaccination in three African countries: Ghana, Madagascar, and Sierra Leone.","container-title":"PLOS Medicine","DOI":"10.1371/journal.pmed.1001110","ISSN":"1549-1676","issue":"10","journalAbbreviation":"PLoS Med","language":"en","note":"publisher: Public Library of Science","page":"e1001110","source":"PLoS Journals","title":"Measuring the Performance of Vaccination Programs Using Cross-Sectional Surveys: A Likelihood Framework and Retrospective Analysis","title-short":"Measuring the Performance of Vaccination Programs Using Cross-Sectional Surveys","volume":"8","author":[{"family":"Lessler","given":"Justin"},{"family":"Metcalf","given":"C. Jessica E."},{"family":"Grais","given":"Rebecca F."},{"family":"Luquero","given":"Francisco J."},{"family":"Cummings","given":"Derek A. T."},{"family":"Grenfell","given":"Bryan T."}],"issued":{"date-parts":[["2011"]],"season":"25"},"citation-key":"lesslerMeasuringPerformanceVaccination2011"}}],"schema":"https://github.com/citation-style-language/schema/raw/master/csl-citation.json"} </w:instrText>
      </w:r>
      <w:r w:rsidRPr="00097432">
        <w:fldChar w:fldCharType="separate"/>
      </w:r>
      <w:r w:rsidR="00345AF1" w:rsidRPr="00345AF1">
        <w:rPr>
          <w:rFonts w:cs="Times New Roman"/>
          <w:vertAlign w:val="superscript"/>
        </w:rPr>
        <w:t>79</w:t>
      </w:r>
      <w:r w:rsidRPr="00097432">
        <w:fldChar w:fldCharType="end"/>
      </w:r>
      <w:r w:rsidR="008E7059" w:rsidRPr="00097432">
        <w:t>—</w:t>
      </w:r>
      <w:r w:rsidRPr="00097432">
        <w:t xml:space="preserve">could </w:t>
      </w:r>
      <w:r w:rsidR="00AA489D" w:rsidRPr="00097432">
        <w:t xml:space="preserve">lead to </w:t>
      </w:r>
      <w:r w:rsidRPr="00097432">
        <w:t>overestimate</w:t>
      </w:r>
      <w:r w:rsidR="00361A6D" w:rsidRPr="00097432">
        <w:rPr>
          <w:rFonts w:hint="eastAsia"/>
        </w:rPr>
        <w:t xml:space="preserve">s of </w:t>
      </w:r>
      <w:r w:rsidRPr="00097432">
        <w:t>cases</w:t>
      </w:r>
      <w:r w:rsidR="00AA489D" w:rsidRPr="00097432">
        <w:t>, deaths, and DALYs</w:t>
      </w:r>
      <w:r w:rsidRPr="00097432">
        <w:t xml:space="preserve"> averted per 1,000 doses.</w:t>
      </w:r>
      <w:r w:rsidR="00361A6D" w:rsidRPr="00097432">
        <w:t xml:space="preserve"> </w:t>
      </w:r>
      <w:r w:rsidR="00AA489D" w:rsidRPr="00097432">
        <w:t xml:space="preserve">Second, </w:t>
      </w:r>
      <w:r w:rsidRPr="00097432">
        <w:t xml:space="preserve">our </w:t>
      </w:r>
      <w:r w:rsidR="00361A6D" w:rsidRPr="00097432">
        <w:rPr>
          <w:rFonts w:hint="eastAsia"/>
        </w:rPr>
        <w:t>parameter</w:t>
      </w:r>
      <w:r w:rsidR="00253023" w:rsidRPr="00097432">
        <w:rPr>
          <w:rFonts w:hint="eastAsia"/>
        </w:rPr>
        <w:t>ization</w:t>
      </w:r>
      <w:r w:rsidR="00361A6D" w:rsidRPr="00097432">
        <w:rPr>
          <w:rFonts w:hint="eastAsia"/>
        </w:rPr>
        <w:t xml:space="preserve"> </w:t>
      </w:r>
      <w:r w:rsidR="00253023" w:rsidRPr="00097432">
        <w:rPr>
          <w:rFonts w:hint="eastAsia"/>
        </w:rPr>
        <w:t>of</w:t>
      </w:r>
      <w:r w:rsidR="00361A6D" w:rsidRPr="00097432">
        <w:rPr>
          <w:rFonts w:hint="eastAsia"/>
        </w:rPr>
        <w:t xml:space="preserve"> </w:t>
      </w:r>
      <w:r w:rsidRPr="00097432">
        <w:t xml:space="preserve">indirect vaccine effectiveness </w:t>
      </w:r>
      <w:r w:rsidR="001515E1" w:rsidRPr="00097432">
        <w:rPr>
          <w:rFonts w:hint="eastAsia"/>
        </w:rPr>
        <w:t>was</w:t>
      </w:r>
      <w:r w:rsidR="00361A6D" w:rsidRPr="00097432">
        <w:rPr>
          <w:rFonts w:hint="eastAsia"/>
        </w:rPr>
        <w:t xml:space="preserve"> derived </w:t>
      </w:r>
      <w:r w:rsidR="001515E1" w:rsidRPr="00097432">
        <w:t>from studies conducted in</w:t>
      </w:r>
      <w:r w:rsidR="00361A6D" w:rsidRPr="00097432">
        <w:rPr>
          <w:rFonts w:hint="eastAsia"/>
        </w:rPr>
        <w:t>B</w:t>
      </w:r>
      <w:r w:rsidRPr="00097432">
        <w:t>angladesh</w:t>
      </w:r>
      <w:r w:rsidR="001515E1" w:rsidRPr="00097432">
        <w:rPr>
          <w:rFonts w:hint="eastAsia"/>
        </w:rPr>
        <w:t>,</w:t>
      </w:r>
      <w:r w:rsidRPr="00097432">
        <w:fldChar w:fldCharType="begin"/>
      </w:r>
      <w:r w:rsidR="00345AF1">
        <w:instrText xml:space="preserve"> ADDIN ZOTERO_ITEM CSL_CITATION {"citationID":"9E4AsK8m","properties":{"formattedCitation":"\\super 11,36\\nosupersub{}","plainCitation":"11,36","noteIndex":0},"citationItems":[{"id":"EgwuGF5k/N5wRjVQd","uris":["http://zotero.org/users/local/xDVOxgbN/items/37LE7P3K"],"itemData":{"id":99,"type":"article-journal","container-title":"PLoS Medicine","DOI":"10.1371/journal.pmed.0040336","ISSN":"1549-1676","issue":"11","journalAbbreviation":"PLoS Med","language":"en","page":"e336","source":"DOI.org (Crossref)","title":"Controlling Endemic Cholera with Oral Vaccines","volume":"4","author":[{"family":"Longini","given":"Ira M"},{"family":"Nizam","given":"Azhar"},{"family":"Ali","given":"Mohammad"},{"family":"Yunus","given":"Mohammad"},{"family":"Shenvi","given":"Neeta"},{"family":"Clemens","given":"John D"}],"editor":[{"family":"Von Seidlein","given":"Lorenz"}],"issued":{"date-parts":[["2007",11,27]]}}},{"id":"EgwuGF5k/bVyeal5U","uris":["http://zotero.org/users/local/xDVOxgbN/items/3QIMSM7G"],"itemData":{"id":154,"type":"article-journal","container-title":"The Lancet","DOI":"10.1016/S0140-6736(05)66550-6","ISSN":"01406736","issue":"9479","journalAbbreviation":"The Lancet","language":"en","license":"https://www.elsevier.com/tdm/userlicense/1.0/","page":"44-49","source":"DOI.org (Crossref)","title":"Herd immunity conferred by killed oral cholera vaccines in Bangladesh: a reanalysis","title-short":"Herd immunity conferred by killed oral cholera vaccines in Bangladesh","volume":"366","author":[{"family":"Ali","given":"Mohammad"},{"family":"Emch","given":"Michael"},{"family":"Von Seidlein","given":"Lorenz"},{"family":"Yunus","given":"Mohammad"},{"family":"Sack","given":"David A"},{"family":"Rao","given":"Malla"},{"family":"Holmgren","given":"Jan"},{"family":"Clemens","given":"John D"}],"issued":{"date-parts":[["2005",7]]}}}],"schema":"https://github.com/citation-style-language/schema/raw/master/csl-citation.json"} </w:instrText>
      </w:r>
      <w:r w:rsidRPr="00097432">
        <w:fldChar w:fldCharType="separate"/>
      </w:r>
      <w:r w:rsidR="005377FB" w:rsidRPr="00097432">
        <w:rPr>
          <w:rFonts w:cs="Times New Roman"/>
          <w:vertAlign w:val="superscript"/>
        </w:rPr>
        <w:t>11,36</w:t>
      </w:r>
      <w:r w:rsidRPr="00097432">
        <w:fldChar w:fldCharType="end"/>
      </w:r>
      <w:r w:rsidRPr="00097432">
        <w:t xml:space="preserve"> </w:t>
      </w:r>
      <w:r w:rsidR="001515E1" w:rsidRPr="00097432">
        <w:rPr>
          <w:rFonts w:hint="eastAsia"/>
        </w:rPr>
        <w:t>and</w:t>
      </w:r>
      <w:r w:rsidRPr="00097432">
        <w:t xml:space="preserve"> may not generalize </w:t>
      </w:r>
      <w:r w:rsidR="001515E1" w:rsidRPr="00097432">
        <w:t xml:space="preserve">fully </w:t>
      </w:r>
      <w:r w:rsidRPr="00097432">
        <w:t>to sub-Saharan Africa</w:t>
      </w:r>
      <w:r w:rsidR="00361A6D" w:rsidRPr="00097432">
        <w:rPr>
          <w:rFonts w:hint="eastAsia"/>
        </w:rPr>
        <w:t xml:space="preserve">n </w:t>
      </w:r>
      <w:r w:rsidR="001515E1" w:rsidRPr="00097432">
        <w:rPr>
          <w:rFonts w:hint="eastAsia"/>
        </w:rPr>
        <w:t>settings</w:t>
      </w:r>
      <w:r w:rsidRPr="00097432">
        <w:t>.</w:t>
      </w:r>
      <w:r w:rsidR="001515E1" w:rsidRPr="00097432">
        <w:t xml:space="preserve"> Nonetheless, the consistency between our static model outputs and those from dynamic models (</w:t>
      </w:r>
      <w:r w:rsidR="00072A95" w:rsidRPr="00097432">
        <w:rPr>
          <w:rFonts w:hint="eastAsia"/>
        </w:rPr>
        <w:t xml:space="preserve">Supplementary Material </w:t>
      </w:r>
      <w:r w:rsidR="001515E1" w:rsidRPr="00097432">
        <w:rPr>
          <w:b/>
          <w:bCs/>
        </w:rPr>
        <w:t>S</w:t>
      </w:r>
      <w:r w:rsidR="009206B5" w:rsidRPr="00097432">
        <w:rPr>
          <w:rFonts w:hint="eastAsia"/>
          <w:b/>
          <w:bCs/>
        </w:rPr>
        <w:t>9</w:t>
      </w:r>
      <w:r w:rsidR="00072A95" w:rsidRPr="00097432">
        <w:rPr>
          <w:rFonts w:hint="eastAsia"/>
          <w:b/>
          <w:bCs/>
        </w:rPr>
        <w:t>; Figures S</w:t>
      </w:r>
      <w:r w:rsidR="00A5601D">
        <w:rPr>
          <w:rFonts w:hint="eastAsia"/>
          <w:b/>
          <w:bCs/>
        </w:rPr>
        <w:t>5</w:t>
      </w:r>
      <w:r w:rsidR="00072A95" w:rsidRPr="00097432">
        <w:rPr>
          <w:rFonts w:hint="eastAsia"/>
          <w:b/>
          <w:bCs/>
        </w:rPr>
        <w:t>-S</w:t>
      </w:r>
      <w:r w:rsidR="00A5601D">
        <w:rPr>
          <w:rFonts w:hint="eastAsia"/>
          <w:b/>
          <w:bCs/>
        </w:rPr>
        <w:t>7</w:t>
      </w:r>
      <w:r w:rsidR="001515E1" w:rsidRPr="00097432">
        <w:t>) suggests that our parameterization captures indirect effects reasonably well.</w:t>
      </w:r>
      <w:r w:rsidR="00A16D9B" w:rsidRPr="00097432">
        <w:t xml:space="preserve"> </w:t>
      </w:r>
      <w:r w:rsidR="002450FE" w:rsidRPr="00097432">
        <w:t>This static approach, grounded in empirical observations, may offer a practical alternative for modeling ORI impact in settings with limited data.</w:t>
      </w:r>
      <w:r w:rsidR="00792A8E" w:rsidRPr="00097432">
        <w:t xml:space="preserve"> </w:t>
      </w:r>
      <w:r w:rsidR="00AA489D" w:rsidRPr="00097432">
        <w:t>Third</w:t>
      </w:r>
      <w:r w:rsidR="00A16D9B" w:rsidRPr="00097432">
        <w:t xml:space="preserve">, </w:t>
      </w:r>
      <w:r w:rsidR="000A5801" w:rsidRPr="00097432">
        <w:rPr>
          <w:rFonts w:hint="eastAsia"/>
        </w:rPr>
        <w:t xml:space="preserve">by </w:t>
      </w:r>
      <w:r w:rsidR="002450FE" w:rsidRPr="00097432">
        <w:rPr>
          <w:rFonts w:hint="eastAsia"/>
        </w:rPr>
        <w:t>modeling</w:t>
      </w:r>
      <w:r w:rsidR="000A5801" w:rsidRPr="00097432">
        <w:rPr>
          <w:rFonts w:hint="eastAsia"/>
        </w:rPr>
        <w:t xml:space="preserve"> individual outbreak</w:t>
      </w:r>
      <w:r w:rsidR="002450FE" w:rsidRPr="00097432">
        <w:rPr>
          <w:rFonts w:hint="eastAsia"/>
        </w:rPr>
        <w:t xml:space="preserve"> independently</w:t>
      </w:r>
      <w:r w:rsidR="000A5801" w:rsidRPr="00097432">
        <w:rPr>
          <w:rFonts w:hint="eastAsia"/>
        </w:rPr>
        <w:t xml:space="preserve"> </w:t>
      </w:r>
      <w:r w:rsidR="00253023" w:rsidRPr="00097432">
        <w:rPr>
          <w:rFonts w:hint="eastAsia"/>
        </w:rPr>
        <w:t>(</w:t>
      </w:r>
      <w:r w:rsidR="000A5801" w:rsidRPr="00097432">
        <w:rPr>
          <w:rFonts w:hint="eastAsia"/>
        </w:rPr>
        <w:t>or</w:t>
      </w:r>
      <w:r w:rsidR="002450FE" w:rsidRPr="00097432">
        <w:rPr>
          <w:rFonts w:hint="eastAsia"/>
        </w:rPr>
        <w:t xml:space="preserve"> </w:t>
      </w:r>
      <w:r w:rsidR="00253023" w:rsidRPr="00097432">
        <w:rPr>
          <w:rFonts w:hint="eastAsia"/>
        </w:rPr>
        <w:t>aggregating them)</w:t>
      </w:r>
      <w:r w:rsidR="000A5801" w:rsidRPr="00097432">
        <w:rPr>
          <w:rFonts w:hint="eastAsia"/>
        </w:rPr>
        <w:t xml:space="preserve">, </w:t>
      </w:r>
      <w:r w:rsidR="002450FE" w:rsidRPr="00097432">
        <w:rPr>
          <w:rFonts w:hint="eastAsia"/>
        </w:rPr>
        <w:t xml:space="preserve">we assumed that </w:t>
      </w:r>
      <w:r w:rsidR="00A16D9B" w:rsidRPr="00097432">
        <w:t>the vaccine</w:t>
      </w:r>
      <w:r w:rsidR="002450FE" w:rsidRPr="00097432">
        <w:rPr>
          <w:rFonts w:hint="eastAsia"/>
        </w:rPr>
        <w:t xml:space="preserve"> impact was</w:t>
      </w:r>
      <w:r w:rsidR="000A5801" w:rsidRPr="00097432">
        <w:rPr>
          <w:rFonts w:hint="eastAsia"/>
        </w:rPr>
        <w:t xml:space="preserve"> </w:t>
      </w:r>
      <w:r w:rsidR="00253023" w:rsidRPr="00097432">
        <w:rPr>
          <w:rFonts w:hint="eastAsia"/>
        </w:rPr>
        <w:t xml:space="preserve">confined to </w:t>
      </w:r>
      <w:r w:rsidR="00C72093">
        <w:rPr>
          <w:rFonts w:hint="eastAsia"/>
        </w:rPr>
        <w:t xml:space="preserve">the specific </w:t>
      </w:r>
      <w:r w:rsidR="00A16D9B" w:rsidRPr="00097432">
        <w:t>outbreak</w:t>
      </w:r>
      <w:r w:rsidR="00C72093">
        <w:rPr>
          <w:rFonts w:hint="eastAsia"/>
        </w:rPr>
        <w:t xml:space="preserve"> in which vaccines were deployed</w:t>
      </w:r>
      <w:r w:rsidR="00A16D9B" w:rsidRPr="00097432">
        <w:t>.</w:t>
      </w:r>
      <w:r w:rsidR="002450FE" w:rsidRPr="00097432">
        <w:t xml:space="preserve"> </w:t>
      </w:r>
      <w:r w:rsidR="002450FE" w:rsidRPr="00097432">
        <w:rPr>
          <w:rFonts w:hint="eastAsia"/>
        </w:rPr>
        <w:t>I</w:t>
      </w:r>
      <w:r w:rsidR="002450FE" w:rsidRPr="00097432">
        <w:t xml:space="preserve">n reality, ORIs may </w:t>
      </w:r>
      <w:r w:rsidR="00C72093">
        <w:rPr>
          <w:rFonts w:hint="eastAsia"/>
        </w:rPr>
        <w:t xml:space="preserve">also confer </w:t>
      </w:r>
      <w:r w:rsidR="002450FE" w:rsidRPr="00097432">
        <w:t xml:space="preserve">preemptive benefits </w:t>
      </w:r>
      <w:r w:rsidR="00C72093">
        <w:rPr>
          <w:rFonts w:hint="eastAsia"/>
        </w:rPr>
        <w:t xml:space="preserve">by preventing future </w:t>
      </w:r>
      <w:r w:rsidR="002450FE" w:rsidRPr="00097432">
        <w:t>outbreaks in the same or neighboring areas</w:t>
      </w:r>
      <w:r w:rsidR="00C72093">
        <w:rPr>
          <w:rFonts w:hint="eastAsia"/>
        </w:rPr>
        <w:t>, given two-dose killed whole-cell OCVs provide overall protection for up to 4-5 years</w:t>
      </w:r>
      <w:r w:rsidR="002450FE" w:rsidRPr="00097432">
        <w:t>.</w:t>
      </w:r>
      <w:r w:rsidR="00C72093">
        <w:fldChar w:fldCharType="begin"/>
      </w:r>
      <w:r w:rsidR="00345AF1">
        <w:instrText xml:space="preserve"> ADDIN ZOTERO_ITEM CSL_CITATION {"citationID":"2pfURpqk","properties":{"formattedCitation":"\\super 80\\uc0\\u8211{}83\\nosupersub{}","plainCitation":"80–83","noteIndex":0},"citationItems":[{"id":15866,"uris":["http://zotero.org/users/7663102/items/AWWNIBI4"],"itemData":{"id":15866,"type":"article-journal","abstract":"Several studies have shown that inactivated, whole-cell oral cholera vaccines (OCVs) confer both direct protection on vaccinees and herd protection on populations. Because our earlier cluster-randomized effectiveness trial (CRT) in urban Bangladesh failed to detect OCV herd protection, we reanalysed the trial to assess whether herd effects were masked in our original analysis.A total of 267 270 persons were randomized to 90 approximately equal-sized clusters. In 60 clusters persons aged 1 year and older were eligible to receive OCV and in 30 clusters persons received no intervention and served as controls. We analysed OCV protection against severely dehydrating cholera for the entire clusters, as in our original analysis, and for subclusters consisting of residents of innermost households. We hypothesized that if OCV herd protection was attenuated by cholera transmission into the clusters from the outside in this densely populated setting, herd protection would be most evident in the innermost households.During 2 years of follow-up of all residents of the clusters, total protection (protection of OCV recipients relative to control residents) was 58% [95% confidence interval (CI): 43%, 70%; P&amp;lt;0.0001], indirect protection (protection of non-OCV recipients in OCV clusters relative to control participants) was 16% (95% CI: –20%, 41%; P=0.35) and overall OCV protection (protection of all residents in the OCV clusters relative to control residents) was 46% (95% CI: 30%, 59%; P&amp;lt;0.0001). Analyses of the inner 75% and 50% households of the clusters showed similar findings. However, total protection was 75% (95% CI: 50%, 87%, P&amp;lt;0.0001), indirect protection 52% (95% CI: –9%, 79%; P=0.08) and overall protection 72% (95% CI: 49%, 84%; P&amp;lt;0.0001) for the innermost 25% households.Consistent with past studies, substantial OCV herd protective effects were identified, but were unmasked only by analysing innermost households of the clusters. Caution is needed in defining clusters for analysis of vaccine herd effects in CRTs of vaccines.","container-title":"International Journal of Epidemiology","DOI":"10.1093/ije/dyz060","ISSN":"0300-5771","issue":"4","journalAbbreviation":"International Journal of Epidemiology","page":"1252-1261","source":"Silverchair","title":"Unmasking herd protection by an oral cholera vaccine in a cluster-randomized trial","volume":"48","author":[{"family":"Ali","given":"Mohammad"},{"family":"Qadri","given":"Firdausi"},{"family":"Kim","given":"Deok Ryun"},{"family":"Islam","given":"Taufiqul"},{"family":"Im","given":"Justin"},{"family":"Ahmmed","given":"Faisal"},{"family":"Chon","given":"Yun"},{"family":"Islam Khan","given":"Ashraful"},{"family":"Zaman","given":"Khalequ"},{"family":"Marks","given":"Florian"},{"family":"Clemens","given":"John D"}],"issued":{"date-parts":[["2019",8,1]]},"citation-key":"ali2019a"}},{"id":15864,"uris":["http://zotero.org/users/7663102/items/6Z6UG45N"],"itemData":{"id":15864,"type":"article-journal","container-title":"The Lancet Infectious Diseases","DOI":"10.1016/S1473-3099(12)70196-2","ISSN":"1473-3099, 1474-4457","issue":"11","journalAbbreviation":"The Lancet Infectious Diseases","language":"English","note":"publisher: Elsevier\nPMID: 22954655","page":"837-844","source":"www.thelancet.com","title":"Effectiveness of an oral cholera vaccine in Zanzibar: findings from a mass vaccination campaign and observational cohort study","title-short":"Effectiveness of an oral cholera vaccine in Zanzibar","volume":"12","author":[{"family":"Khatib","given":"Ahmed M."},{"family":"Ali","given":"Mohammad"},{"family":"Seidlein","given":"Lorenz","dropping-particle":"von"},{"family":"Kim","given":"Deok Ryun"},{"family":"Hashim","given":"Ramadhan"},{"family":"Reyburn","given":"Rita"},{"family":"Ley","given":"Benedikt"},{"family":"Thriemer","given":"Kamala"},{"family":"Enwere","given":"Godwin"},{"family":"Hutubessy","given":"Raymond"},{"family":"Aguado","given":"Maria Teresa"},{"family":"Kieny","given":"Marie-Paule"},{"family":"Lopez","given":"Anna Lena"},{"family":"Wierzba","given":"Thomas F."},{"family":"Ali","given":"Said Mohammed"},{"family":"Saleh","given":"Abdul A."},{"family":"Mukhopadhyay","given":"Asish K."},{"family":"Clemens","given":"John"},{"family":"Jiddawi","given":"Mohamed Saleh"},{"family":"Deen","given":"Jacqueline"}],"issued":{"date-parts":[["2012",11,1]]},"citation-key":"khatib2012"}},{"id":15860,"uris":["http://zotero.org/users/7663102/items/IZ8CXXA9"],"itemData":{"id":15860,"type":"article-journal","abstract":"Background. We evaluated the herd protection conferred by an oral cholera vaccine using 2 approaches: cluster design and geographic information system (GIS) design.Methods. Residents living in 3933 dwellings (clusters) in Kolkata, India, were</w:instrText>
      </w:r>
      <w:r w:rsidR="00345AF1">
        <w:rPr>
          <w:rFonts w:hint="eastAsia"/>
        </w:rPr>
        <w:instrText xml:space="preserve"> cluster-randomized to receive either cholera vaccine or oral placebo. Nonpregnant residents aged </w:instrText>
      </w:r>
      <w:r w:rsidR="00345AF1">
        <w:rPr>
          <w:rFonts w:hint="eastAsia"/>
        </w:rPr>
        <w:instrText>≥</w:instrText>
      </w:r>
      <w:r w:rsidR="00345AF1">
        <w:rPr>
          <w:rFonts w:hint="eastAsia"/>
        </w:rPr>
        <w:instrText>1 year were invited to participate in the trial. Only the first episode of cholera detected for a subject between 14 and 1095 days after a second dose was c</w:instrText>
      </w:r>
      <w:r w:rsidR="00345AF1">
        <w:instrText xml:space="preserve">onsidered. In the cluster design, indirect protection was assessed by comparing the incidence of cholera among nonparticipants in vaccine clusters vs those in placebo clusters. In the GIS analysis, herd protection was assessed by evaluating association between vaccine coverage among the population residing within 250 m of the household and the occurrence of cholera in that population.Results. Among 107 347 eligible residents, 66 990 received 2 doses of either cholera vaccine or placebo. In the cluster design, the 3-year data showed significant total protection (66% protection, 95% confidence interval [CI], 50%–78%, P &amp;lt; .01) but no evidence of indirect protection. With the GIS approach, the risk of cholera among placebo recipients was inversely related to neighborhood-level vaccine coverage, and the trend was highly significant (P &amp;lt; .01). This relationship held in multivariable models that also controlled for potentially confounding demographic variables (hazard ratio, 0.94 [95% CI, .90–.98]; P &amp;lt; .01).Conclusions. Indirect protection was evident in analyses using the GIS approach but not the cluster design approach, likely owing to considerable transmission of cholera between clusters, which would vitiate herd protection in the cluster analyses.Clinical Trials Registration. NCT00289224.","container-title":"Clinical Infectious Diseases","DOI":"10.1093/cid/cit009","ISSN":"1058-4838","issue":"8","journalAbbreviation":"Clinical Infectious Diseases","page":"1123-1131","source":"Silverchair","title":"Herd Protection by a Bivalent Killed Whole-Cell Oral Cholera Vaccine in the Slums of Kolkata, India","volume":"56","author":[{"family":"Ali","given":"Mohammad"},{"family":"Sur","given":"Dipika"},{"family":"You","given":"Young Ae"},{"family":"Kanungo","given":"Suman"},{"family":"Sah","given":"Binod"},{"family":"Manna","given":"Byomkesh"},{"family":"Puri","given":"Mahesh"},{"family":"Wierzba","given":"Thomas F."},{"family":"Donner","given":"Allan"},{"family":"Nair","given":"G. Balakrish"},{"family":"Bhattacharya","given":"Sujit K."},{"family":"Dhingra","given":"Mandeep Singh"},{"family":"Deen","given":"Jacqueline L."},{"family":"Lopez","given":"Anna Lena"},{"family":"Clemens","given":"John"}],"issued":{"date-parts":[["2013",4,15]]},"citation-key":"ali2013a"}},{"id":15856,"uris":["http://zotero.org/users/7663102/items/LDTSAHDD"],"itemData":{"id":15856,"type":"article-journal","container-title":"The Lancet","DOI":"10.1016/S0140-6736(05)66550-6","ISSN":"0140-6736, 1474-547X","issue":"9479","journalAbbreviation":"The Lancet","language":"English","note":"publisher: Elsevier\nPMID: 15993232","page":"44-49","source":"www.thelancet.com","title":"Herd immunity conferred by killed oral cholera vaccines in Bangladesh: a reanalysis","title-short":"Herd immunity conferred by killed oral cholera vaccines in Bangladesh","volume":"366","author":[{"family":"Ali","given":"Mohammad"},{"family":"Emch","given":"Michael"},{"family":"Seidlein","given":"Lorenz","dropping-particle":"von"},{"family":"Yunus","given":"Mohammad"},{"family":"Sack","given":"David A."},{"family":"Rao","given":"Malla"},{"family":"Holmgren","given":"Jan"},{"family":"Clemens","given":"John D."}],"issued":{"date-parts":[["2005",7,2]]},"citation-key":"ali2005"}}],"schema":"https://github.com/citation-style-language/schema/raw/master/csl-citation.json"} </w:instrText>
      </w:r>
      <w:r w:rsidR="00C72093">
        <w:fldChar w:fldCharType="separate"/>
      </w:r>
      <w:r w:rsidR="00345AF1" w:rsidRPr="00345AF1">
        <w:rPr>
          <w:rFonts w:cs="Times New Roman"/>
          <w:vertAlign w:val="superscript"/>
        </w:rPr>
        <w:t>80–83</w:t>
      </w:r>
      <w:r w:rsidR="00C72093">
        <w:fldChar w:fldCharType="end"/>
      </w:r>
      <w:r w:rsidR="000A5801" w:rsidRPr="00097432">
        <w:rPr>
          <w:rFonts w:hint="eastAsia"/>
        </w:rPr>
        <w:t xml:space="preserve"> Due to </w:t>
      </w:r>
      <w:r w:rsidR="00253023" w:rsidRPr="00097432">
        <w:rPr>
          <w:rFonts w:hint="eastAsia"/>
        </w:rPr>
        <w:t xml:space="preserve">a </w:t>
      </w:r>
      <w:r w:rsidR="000A5801" w:rsidRPr="00097432">
        <w:rPr>
          <w:rFonts w:hint="eastAsia"/>
        </w:rPr>
        <w:t xml:space="preserve">lack of geographic details for each outbreak and epidemiologic links between the outbreaks, we </w:t>
      </w:r>
      <w:r w:rsidR="00253023" w:rsidRPr="00097432">
        <w:rPr>
          <w:rFonts w:hint="eastAsia"/>
        </w:rPr>
        <w:t xml:space="preserve">could not evaluate </w:t>
      </w:r>
      <w:r w:rsidR="00253023" w:rsidRPr="00097432">
        <w:t>the</w:t>
      </w:r>
      <w:r w:rsidR="00253023" w:rsidRPr="00097432">
        <w:rPr>
          <w:rFonts w:hint="eastAsia"/>
        </w:rPr>
        <w:t xml:space="preserve"> </w:t>
      </w:r>
      <w:r w:rsidR="00253023" w:rsidRPr="00097432">
        <w:rPr>
          <w:rFonts w:hint="eastAsia"/>
        </w:rPr>
        <w:lastRenderedPageBreak/>
        <w:t xml:space="preserve">downstream or spatial </w:t>
      </w:r>
      <w:r w:rsidR="002450FE" w:rsidRPr="00097432">
        <w:rPr>
          <w:rFonts w:hint="eastAsia"/>
        </w:rPr>
        <w:t xml:space="preserve">spillover </w:t>
      </w:r>
      <w:r w:rsidR="00253023" w:rsidRPr="00097432">
        <w:rPr>
          <w:rFonts w:hint="eastAsia"/>
        </w:rPr>
        <w:t>effects.</w:t>
      </w:r>
      <w:r w:rsidR="002450FE" w:rsidRPr="00097432">
        <w:t xml:space="preserve"> </w:t>
      </w:r>
      <w:r w:rsidR="0050673E" w:rsidRPr="00097432">
        <w:rPr>
          <w:rFonts w:hint="eastAsia"/>
        </w:rPr>
        <w:t xml:space="preserve">Fourth, </w:t>
      </w:r>
      <w:r w:rsidR="00B1098B" w:rsidRPr="00097432">
        <w:t xml:space="preserve">our reliance on suspected </w:t>
      </w:r>
      <w:r w:rsidR="00783F42" w:rsidRPr="00097432">
        <w:rPr>
          <w:rFonts w:hint="eastAsia"/>
        </w:rPr>
        <w:t xml:space="preserve">rather than confirmed </w:t>
      </w:r>
      <w:r w:rsidR="00B1098B" w:rsidRPr="00097432">
        <w:t xml:space="preserve">cases </w:t>
      </w:r>
      <w:r w:rsidR="00783F42" w:rsidRPr="00097432">
        <w:rPr>
          <w:rFonts w:hint="eastAsia"/>
        </w:rPr>
        <w:t xml:space="preserve">may overestimate </w:t>
      </w:r>
      <w:r w:rsidR="00783F42" w:rsidRPr="00097432">
        <w:t>the</w:t>
      </w:r>
      <w:r w:rsidR="00783F42" w:rsidRPr="00097432">
        <w:rPr>
          <w:rFonts w:hint="eastAsia"/>
        </w:rPr>
        <w:t xml:space="preserve"> vaccine impact </w:t>
      </w:r>
      <w:r w:rsidR="00B1098B" w:rsidRPr="00097432">
        <w:t>given that roughly half may not be true cholera.</w:t>
      </w:r>
      <w:r w:rsidR="00B1098B" w:rsidRPr="00097432">
        <w:fldChar w:fldCharType="begin"/>
      </w:r>
      <w:r w:rsidR="00345AF1">
        <w:instrText xml:space="preserve"> ADDIN ZOTERO_ITEM CSL_CITATION {"citationID":"KkMvIKUf","properties":{"formattedCitation":"\\super 84\\nosupersub{}","plainCitation":"84","noteIndex":0},"citationItems":[{"id":9937,"uris":["http://zotero.org/users/7663102/items/5Y8MIMKK"],"itemData":{"id":9937,"type":"article-journal","abstract":"BACKGROUND: Cholera surveillance relies on clinical diagnosis of acute watery diarrhea. Suspected cholera case definitions have high sensitivity but low specificity, challenging our ability to characterize cholera burden and epidemiology. Our objective was to estimate the proportion of clinically suspected cholera that are true Vibrio cholerae infections and identify factors that explain variation in positivity.\nMETHODS AND FINDINGS: We conducted a systematic r</w:instrText>
      </w:r>
      <w:r w:rsidR="00345AF1">
        <w:rPr>
          <w:rFonts w:hint="eastAsia"/>
        </w:rPr>
        <w:instrText xml:space="preserve">eview of studies that tested </w:instrText>
      </w:r>
      <w:r w:rsidR="00345AF1">
        <w:rPr>
          <w:rFonts w:hint="eastAsia"/>
        </w:rPr>
        <w:instrText>≥</w:instrText>
      </w:r>
      <w:r w:rsidR="00345AF1">
        <w:rPr>
          <w:rFonts w:hint="eastAsia"/>
        </w:rPr>
        <w:instrText>10 suspected cholera cases for V. cholerae O1/O139 using culture, PCR, and/or a rapid diagnostic test. We searched PubMed, Embase, Scopus, and Google Scholar for studies that sampled at least one suspected case between Januar</w:instrText>
      </w:r>
      <w:r w:rsidR="00345AF1">
        <w:instrText xml:space="preserve">y 1, 2000 and April 19, 2023, to reflect contemporary patterns in V. cholerae positivity. We estimated diagnostic test sensitivity and specificity using a latent class meta-analysis. We estimated V. cholerae positivity using a random-effects meta-analysis, adjusting for test performance. We included 119 studies from 30 countries. V. cholerae positivity was lower in studies with representative sampling and in studies that set minimum ages in suspected case definitions. After adjusting for test performance, on average, 52% (95% credible interval (CrI): 24%, 80%) of suspected cases represented true V. cholerae infections. After adjusting for test performance and study methodology, the odds of a suspected case having a true infection were 5.71 (odds ratio 95% CrI: 1.53, 15.43) times higher when surveillance was initiated in response to an outbreak than in non-outbreak settings. Variation across studies was high, and a limitation of our approach was that we were unable to explain all the heterogeneity with study-level attributes, including diagnostic test used, setting, and case definitions.\nCONCLUSIONS: In this study, we found that burden estimates based on suspected cases alone may overestimate the incidence of medically attended cholera by 2-fold. However, accounting for cases missed by traditional clinical surveillance is key to unbiased cholera burden estimates. Given the substantial variability in positivity between settings, extrapolations from suspected to confirmed cases, which is necessary to estimate cholera incidence rates without exhaustive testing, should be based on local data.","container-title":"PLoS medicine","DOI":"10.1371/journal.pmed.1004286","ISSN":"1549-1676","issue":"9","journalAbbreviation":"PLoS Med","language":"eng","note":"PMID: 37708235\nPMCID: PMC10538743","page":"e1004286","source":"PubMed","title":"Estimating the proportion of clinically suspected cholera cases that are true Vibrio cholerae infections: A systematic review and meta-analysis","title-short":"Estimating the proportion of clinically suspected cholera cases that are true Vibrio cholerae infections","volume":"20","author":[{"family":"Wiens","given":"Kirsten E."},{"family":"Xu","given":"Hanmeng"},{"family":"Zou","given":"Kaiyue"},{"family":"Mwaba","given":"John"},{"family":"Lessler","given":"Justin"},{"family":"Malembaka","given":"Espoir Bwenge"},{"family":"Demby","given":"Maya N."},{"family":"Bwire","given":"Godfrey"},{"family":"Qadri","given":"Firdausi"},{"family":"Lee","given":"Elizabeth C."},{"family":"Azman","given":"Andrew S."}],"issued":{"date-parts":[["2023",9]]},"citation-key":"wiensEstimatingProportionClinically2023"}}],"schema":"https://github.com/citation-style-language/schema/raw/master/csl-citation.json"} </w:instrText>
      </w:r>
      <w:r w:rsidR="00B1098B" w:rsidRPr="00097432">
        <w:fldChar w:fldCharType="separate"/>
      </w:r>
      <w:r w:rsidR="00345AF1" w:rsidRPr="00345AF1">
        <w:rPr>
          <w:rFonts w:cs="Times New Roman"/>
          <w:vertAlign w:val="superscript"/>
        </w:rPr>
        <w:t>84</w:t>
      </w:r>
      <w:r w:rsidR="00B1098B" w:rsidRPr="00097432">
        <w:fldChar w:fldCharType="end"/>
      </w:r>
      <w:r w:rsidR="00B1098B" w:rsidRPr="00097432">
        <w:t xml:space="preserve"> </w:t>
      </w:r>
      <w:r w:rsidR="002450FE" w:rsidRPr="00097432">
        <w:rPr>
          <w:rFonts w:hint="eastAsia"/>
        </w:rPr>
        <w:t xml:space="preserve">On the other hand, </w:t>
      </w:r>
      <w:r w:rsidR="00B1098B" w:rsidRPr="00097432">
        <w:t>underreporting of cholera in sub-Saharan Africa may offset this discrepancy</w:t>
      </w:r>
      <w:r w:rsidR="002450FE" w:rsidRPr="00097432">
        <w:fldChar w:fldCharType="begin"/>
      </w:r>
      <w:r w:rsidR="00345AF1">
        <w:instrText xml:space="preserve"> ADDIN ZOTERO_ITEM CSL_CITATION {"citationID":"wwDpVruH","properties":{"formattedCitation":"\\super 85\\nosupersub{}","plainCitation":"85","noteIndex":0},"citationItems":[{"id":15610,"uris":["http://zotero.org/users/7663102/items/ZCTWCSKR"],"itemData":{"id":15610,"type":"article-journal","abstract":"Monitoring and treating diarrheal illness often relies on individuals seeking care at hospitals or clinics. Cases that seek care through pharmacies and community health workers (CHW) are frequently excluded from disease burden estimates, which are used to allocate mitigation resources. Studies on care-seeking behavior can help identify these gaps but typically focus on children under five, even though diarrheal diseases like cholera and Enterotoxigenic E. coli affect all age groups. This study aimed to estimate the proportion of individuals seeking care for themselves or their children with diarrhea, considering different age groups, case definitions, and study settings. We conducted a systematic review of population-based primary research studies published during 2000–2024 that examined care-seeking behavior for diarrhea. We included 166 studies from 62 countries. Hospitals and clinics were the most common source of care sought outside the home, with CHW and health posts rarely reported. Using a random-effects meta-analysis, we found substantial heterogeneity in care-seeking between studies from low- and middle-income countries (I2 = 99.3) and estimated that the proportion of diarrhea cases seeking care at a hospital or clinic was 32.8% on average (95% Confidence Interval (CI) 28.1% to 37.9%; prediction interval 3.3% to 87.5%). Although there were trends toward higher care-seeking for children compared to adults, substantial variation existed between studies, and the differences were not significant. We estimated that the adjusted odds of seeking care at a hospital or clinic were significantly higher for severe diarrhea and cholera compared to general diarrhea (Odds Ratio 3.43; 95% CI 1.71 to 6.88). Our findings confirm that passive surveillance through hospitals and clinics may substantially undercount the number of people with diarrhea, particularly those with milder symptoms, although this proportion varied widely. Additionally, our findings underscore the importance of including care-seeking questions across all age groups in future studies, as we cannot assume lower care-seeking for adults across all settings. Our study was limited by fewer data on care-seeking from health posts, traditional healers, and CHW compared to hospitals and clinics, highlighting a need for further research on these sources of care.","container-title":"PLOS Global Public Health","DOI":"10.1371/journal.pgph.0004483","ISSN":"2767-3375","issue":"4","journalAbbreviation":"PLOS Global Public Health","language":"en","note":"publisher: Public Library of Science","page":"e0004483","source":"PLoS Journals","title":"Care-seeking for diarrheal illness: A systematic review and meta-analysis","title-short":"Care-seeking for diarrheal illness","volume":"5","author":[{"family":"Wiens","given":"Kirsten E."},{"family":"Miller","given":"Marissa H."},{"family":"Costello","given":"Daniel J."},{"family":"Solomon","given":"Ashlynn P."},{"family":"Hilbert","given":"Skye M."},{"family":"Shipper","given":"Andrea G."},{"family":"Lee","given":"Elizabeth C."},{"family":"Azman","given":"Andrew S."}],"issued":{"date-parts":[["2025",4,22]]},"citation-key":"wiens2025"}}],"schema":"https://github.com/citation-style-language/schema/raw/master/csl-citation.json"} </w:instrText>
      </w:r>
      <w:r w:rsidR="002450FE" w:rsidRPr="00097432">
        <w:fldChar w:fldCharType="separate"/>
      </w:r>
      <w:r w:rsidR="00345AF1" w:rsidRPr="00345AF1">
        <w:rPr>
          <w:rFonts w:cs="Times New Roman"/>
          <w:vertAlign w:val="superscript"/>
        </w:rPr>
        <w:t>85</w:t>
      </w:r>
      <w:r w:rsidR="002450FE" w:rsidRPr="00097432">
        <w:fldChar w:fldCharType="end"/>
      </w:r>
      <w:r w:rsidR="00B1098B" w:rsidRPr="00097432">
        <w:rPr>
          <w:rFonts w:hint="eastAsia"/>
        </w:rPr>
        <w:t xml:space="preserve">. </w:t>
      </w:r>
      <w:r w:rsidR="00BC331E">
        <w:rPr>
          <w:rFonts w:hint="eastAsia"/>
        </w:rPr>
        <w:t>Fifth</w:t>
      </w:r>
      <w:r w:rsidR="00A66B7D" w:rsidRPr="00097432">
        <w:t xml:space="preserve">, we assumed that ORIs did not occur if the delay in implementation exceeded the duration of the </w:t>
      </w:r>
      <w:proofErr w:type="gramStart"/>
      <w:r w:rsidR="00A66B7D" w:rsidRPr="00097432">
        <w:t>outbreak—that is</w:t>
      </w:r>
      <w:proofErr w:type="gramEnd"/>
      <w:r w:rsidR="00A66B7D" w:rsidRPr="00097432">
        <w:t>, if the outbreak had ended before the ORI was initiated. However, in real-world settings, it is often difficult to determine in real time whether an outbreak has concluded. Under this alternative scenario, the estimated impact of ORIs declined more sharply</w:t>
      </w:r>
      <w:r w:rsidR="001C39C3">
        <w:rPr>
          <w:rFonts w:hint="eastAsia"/>
        </w:rPr>
        <w:t>, as expected from the fact that zero-impact ORIs are included in the calculation</w:t>
      </w:r>
      <w:r w:rsidR="00A66B7D" w:rsidRPr="00097432">
        <w:t>: the median percentage reduction in cases with a 9-week delay dropped from 12.</w:t>
      </w:r>
      <w:r w:rsidR="001C39C3">
        <w:rPr>
          <w:rFonts w:hint="eastAsia"/>
        </w:rPr>
        <w:t>3</w:t>
      </w:r>
      <w:r w:rsidR="00A66B7D" w:rsidRPr="00097432">
        <w:t>% in the main scenario to 2.7% in the alternative.</w:t>
      </w:r>
      <w:r w:rsidR="00A66B7D" w:rsidRPr="00097432">
        <w:rPr>
          <w:rFonts w:hint="eastAsia"/>
        </w:rPr>
        <w:t xml:space="preserve"> </w:t>
      </w:r>
      <w:r w:rsidR="00BC331E">
        <w:rPr>
          <w:rFonts w:hint="eastAsia"/>
        </w:rPr>
        <w:t xml:space="preserve">Finally, </w:t>
      </w:r>
      <w:r w:rsidR="00BC331E" w:rsidRPr="00097432">
        <w:t xml:space="preserve">our estimates are contingent on the outbreak dataset used, which is based on a specific outbreak definition that is not universally accepted and may vary by context. Applying alternative outbreak criteria could yield different datasets and, consequently, different estimates of vaccine impact. </w:t>
      </w:r>
      <w:r w:rsidR="00BC331E">
        <w:rPr>
          <w:rFonts w:hint="eastAsia"/>
        </w:rPr>
        <w:t>T</w:t>
      </w:r>
      <w:r w:rsidR="00A66B7D" w:rsidRPr="00097432">
        <w:t>he main analysis excluded outbreaks that were either too small or too large, based on the population sizes commonly observed in historical OCV campaigns. While this filtering was appropriate for retrospective evaluation, such thresholds may not be applicable to future scenarios. To explore a broader range of outbreak settings, we relaxed these criteria and included outbreaks occurring in populations between 5,000 and 15,000,000, instead of the original range of 16,500 to 5,000,000. Under this more inclusive scenario, the median and interquartile ranges remained largely unchanged (</w:t>
      </w:r>
      <w:r w:rsidR="00A66B7D" w:rsidRPr="00097432">
        <w:rPr>
          <w:b/>
          <w:bCs/>
        </w:rPr>
        <w:t>Table S</w:t>
      </w:r>
      <w:r w:rsidR="00943796">
        <w:rPr>
          <w:rFonts w:hint="eastAsia"/>
          <w:b/>
          <w:bCs/>
        </w:rPr>
        <w:t>4</w:t>
      </w:r>
      <w:r w:rsidR="00A66B7D" w:rsidRPr="00097432">
        <w:t>).</w:t>
      </w:r>
    </w:p>
    <w:p w14:paraId="00000184" w14:textId="5616D693" w:rsidR="00E7552A" w:rsidRPr="00097432" w:rsidRDefault="00E1583D" w:rsidP="00F57F15">
      <w:pPr>
        <w:pStyle w:val="Heading2"/>
      </w:pPr>
      <w:bookmarkStart w:id="33" w:name="_Toc184909210"/>
      <w:r w:rsidRPr="00097432">
        <w:t>Conclusion</w:t>
      </w:r>
      <w:bookmarkEnd w:id="33"/>
    </w:p>
    <w:p w14:paraId="706FECB7" w14:textId="16818F4E" w:rsidR="00A518A8" w:rsidRPr="00097432" w:rsidRDefault="00676EFF" w:rsidP="00F57F15">
      <w:r w:rsidRPr="00097432">
        <w:t xml:space="preserve">This study provides important insights into the effectiveness of outbreak response immunizations (ORIs) across a broad range of cholera outbreak scenarios in sub-Saharan Africa. Our findings underscore the critical importance of timely intervention and strategic outbreak prioritization to maximize vaccine impact. Looking ahead, advances in predictive modeling, the integration of real-time surveillance data, and the development of more flexible and targeted vaccine deployment strategies will be essential. These improvements </w:t>
      </w:r>
      <w:r w:rsidRPr="00097432">
        <w:lastRenderedPageBreak/>
        <w:t>can support more efficient, data-driven outbreak responses and contribute meaningfully to global cholera control and elimination efforts.</w:t>
      </w:r>
    </w:p>
    <w:p w14:paraId="1627E690" w14:textId="77777777" w:rsidR="00554F75" w:rsidRPr="00097432" w:rsidRDefault="00554F75" w:rsidP="00F57F15"/>
    <w:p w14:paraId="2CD903ED" w14:textId="1269BE01" w:rsidR="00554F75" w:rsidRPr="00097432" w:rsidRDefault="00554F75" w:rsidP="005107E2">
      <w:pPr>
        <w:pStyle w:val="Heading2"/>
      </w:pPr>
      <w:r w:rsidRPr="00097432">
        <w:rPr>
          <w:rFonts w:hint="eastAsia"/>
        </w:rPr>
        <w:t>Acknowledgement</w:t>
      </w:r>
    </w:p>
    <w:p w14:paraId="02AC0827" w14:textId="0B4DF21B" w:rsidR="00554F75" w:rsidRPr="00097432" w:rsidRDefault="00554F75" w:rsidP="00F57F15">
      <w:r w:rsidRPr="00097432">
        <w:t>This work was supported, in whole or in part, by the Bill &amp; Melinda Gates Foundation [INV-009125]. The conclusions and opinions expressed in this work are those of the authors alone and shall not be attributed to the Foundation. Under the grant conditions of the Foundation, a Creative Commons Attribution 4.0 License has already been assigned to the Author Accepted Manuscript version that might arise from this submission. Please note works submitted as a preprint have not undergone a peer review process.</w:t>
      </w:r>
    </w:p>
    <w:p w14:paraId="24986659" w14:textId="77777777" w:rsidR="008A1FE1" w:rsidRPr="00097432" w:rsidRDefault="008A1FE1" w:rsidP="00F57F15"/>
    <w:p w14:paraId="769E0BF6" w14:textId="4846D4E0" w:rsidR="008A1FE1" w:rsidRPr="00097432" w:rsidRDefault="008A1FE1" w:rsidP="008A1FE1">
      <w:pPr>
        <w:pStyle w:val="Heading2"/>
      </w:pPr>
      <w:r w:rsidRPr="00097432">
        <w:rPr>
          <w:rFonts w:hint="eastAsia"/>
        </w:rPr>
        <w:t xml:space="preserve">Author contributions </w:t>
      </w:r>
    </w:p>
    <w:p w14:paraId="2C4BB696" w14:textId="492F0250" w:rsidR="008A1FE1" w:rsidRPr="00097432" w:rsidRDefault="0059032A" w:rsidP="00F57F15">
      <w:r w:rsidRPr="00097432">
        <w:rPr>
          <w:rFonts w:hint="eastAsia"/>
        </w:rPr>
        <w:t xml:space="preserve">J-HK and ECL </w:t>
      </w:r>
      <w:r w:rsidR="008A1FE1" w:rsidRPr="00097432">
        <w:t>concept</w:t>
      </w:r>
      <w:r w:rsidRPr="00097432">
        <w:rPr>
          <w:rFonts w:hint="eastAsia"/>
        </w:rPr>
        <w:t xml:space="preserve">ualized the study. </w:t>
      </w:r>
      <w:r w:rsidR="008A1FE1" w:rsidRPr="00097432">
        <w:t>J-HK led the study design</w:t>
      </w:r>
      <w:r w:rsidRPr="00097432">
        <w:rPr>
          <w:rFonts w:hint="eastAsia"/>
        </w:rPr>
        <w:t xml:space="preserve"> and an</w:t>
      </w:r>
      <w:r w:rsidR="008A1FE1" w:rsidRPr="00097432">
        <w:t>alysis</w:t>
      </w:r>
      <w:r w:rsidR="00EA5ACA" w:rsidRPr="00097432">
        <w:rPr>
          <w:rFonts w:hint="eastAsia"/>
        </w:rPr>
        <w:t>.</w:t>
      </w:r>
      <w:r w:rsidR="00977519" w:rsidRPr="00097432">
        <w:t xml:space="preserve"> J-HK </w:t>
      </w:r>
      <w:r w:rsidR="008A1FE1" w:rsidRPr="00097432">
        <w:t>and</w:t>
      </w:r>
      <w:r w:rsidR="00977519" w:rsidRPr="00097432">
        <w:rPr>
          <w:rFonts w:hint="eastAsia"/>
        </w:rPr>
        <w:t xml:space="preserve"> MD </w:t>
      </w:r>
      <w:r w:rsidR="008A1FE1" w:rsidRPr="00097432">
        <w:t xml:space="preserve">performed the statistical analysis </w:t>
      </w:r>
      <w:r w:rsidR="00977519" w:rsidRPr="00097432">
        <w:rPr>
          <w:rFonts w:hint="eastAsia"/>
        </w:rPr>
        <w:t xml:space="preserve">and </w:t>
      </w:r>
      <w:r w:rsidR="00977519" w:rsidRPr="00097432">
        <w:t>drafted the initial manuscript</w:t>
      </w:r>
      <w:r w:rsidR="008A1FE1" w:rsidRPr="00097432">
        <w:t xml:space="preserve">. ECL </w:t>
      </w:r>
      <w:r w:rsidR="00977519" w:rsidRPr="00097432">
        <w:rPr>
          <w:rFonts w:hint="eastAsia"/>
        </w:rPr>
        <w:t>and QZ collected</w:t>
      </w:r>
      <w:r w:rsidR="002C7D9B">
        <w:rPr>
          <w:rFonts w:hint="eastAsia"/>
        </w:rPr>
        <w:t xml:space="preserve"> </w:t>
      </w:r>
      <w:r w:rsidR="002C7D9B" w:rsidRPr="002C7D9B">
        <w:rPr>
          <w:rFonts w:hint="eastAsia"/>
          <w:highlight w:val="yellow"/>
        </w:rPr>
        <w:t>and prepared</w:t>
      </w:r>
      <w:r w:rsidR="00977519" w:rsidRPr="002C7D9B">
        <w:rPr>
          <w:rFonts w:hint="eastAsia"/>
          <w:highlight w:val="yellow"/>
        </w:rPr>
        <w:t xml:space="preserve"> the data</w:t>
      </w:r>
      <w:r w:rsidR="002C7D9B" w:rsidRPr="002C7D9B">
        <w:rPr>
          <w:rFonts w:hint="eastAsia"/>
          <w:highlight w:val="yellow"/>
        </w:rPr>
        <w:t xml:space="preserve"> for analysis</w:t>
      </w:r>
      <w:r w:rsidR="00977519" w:rsidRPr="00097432">
        <w:rPr>
          <w:rFonts w:hint="eastAsia"/>
        </w:rPr>
        <w:t xml:space="preserve">. </w:t>
      </w:r>
      <w:r w:rsidRPr="00097432">
        <w:rPr>
          <w:rFonts w:hint="eastAsia"/>
        </w:rPr>
        <w:t>ECL</w:t>
      </w:r>
      <w:r w:rsidR="00376D9C" w:rsidRPr="00097432">
        <w:rPr>
          <w:rFonts w:hint="eastAsia"/>
        </w:rPr>
        <w:t>, A</w:t>
      </w:r>
      <w:r w:rsidR="004F4187" w:rsidRPr="00097432">
        <w:rPr>
          <w:rFonts w:hint="eastAsia"/>
        </w:rPr>
        <w:t>S</w:t>
      </w:r>
      <w:r w:rsidR="00376D9C" w:rsidRPr="00097432">
        <w:rPr>
          <w:rFonts w:hint="eastAsia"/>
        </w:rPr>
        <w:t>A,</w:t>
      </w:r>
      <w:r w:rsidRPr="00097432">
        <w:rPr>
          <w:rFonts w:hint="eastAsia"/>
        </w:rPr>
        <w:t xml:space="preserve"> </w:t>
      </w:r>
      <w:r w:rsidR="008A1FE1" w:rsidRPr="00097432">
        <w:t xml:space="preserve">and </w:t>
      </w:r>
      <w:r w:rsidR="00C57E2D">
        <w:rPr>
          <w:rFonts w:hint="eastAsia"/>
        </w:rPr>
        <w:t>JHK</w:t>
      </w:r>
      <w:r w:rsidR="00977519" w:rsidRPr="00097432">
        <w:rPr>
          <w:rFonts w:hint="eastAsia"/>
        </w:rPr>
        <w:t xml:space="preserve"> </w:t>
      </w:r>
      <w:r w:rsidR="008A1FE1" w:rsidRPr="00097432">
        <w:t>provided critical input on methodology. MD conducted the literature review. All authors participated in the interpretation of the findings, critically reviewed the manuscript for intellectual content, and approved the final version for submission.</w:t>
      </w:r>
    </w:p>
    <w:p w14:paraId="000001B7" w14:textId="4D4576F2" w:rsidR="00E7552A" w:rsidRPr="00097432" w:rsidRDefault="0091383D" w:rsidP="00F57F15">
      <w:pPr>
        <w:pStyle w:val="Heading2"/>
        <w:rPr>
          <w:lang w:val="de-DE"/>
        </w:rPr>
      </w:pPr>
      <w:bookmarkStart w:id="34" w:name="_heading=h.2xcytpi" w:colFirst="0" w:colLast="0"/>
      <w:bookmarkStart w:id="35" w:name="_Toc184909211"/>
      <w:bookmarkEnd w:id="34"/>
      <w:r w:rsidRPr="00097432">
        <w:rPr>
          <w:lang w:val="de-DE"/>
        </w:rPr>
        <w:t>Reference</w:t>
      </w:r>
      <w:r w:rsidR="004F6579" w:rsidRPr="00097432">
        <w:rPr>
          <w:lang w:val="de-DE"/>
        </w:rPr>
        <w:t>s</w:t>
      </w:r>
      <w:bookmarkEnd w:id="35"/>
    </w:p>
    <w:p w14:paraId="78E684C6" w14:textId="77777777" w:rsidR="00345AF1" w:rsidRDefault="0091469E" w:rsidP="00345AF1">
      <w:pPr>
        <w:pStyle w:val="Bibliography"/>
      </w:pPr>
      <w:r w:rsidRPr="00097432">
        <w:rPr>
          <w:lang w:val="de-DE"/>
        </w:rPr>
        <w:fldChar w:fldCharType="begin"/>
      </w:r>
      <w:r w:rsidR="00FD2750" w:rsidRPr="00097432">
        <w:rPr>
          <w:lang w:val="de-DE"/>
        </w:rPr>
        <w:instrText xml:space="preserve"> ADDIN ZOTERO_BIBL {"uncited":[],"omitted":[],"custom":[]} CSL_BIBLIOGRAPHY </w:instrText>
      </w:r>
      <w:r w:rsidRPr="00097432">
        <w:rPr>
          <w:lang w:val="de-DE"/>
        </w:rPr>
        <w:fldChar w:fldCharType="separate"/>
      </w:r>
      <w:r w:rsidR="00345AF1" w:rsidRPr="00345AF1">
        <w:rPr>
          <w:lang w:val="de-DE"/>
        </w:rPr>
        <w:t xml:space="preserve">1. </w:t>
      </w:r>
      <w:r w:rsidR="00345AF1" w:rsidRPr="00345AF1">
        <w:rPr>
          <w:lang w:val="de-DE"/>
        </w:rPr>
        <w:tab/>
        <w:t xml:space="preserve">Finger F, Bertuzzo E, Luquero FJ, Naibei N, Touré B, Allan M, et al. </w:t>
      </w:r>
      <w:r w:rsidR="00345AF1">
        <w:t xml:space="preserve">The potential impact of case-area targeted interventions in response to cholera outbreaks: A modeling study. Von Seidlein L, editor. PLOS Med. 2018 Feb 27;15(2):e1002509. </w:t>
      </w:r>
    </w:p>
    <w:p w14:paraId="3E808D66" w14:textId="77777777" w:rsidR="00345AF1" w:rsidRDefault="00345AF1" w:rsidP="00345AF1">
      <w:pPr>
        <w:pStyle w:val="Bibliography"/>
      </w:pPr>
      <w:r>
        <w:t xml:space="preserve">2. </w:t>
      </w:r>
      <w:r>
        <w:tab/>
        <w:t xml:space="preserve">Mukandavire Z, Manangazira P, Nyabadza F, Cuadros DF, Musuka G, Morris JG. Stemming cholera tides in Zimbabwe through mass vaccination. Int J Infect Dis. 2020 Jul;96:222–7. </w:t>
      </w:r>
    </w:p>
    <w:p w14:paraId="64BD6A6E" w14:textId="77777777" w:rsidR="00345AF1" w:rsidRDefault="00345AF1" w:rsidP="00345AF1">
      <w:pPr>
        <w:pStyle w:val="Bibliography"/>
      </w:pPr>
      <w:r>
        <w:lastRenderedPageBreak/>
        <w:t xml:space="preserve">3. </w:t>
      </w:r>
      <w:r>
        <w:tab/>
        <w:t xml:space="preserve">Dimitrov DT, Troeger C, Halloran ME, Longini IM, Chao DL. Comparative Effectiveness of Different Strategies of Oral Cholera Vaccination in Bangladesh: A Modeling Study. Baker S, editor. PLoS Negl Trop Dis. 2014 Dec 4;8(12):e3343. </w:t>
      </w:r>
    </w:p>
    <w:p w14:paraId="51A8D8C6" w14:textId="77777777" w:rsidR="00345AF1" w:rsidRDefault="00345AF1" w:rsidP="00345AF1">
      <w:pPr>
        <w:pStyle w:val="Bibliography"/>
      </w:pPr>
      <w:r>
        <w:t xml:space="preserve">4. </w:t>
      </w:r>
      <w:r>
        <w:tab/>
        <w:t xml:space="preserve">Khan AI, Levin A, Chao DL, DeRoeck D, Dimitrov DT, Khan JAM, et al. The impact and cost-effectiveness of controlling cholera through the use of oral cholera vaccines in urban Bangladesh: A disease modeling and economic analysis. Maheu-Giroux M, editor. PLoS Negl Trop Dis. 2018 Oct 9;12(10):e0006652. </w:t>
      </w:r>
    </w:p>
    <w:p w14:paraId="55910376" w14:textId="77777777" w:rsidR="00345AF1" w:rsidRDefault="00345AF1" w:rsidP="00345AF1">
      <w:pPr>
        <w:pStyle w:val="Bibliography"/>
      </w:pPr>
      <w:r>
        <w:t xml:space="preserve">5. </w:t>
      </w:r>
      <w:r>
        <w:tab/>
        <w:t xml:space="preserve">Lee EC, Chao DL, Lemaitre JC, Matrajt L, Pasetto D, Perez-Saez J, et al. Achieving coordinated national immunity and cholera elimination in Haiti through vaccination: a modelling study. Lancet Glob Health. 2020 Aug;8(8):e1081–9. </w:t>
      </w:r>
    </w:p>
    <w:p w14:paraId="373EB669" w14:textId="77777777" w:rsidR="00345AF1" w:rsidRDefault="00345AF1" w:rsidP="00345AF1">
      <w:pPr>
        <w:pStyle w:val="Bibliography"/>
      </w:pPr>
      <w:r>
        <w:t xml:space="preserve">6. </w:t>
      </w:r>
      <w:r>
        <w:tab/>
        <w:t xml:space="preserve">Chao DL, Halloran ME, Longini IM. Vaccination strategies for epidemic cholera in Haiti with implications for the developing world. Proc Natl Acad Sci. 2011 Apr 26;108(17):7081–5. </w:t>
      </w:r>
    </w:p>
    <w:p w14:paraId="7BE8AD3D" w14:textId="77777777" w:rsidR="00345AF1" w:rsidRDefault="00345AF1" w:rsidP="00345AF1">
      <w:pPr>
        <w:pStyle w:val="Bibliography"/>
      </w:pPr>
      <w:r>
        <w:t xml:space="preserve">7. </w:t>
      </w:r>
      <w:r>
        <w:tab/>
        <w:t xml:space="preserve">Kirpich A, Weppelmann TA, Yang Y, Morris JG, Longini IM. Controlling cholera in the Ouest Department of Haiti using oral vaccines. Coudeville L, editor. PLoS Negl Trop Dis. 2017 Apr 14;11(4):e0005482. </w:t>
      </w:r>
    </w:p>
    <w:p w14:paraId="284AE7DC" w14:textId="77777777" w:rsidR="00345AF1" w:rsidRDefault="00345AF1" w:rsidP="00345AF1">
      <w:pPr>
        <w:pStyle w:val="Bibliography"/>
      </w:pPr>
      <w:r>
        <w:t xml:space="preserve">8. </w:t>
      </w:r>
      <w:r>
        <w:tab/>
        <w:t xml:space="preserve">Havumaki J, Meza R, Phares CR, Date K, Eisenberg MC. Comparing alternative cholera vaccination strategies in Maela refugee camp: using a transmission model in public health practice. BMC Infect Dis. 2019 Dec;19(1):1075. </w:t>
      </w:r>
    </w:p>
    <w:p w14:paraId="5CADAF92" w14:textId="77777777" w:rsidR="00345AF1" w:rsidRDefault="00345AF1" w:rsidP="00345AF1">
      <w:pPr>
        <w:pStyle w:val="Bibliography"/>
      </w:pPr>
      <w:r>
        <w:t xml:space="preserve">9. </w:t>
      </w:r>
      <w:r>
        <w:tab/>
        <w:t xml:space="preserve">Peak CM, Reilly AL, Azman AS, Buckee CO. Prolonging herd immunity to cholera via vaccination: Accounting for human mobility and waning vaccine effects. Marks F, editor. PLoS Negl Trop Dis. 2018 Feb 28;12(2):e0006257. </w:t>
      </w:r>
    </w:p>
    <w:p w14:paraId="0E356D47" w14:textId="77777777" w:rsidR="00345AF1" w:rsidRDefault="00345AF1" w:rsidP="00345AF1">
      <w:pPr>
        <w:pStyle w:val="Bibliography"/>
      </w:pPr>
      <w:r>
        <w:t xml:space="preserve">10. </w:t>
      </w:r>
      <w:r>
        <w:tab/>
        <w:t xml:space="preserve">Azman AS, Luquero FJ, Rodrigues A, Palma PP, Grais RF, Banga CN, et al. Urban Cholera Transmission Hotspots and Their Implications for Reactive Vaccination: Evidence from Bissau City, Guinea Bissau. Vinetz JM, editor. PLoS Negl Trop Dis. 2012 Nov 8;6(11):e1901. </w:t>
      </w:r>
    </w:p>
    <w:p w14:paraId="32ADEC39" w14:textId="77777777" w:rsidR="00345AF1" w:rsidRDefault="00345AF1" w:rsidP="00345AF1">
      <w:pPr>
        <w:pStyle w:val="Bibliography"/>
      </w:pPr>
      <w:r>
        <w:t xml:space="preserve">11. </w:t>
      </w:r>
      <w:r>
        <w:tab/>
        <w:t xml:space="preserve">Longini IM, Nizam A, Ali M, Yunus M, Shenvi N, Clemens JD. Controlling Endemic Cholera with Oral Vaccines. Von Seidlein L, editor. PLoS Med. 2007 Nov 27;4(11):e336. </w:t>
      </w:r>
    </w:p>
    <w:p w14:paraId="554C1FB9" w14:textId="77777777" w:rsidR="00345AF1" w:rsidRDefault="00345AF1" w:rsidP="00345AF1">
      <w:pPr>
        <w:pStyle w:val="Bibliography"/>
      </w:pPr>
      <w:r>
        <w:t xml:space="preserve">12. </w:t>
      </w:r>
      <w:r>
        <w:tab/>
        <w:t xml:space="preserve">Smalley HK, Keskinocak P, Swann J, Hinman A. Optimized oral cholera vaccine distribution strategies to minimize disease incidence: A mixed integer programming model and analysis of a Bangladesh scenario. Vaccine. 2015 Nov;33(46):6218–23. </w:t>
      </w:r>
    </w:p>
    <w:p w14:paraId="6469CDF4" w14:textId="77777777" w:rsidR="00345AF1" w:rsidRDefault="00345AF1" w:rsidP="00345AF1">
      <w:pPr>
        <w:pStyle w:val="Bibliography"/>
      </w:pPr>
      <w:r>
        <w:t xml:space="preserve">13. </w:t>
      </w:r>
      <w:r>
        <w:tab/>
        <w:t xml:space="preserve">Azman AS, Lessler J. Reactive vaccination in the presence of disease hotspots. Proc R Soc B Biol Sci. 2015 Jan 7;282(1798):20141341. </w:t>
      </w:r>
    </w:p>
    <w:p w14:paraId="4A0EEA00" w14:textId="77777777" w:rsidR="00345AF1" w:rsidRDefault="00345AF1" w:rsidP="00345AF1">
      <w:pPr>
        <w:pStyle w:val="Bibliography"/>
      </w:pPr>
      <w:r>
        <w:lastRenderedPageBreak/>
        <w:t xml:space="preserve">14. </w:t>
      </w:r>
      <w:r>
        <w:tab/>
        <w:t xml:space="preserve">Leung T, Eaton J, Matrajt L. Optimizing one-dose and two-dose cholera vaccine allocation in outbreak settings: A modeling study. Fleckenstein JM, editor. PLoS Negl Trop Dis. 2022 Apr 20;16(4):e0010358. </w:t>
      </w:r>
    </w:p>
    <w:p w14:paraId="3933CC1B" w14:textId="77777777" w:rsidR="00345AF1" w:rsidRDefault="00345AF1" w:rsidP="00345AF1">
      <w:pPr>
        <w:pStyle w:val="Bibliography"/>
      </w:pPr>
      <w:r>
        <w:t xml:space="preserve">15. </w:t>
      </w:r>
      <w:r>
        <w:tab/>
        <w:t xml:space="preserve">Azman AS, Luquero FJ, Ciglenecki I, Grais RF, Sack DA, Lessler J. The Impact of a One-Dose versus Two-Dose Oral Cholera Vaccine Regimen in Outbreak Settings: A Modeling Study. Kretzschmar MEE, editor. PLOS Med. 2015 Aug 25;12(8):e1001867. </w:t>
      </w:r>
    </w:p>
    <w:p w14:paraId="1329F3F0" w14:textId="77777777" w:rsidR="00345AF1" w:rsidRPr="00345AF1" w:rsidRDefault="00345AF1" w:rsidP="00345AF1">
      <w:pPr>
        <w:pStyle w:val="Bibliography"/>
        <w:rPr>
          <w:lang w:val="de-DE"/>
        </w:rPr>
      </w:pPr>
      <w:r>
        <w:t xml:space="preserve">16. </w:t>
      </w:r>
      <w:r>
        <w:tab/>
        <w:t xml:space="preserve">Kim JH, Mogasale V, Burgess C, Wierzba TF. Impact of oral cholera vaccines in cholera-endemic countries: A mathematical modeling study. </w:t>
      </w:r>
      <w:r w:rsidRPr="00345AF1">
        <w:rPr>
          <w:lang w:val="de-DE"/>
        </w:rPr>
        <w:t xml:space="preserve">Vaccine. 2016 Apr;34(18):2113–20. </w:t>
      </w:r>
    </w:p>
    <w:p w14:paraId="4B8006A5" w14:textId="77777777" w:rsidR="00345AF1" w:rsidRDefault="00345AF1" w:rsidP="00345AF1">
      <w:pPr>
        <w:pStyle w:val="Bibliography"/>
      </w:pPr>
      <w:r w:rsidRPr="00345AF1">
        <w:rPr>
          <w:lang w:val="de-DE"/>
        </w:rPr>
        <w:t xml:space="preserve">17. </w:t>
      </w:r>
      <w:r w:rsidRPr="00345AF1">
        <w:rPr>
          <w:lang w:val="de-DE"/>
        </w:rPr>
        <w:tab/>
        <w:t xml:space="preserve">Xu H, Zou K, Dent J, Wiens KE, Malembaka EB, Bwire G, et al. </w:t>
      </w:r>
      <w:r>
        <w:t>Enhanced cholera surveillance to improve vaccination campaign efficiency. Nat Med [Internet]. 2024 Mar 5 [cited 2024 Apr 16]; Available from: https://www.nature.com/articles/s41591-024-02852-8</w:t>
      </w:r>
    </w:p>
    <w:p w14:paraId="098BB439" w14:textId="77777777" w:rsidR="00345AF1" w:rsidRDefault="00345AF1" w:rsidP="00345AF1">
      <w:pPr>
        <w:pStyle w:val="Bibliography"/>
      </w:pPr>
      <w:r>
        <w:t xml:space="preserve">18. </w:t>
      </w:r>
      <w:r>
        <w:tab/>
        <w:t xml:space="preserve">Kaper JB, Morris JG, Levine MM. Cholera. Clin Microbiol Rev. 1995 Jan;8(1):48–86. </w:t>
      </w:r>
    </w:p>
    <w:p w14:paraId="4F8D9EBC" w14:textId="77777777" w:rsidR="00345AF1" w:rsidRDefault="00345AF1" w:rsidP="00345AF1">
      <w:pPr>
        <w:pStyle w:val="Bibliography"/>
      </w:pPr>
      <w:r>
        <w:t xml:space="preserve">19. </w:t>
      </w:r>
      <w:r>
        <w:tab/>
        <w:t xml:space="preserve">Sikder M, Deshpande A, Hegde ST, Malembaka EB, Gallandat K, Reiner RC, et al. Water, Sanitation, and Cholera in Sub-Saharan Africa. Environ Sci Technol. 2023 Jul 18;57(28):10185–92. </w:t>
      </w:r>
    </w:p>
    <w:p w14:paraId="070F7CB3" w14:textId="77777777" w:rsidR="00345AF1" w:rsidRDefault="00345AF1" w:rsidP="00345AF1">
      <w:pPr>
        <w:pStyle w:val="Bibliography"/>
      </w:pPr>
      <w:r>
        <w:t xml:space="preserve">20. </w:t>
      </w:r>
      <w:r>
        <w:tab/>
        <w:t xml:space="preserve">Ali M, Nelson AR, Lopez AL, Sack DA. Updated Global Burden of Cholera in Endemic Countries. PLoS Negl Trop Dis. 2015 Jun 4;9(6):e0003832. </w:t>
      </w:r>
    </w:p>
    <w:p w14:paraId="782F8FCD" w14:textId="77777777" w:rsidR="00345AF1" w:rsidRDefault="00345AF1" w:rsidP="00345AF1">
      <w:pPr>
        <w:pStyle w:val="Bibliography"/>
      </w:pPr>
      <w:r>
        <w:t xml:space="preserve">21. </w:t>
      </w:r>
      <w:r>
        <w:tab/>
        <w:t xml:space="preserve">Clemens JD, Nair GB, Ahmed T, Qadri F, Holmgren J. Cholera. Lancet Lond Engl. 2017 Sep 23;390(10101):1539–49. </w:t>
      </w:r>
    </w:p>
    <w:p w14:paraId="53ACB531" w14:textId="77777777" w:rsidR="00345AF1" w:rsidRDefault="00345AF1" w:rsidP="00345AF1">
      <w:pPr>
        <w:pStyle w:val="Bibliography"/>
      </w:pPr>
      <w:r>
        <w:t xml:space="preserve">22. </w:t>
      </w:r>
      <w:r>
        <w:tab/>
        <w:t xml:space="preserve">Lessler J, Moore SM, Luquero FJ, McKay HS, Grais R, Henkens M, et al. Mapping the burden of cholera in sub-Saharan Africa and implications for control: an analysis of data across geographical scales. Lancet Lond Engl. 2018 May 12;391(10133):1908–15. </w:t>
      </w:r>
    </w:p>
    <w:p w14:paraId="23AFED3F" w14:textId="77777777" w:rsidR="00345AF1" w:rsidRDefault="00345AF1" w:rsidP="00345AF1">
      <w:pPr>
        <w:pStyle w:val="Bibliography"/>
      </w:pPr>
      <w:r>
        <w:t xml:space="preserve">23. </w:t>
      </w:r>
      <w:r>
        <w:tab/>
        <w:t xml:space="preserve">Zheng Q, Luquero FJ, Ciglenecki I, Wamala JF, Abubakar A, Welo P, et al. Cholera outbreaks in sub-Saharan Africa during 2010-2019: a descriptive analysis. Int J Infect Dis. 2022 Sep 1;122:215–21. </w:t>
      </w:r>
    </w:p>
    <w:p w14:paraId="2F2D5890" w14:textId="77777777" w:rsidR="00345AF1" w:rsidRDefault="00345AF1" w:rsidP="00345AF1">
      <w:pPr>
        <w:pStyle w:val="Bibliography"/>
      </w:pPr>
      <w:r>
        <w:t xml:space="preserve">24. </w:t>
      </w:r>
      <w:r>
        <w:tab/>
        <w:t xml:space="preserve">Yen C, Hyde TB, Costa AJ, Fernandez K, Tam JS, Hugonnet S, et al. The development of global vaccine stockpiles. Lancet Infect Dis. 2015 Mar 1;15(3):340–7. </w:t>
      </w:r>
    </w:p>
    <w:p w14:paraId="79AB5B82" w14:textId="77777777" w:rsidR="00345AF1" w:rsidRDefault="00345AF1" w:rsidP="00345AF1">
      <w:pPr>
        <w:pStyle w:val="Bibliography"/>
      </w:pPr>
      <w:r>
        <w:t xml:space="preserve">25. </w:t>
      </w:r>
      <w:r>
        <w:tab/>
        <w:t>Global Task Force on Cholera Control. GTFCC OCV Dashboard [Internet]. Available from: https://apps.epicentre-msf.org/public/app/gtfcc</w:t>
      </w:r>
    </w:p>
    <w:p w14:paraId="3DE28A34" w14:textId="77777777" w:rsidR="00345AF1" w:rsidRDefault="00345AF1" w:rsidP="00345AF1">
      <w:pPr>
        <w:pStyle w:val="Bibliography"/>
      </w:pPr>
      <w:r>
        <w:t xml:space="preserve">26. </w:t>
      </w:r>
      <w:r>
        <w:tab/>
        <w:t xml:space="preserve">Lee EC, Azman AS, Kaminsky J, Moore SM, McKay HS, Lessler J. The projected impact of geographic targeting of oral cholera vaccination in sub-Saharan Africa: A modeling study. PLoS Med. 2019 Dec;16(12):e1003003. </w:t>
      </w:r>
    </w:p>
    <w:p w14:paraId="36DCD006" w14:textId="77777777" w:rsidR="00345AF1" w:rsidRDefault="00345AF1" w:rsidP="00345AF1">
      <w:pPr>
        <w:pStyle w:val="Bibliography"/>
      </w:pPr>
      <w:r>
        <w:lastRenderedPageBreak/>
        <w:t xml:space="preserve">27. </w:t>
      </w:r>
      <w:r>
        <w:tab/>
        <w:t xml:space="preserve">Perez-Saez J, Lessler J, Lee EC, Luquero FJ, Malembaka EB, Finger F, et al. The seasonality of cholera in sub-Saharan Africa: a statistical modelling study. Lancet Glob Health. 2022 Jun 1;10(6):e831–9. </w:t>
      </w:r>
    </w:p>
    <w:p w14:paraId="50253592" w14:textId="77777777" w:rsidR="00345AF1" w:rsidRDefault="00345AF1" w:rsidP="00345AF1">
      <w:pPr>
        <w:pStyle w:val="Bibliography"/>
      </w:pPr>
      <w:r>
        <w:t xml:space="preserve">28. </w:t>
      </w:r>
      <w:r>
        <w:tab/>
        <w:t xml:space="preserve">Bi Q, Ferreras E, Pezzoli L, Legros D, Ivers LC, Date K, et al. Protection against cholera from killed whole-cell oral cholera vaccines: a systematic review and meta-analysis. Lancet Infect Dis. 2017 Oct 1;17(10):1080–8. </w:t>
      </w:r>
    </w:p>
    <w:p w14:paraId="3E84EF24" w14:textId="77777777" w:rsidR="00345AF1" w:rsidRDefault="00345AF1" w:rsidP="00345AF1">
      <w:pPr>
        <w:pStyle w:val="Bibliography"/>
      </w:pPr>
      <w:r>
        <w:t xml:space="preserve">29. </w:t>
      </w:r>
      <w:r>
        <w:tab/>
        <w:t xml:space="preserve">Meredith HR, Giles JR, Perez-Saez J, Mande T, Rinaldo A, Mutembo S, et al. Characterizing human mobility patterns in rural settings of sub-Saharan Africa. eLife. 2021 Sep 17;10:e68441. </w:t>
      </w:r>
    </w:p>
    <w:p w14:paraId="0CD70E66" w14:textId="77777777" w:rsidR="00345AF1" w:rsidRDefault="00345AF1" w:rsidP="00345AF1">
      <w:pPr>
        <w:pStyle w:val="Bibliography"/>
      </w:pPr>
      <w:r>
        <w:t xml:space="preserve">30. </w:t>
      </w:r>
      <w:r>
        <w:tab/>
        <w:t xml:space="preserve">Zheng Q, Lee EC. Cholera outbreak time series in Africa between 2010 and 2023. In preparation; </w:t>
      </w:r>
    </w:p>
    <w:p w14:paraId="31501C1F" w14:textId="77777777" w:rsidR="00345AF1" w:rsidRDefault="00345AF1" w:rsidP="00345AF1">
      <w:pPr>
        <w:pStyle w:val="Bibliography"/>
      </w:pPr>
      <w:r>
        <w:t xml:space="preserve">31. </w:t>
      </w:r>
      <w:r>
        <w:tab/>
        <w:t xml:space="preserve">Pezzoli L, Oral Cholera Vaccine Working Group of the Global Task Force on Cholera Control. Global oral cholera vaccine use, 2013-2018. Vaccine. 2020 Feb 29;38 Suppl 1(Suppl 1):A132–40. </w:t>
      </w:r>
    </w:p>
    <w:p w14:paraId="6953AC86" w14:textId="77777777" w:rsidR="00345AF1" w:rsidRDefault="00345AF1" w:rsidP="00345AF1">
      <w:pPr>
        <w:pStyle w:val="Bibliography"/>
      </w:pPr>
      <w:r>
        <w:t xml:space="preserve">32. </w:t>
      </w:r>
      <w:r>
        <w:tab/>
        <w:t>Johns Hopkins Cholera Dynamics Team. CholeraTaxonomy [Internet]. [cited 2025 Jan 2]. Available from: https://cholera-taxonomy.middle-distance.com/</w:t>
      </w:r>
    </w:p>
    <w:p w14:paraId="4A0E73A9" w14:textId="77777777" w:rsidR="00345AF1" w:rsidRDefault="00345AF1" w:rsidP="00345AF1">
      <w:pPr>
        <w:pStyle w:val="Bibliography"/>
      </w:pPr>
      <w:r>
        <w:t xml:space="preserve">33. </w:t>
      </w:r>
      <w:r>
        <w:tab/>
        <w:t xml:space="preserve">Zheng Q, DePencier R, Demby MN, Azman AS, Lee EC. Cholera surveillance time series in Africa between 2010 and 2023. VeriXiv. 2025;2(116). </w:t>
      </w:r>
    </w:p>
    <w:p w14:paraId="2777F236" w14:textId="77777777" w:rsidR="00345AF1" w:rsidRDefault="00345AF1" w:rsidP="00345AF1">
      <w:pPr>
        <w:pStyle w:val="Bibliography"/>
      </w:pPr>
      <w:r>
        <w:t xml:space="preserve">34. </w:t>
      </w:r>
      <w:r>
        <w:tab/>
        <w:t>GTFCC OCV Dashboard [Internet]. [cited 2024 Nov 7]. Available from: https://apps.epicentre-msf.org/public/app/gtfcc</w:t>
      </w:r>
    </w:p>
    <w:p w14:paraId="3F93D6F6" w14:textId="77777777" w:rsidR="00345AF1" w:rsidRPr="00345AF1" w:rsidRDefault="00345AF1" w:rsidP="00345AF1">
      <w:pPr>
        <w:pStyle w:val="Bibliography"/>
        <w:rPr>
          <w:lang w:val="de-DE"/>
        </w:rPr>
      </w:pPr>
      <w:r>
        <w:t xml:space="preserve">35. </w:t>
      </w:r>
      <w:r>
        <w:tab/>
        <w:t xml:space="preserve">Halloran ME, Struchiner CJ. Study designs for dependent happenings. </w:t>
      </w:r>
      <w:r w:rsidRPr="00345AF1">
        <w:rPr>
          <w:lang w:val="de-DE"/>
        </w:rPr>
        <w:t xml:space="preserve">Epidemiol Camb Mass. 1991 Sep;2(5):331–8. </w:t>
      </w:r>
    </w:p>
    <w:p w14:paraId="25AA70F0" w14:textId="77777777" w:rsidR="00345AF1" w:rsidRDefault="00345AF1" w:rsidP="00345AF1">
      <w:pPr>
        <w:pStyle w:val="Bibliography"/>
      </w:pPr>
      <w:r w:rsidRPr="00345AF1">
        <w:rPr>
          <w:lang w:val="de-DE"/>
        </w:rPr>
        <w:t xml:space="preserve">36. </w:t>
      </w:r>
      <w:r w:rsidRPr="00345AF1">
        <w:rPr>
          <w:lang w:val="de-DE"/>
        </w:rPr>
        <w:tab/>
        <w:t xml:space="preserve">Ali M, Emch M, Von Seidlein L, Yunus M, Sack DA, Rao M, et al. </w:t>
      </w:r>
      <w:r>
        <w:t xml:space="preserve">Herd immunity conferred by killed oral cholera vaccines in Bangladesh: a reanalysis. The Lancet. 2005 Jul;366(9479):44–9. </w:t>
      </w:r>
    </w:p>
    <w:p w14:paraId="16BB6B4D" w14:textId="77777777" w:rsidR="00345AF1" w:rsidRDefault="00345AF1" w:rsidP="00345AF1">
      <w:pPr>
        <w:pStyle w:val="Bibliography"/>
      </w:pPr>
      <w:r>
        <w:t xml:space="preserve">37. </w:t>
      </w:r>
      <w:r>
        <w:tab/>
        <w:t xml:space="preserve">Peak CM, Reilly AL, Azman AS, Buckee CO. Prolonging herd immunity to cholera via vaccination: Accounting for human mobility and waning vaccine effects. PLoS Negl Trop Dis. 2018 Feb 28;12(2):e0006257. </w:t>
      </w:r>
    </w:p>
    <w:p w14:paraId="2F1020B8" w14:textId="77777777" w:rsidR="00345AF1" w:rsidRDefault="00345AF1" w:rsidP="00345AF1">
      <w:pPr>
        <w:pStyle w:val="Bibliography"/>
      </w:pPr>
      <w:r>
        <w:t xml:space="preserve">38. </w:t>
      </w:r>
      <w:r>
        <w:tab/>
        <w:t>Kim JH. cholera-outbreak-vaccine-impact-modeling [Internet]. 2024. Available from: https://github.com/kimfinale/cholera-outbreak-vaccine-impact-modeling</w:t>
      </w:r>
    </w:p>
    <w:p w14:paraId="18C41215" w14:textId="77777777" w:rsidR="00345AF1" w:rsidRDefault="00345AF1" w:rsidP="00345AF1">
      <w:pPr>
        <w:pStyle w:val="Bibliography"/>
      </w:pPr>
      <w:r>
        <w:t xml:space="preserve">39. </w:t>
      </w:r>
      <w:r>
        <w:tab/>
        <w:t>Ng Ombe H, Simuyandi M, Mwaba J, Luchen CC, Alabi P, Chilyabanyama ON, et al. Immunogenicity and waning immunity from the oral cholera vaccine (Shanchol</w:t>
      </w:r>
      <w:r>
        <w:rPr>
          <w:vertAlign w:val="superscript"/>
        </w:rPr>
        <w:t>TM</w:t>
      </w:r>
      <w:r>
        <w:t xml:space="preserve">) in adults residing in Lukanga Swamps of Zambia. PloS One. 2022;17(1):e0262239. </w:t>
      </w:r>
    </w:p>
    <w:p w14:paraId="34F65DF0" w14:textId="77777777" w:rsidR="00345AF1" w:rsidRDefault="00345AF1" w:rsidP="00345AF1">
      <w:pPr>
        <w:pStyle w:val="Bibliography"/>
      </w:pPr>
      <w:r>
        <w:lastRenderedPageBreak/>
        <w:t xml:space="preserve">40. </w:t>
      </w:r>
      <w:r>
        <w:tab/>
        <w:t xml:space="preserve">Kanungo S, Paisley A, Lopez AL, Bhattacharya M, Manna B, Kim DR, et al. Immune responses following one and two doses of the reformulated, bivalent, killed, whole-cell, oral cholera vaccine among adults and children in Kolkata, India: a randomized, placebo-controlled trial. Vaccine. 2009 Nov 16;27(49):6887–93. </w:t>
      </w:r>
    </w:p>
    <w:p w14:paraId="6A7E7D67" w14:textId="77777777" w:rsidR="00345AF1" w:rsidRDefault="00345AF1" w:rsidP="00345AF1">
      <w:pPr>
        <w:pStyle w:val="Bibliography"/>
      </w:pPr>
      <w:r>
        <w:t xml:space="preserve">41. </w:t>
      </w:r>
      <w:r>
        <w:tab/>
        <w:t xml:space="preserve">Chowdhury F, Bhuiyan TR, Akter A, Bhuiyan MS, Khan AI, Hossain M, et al. Immunogenicity of a killed bivalent whole cell oral cholera vaccine in forcibly displaced Myanmar nationals in Cox’s Bazar, Bangladesh. PLoS Negl Trop Dis. 2020 Mar;14(3):e0007989. </w:t>
      </w:r>
    </w:p>
    <w:p w14:paraId="119DC19F" w14:textId="77777777" w:rsidR="00345AF1" w:rsidRDefault="00345AF1" w:rsidP="00345AF1">
      <w:pPr>
        <w:pStyle w:val="Bibliography"/>
      </w:pPr>
      <w:r>
        <w:t xml:space="preserve">42. </w:t>
      </w:r>
      <w:r>
        <w:tab/>
        <w:t xml:space="preserve">Raghava Mohan V, Raj S, Dhingra MS, Aloysia D’Cor N, Singh AP, Saluja T, et al. Safety and immunogenicity of a killed bivalent (O1 and O139) whole-cell oral cholera vaccine in adults and children in Vellore, South India. Borrow R, editor. PLOS ONE. 2019 Jun 18;14(6):e0218033. </w:t>
      </w:r>
    </w:p>
    <w:p w14:paraId="6C19A522" w14:textId="77777777" w:rsidR="00345AF1" w:rsidRDefault="00345AF1" w:rsidP="00345AF1">
      <w:pPr>
        <w:pStyle w:val="Bibliography"/>
      </w:pPr>
      <w:r>
        <w:t xml:space="preserve">43. </w:t>
      </w:r>
      <w:r>
        <w:tab/>
        <w:t xml:space="preserve">Charles RC, Hilaire IJ, Mayo-Smith LM, Teng JE, Jerome JG, Franke MF, et al. Immunogenicity of a killed bivalent (O1 and O139) whole cell oral cholera vaccine, Shanchol, in Haiti. PLoS Negl Trop Dis. 2014 May;8(5):e2828. </w:t>
      </w:r>
    </w:p>
    <w:p w14:paraId="2EE10848" w14:textId="77777777" w:rsidR="00345AF1" w:rsidRDefault="00345AF1" w:rsidP="00345AF1">
      <w:pPr>
        <w:pStyle w:val="Bibliography"/>
      </w:pPr>
      <w:r>
        <w:t xml:space="preserve">44. </w:t>
      </w:r>
      <w:r>
        <w:tab/>
        <w:t xml:space="preserve">Chac D, Bhuiyan TR, Saha A, Alam MM, Salma U, Jahan N, et al. Gut Microbiota and Development of Vibrio cholerae-Specific Long-Term Memory B Cells in Adults after Whole-Cell Killed Oral Cholera Vaccine. Infect Immun. 2021 Aug 16;89(9):e0021721. </w:t>
      </w:r>
    </w:p>
    <w:p w14:paraId="0A07809C" w14:textId="77777777" w:rsidR="00345AF1" w:rsidRDefault="00345AF1" w:rsidP="00345AF1">
      <w:pPr>
        <w:pStyle w:val="Bibliography"/>
      </w:pPr>
      <w:r>
        <w:t xml:space="preserve">45. </w:t>
      </w:r>
      <w:r>
        <w:tab/>
        <w:t xml:space="preserve">McCarty JM, Cassie D, Bedell L, Lock MD, Bennett S. Long-Term Immunogenicity of Live Oral Cholera Vaccine CVD 103-HgR in Adolescents Aged 12-17 Years in the United States. Am J Trop Med Hyg. 2021 Apr 5;104(5):1758–60. </w:t>
      </w:r>
    </w:p>
    <w:p w14:paraId="5CDD9AF7" w14:textId="77777777" w:rsidR="00345AF1" w:rsidRDefault="00345AF1" w:rsidP="00345AF1">
      <w:pPr>
        <w:pStyle w:val="Bibliography"/>
      </w:pPr>
      <w:r>
        <w:t xml:space="preserve">46. </w:t>
      </w:r>
      <w:r>
        <w:tab/>
        <w:t xml:space="preserve">McCarty JM, Lock MD, Hunt KM, Simon JK, Gurwith M. Safety and immunogenicity of single-dose live oral cholera vaccine strain CVD 103-HgR in healthy adults age 18–45. Vaccine. 2018 Feb;36(6):833–40. </w:t>
      </w:r>
    </w:p>
    <w:p w14:paraId="3C8EDBB5" w14:textId="77777777" w:rsidR="00345AF1" w:rsidRDefault="00345AF1" w:rsidP="00345AF1">
      <w:pPr>
        <w:pStyle w:val="Bibliography"/>
      </w:pPr>
      <w:r>
        <w:t xml:space="preserve">47. </w:t>
      </w:r>
      <w:r>
        <w:tab/>
        <w:t xml:space="preserve">Chowdhury F, Ali Syed K, Akter A, Rahman Bhuiyan T, Tauheed I, Khaton F, et al. A phase I/II study to evaluate safety, tolerability and immunogenicity of Hillchol®, an inactivated single Hikojima strain based oral cholera vaccine, in a sequentially age descending population in Bangladesh. Vaccine. 2021 Jul 22;39(32):4450–7. </w:t>
      </w:r>
    </w:p>
    <w:p w14:paraId="4F8F90C2" w14:textId="77777777" w:rsidR="00345AF1" w:rsidRDefault="00345AF1" w:rsidP="00345AF1">
      <w:pPr>
        <w:pStyle w:val="Bibliography"/>
      </w:pPr>
      <w:r>
        <w:t xml:space="preserve">48. </w:t>
      </w:r>
      <w:r>
        <w:tab/>
        <w:t xml:space="preserve">Mbewe N, Imamura T, Sivile S, Sinkala A, Zulu P, Chanda C, et al. Clinical Characteristics of 6578 Adult Patients With Cholera Admitted to Community and Referral Cholera Treatment Centers in Lusaka, Zambia, October 2023 to April 2024. Open Forum Infect Dis. 2025 Jun 1;12(6):ofaf277. </w:t>
      </w:r>
    </w:p>
    <w:p w14:paraId="51B152CB" w14:textId="77777777" w:rsidR="00345AF1" w:rsidRDefault="00345AF1" w:rsidP="00345AF1">
      <w:pPr>
        <w:pStyle w:val="Bibliography"/>
      </w:pPr>
      <w:r>
        <w:t xml:space="preserve">49. </w:t>
      </w:r>
      <w:r>
        <w:tab/>
        <w:t xml:space="preserve">GBD 2017 Disease and Injury Incidence and Prevalence Collaborators. Global, regional, and national incidence, prevalence, and years lived with disability for 354 diseases and injuries for 195 countries and territories, 1990-2017: a systematic analysis for the </w:t>
      </w:r>
      <w:r>
        <w:lastRenderedPageBreak/>
        <w:t xml:space="preserve">Global Burden of Disease Study 2017. Lancet Lond Engl. 2018 Nov 10;392(10159):1789–858. </w:t>
      </w:r>
    </w:p>
    <w:p w14:paraId="1AC21A4D" w14:textId="77777777" w:rsidR="00345AF1" w:rsidRDefault="00345AF1" w:rsidP="00345AF1">
      <w:pPr>
        <w:pStyle w:val="Bibliography"/>
      </w:pPr>
      <w:r>
        <w:t xml:space="preserve">50. </w:t>
      </w:r>
      <w:r>
        <w:tab/>
        <w:t>UNICEF. Oral cholera vaccine (OCV) price data [Internet]. 2024 Oct. Available from: https://www.unicef.org/supply/media/22781/file/OCV-vaccines-prices-29102024.pdf</w:t>
      </w:r>
    </w:p>
    <w:p w14:paraId="2377CCAC" w14:textId="77777777" w:rsidR="00345AF1" w:rsidRDefault="00345AF1" w:rsidP="00345AF1">
      <w:pPr>
        <w:pStyle w:val="Bibliography"/>
      </w:pPr>
      <w:r>
        <w:t xml:space="preserve">51. </w:t>
      </w:r>
      <w:r>
        <w:tab/>
        <w:t xml:space="preserve">Sarker AR, Khan AI, Islam MT, Chowdhury F, Khanam F, Kang S, et al. Cost of oral cholera vaccine delivery in a mass immunization program for children in urban Bangladesh. Vaccine X. 2022 Dec;12:100247. </w:t>
      </w:r>
    </w:p>
    <w:p w14:paraId="45F3AE03" w14:textId="77777777" w:rsidR="00345AF1" w:rsidRDefault="00345AF1" w:rsidP="00345AF1">
      <w:pPr>
        <w:pStyle w:val="Bibliography"/>
      </w:pPr>
      <w:r>
        <w:t xml:space="preserve">52. </w:t>
      </w:r>
      <w:r>
        <w:tab/>
        <w:t>UNICEF. Emergency stockpile availability - oral cholera vaccine [Internet]. 2024 Nov. Available from: https://www.unicef.org/supply/media/22091/file/EmergencyStockpileAvailabilityReportOCV11112024.pdf</w:t>
      </w:r>
    </w:p>
    <w:p w14:paraId="30678687" w14:textId="77777777" w:rsidR="00345AF1" w:rsidRDefault="00345AF1" w:rsidP="00345AF1">
      <w:pPr>
        <w:pStyle w:val="Bibliography"/>
      </w:pPr>
      <w:r>
        <w:t xml:space="preserve">53. </w:t>
      </w:r>
      <w:r>
        <w:tab/>
        <w:t xml:space="preserve">Mogasale V, Ngogoyo SM, Mogasale VV. Model-based estimation of the economic burden of cholera in Africa. BMJ Open. 2021 Mar;11(3):e044615. </w:t>
      </w:r>
    </w:p>
    <w:p w14:paraId="0EA0AFEE" w14:textId="77777777" w:rsidR="00345AF1" w:rsidRDefault="00345AF1" w:rsidP="00345AF1">
      <w:pPr>
        <w:pStyle w:val="Bibliography"/>
      </w:pPr>
      <w:r>
        <w:t xml:space="preserve">54. </w:t>
      </w:r>
      <w:r>
        <w:tab/>
        <w:t xml:space="preserve">Ilboudo PG, Huang XX, Ngwira B, Mwanyungwe A, Mogasale V, Mengel MA, et al. Cost-of-illness of cholera to households and health facilities in rural Malawi. PloS One. 2017;12(9):e0185041. </w:t>
      </w:r>
    </w:p>
    <w:p w14:paraId="4589EA7E" w14:textId="77777777" w:rsidR="00345AF1" w:rsidRDefault="00345AF1" w:rsidP="00345AF1">
      <w:pPr>
        <w:pStyle w:val="Bibliography"/>
      </w:pPr>
      <w:r>
        <w:t xml:space="preserve">55. </w:t>
      </w:r>
      <w:r>
        <w:tab/>
        <w:t xml:space="preserve">Awalime DK, Davies-Teye BBK, Vanotoo LA, Owoo NS, Nketiah-Amponsah E. Economic evaluation of 2014 cholera outbreak in Ghana: a household cost analysis. Health Econ Rev. 2017 Dec 4;7(1):45. </w:t>
      </w:r>
    </w:p>
    <w:p w14:paraId="56F5C3FB" w14:textId="77777777" w:rsidR="00345AF1" w:rsidRDefault="00345AF1" w:rsidP="00345AF1">
      <w:pPr>
        <w:pStyle w:val="Bibliography"/>
      </w:pPr>
      <w:r>
        <w:t xml:space="preserve">56. </w:t>
      </w:r>
      <w:r>
        <w:tab/>
        <w:t xml:space="preserve">Poulos C, Riewpaiboon A, Stewart JF, Clemens J, Guh S, Agtini M, et al. Costs of Illness Due to Endemic Cholera. Epidemiol Infect. 2012 Mar;140(3):10.1017/S0950268811000513. </w:t>
      </w:r>
    </w:p>
    <w:p w14:paraId="2D6C56B7" w14:textId="77777777" w:rsidR="00345AF1" w:rsidRPr="00933DED" w:rsidRDefault="00345AF1" w:rsidP="00345AF1">
      <w:pPr>
        <w:pStyle w:val="Bibliography"/>
        <w:rPr>
          <w:lang w:val="de-DE"/>
        </w:rPr>
      </w:pPr>
      <w:r>
        <w:t xml:space="preserve">57. </w:t>
      </w:r>
      <w:r>
        <w:tab/>
        <w:t xml:space="preserve">Schaetti C, Weiss MG, Ali SM, Chaignat CL, Khatib AM, Reyburn R, et al. Costs of illness due to cholera, costs of immunization and cost-effectiveness of an oral cholera mass vaccination campaign in Zanzibar. </w:t>
      </w:r>
      <w:r w:rsidRPr="00933DED">
        <w:rPr>
          <w:lang w:val="de-DE"/>
        </w:rPr>
        <w:t xml:space="preserve">PLoS Negl Trop Dis. 2012;6(10):e1844. </w:t>
      </w:r>
    </w:p>
    <w:p w14:paraId="30477EDA" w14:textId="77777777" w:rsidR="00345AF1" w:rsidRDefault="00345AF1" w:rsidP="00345AF1">
      <w:pPr>
        <w:pStyle w:val="Bibliography"/>
      </w:pPr>
      <w:r w:rsidRPr="00933DED">
        <w:rPr>
          <w:lang w:val="de-DE"/>
        </w:rPr>
        <w:t xml:space="preserve">58. </w:t>
      </w:r>
      <w:r w:rsidRPr="00933DED">
        <w:rPr>
          <w:lang w:val="de-DE"/>
        </w:rPr>
        <w:tab/>
        <w:t xml:space="preserve">Ohene-Adjei K, Kenu E, Bandoh DA, Addo PNO, Noora CL, Nortey P, et al. </w:t>
      </w:r>
      <w:r>
        <w:t xml:space="preserve">Epidemiological link of a major cholera outbreak in Greater Accra region of Ghana, 2014. BMC Public Health. 2017 Oct 11;17(1):801. </w:t>
      </w:r>
    </w:p>
    <w:p w14:paraId="41DA38E7" w14:textId="77777777" w:rsidR="00345AF1" w:rsidRDefault="00345AF1" w:rsidP="00345AF1">
      <w:pPr>
        <w:pStyle w:val="Bibliography"/>
      </w:pPr>
      <w:r>
        <w:t xml:space="preserve">59. </w:t>
      </w:r>
      <w:r>
        <w:tab/>
        <w:t xml:space="preserve">Azman AS, Parker LA, Rumunu J, Tadesse F, Grandesso F, Deng LL, et al. Effectiveness of one dose of oral cholera vaccine in response to an outbreak: a case-cohort study. Lancet Glob Health. 2016 Nov 1;4(11):e856–63. </w:t>
      </w:r>
    </w:p>
    <w:p w14:paraId="6BC5C93C" w14:textId="77777777" w:rsidR="00345AF1" w:rsidRDefault="00345AF1" w:rsidP="00345AF1">
      <w:pPr>
        <w:pStyle w:val="Bibliography"/>
      </w:pPr>
      <w:r>
        <w:t xml:space="preserve">60. </w:t>
      </w:r>
      <w:r>
        <w:tab/>
        <w:t xml:space="preserve">Luquero FJ, Grout L, Ciglenecki I, Sakoba K, Traore B, Heile M, et al. Use of Vibrio cholerae Vaccine in an Outbreak in Guinea. N Engl J Med. 2014 May 29;370(22):2111–20. </w:t>
      </w:r>
    </w:p>
    <w:p w14:paraId="1DC60267" w14:textId="77777777" w:rsidR="00345AF1" w:rsidRDefault="00345AF1" w:rsidP="00345AF1">
      <w:pPr>
        <w:pStyle w:val="Bibliography"/>
      </w:pPr>
      <w:r>
        <w:lastRenderedPageBreak/>
        <w:t xml:space="preserve">61. </w:t>
      </w:r>
      <w:r>
        <w:tab/>
        <w:t xml:space="preserve">Weil AA, Khan AI, Chowdhury F, Larocque RC, Faruque ASG, Ryan ET, et al. Clinical outcomes in household contacts of patients with cholera in Bangladesh. Clin Infect Dis Off Publ Infect Dis Soc Am. 2009 Nov 15;49(10):1473–9. </w:t>
      </w:r>
    </w:p>
    <w:p w14:paraId="5056E9C8" w14:textId="77777777" w:rsidR="00345AF1" w:rsidRDefault="00345AF1" w:rsidP="00345AF1">
      <w:pPr>
        <w:pStyle w:val="Bibliography"/>
      </w:pPr>
      <w:r>
        <w:t xml:space="preserve">62. </w:t>
      </w:r>
      <w:r>
        <w:tab/>
        <w:t>United Nations, Department of Economic and Social Affairs, Population Division. World Population Prospects 2024, Online Edition [Internet]. 2024. Available from: https://population.un.org/wpp/Download/Standard/Mortality/</w:t>
      </w:r>
    </w:p>
    <w:p w14:paraId="3153789F" w14:textId="77777777" w:rsidR="00345AF1" w:rsidRDefault="00345AF1" w:rsidP="00345AF1">
      <w:pPr>
        <w:pStyle w:val="Bibliography"/>
      </w:pPr>
      <w:r>
        <w:t xml:space="preserve">63. </w:t>
      </w:r>
      <w:r>
        <w:tab/>
        <w:t>World Bank Group. GDP per capita (current US$) [Internet]. Available from: https://data.worldbank.org/indicator/NY.GDP.PCAP.CD</w:t>
      </w:r>
    </w:p>
    <w:p w14:paraId="6A4732DE" w14:textId="77777777" w:rsidR="00345AF1" w:rsidRDefault="00345AF1" w:rsidP="00345AF1">
      <w:pPr>
        <w:pStyle w:val="Bibliography"/>
      </w:pPr>
      <w:r>
        <w:t xml:space="preserve">64. </w:t>
      </w:r>
      <w:r>
        <w:tab/>
        <w:t>World Bank Group. Labor force participation rate, total (% of total population ages 15-64) (modeled ILO estimate) [Internet]. Available from: https://data.worldbank.org/indicator/SL.TLF.ACTI.ZS?end=2023&amp;start=1960</w:t>
      </w:r>
    </w:p>
    <w:p w14:paraId="487756F3" w14:textId="77777777" w:rsidR="00345AF1" w:rsidRDefault="00345AF1" w:rsidP="00345AF1">
      <w:pPr>
        <w:pStyle w:val="Bibliography"/>
      </w:pPr>
      <w:r>
        <w:t xml:space="preserve">65. </w:t>
      </w:r>
      <w:r>
        <w:tab/>
        <w:t xml:space="preserve">Pezzoli L. Global oral cholera vaccine use, 2013–2018. Vaccine. 2020 Feb;38:A132–40. </w:t>
      </w:r>
    </w:p>
    <w:p w14:paraId="254F7C20" w14:textId="77777777" w:rsidR="00345AF1" w:rsidRDefault="00345AF1" w:rsidP="00345AF1">
      <w:pPr>
        <w:pStyle w:val="Bibliography"/>
      </w:pPr>
      <w:r>
        <w:t xml:space="preserve">66. </w:t>
      </w:r>
      <w:r>
        <w:tab/>
        <w:t xml:space="preserve">Edosa M, Jeon Y, Gedefaw A, Hailu D, Mesfin Getachew E, Mogeni OD, et al. Comprehensive Review on the Use of Oral Cholera Vaccine (OCV) in Ethiopia: 2019 to 2023. Clin Infect Dis Off Publ Infect Dis Soc Am. 2024 Jul 12;79(Suppl 1):S20–32. </w:t>
      </w:r>
    </w:p>
    <w:p w14:paraId="755994EA" w14:textId="77777777" w:rsidR="00345AF1" w:rsidRDefault="00345AF1" w:rsidP="00345AF1">
      <w:pPr>
        <w:pStyle w:val="Bibliography"/>
      </w:pPr>
      <w:r w:rsidRPr="00933DED">
        <w:rPr>
          <w:lang w:val="de-DE"/>
        </w:rPr>
        <w:t xml:space="preserve">67. </w:t>
      </w:r>
      <w:r w:rsidRPr="00933DED">
        <w:rPr>
          <w:lang w:val="de-DE"/>
        </w:rPr>
        <w:tab/>
        <w:t xml:space="preserve">Mogasale V, Ramani E, Wee H, Kim JH. </w:t>
      </w:r>
      <w:r>
        <w:t xml:space="preserve">Oral Cholera Vaccination Delivery Cost in Low- and Middle-Income Countries: An Analysis Based on Systematic Review. Ryan ET, editor. PLoS Negl Trop Dis. 2016 Dec 8;10(12):e0005124. </w:t>
      </w:r>
    </w:p>
    <w:p w14:paraId="08B2C52E" w14:textId="77777777" w:rsidR="00345AF1" w:rsidRDefault="00345AF1" w:rsidP="00345AF1">
      <w:pPr>
        <w:pStyle w:val="Bibliography"/>
      </w:pPr>
      <w:r>
        <w:t xml:space="preserve">68. </w:t>
      </w:r>
      <w:r>
        <w:tab/>
        <w:t xml:space="preserve">Turner HC, Lauer JA, Tran BX, Teerawattananon Y, Jit M. Adjusting for Inflation and Currency Changes Within Health Economic Studies. Value Health. 2019 Sep;22(9):1026–32. </w:t>
      </w:r>
    </w:p>
    <w:p w14:paraId="4D43260A" w14:textId="77777777" w:rsidR="00345AF1" w:rsidRDefault="00345AF1" w:rsidP="00345AF1">
      <w:pPr>
        <w:pStyle w:val="Bibliography"/>
      </w:pPr>
      <w:r>
        <w:t xml:space="preserve">69. </w:t>
      </w:r>
      <w:r>
        <w:tab/>
        <w:t>Bureau of Labor Statistics. Math calculations to better utilize CPI data [Internet]. Bureau of Labor Statistics; Available from: https://www.bls.gov/cpi/factsheets/cpi-math-calculations.pdf</w:t>
      </w:r>
    </w:p>
    <w:p w14:paraId="24172D8B" w14:textId="77777777" w:rsidR="00345AF1" w:rsidRDefault="00345AF1" w:rsidP="00345AF1">
      <w:pPr>
        <w:pStyle w:val="Bibliography"/>
      </w:pPr>
      <w:r>
        <w:t xml:space="preserve">70. </w:t>
      </w:r>
      <w:r>
        <w:tab/>
        <w:t xml:space="preserve">Girotto CD, Behzadian K, Musah A, Chen AS, Djordjević S, Nichols G, et al. Analysis of environmental factors influencing endemic cholera risks in sub-Saharan Africa. Sci Total Environ. 2024 May 20;926:171896. </w:t>
      </w:r>
    </w:p>
    <w:p w14:paraId="283AF428" w14:textId="77777777" w:rsidR="00345AF1" w:rsidRDefault="00345AF1" w:rsidP="00345AF1">
      <w:pPr>
        <w:pStyle w:val="Bibliography"/>
      </w:pPr>
      <w:r>
        <w:t xml:space="preserve">71. </w:t>
      </w:r>
      <w:r>
        <w:tab/>
        <w:t xml:space="preserve">Koepke AA, Longini IM, Halloran ME, Wakefield J, Minin VN. PREDICTIVE MODELING OF CHOLERA OUTBREAKS IN BANGLADESH. Ann Appl Stat. 2016 Jun;10(2):575–95. </w:t>
      </w:r>
    </w:p>
    <w:p w14:paraId="78B56105" w14:textId="77777777" w:rsidR="00345AF1" w:rsidRDefault="00345AF1" w:rsidP="00345AF1">
      <w:pPr>
        <w:pStyle w:val="Bibliography"/>
      </w:pPr>
      <w:r>
        <w:t xml:space="preserve">72. </w:t>
      </w:r>
      <w:r>
        <w:tab/>
        <w:t xml:space="preserve">Armando CJ, Rocklöv J, Sidat M, Tozan Y, Mavume AF, Bunker A, et al. Spatial-temporal analysis of climate and socioeconomic conditions on cholera incidence in Mozambique from 2000 to 2018: an ecological longitudinal retrospective study. BMJ Open. 2024 Aug;14(8):e082503. </w:t>
      </w:r>
    </w:p>
    <w:p w14:paraId="6157E963" w14:textId="77777777" w:rsidR="00345AF1" w:rsidRDefault="00345AF1" w:rsidP="00345AF1">
      <w:pPr>
        <w:pStyle w:val="Bibliography"/>
      </w:pPr>
      <w:r>
        <w:lastRenderedPageBreak/>
        <w:t xml:space="preserve">73. </w:t>
      </w:r>
      <w:r>
        <w:tab/>
        <w:t xml:space="preserve">Ali M, Sen Gupta S, Arora N, Khasnobis P, Venkatesh S, Sur D, et al. Identification of burden hotspots and risk factors for cholera in India: An observational study. Moise IK, editor. PLOS ONE. 2017 Aug 24;12(8):e0183100. </w:t>
      </w:r>
    </w:p>
    <w:p w14:paraId="04A15C73" w14:textId="77777777" w:rsidR="00345AF1" w:rsidRPr="00933DED" w:rsidRDefault="00345AF1" w:rsidP="00345AF1">
      <w:pPr>
        <w:pStyle w:val="Bibliography"/>
        <w:rPr>
          <w:lang w:val="de-DE"/>
        </w:rPr>
      </w:pPr>
      <w:r>
        <w:t xml:space="preserve">74. </w:t>
      </w:r>
      <w:r>
        <w:tab/>
        <w:t xml:space="preserve">Lee EC, Azman AS, Kaminsky J, Moore SM, McKay HS, Lessler J. The projected impact of geographic targeting of oral cholera vaccination in sub-Saharan Africa: A modeling study. </w:t>
      </w:r>
      <w:r w:rsidRPr="00933DED">
        <w:rPr>
          <w:lang w:val="de-DE"/>
        </w:rPr>
        <w:t xml:space="preserve">Kretzschmar MEE, editor. PLOS Med. 2019 Dec 11;16(12):e1003003. </w:t>
      </w:r>
    </w:p>
    <w:p w14:paraId="3D646751" w14:textId="77777777" w:rsidR="00345AF1" w:rsidRDefault="00345AF1" w:rsidP="00345AF1">
      <w:pPr>
        <w:pStyle w:val="Bibliography"/>
      </w:pPr>
      <w:r w:rsidRPr="00933DED">
        <w:rPr>
          <w:lang w:val="de-DE"/>
        </w:rPr>
        <w:t xml:space="preserve">75. </w:t>
      </w:r>
      <w:r w:rsidRPr="00933DED">
        <w:rPr>
          <w:lang w:val="de-DE"/>
        </w:rPr>
        <w:tab/>
        <w:t xml:space="preserve">Delport D, Muellenmeister AM, MacKechnie G, Vaccher S, Mengistu T, Hogan D, et al. </w:t>
      </w:r>
      <w:r>
        <w:t>Estimating the historical impact of outbreak response immunization programs across 210 outbreaks in LMICs [Internet]. medRxiv; 2024 [cited 2025 Feb 21]. p. 2024.06.02.24308241. Available from: https://www.medrxiv.org/content/10.1101/2024.06.02.24308241v1</w:t>
      </w:r>
    </w:p>
    <w:p w14:paraId="4FDC6977" w14:textId="77777777" w:rsidR="00345AF1" w:rsidRDefault="00345AF1" w:rsidP="00345AF1">
      <w:pPr>
        <w:pStyle w:val="Bibliography"/>
      </w:pPr>
      <w:r>
        <w:t xml:space="preserve">76. </w:t>
      </w:r>
      <w:r>
        <w:tab/>
        <w:t xml:space="preserve">Sikder M, Altare C, Doocy S, Trowbridge D, Kaur G, Kaushal N, et al. Case-area targeted preventive interventions to interrupt cholera transmission: Current implementation practices and lessons learned. PLoS Negl Trop Dis. 2021 Dec;15(12):e0010042. </w:t>
      </w:r>
    </w:p>
    <w:p w14:paraId="55C6C84E" w14:textId="77777777" w:rsidR="00345AF1" w:rsidRDefault="00345AF1" w:rsidP="00345AF1">
      <w:pPr>
        <w:pStyle w:val="Bibliography"/>
      </w:pPr>
      <w:r>
        <w:t xml:space="preserve">77. </w:t>
      </w:r>
      <w:r>
        <w:tab/>
        <w:t xml:space="preserve">OKeeffe J, Salem-Bango L, Desjardins MR, Lantagne D, Altare C, Kaur G, et al. Case-area targeted interventions during a large-scale cholera epidemic: A prospective cohort study in Northeast Nigeria. PLoS Med. 2024 May;21(5):e1004404. </w:t>
      </w:r>
    </w:p>
    <w:p w14:paraId="45FF3C84" w14:textId="77777777" w:rsidR="00345AF1" w:rsidRDefault="00345AF1" w:rsidP="00345AF1">
      <w:pPr>
        <w:pStyle w:val="Bibliography"/>
      </w:pPr>
      <w:r>
        <w:t xml:space="preserve">78. </w:t>
      </w:r>
      <w:r>
        <w:tab/>
        <w:t xml:space="preserve">Kaur G, Salem-Bango L, Nery ALMDS, Solomon EC, Ihemezue E, Kelly C, et al. Implementation considerations in case-area targeted interventions to prevent cholera transmission in Northeast Nigeria: A qualitative analysis. PLoS Negl Trop Dis. 2023 Apr;17(4):e0011298. </w:t>
      </w:r>
    </w:p>
    <w:p w14:paraId="6BC1682C" w14:textId="77777777" w:rsidR="00345AF1" w:rsidRPr="00933DED" w:rsidRDefault="00345AF1" w:rsidP="00345AF1">
      <w:pPr>
        <w:pStyle w:val="Bibliography"/>
        <w:rPr>
          <w:lang w:val="de-DE"/>
        </w:rPr>
      </w:pPr>
      <w:r>
        <w:t xml:space="preserve">79. </w:t>
      </w:r>
      <w:r>
        <w:tab/>
        <w:t xml:space="preserve">Lessler J, Metcalf CJE, Grais RF, Luquero FJ, Cummings DAT, Grenfell BT. Measuring the Performance of Vaccination Programs Using Cross-Sectional Surveys: A Likelihood Framework and Retrospective Analysis. </w:t>
      </w:r>
      <w:r w:rsidRPr="00933DED">
        <w:rPr>
          <w:lang w:val="de-DE"/>
        </w:rPr>
        <w:t xml:space="preserve">PLOS Med. 2011 25;8(10):e1001110. </w:t>
      </w:r>
    </w:p>
    <w:p w14:paraId="75C6401D" w14:textId="77777777" w:rsidR="00345AF1" w:rsidRPr="00933DED" w:rsidRDefault="00345AF1" w:rsidP="00345AF1">
      <w:pPr>
        <w:pStyle w:val="Bibliography"/>
        <w:rPr>
          <w:lang w:val="de-DE"/>
        </w:rPr>
      </w:pPr>
      <w:r w:rsidRPr="00933DED">
        <w:rPr>
          <w:lang w:val="de-DE"/>
        </w:rPr>
        <w:t xml:space="preserve">80. </w:t>
      </w:r>
      <w:r w:rsidRPr="00933DED">
        <w:rPr>
          <w:lang w:val="de-DE"/>
        </w:rPr>
        <w:tab/>
        <w:t xml:space="preserve">Ali M, Qadri F, Kim DR, Islam T, Im J, Ahmmed F, et al. </w:t>
      </w:r>
      <w:r>
        <w:t xml:space="preserve">Unmasking herd protection by an oral cholera vaccine in a cluster-randomized trial. </w:t>
      </w:r>
      <w:r w:rsidRPr="00933DED">
        <w:rPr>
          <w:lang w:val="de-DE"/>
        </w:rPr>
        <w:t xml:space="preserve">Int J Epidemiol. 2019 Aug 1;48(4):1252–61. </w:t>
      </w:r>
    </w:p>
    <w:p w14:paraId="51969A89" w14:textId="77777777" w:rsidR="00345AF1" w:rsidRDefault="00345AF1" w:rsidP="00345AF1">
      <w:pPr>
        <w:pStyle w:val="Bibliography"/>
      </w:pPr>
      <w:r w:rsidRPr="00933DED">
        <w:rPr>
          <w:lang w:val="de-DE"/>
        </w:rPr>
        <w:t xml:space="preserve">81. </w:t>
      </w:r>
      <w:r w:rsidRPr="00933DED">
        <w:rPr>
          <w:lang w:val="de-DE"/>
        </w:rPr>
        <w:tab/>
        <w:t xml:space="preserve">Khatib AM, Ali M, Seidlein L von, Kim DR, Hashim R, Reyburn R, et al. </w:t>
      </w:r>
      <w:r>
        <w:t xml:space="preserve">Effectiveness of an oral cholera vaccine in Zanzibar: findings from a mass vaccination campaign and observational cohort study. Lancet Infect Dis. 2012 Nov 1;12(11):837–44. </w:t>
      </w:r>
    </w:p>
    <w:p w14:paraId="19B3594E" w14:textId="77777777" w:rsidR="00345AF1" w:rsidRPr="00933DED" w:rsidRDefault="00345AF1" w:rsidP="00345AF1">
      <w:pPr>
        <w:pStyle w:val="Bibliography"/>
        <w:rPr>
          <w:lang w:val="de-DE"/>
        </w:rPr>
      </w:pPr>
      <w:r>
        <w:t xml:space="preserve">82. </w:t>
      </w:r>
      <w:r>
        <w:tab/>
        <w:t xml:space="preserve">Ali M, Sur D, You YA, Kanungo S, Sah B, Manna B, et al. Herd Protection by a Bivalent Killed Whole-Cell Oral Cholera Vaccine in the Slums of Kolkata, India. </w:t>
      </w:r>
      <w:r w:rsidRPr="00933DED">
        <w:rPr>
          <w:lang w:val="de-DE"/>
        </w:rPr>
        <w:t xml:space="preserve">Clin Infect Dis. 2013 Apr 15;56(8):1123–31. </w:t>
      </w:r>
    </w:p>
    <w:p w14:paraId="1075CF85" w14:textId="77777777" w:rsidR="00345AF1" w:rsidRDefault="00345AF1" w:rsidP="00345AF1">
      <w:pPr>
        <w:pStyle w:val="Bibliography"/>
      </w:pPr>
      <w:r w:rsidRPr="00933DED">
        <w:rPr>
          <w:lang w:val="de-DE"/>
        </w:rPr>
        <w:t xml:space="preserve">83. </w:t>
      </w:r>
      <w:r w:rsidRPr="00933DED">
        <w:rPr>
          <w:lang w:val="de-DE"/>
        </w:rPr>
        <w:tab/>
        <w:t xml:space="preserve">Ali M, Emch M, Seidlein L von, Yunus M, Sack DA, Rao M, et al. </w:t>
      </w:r>
      <w:r>
        <w:t xml:space="preserve">Herd immunity conferred by killed oral cholera vaccines in Bangladesh: a reanalysis. The Lancet. 2005 Jul 2;366(9479):44–9. </w:t>
      </w:r>
    </w:p>
    <w:p w14:paraId="12A6CE0D" w14:textId="77777777" w:rsidR="00345AF1" w:rsidRDefault="00345AF1" w:rsidP="00345AF1">
      <w:pPr>
        <w:pStyle w:val="Bibliography"/>
      </w:pPr>
      <w:r>
        <w:lastRenderedPageBreak/>
        <w:t xml:space="preserve">84. </w:t>
      </w:r>
      <w:r>
        <w:tab/>
        <w:t xml:space="preserve">Wiens KE, Xu H, Zou K, Mwaba J, Lessler J, Malembaka EB, et al. Estimating the proportion of clinically suspected cholera cases that are true Vibrio cholerae infections: A systematic review and meta-analysis. PLoS Med. 2023 Sep;20(9):e1004286. </w:t>
      </w:r>
    </w:p>
    <w:p w14:paraId="243B8D0F" w14:textId="77777777" w:rsidR="00345AF1" w:rsidRDefault="00345AF1" w:rsidP="00345AF1">
      <w:pPr>
        <w:pStyle w:val="Bibliography"/>
      </w:pPr>
      <w:r>
        <w:t xml:space="preserve">85. </w:t>
      </w:r>
      <w:r>
        <w:tab/>
        <w:t xml:space="preserve">Wiens KE, Miller MH, Costello DJ, Solomon AP, Hilbert SM, Shipper AG, et al. Care-seeking for diarrheal illness: A systematic review and meta-analysis. PLOS Glob Public Health. 2025 Apr 22;5(4):e0004483. </w:t>
      </w:r>
    </w:p>
    <w:p w14:paraId="42A40EB1" w14:textId="482AC951" w:rsidR="0091469E" w:rsidRPr="006C2B5B" w:rsidRDefault="0091469E" w:rsidP="00F57F15">
      <w:pPr>
        <w:rPr>
          <w:lang w:val="de-DE"/>
        </w:rPr>
      </w:pPr>
      <w:r w:rsidRPr="00097432">
        <w:rPr>
          <w:lang w:val="de-DE"/>
        </w:rPr>
        <w:fldChar w:fldCharType="end"/>
      </w:r>
    </w:p>
    <w:sectPr w:rsidR="0091469E" w:rsidRPr="006C2B5B">
      <w:pgSz w:w="12240" w:h="15840"/>
      <w:pgMar w:top="1440" w:right="135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97149" w14:textId="77777777" w:rsidR="00996781" w:rsidRDefault="00996781" w:rsidP="00F57F15">
      <w:r>
        <w:separator/>
      </w:r>
    </w:p>
  </w:endnote>
  <w:endnote w:type="continuationSeparator" w:id="0">
    <w:p w14:paraId="4D629A0C" w14:textId="77777777" w:rsidR="00996781" w:rsidRDefault="00996781" w:rsidP="00F57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FFA77" w14:textId="77777777" w:rsidR="00996781" w:rsidRDefault="00996781" w:rsidP="00F57F15">
      <w:r>
        <w:separator/>
      </w:r>
    </w:p>
  </w:footnote>
  <w:footnote w:type="continuationSeparator" w:id="0">
    <w:p w14:paraId="1355C9D3" w14:textId="77777777" w:rsidR="00996781" w:rsidRDefault="00996781" w:rsidP="00F57F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A48CA"/>
    <w:multiLevelType w:val="hybridMultilevel"/>
    <w:tmpl w:val="1FE05C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2B433B"/>
    <w:multiLevelType w:val="hybridMultilevel"/>
    <w:tmpl w:val="131A2FDA"/>
    <w:lvl w:ilvl="0" w:tplc="1DC452E8">
      <w:numFmt w:val="bullet"/>
      <w:lvlText w:val="-"/>
      <w:lvlJc w:val="left"/>
      <w:pPr>
        <w:ind w:left="720" w:hanging="360"/>
      </w:pPr>
      <w:rPr>
        <w:rFonts w:ascii="Aptos" w:eastAsiaTheme="minorEastAsia"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D07E53"/>
    <w:multiLevelType w:val="multilevel"/>
    <w:tmpl w:val="259C5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36356A"/>
    <w:multiLevelType w:val="multilevel"/>
    <w:tmpl w:val="B78C2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E9099E"/>
    <w:multiLevelType w:val="hybridMultilevel"/>
    <w:tmpl w:val="86E0B92E"/>
    <w:lvl w:ilvl="0" w:tplc="D5E402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5B181D"/>
    <w:multiLevelType w:val="hybridMultilevel"/>
    <w:tmpl w:val="394C84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0778D7"/>
    <w:multiLevelType w:val="hybridMultilevel"/>
    <w:tmpl w:val="FD08CC8A"/>
    <w:lvl w:ilvl="0" w:tplc="8A0C8C5A">
      <w:numFmt w:val="bullet"/>
      <w:lvlText w:val=""/>
      <w:lvlJc w:val="left"/>
      <w:pPr>
        <w:ind w:left="720" w:hanging="360"/>
      </w:pPr>
      <w:rPr>
        <w:rFonts w:ascii="Symbol" w:eastAsiaTheme="minorEastAsi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2F4EC8"/>
    <w:multiLevelType w:val="hybridMultilevel"/>
    <w:tmpl w:val="ACBE8B24"/>
    <w:lvl w:ilvl="0" w:tplc="15D84904">
      <w:numFmt w:val="bullet"/>
      <w:lvlText w:val=""/>
      <w:lvlJc w:val="left"/>
      <w:pPr>
        <w:ind w:left="360" w:hanging="360"/>
      </w:pPr>
      <w:rPr>
        <w:rFonts w:ascii="Symbol" w:eastAsiaTheme="minorEastAsia" w:hAnsi="Symbo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18E7AE1"/>
    <w:multiLevelType w:val="multilevel"/>
    <w:tmpl w:val="B3ECED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3E11695"/>
    <w:multiLevelType w:val="multilevel"/>
    <w:tmpl w:val="ED7EA3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D9729BE"/>
    <w:multiLevelType w:val="multilevel"/>
    <w:tmpl w:val="1444CE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F3E1DC1"/>
    <w:multiLevelType w:val="multilevel"/>
    <w:tmpl w:val="682CE6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1EA27E4"/>
    <w:multiLevelType w:val="hybridMultilevel"/>
    <w:tmpl w:val="865CEC2A"/>
    <w:lvl w:ilvl="0" w:tplc="4A2E18D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7950DA9"/>
    <w:multiLevelType w:val="hybridMultilevel"/>
    <w:tmpl w:val="7F683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2358A6"/>
    <w:multiLevelType w:val="hybridMultilevel"/>
    <w:tmpl w:val="5E765FE8"/>
    <w:lvl w:ilvl="0" w:tplc="D7AA2784">
      <w:numFmt w:val="bullet"/>
      <w:lvlText w:val="-"/>
      <w:lvlJc w:val="left"/>
      <w:pPr>
        <w:ind w:left="720" w:hanging="360"/>
      </w:pPr>
      <w:rPr>
        <w:rFonts w:ascii="Aptos" w:eastAsiaTheme="minorEastAsia"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2390957">
    <w:abstractNumId w:val="9"/>
  </w:num>
  <w:num w:numId="2" w16cid:durableId="1849833219">
    <w:abstractNumId w:val="8"/>
  </w:num>
  <w:num w:numId="3" w16cid:durableId="298729548">
    <w:abstractNumId w:val="11"/>
  </w:num>
  <w:num w:numId="4" w16cid:durableId="1003583786">
    <w:abstractNumId w:val="10"/>
  </w:num>
  <w:num w:numId="5" w16cid:durableId="1532298304">
    <w:abstractNumId w:val="2"/>
  </w:num>
  <w:num w:numId="6" w16cid:durableId="1729299850">
    <w:abstractNumId w:val="12"/>
  </w:num>
  <w:num w:numId="7" w16cid:durableId="1717197053">
    <w:abstractNumId w:val="5"/>
  </w:num>
  <w:num w:numId="8" w16cid:durableId="754012049">
    <w:abstractNumId w:val="6"/>
  </w:num>
  <w:num w:numId="9" w16cid:durableId="593559745">
    <w:abstractNumId w:val="0"/>
  </w:num>
  <w:num w:numId="10" w16cid:durableId="1431730596">
    <w:abstractNumId w:val="13"/>
  </w:num>
  <w:num w:numId="11" w16cid:durableId="1692105660">
    <w:abstractNumId w:val="3"/>
  </w:num>
  <w:num w:numId="12" w16cid:durableId="1975403864">
    <w:abstractNumId w:val="7"/>
  </w:num>
  <w:num w:numId="13" w16cid:durableId="449861837">
    <w:abstractNumId w:val="14"/>
  </w:num>
  <w:num w:numId="14" w16cid:durableId="499781609">
    <w:abstractNumId w:val="1"/>
  </w:num>
  <w:num w:numId="15" w16cid:durableId="2741449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52A"/>
    <w:rsid w:val="00000724"/>
    <w:rsid w:val="00000FB2"/>
    <w:rsid w:val="000010BB"/>
    <w:rsid w:val="00001A62"/>
    <w:rsid w:val="00001FA9"/>
    <w:rsid w:val="0000324B"/>
    <w:rsid w:val="00003973"/>
    <w:rsid w:val="00004AA3"/>
    <w:rsid w:val="00005545"/>
    <w:rsid w:val="00005E29"/>
    <w:rsid w:val="00005F2F"/>
    <w:rsid w:val="00007059"/>
    <w:rsid w:val="00010892"/>
    <w:rsid w:val="00010E50"/>
    <w:rsid w:val="00011160"/>
    <w:rsid w:val="00012CE2"/>
    <w:rsid w:val="0001318D"/>
    <w:rsid w:val="00014662"/>
    <w:rsid w:val="000156F0"/>
    <w:rsid w:val="0001799C"/>
    <w:rsid w:val="00020AD1"/>
    <w:rsid w:val="0002170C"/>
    <w:rsid w:val="000218B3"/>
    <w:rsid w:val="00022BDE"/>
    <w:rsid w:val="00022FC0"/>
    <w:rsid w:val="00023E55"/>
    <w:rsid w:val="00024C43"/>
    <w:rsid w:val="00025C83"/>
    <w:rsid w:val="00027492"/>
    <w:rsid w:val="00027F63"/>
    <w:rsid w:val="000305FB"/>
    <w:rsid w:val="000331C4"/>
    <w:rsid w:val="00035690"/>
    <w:rsid w:val="0003720E"/>
    <w:rsid w:val="00037AA9"/>
    <w:rsid w:val="000403F9"/>
    <w:rsid w:val="00040BD4"/>
    <w:rsid w:val="00042679"/>
    <w:rsid w:val="00043731"/>
    <w:rsid w:val="000450ED"/>
    <w:rsid w:val="00045F82"/>
    <w:rsid w:val="00046B2E"/>
    <w:rsid w:val="00047646"/>
    <w:rsid w:val="000479E2"/>
    <w:rsid w:val="00047A71"/>
    <w:rsid w:val="0005039D"/>
    <w:rsid w:val="00050D62"/>
    <w:rsid w:val="000519B7"/>
    <w:rsid w:val="00052116"/>
    <w:rsid w:val="0005281F"/>
    <w:rsid w:val="00053C6E"/>
    <w:rsid w:val="00055BEE"/>
    <w:rsid w:val="00057845"/>
    <w:rsid w:val="00057A1B"/>
    <w:rsid w:val="000609D7"/>
    <w:rsid w:val="00060ABE"/>
    <w:rsid w:val="000624FB"/>
    <w:rsid w:val="00062CE1"/>
    <w:rsid w:val="00064F4D"/>
    <w:rsid w:val="00065EB1"/>
    <w:rsid w:val="000661EB"/>
    <w:rsid w:val="00070B6A"/>
    <w:rsid w:val="000710D2"/>
    <w:rsid w:val="000716EF"/>
    <w:rsid w:val="00071795"/>
    <w:rsid w:val="0007207C"/>
    <w:rsid w:val="00072756"/>
    <w:rsid w:val="000728F0"/>
    <w:rsid w:val="00072A95"/>
    <w:rsid w:val="0007373B"/>
    <w:rsid w:val="00074046"/>
    <w:rsid w:val="00074500"/>
    <w:rsid w:val="0007515D"/>
    <w:rsid w:val="000755AF"/>
    <w:rsid w:val="00075E89"/>
    <w:rsid w:val="0007624C"/>
    <w:rsid w:val="000767F9"/>
    <w:rsid w:val="000803BB"/>
    <w:rsid w:val="00081747"/>
    <w:rsid w:val="000820C7"/>
    <w:rsid w:val="000825FA"/>
    <w:rsid w:val="000849A1"/>
    <w:rsid w:val="00085539"/>
    <w:rsid w:val="00085FFA"/>
    <w:rsid w:val="00086418"/>
    <w:rsid w:val="000875D9"/>
    <w:rsid w:val="00090679"/>
    <w:rsid w:val="000919B3"/>
    <w:rsid w:val="00093035"/>
    <w:rsid w:val="00093854"/>
    <w:rsid w:val="00094387"/>
    <w:rsid w:val="00094E23"/>
    <w:rsid w:val="00095C04"/>
    <w:rsid w:val="0009602B"/>
    <w:rsid w:val="0009703A"/>
    <w:rsid w:val="00097432"/>
    <w:rsid w:val="000A03AC"/>
    <w:rsid w:val="000A0FAC"/>
    <w:rsid w:val="000A2346"/>
    <w:rsid w:val="000A2E51"/>
    <w:rsid w:val="000A3B2F"/>
    <w:rsid w:val="000A4527"/>
    <w:rsid w:val="000A4996"/>
    <w:rsid w:val="000A4EDF"/>
    <w:rsid w:val="000A5801"/>
    <w:rsid w:val="000A5AD1"/>
    <w:rsid w:val="000A7845"/>
    <w:rsid w:val="000A78DF"/>
    <w:rsid w:val="000A7AD8"/>
    <w:rsid w:val="000A7BEE"/>
    <w:rsid w:val="000B24B0"/>
    <w:rsid w:val="000B2C70"/>
    <w:rsid w:val="000B37F2"/>
    <w:rsid w:val="000B5A14"/>
    <w:rsid w:val="000B6308"/>
    <w:rsid w:val="000B75AF"/>
    <w:rsid w:val="000C0BD4"/>
    <w:rsid w:val="000C4FE2"/>
    <w:rsid w:val="000C5195"/>
    <w:rsid w:val="000C5397"/>
    <w:rsid w:val="000C5DDE"/>
    <w:rsid w:val="000C678D"/>
    <w:rsid w:val="000C7D0B"/>
    <w:rsid w:val="000D043A"/>
    <w:rsid w:val="000D0A1C"/>
    <w:rsid w:val="000D0FFD"/>
    <w:rsid w:val="000D1E3D"/>
    <w:rsid w:val="000D2A12"/>
    <w:rsid w:val="000D2FDB"/>
    <w:rsid w:val="000D35EF"/>
    <w:rsid w:val="000D3CDC"/>
    <w:rsid w:val="000D3E63"/>
    <w:rsid w:val="000D466C"/>
    <w:rsid w:val="000D5217"/>
    <w:rsid w:val="000D65BA"/>
    <w:rsid w:val="000D6FC6"/>
    <w:rsid w:val="000E034B"/>
    <w:rsid w:val="000E0F95"/>
    <w:rsid w:val="000E1399"/>
    <w:rsid w:val="000E2C01"/>
    <w:rsid w:val="000E2CA2"/>
    <w:rsid w:val="000E2F5A"/>
    <w:rsid w:val="000E32B7"/>
    <w:rsid w:val="000E3795"/>
    <w:rsid w:val="000E5B51"/>
    <w:rsid w:val="000E65CD"/>
    <w:rsid w:val="000E7738"/>
    <w:rsid w:val="000F002E"/>
    <w:rsid w:val="000F04AE"/>
    <w:rsid w:val="000F1A86"/>
    <w:rsid w:val="000F1E7B"/>
    <w:rsid w:val="000F230E"/>
    <w:rsid w:val="000F26E2"/>
    <w:rsid w:val="000F3789"/>
    <w:rsid w:val="000F37C7"/>
    <w:rsid w:val="000F4FE8"/>
    <w:rsid w:val="000F5005"/>
    <w:rsid w:val="000F56BB"/>
    <w:rsid w:val="000F5F59"/>
    <w:rsid w:val="000F7281"/>
    <w:rsid w:val="000F7C2D"/>
    <w:rsid w:val="00100009"/>
    <w:rsid w:val="00100FD9"/>
    <w:rsid w:val="00100FEE"/>
    <w:rsid w:val="00101F19"/>
    <w:rsid w:val="00102822"/>
    <w:rsid w:val="0010342D"/>
    <w:rsid w:val="00103C17"/>
    <w:rsid w:val="00103C77"/>
    <w:rsid w:val="00104F1B"/>
    <w:rsid w:val="00106E6B"/>
    <w:rsid w:val="00107572"/>
    <w:rsid w:val="001108E3"/>
    <w:rsid w:val="001116CD"/>
    <w:rsid w:val="00114033"/>
    <w:rsid w:val="00115C22"/>
    <w:rsid w:val="00115FDE"/>
    <w:rsid w:val="001170DE"/>
    <w:rsid w:val="00117ADF"/>
    <w:rsid w:val="00117F81"/>
    <w:rsid w:val="00120C9F"/>
    <w:rsid w:val="0012237A"/>
    <w:rsid w:val="001224F4"/>
    <w:rsid w:val="001228B8"/>
    <w:rsid w:val="001230D6"/>
    <w:rsid w:val="0012374A"/>
    <w:rsid w:val="0012429E"/>
    <w:rsid w:val="00124556"/>
    <w:rsid w:val="00124F65"/>
    <w:rsid w:val="001277F5"/>
    <w:rsid w:val="00130379"/>
    <w:rsid w:val="00131310"/>
    <w:rsid w:val="00131323"/>
    <w:rsid w:val="00132EDE"/>
    <w:rsid w:val="001335AA"/>
    <w:rsid w:val="00133C0C"/>
    <w:rsid w:val="00134155"/>
    <w:rsid w:val="00134353"/>
    <w:rsid w:val="0013470C"/>
    <w:rsid w:val="00134978"/>
    <w:rsid w:val="00134B7C"/>
    <w:rsid w:val="00134F8D"/>
    <w:rsid w:val="00136FB6"/>
    <w:rsid w:val="00137A5B"/>
    <w:rsid w:val="00140B11"/>
    <w:rsid w:val="00141D83"/>
    <w:rsid w:val="001423A7"/>
    <w:rsid w:val="001449D6"/>
    <w:rsid w:val="0014585F"/>
    <w:rsid w:val="00145F73"/>
    <w:rsid w:val="00146AA8"/>
    <w:rsid w:val="0014740B"/>
    <w:rsid w:val="001475F2"/>
    <w:rsid w:val="00147A40"/>
    <w:rsid w:val="00150276"/>
    <w:rsid w:val="001505F0"/>
    <w:rsid w:val="001515E1"/>
    <w:rsid w:val="00152955"/>
    <w:rsid w:val="0015324B"/>
    <w:rsid w:val="00154F88"/>
    <w:rsid w:val="0015506C"/>
    <w:rsid w:val="0015596C"/>
    <w:rsid w:val="0015666A"/>
    <w:rsid w:val="00156EEE"/>
    <w:rsid w:val="001571CE"/>
    <w:rsid w:val="001571FC"/>
    <w:rsid w:val="0016071A"/>
    <w:rsid w:val="00161527"/>
    <w:rsid w:val="00161657"/>
    <w:rsid w:val="001616DF"/>
    <w:rsid w:val="001634F3"/>
    <w:rsid w:val="001639F0"/>
    <w:rsid w:val="0016449B"/>
    <w:rsid w:val="001649DA"/>
    <w:rsid w:val="00165D50"/>
    <w:rsid w:val="001662F3"/>
    <w:rsid w:val="00166ED8"/>
    <w:rsid w:val="0016701D"/>
    <w:rsid w:val="0016732A"/>
    <w:rsid w:val="001674DA"/>
    <w:rsid w:val="0016770F"/>
    <w:rsid w:val="00167CDD"/>
    <w:rsid w:val="00167EB9"/>
    <w:rsid w:val="0017083E"/>
    <w:rsid w:val="0017253B"/>
    <w:rsid w:val="00173B6F"/>
    <w:rsid w:val="0017455F"/>
    <w:rsid w:val="00174817"/>
    <w:rsid w:val="00174BB1"/>
    <w:rsid w:val="00174EE8"/>
    <w:rsid w:val="00174F30"/>
    <w:rsid w:val="00175A98"/>
    <w:rsid w:val="00176383"/>
    <w:rsid w:val="0017755B"/>
    <w:rsid w:val="001808BC"/>
    <w:rsid w:val="00180BB1"/>
    <w:rsid w:val="001817B1"/>
    <w:rsid w:val="00181EAE"/>
    <w:rsid w:val="00182003"/>
    <w:rsid w:val="00182739"/>
    <w:rsid w:val="00183AE5"/>
    <w:rsid w:val="00184257"/>
    <w:rsid w:val="001865A9"/>
    <w:rsid w:val="00186FD2"/>
    <w:rsid w:val="001877A8"/>
    <w:rsid w:val="00191FD8"/>
    <w:rsid w:val="001922C4"/>
    <w:rsid w:val="00192996"/>
    <w:rsid w:val="00192BA6"/>
    <w:rsid w:val="0019309B"/>
    <w:rsid w:val="00193B39"/>
    <w:rsid w:val="001946A6"/>
    <w:rsid w:val="00195330"/>
    <w:rsid w:val="001956AD"/>
    <w:rsid w:val="00195CA7"/>
    <w:rsid w:val="0019638F"/>
    <w:rsid w:val="00196645"/>
    <w:rsid w:val="00196699"/>
    <w:rsid w:val="00196E6D"/>
    <w:rsid w:val="001974F8"/>
    <w:rsid w:val="001A0191"/>
    <w:rsid w:val="001A0B1C"/>
    <w:rsid w:val="001A205D"/>
    <w:rsid w:val="001A384C"/>
    <w:rsid w:val="001A4257"/>
    <w:rsid w:val="001A6738"/>
    <w:rsid w:val="001A6CC0"/>
    <w:rsid w:val="001A76C9"/>
    <w:rsid w:val="001A7A89"/>
    <w:rsid w:val="001B04AC"/>
    <w:rsid w:val="001B12D1"/>
    <w:rsid w:val="001B145A"/>
    <w:rsid w:val="001B188C"/>
    <w:rsid w:val="001B2273"/>
    <w:rsid w:val="001B37F0"/>
    <w:rsid w:val="001B3C48"/>
    <w:rsid w:val="001B5238"/>
    <w:rsid w:val="001B6966"/>
    <w:rsid w:val="001B6A9C"/>
    <w:rsid w:val="001B6C05"/>
    <w:rsid w:val="001B6E25"/>
    <w:rsid w:val="001C09B1"/>
    <w:rsid w:val="001C0FB2"/>
    <w:rsid w:val="001C10AC"/>
    <w:rsid w:val="001C35C1"/>
    <w:rsid w:val="001C39C3"/>
    <w:rsid w:val="001C3B6B"/>
    <w:rsid w:val="001C64F9"/>
    <w:rsid w:val="001C6BD0"/>
    <w:rsid w:val="001C7874"/>
    <w:rsid w:val="001D17B5"/>
    <w:rsid w:val="001D2427"/>
    <w:rsid w:val="001D272D"/>
    <w:rsid w:val="001D33D5"/>
    <w:rsid w:val="001D3E8B"/>
    <w:rsid w:val="001E0554"/>
    <w:rsid w:val="001E16B3"/>
    <w:rsid w:val="001E21A7"/>
    <w:rsid w:val="001E22BA"/>
    <w:rsid w:val="001E299C"/>
    <w:rsid w:val="001E2D3A"/>
    <w:rsid w:val="001E3264"/>
    <w:rsid w:val="001E3E70"/>
    <w:rsid w:val="001E41A9"/>
    <w:rsid w:val="001E504F"/>
    <w:rsid w:val="001E5B2B"/>
    <w:rsid w:val="001E5CDB"/>
    <w:rsid w:val="001E653C"/>
    <w:rsid w:val="001E69BC"/>
    <w:rsid w:val="001E7B18"/>
    <w:rsid w:val="001E7F0C"/>
    <w:rsid w:val="001F0D9E"/>
    <w:rsid w:val="001F1759"/>
    <w:rsid w:val="001F2A6D"/>
    <w:rsid w:val="001F327A"/>
    <w:rsid w:val="001F5079"/>
    <w:rsid w:val="001F57A9"/>
    <w:rsid w:val="002007F1"/>
    <w:rsid w:val="002024E0"/>
    <w:rsid w:val="002028D0"/>
    <w:rsid w:val="00202AB1"/>
    <w:rsid w:val="00203322"/>
    <w:rsid w:val="0020460F"/>
    <w:rsid w:val="0020523E"/>
    <w:rsid w:val="002063E9"/>
    <w:rsid w:val="002067FA"/>
    <w:rsid w:val="00207817"/>
    <w:rsid w:val="002111D9"/>
    <w:rsid w:val="00211686"/>
    <w:rsid w:val="0021189F"/>
    <w:rsid w:val="002120F9"/>
    <w:rsid w:val="00212C31"/>
    <w:rsid w:val="00212CB9"/>
    <w:rsid w:val="00212E4F"/>
    <w:rsid w:val="00214279"/>
    <w:rsid w:val="002146B4"/>
    <w:rsid w:val="00214C1B"/>
    <w:rsid w:val="00214CFE"/>
    <w:rsid w:val="00215147"/>
    <w:rsid w:val="00215D13"/>
    <w:rsid w:val="002172B7"/>
    <w:rsid w:val="002173D7"/>
    <w:rsid w:val="00220167"/>
    <w:rsid w:val="00220AC2"/>
    <w:rsid w:val="00220F78"/>
    <w:rsid w:val="00221068"/>
    <w:rsid w:val="00223F81"/>
    <w:rsid w:val="0022547D"/>
    <w:rsid w:val="00225579"/>
    <w:rsid w:val="00226CD4"/>
    <w:rsid w:val="002308AE"/>
    <w:rsid w:val="00232B0D"/>
    <w:rsid w:val="00233249"/>
    <w:rsid w:val="00235F5D"/>
    <w:rsid w:val="002360E5"/>
    <w:rsid w:val="002363B7"/>
    <w:rsid w:val="0023703C"/>
    <w:rsid w:val="0023763F"/>
    <w:rsid w:val="002419C3"/>
    <w:rsid w:val="00243E45"/>
    <w:rsid w:val="002450FE"/>
    <w:rsid w:val="00245E80"/>
    <w:rsid w:val="002463C5"/>
    <w:rsid w:val="00246F91"/>
    <w:rsid w:val="0024702D"/>
    <w:rsid w:val="00247AE3"/>
    <w:rsid w:val="00247AF8"/>
    <w:rsid w:val="00247D51"/>
    <w:rsid w:val="002501A0"/>
    <w:rsid w:val="00251406"/>
    <w:rsid w:val="00251C6C"/>
    <w:rsid w:val="00251C88"/>
    <w:rsid w:val="00252492"/>
    <w:rsid w:val="00253023"/>
    <w:rsid w:val="0025318A"/>
    <w:rsid w:val="00253C84"/>
    <w:rsid w:val="00253ECE"/>
    <w:rsid w:val="00254589"/>
    <w:rsid w:val="0025471D"/>
    <w:rsid w:val="00254DC1"/>
    <w:rsid w:val="0025523E"/>
    <w:rsid w:val="0025538F"/>
    <w:rsid w:val="0025785D"/>
    <w:rsid w:val="0026045A"/>
    <w:rsid w:val="00260A60"/>
    <w:rsid w:val="00260FB8"/>
    <w:rsid w:val="002612A7"/>
    <w:rsid w:val="00261A6A"/>
    <w:rsid w:val="00262CE6"/>
    <w:rsid w:val="0026334F"/>
    <w:rsid w:val="0026353F"/>
    <w:rsid w:val="002639AF"/>
    <w:rsid w:val="00263C80"/>
    <w:rsid w:val="00264BFF"/>
    <w:rsid w:val="00265040"/>
    <w:rsid w:val="002655D6"/>
    <w:rsid w:val="00265B1D"/>
    <w:rsid w:val="00266AD3"/>
    <w:rsid w:val="002701EC"/>
    <w:rsid w:val="00271280"/>
    <w:rsid w:val="00271E11"/>
    <w:rsid w:val="00272A96"/>
    <w:rsid w:val="00273BBB"/>
    <w:rsid w:val="00274651"/>
    <w:rsid w:val="002757A5"/>
    <w:rsid w:val="00275E2A"/>
    <w:rsid w:val="00276DCB"/>
    <w:rsid w:val="00277F78"/>
    <w:rsid w:val="00280018"/>
    <w:rsid w:val="00281BA4"/>
    <w:rsid w:val="002837D3"/>
    <w:rsid w:val="00284065"/>
    <w:rsid w:val="00284399"/>
    <w:rsid w:val="0028464C"/>
    <w:rsid w:val="00284D30"/>
    <w:rsid w:val="00285501"/>
    <w:rsid w:val="00286E84"/>
    <w:rsid w:val="00286EAF"/>
    <w:rsid w:val="00287384"/>
    <w:rsid w:val="00287A3F"/>
    <w:rsid w:val="002903B8"/>
    <w:rsid w:val="002914FA"/>
    <w:rsid w:val="002929F4"/>
    <w:rsid w:val="00294FF7"/>
    <w:rsid w:val="00295B3F"/>
    <w:rsid w:val="00296776"/>
    <w:rsid w:val="0029688A"/>
    <w:rsid w:val="00297A73"/>
    <w:rsid w:val="002A0203"/>
    <w:rsid w:val="002A0E0B"/>
    <w:rsid w:val="002A15F7"/>
    <w:rsid w:val="002A19C9"/>
    <w:rsid w:val="002A46E4"/>
    <w:rsid w:val="002A5036"/>
    <w:rsid w:val="002A529C"/>
    <w:rsid w:val="002A552A"/>
    <w:rsid w:val="002A59A5"/>
    <w:rsid w:val="002A5F03"/>
    <w:rsid w:val="002B04F2"/>
    <w:rsid w:val="002B1055"/>
    <w:rsid w:val="002B189F"/>
    <w:rsid w:val="002B205D"/>
    <w:rsid w:val="002B3301"/>
    <w:rsid w:val="002B33FC"/>
    <w:rsid w:val="002B35D1"/>
    <w:rsid w:val="002B4315"/>
    <w:rsid w:val="002B71D9"/>
    <w:rsid w:val="002B77C2"/>
    <w:rsid w:val="002C02A8"/>
    <w:rsid w:val="002C1100"/>
    <w:rsid w:val="002C183E"/>
    <w:rsid w:val="002C1FE4"/>
    <w:rsid w:val="002C2B64"/>
    <w:rsid w:val="002C39A5"/>
    <w:rsid w:val="002C52B0"/>
    <w:rsid w:val="002C5A21"/>
    <w:rsid w:val="002C6BF1"/>
    <w:rsid w:val="002C6E6D"/>
    <w:rsid w:val="002C71B2"/>
    <w:rsid w:val="002C7D9B"/>
    <w:rsid w:val="002D0828"/>
    <w:rsid w:val="002D2C53"/>
    <w:rsid w:val="002D36BC"/>
    <w:rsid w:val="002D44D8"/>
    <w:rsid w:val="002D57F4"/>
    <w:rsid w:val="002D642D"/>
    <w:rsid w:val="002D7D1D"/>
    <w:rsid w:val="002E0431"/>
    <w:rsid w:val="002E09E9"/>
    <w:rsid w:val="002E0E83"/>
    <w:rsid w:val="002E0EBE"/>
    <w:rsid w:val="002E16D5"/>
    <w:rsid w:val="002E331B"/>
    <w:rsid w:val="002E54AD"/>
    <w:rsid w:val="002E5B0B"/>
    <w:rsid w:val="002E66E2"/>
    <w:rsid w:val="002E787E"/>
    <w:rsid w:val="002E796C"/>
    <w:rsid w:val="002F1047"/>
    <w:rsid w:val="002F154A"/>
    <w:rsid w:val="002F2AFC"/>
    <w:rsid w:val="002F33F3"/>
    <w:rsid w:val="002F34DA"/>
    <w:rsid w:val="002F366D"/>
    <w:rsid w:val="002F4DDC"/>
    <w:rsid w:val="002F4DEA"/>
    <w:rsid w:val="002F5474"/>
    <w:rsid w:val="002F5C26"/>
    <w:rsid w:val="00300523"/>
    <w:rsid w:val="00300539"/>
    <w:rsid w:val="0030297E"/>
    <w:rsid w:val="00302AD4"/>
    <w:rsid w:val="00302AF8"/>
    <w:rsid w:val="0030376B"/>
    <w:rsid w:val="00304010"/>
    <w:rsid w:val="00304335"/>
    <w:rsid w:val="00304BD3"/>
    <w:rsid w:val="0030503D"/>
    <w:rsid w:val="00306905"/>
    <w:rsid w:val="00307055"/>
    <w:rsid w:val="0030720A"/>
    <w:rsid w:val="00310E1A"/>
    <w:rsid w:val="00315337"/>
    <w:rsid w:val="003161D9"/>
    <w:rsid w:val="00320574"/>
    <w:rsid w:val="003221D2"/>
    <w:rsid w:val="0032337A"/>
    <w:rsid w:val="0032574E"/>
    <w:rsid w:val="003266E3"/>
    <w:rsid w:val="0032689C"/>
    <w:rsid w:val="00327B42"/>
    <w:rsid w:val="003307B7"/>
    <w:rsid w:val="003330B0"/>
    <w:rsid w:val="0033445E"/>
    <w:rsid w:val="00334A5E"/>
    <w:rsid w:val="00334EF6"/>
    <w:rsid w:val="00335CC0"/>
    <w:rsid w:val="00335DAD"/>
    <w:rsid w:val="003360F7"/>
    <w:rsid w:val="003363F2"/>
    <w:rsid w:val="00336981"/>
    <w:rsid w:val="00336F2C"/>
    <w:rsid w:val="0034061A"/>
    <w:rsid w:val="0034118F"/>
    <w:rsid w:val="0034167F"/>
    <w:rsid w:val="00343482"/>
    <w:rsid w:val="00343E90"/>
    <w:rsid w:val="00343F62"/>
    <w:rsid w:val="003440A6"/>
    <w:rsid w:val="00344F4D"/>
    <w:rsid w:val="00345AF1"/>
    <w:rsid w:val="003476FD"/>
    <w:rsid w:val="00347F99"/>
    <w:rsid w:val="00350089"/>
    <w:rsid w:val="00353996"/>
    <w:rsid w:val="00353A49"/>
    <w:rsid w:val="00355255"/>
    <w:rsid w:val="00356B8A"/>
    <w:rsid w:val="00356BCD"/>
    <w:rsid w:val="00360DA3"/>
    <w:rsid w:val="00360E33"/>
    <w:rsid w:val="00360F50"/>
    <w:rsid w:val="0036194A"/>
    <w:rsid w:val="00361A6D"/>
    <w:rsid w:val="0036255C"/>
    <w:rsid w:val="00362788"/>
    <w:rsid w:val="00362D1D"/>
    <w:rsid w:val="003632A2"/>
    <w:rsid w:val="00363CA5"/>
    <w:rsid w:val="00364F26"/>
    <w:rsid w:val="003650D5"/>
    <w:rsid w:val="00365754"/>
    <w:rsid w:val="00367E6B"/>
    <w:rsid w:val="00367F77"/>
    <w:rsid w:val="0037037E"/>
    <w:rsid w:val="0037074F"/>
    <w:rsid w:val="003712A2"/>
    <w:rsid w:val="003715DC"/>
    <w:rsid w:val="00372943"/>
    <w:rsid w:val="003753A3"/>
    <w:rsid w:val="003753C9"/>
    <w:rsid w:val="00375913"/>
    <w:rsid w:val="0037598C"/>
    <w:rsid w:val="003763C0"/>
    <w:rsid w:val="00376562"/>
    <w:rsid w:val="00376D9C"/>
    <w:rsid w:val="003770F2"/>
    <w:rsid w:val="003801F9"/>
    <w:rsid w:val="00380964"/>
    <w:rsid w:val="00380A8A"/>
    <w:rsid w:val="003814DE"/>
    <w:rsid w:val="0038398C"/>
    <w:rsid w:val="003843EC"/>
    <w:rsid w:val="00385C39"/>
    <w:rsid w:val="00387E8F"/>
    <w:rsid w:val="003904FD"/>
    <w:rsid w:val="00390EF8"/>
    <w:rsid w:val="00390F55"/>
    <w:rsid w:val="00391694"/>
    <w:rsid w:val="003917BF"/>
    <w:rsid w:val="003921A0"/>
    <w:rsid w:val="00392F1E"/>
    <w:rsid w:val="0039389D"/>
    <w:rsid w:val="003938CB"/>
    <w:rsid w:val="00393E26"/>
    <w:rsid w:val="00394EA5"/>
    <w:rsid w:val="0039574C"/>
    <w:rsid w:val="00395BBC"/>
    <w:rsid w:val="003A060A"/>
    <w:rsid w:val="003A111A"/>
    <w:rsid w:val="003A206A"/>
    <w:rsid w:val="003A33CA"/>
    <w:rsid w:val="003A3B5A"/>
    <w:rsid w:val="003A3BDB"/>
    <w:rsid w:val="003A4C48"/>
    <w:rsid w:val="003A5092"/>
    <w:rsid w:val="003A519B"/>
    <w:rsid w:val="003A76F7"/>
    <w:rsid w:val="003B25CD"/>
    <w:rsid w:val="003B2FC4"/>
    <w:rsid w:val="003B3D47"/>
    <w:rsid w:val="003B42E6"/>
    <w:rsid w:val="003B456C"/>
    <w:rsid w:val="003B4ADA"/>
    <w:rsid w:val="003B5F48"/>
    <w:rsid w:val="003B6F7B"/>
    <w:rsid w:val="003B7D2B"/>
    <w:rsid w:val="003C06DC"/>
    <w:rsid w:val="003C118F"/>
    <w:rsid w:val="003C1AD2"/>
    <w:rsid w:val="003C4802"/>
    <w:rsid w:val="003C5D20"/>
    <w:rsid w:val="003C6173"/>
    <w:rsid w:val="003C6A0B"/>
    <w:rsid w:val="003C6E8E"/>
    <w:rsid w:val="003C7356"/>
    <w:rsid w:val="003C7620"/>
    <w:rsid w:val="003D01F6"/>
    <w:rsid w:val="003D1037"/>
    <w:rsid w:val="003D2996"/>
    <w:rsid w:val="003D2A90"/>
    <w:rsid w:val="003D2B3E"/>
    <w:rsid w:val="003D2CBE"/>
    <w:rsid w:val="003D31FB"/>
    <w:rsid w:val="003D3210"/>
    <w:rsid w:val="003D5658"/>
    <w:rsid w:val="003D5D81"/>
    <w:rsid w:val="003D620F"/>
    <w:rsid w:val="003D74EE"/>
    <w:rsid w:val="003D795F"/>
    <w:rsid w:val="003D7D41"/>
    <w:rsid w:val="003E0CDD"/>
    <w:rsid w:val="003E10F0"/>
    <w:rsid w:val="003E19A6"/>
    <w:rsid w:val="003E2188"/>
    <w:rsid w:val="003E6DE1"/>
    <w:rsid w:val="003E7E81"/>
    <w:rsid w:val="003F138B"/>
    <w:rsid w:val="003F3A8F"/>
    <w:rsid w:val="003F4FDB"/>
    <w:rsid w:val="003F51CF"/>
    <w:rsid w:val="003F557D"/>
    <w:rsid w:val="003F6F31"/>
    <w:rsid w:val="003F7330"/>
    <w:rsid w:val="003F7829"/>
    <w:rsid w:val="003F788D"/>
    <w:rsid w:val="0040123F"/>
    <w:rsid w:val="00401EA8"/>
    <w:rsid w:val="00402F66"/>
    <w:rsid w:val="0040353F"/>
    <w:rsid w:val="00403583"/>
    <w:rsid w:val="00403E1C"/>
    <w:rsid w:val="00405799"/>
    <w:rsid w:val="00407BAF"/>
    <w:rsid w:val="00407FC9"/>
    <w:rsid w:val="0041282D"/>
    <w:rsid w:val="00412CDE"/>
    <w:rsid w:val="00413F0C"/>
    <w:rsid w:val="00414133"/>
    <w:rsid w:val="00414FC2"/>
    <w:rsid w:val="00415280"/>
    <w:rsid w:val="004167C8"/>
    <w:rsid w:val="00416D80"/>
    <w:rsid w:val="00417190"/>
    <w:rsid w:val="00417331"/>
    <w:rsid w:val="00420814"/>
    <w:rsid w:val="00422D17"/>
    <w:rsid w:val="004238F7"/>
    <w:rsid w:val="0042420C"/>
    <w:rsid w:val="00425265"/>
    <w:rsid w:val="004257A0"/>
    <w:rsid w:val="00426996"/>
    <w:rsid w:val="00426D3F"/>
    <w:rsid w:val="00427562"/>
    <w:rsid w:val="00427B7F"/>
    <w:rsid w:val="00427DD4"/>
    <w:rsid w:val="00427FB4"/>
    <w:rsid w:val="0043069E"/>
    <w:rsid w:val="00431AA5"/>
    <w:rsid w:val="00431BC7"/>
    <w:rsid w:val="0043231C"/>
    <w:rsid w:val="0043279A"/>
    <w:rsid w:val="004327BB"/>
    <w:rsid w:val="004346B5"/>
    <w:rsid w:val="0043475A"/>
    <w:rsid w:val="00435373"/>
    <w:rsid w:val="004363E6"/>
    <w:rsid w:val="00436509"/>
    <w:rsid w:val="00436A92"/>
    <w:rsid w:val="00436F2C"/>
    <w:rsid w:val="0043769E"/>
    <w:rsid w:val="00440E95"/>
    <w:rsid w:val="0044305B"/>
    <w:rsid w:val="0044376F"/>
    <w:rsid w:val="0044382C"/>
    <w:rsid w:val="00443A82"/>
    <w:rsid w:val="00445A45"/>
    <w:rsid w:val="00451FBD"/>
    <w:rsid w:val="004529C0"/>
    <w:rsid w:val="004529D0"/>
    <w:rsid w:val="00452A8F"/>
    <w:rsid w:val="004558D7"/>
    <w:rsid w:val="00455A13"/>
    <w:rsid w:val="00457285"/>
    <w:rsid w:val="004615E8"/>
    <w:rsid w:val="00461F83"/>
    <w:rsid w:val="004632B6"/>
    <w:rsid w:val="004647EB"/>
    <w:rsid w:val="004649A2"/>
    <w:rsid w:val="00465F25"/>
    <w:rsid w:val="004669B4"/>
    <w:rsid w:val="0046747F"/>
    <w:rsid w:val="004677E4"/>
    <w:rsid w:val="00470261"/>
    <w:rsid w:val="00470B92"/>
    <w:rsid w:val="00470F26"/>
    <w:rsid w:val="00473939"/>
    <w:rsid w:val="00473C76"/>
    <w:rsid w:val="0047607C"/>
    <w:rsid w:val="0047646C"/>
    <w:rsid w:val="004775B5"/>
    <w:rsid w:val="004812B4"/>
    <w:rsid w:val="00483443"/>
    <w:rsid w:val="004848E4"/>
    <w:rsid w:val="004870F7"/>
    <w:rsid w:val="00487D19"/>
    <w:rsid w:val="0049047A"/>
    <w:rsid w:val="00492617"/>
    <w:rsid w:val="0049285E"/>
    <w:rsid w:val="00492A30"/>
    <w:rsid w:val="00494D92"/>
    <w:rsid w:val="00494EF3"/>
    <w:rsid w:val="00495335"/>
    <w:rsid w:val="0049571F"/>
    <w:rsid w:val="00495C19"/>
    <w:rsid w:val="0049683A"/>
    <w:rsid w:val="004972B9"/>
    <w:rsid w:val="00497ECC"/>
    <w:rsid w:val="004A0798"/>
    <w:rsid w:val="004A1600"/>
    <w:rsid w:val="004A1E65"/>
    <w:rsid w:val="004A3985"/>
    <w:rsid w:val="004A3E69"/>
    <w:rsid w:val="004A6BCD"/>
    <w:rsid w:val="004A6DA7"/>
    <w:rsid w:val="004B1084"/>
    <w:rsid w:val="004B10F8"/>
    <w:rsid w:val="004B3898"/>
    <w:rsid w:val="004B548D"/>
    <w:rsid w:val="004B551A"/>
    <w:rsid w:val="004B5AC7"/>
    <w:rsid w:val="004B675D"/>
    <w:rsid w:val="004C001F"/>
    <w:rsid w:val="004C26F5"/>
    <w:rsid w:val="004C3874"/>
    <w:rsid w:val="004C3BF3"/>
    <w:rsid w:val="004C4C27"/>
    <w:rsid w:val="004C522D"/>
    <w:rsid w:val="004C5274"/>
    <w:rsid w:val="004C56B5"/>
    <w:rsid w:val="004C58B7"/>
    <w:rsid w:val="004C5C36"/>
    <w:rsid w:val="004C5DC0"/>
    <w:rsid w:val="004C638A"/>
    <w:rsid w:val="004C6E24"/>
    <w:rsid w:val="004C7423"/>
    <w:rsid w:val="004C77B8"/>
    <w:rsid w:val="004D0E10"/>
    <w:rsid w:val="004D119E"/>
    <w:rsid w:val="004D1257"/>
    <w:rsid w:val="004D13A7"/>
    <w:rsid w:val="004D16A0"/>
    <w:rsid w:val="004D28B5"/>
    <w:rsid w:val="004D28B6"/>
    <w:rsid w:val="004D3BB4"/>
    <w:rsid w:val="004D45DB"/>
    <w:rsid w:val="004D461B"/>
    <w:rsid w:val="004D4FF7"/>
    <w:rsid w:val="004D5D19"/>
    <w:rsid w:val="004D644F"/>
    <w:rsid w:val="004D7362"/>
    <w:rsid w:val="004D77EE"/>
    <w:rsid w:val="004E0F2B"/>
    <w:rsid w:val="004E18AF"/>
    <w:rsid w:val="004E1BF2"/>
    <w:rsid w:val="004E2610"/>
    <w:rsid w:val="004E37E2"/>
    <w:rsid w:val="004E3B20"/>
    <w:rsid w:val="004E483E"/>
    <w:rsid w:val="004E4ED3"/>
    <w:rsid w:val="004E5977"/>
    <w:rsid w:val="004E5C8A"/>
    <w:rsid w:val="004E5D91"/>
    <w:rsid w:val="004E631B"/>
    <w:rsid w:val="004E6512"/>
    <w:rsid w:val="004E7CA8"/>
    <w:rsid w:val="004F0994"/>
    <w:rsid w:val="004F1918"/>
    <w:rsid w:val="004F1BC8"/>
    <w:rsid w:val="004F4187"/>
    <w:rsid w:val="004F43D6"/>
    <w:rsid w:val="004F5322"/>
    <w:rsid w:val="004F5DCD"/>
    <w:rsid w:val="004F5EC8"/>
    <w:rsid w:val="004F6579"/>
    <w:rsid w:val="004F7F79"/>
    <w:rsid w:val="004F7FEF"/>
    <w:rsid w:val="005014F9"/>
    <w:rsid w:val="00501B6A"/>
    <w:rsid w:val="00501BBD"/>
    <w:rsid w:val="00502700"/>
    <w:rsid w:val="00502DBB"/>
    <w:rsid w:val="00503102"/>
    <w:rsid w:val="00504935"/>
    <w:rsid w:val="0050673E"/>
    <w:rsid w:val="0050775B"/>
    <w:rsid w:val="005107E2"/>
    <w:rsid w:val="00510EE6"/>
    <w:rsid w:val="0051308E"/>
    <w:rsid w:val="00513813"/>
    <w:rsid w:val="00513AF0"/>
    <w:rsid w:val="005154CA"/>
    <w:rsid w:val="00515997"/>
    <w:rsid w:val="005162F7"/>
    <w:rsid w:val="00516652"/>
    <w:rsid w:val="00516690"/>
    <w:rsid w:val="00516E7C"/>
    <w:rsid w:val="00520F3D"/>
    <w:rsid w:val="00521BB7"/>
    <w:rsid w:val="005225FD"/>
    <w:rsid w:val="00523683"/>
    <w:rsid w:val="005237CA"/>
    <w:rsid w:val="00523E62"/>
    <w:rsid w:val="00523FF8"/>
    <w:rsid w:val="005246E0"/>
    <w:rsid w:val="0052511A"/>
    <w:rsid w:val="00525C84"/>
    <w:rsid w:val="00525D17"/>
    <w:rsid w:val="00526533"/>
    <w:rsid w:val="00526A9F"/>
    <w:rsid w:val="00526AE9"/>
    <w:rsid w:val="00526DD5"/>
    <w:rsid w:val="00530F5F"/>
    <w:rsid w:val="00531631"/>
    <w:rsid w:val="00532282"/>
    <w:rsid w:val="005346B5"/>
    <w:rsid w:val="00534B1A"/>
    <w:rsid w:val="0053626E"/>
    <w:rsid w:val="0053636D"/>
    <w:rsid w:val="005377FB"/>
    <w:rsid w:val="00540E73"/>
    <w:rsid w:val="00541763"/>
    <w:rsid w:val="00542CA3"/>
    <w:rsid w:val="00543F35"/>
    <w:rsid w:val="005445F0"/>
    <w:rsid w:val="00544F4F"/>
    <w:rsid w:val="005456BB"/>
    <w:rsid w:val="00547AA0"/>
    <w:rsid w:val="00547B10"/>
    <w:rsid w:val="00550A09"/>
    <w:rsid w:val="00551288"/>
    <w:rsid w:val="00551838"/>
    <w:rsid w:val="00554F75"/>
    <w:rsid w:val="00555116"/>
    <w:rsid w:val="005558E5"/>
    <w:rsid w:val="005560B3"/>
    <w:rsid w:val="00556E18"/>
    <w:rsid w:val="00556FEA"/>
    <w:rsid w:val="005578C4"/>
    <w:rsid w:val="00557A0F"/>
    <w:rsid w:val="00560048"/>
    <w:rsid w:val="005601C2"/>
    <w:rsid w:val="00561A48"/>
    <w:rsid w:val="005627AF"/>
    <w:rsid w:val="00563192"/>
    <w:rsid w:val="00563D63"/>
    <w:rsid w:val="00564106"/>
    <w:rsid w:val="005651E0"/>
    <w:rsid w:val="0056522C"/>
    <w:rsid w:val="005654E3"/>
    <w:rsid w:val="00565DAF"/>
    <w:rsid w:val="00566B40"/>
    <w:rsid w:val="005706E9"/>
    <w:rsid w:val="00573D44"/>
    <w:rsid w:val="005749EB"/>
    <w:rsid w:val="00576A40"/>
    <w:rsid w:val="005770C1"/>
    <w:rsid w:val="00577CB6"/>
    <w:rsid w:val="00577FFA"/>
    <w:rsid w:val="00580173"/>
    <w:rsid w:val="00581CC7"/>
    <w:rsid w:val="00582148"/>
    <w:rsid w:val="005822E0"/>
    <w:rsid w:val="00583485"/>
    <w:rsid w:val="00583882"/>
    <w:rsid w:val="005878EC"/>
    <w:rsid w:val="0059032A"/>
    <w:rsid w:val="00590500"/>
    <w:rsid w:val="00590AF1"/>
    <w:rsid w:val="00592F3F"/>
    <w:rsid w:val="00593F9A"/>
    <w:rsid w:val="005950F9"/>
    <w:rsid w:val="005961C4"/>
    <w:rsid w:val="00597188"/>
    <w:rsid w:val="00597A6C"/>
    <w:rsid w:val="00597CA1"/>
    <w:rsid w:val="005A20BB"/>
    <w:rsid w:val="005A383E"/>
    <w:rsid w:val="005A5E2C"/>
    <w:rsid w:val="005A687E"/>
    <w:rsid w:val="005A6991"/>
    <w:rsid w:val="005A7B66"/>
    <w:rsid w:val="005B080D"/>
    <w:rsid w:val="005B0AFB"/>
    <w:rsid w:val="005B0C0A"/>
    <w:rsid w:val="005B0FA2"/>
    <w:rsid w:val="005B1401"/>
    <w:rsid w:val="005B2CA9"/>
    <w:rsid w:val="005B32F8"/>
    <w:rsid w:val="005B3A97"/>
    <w:rsid w:val="005B4DD7"/>
    <w:rsid w:val="005B6CCE"/>
    <w:rsid w:val="005B6E32"/>
    <w:rsid w:val="005B721E"/>
    <w:rsid w:val="005C014B"/>
    <w:rsid w:val="005C0E72"/>
    <w:rsid w:val="005C12D6"/>
    <w:rsid w:val="005C14F9"/>
    <w:rsid w:val="005C18BB"/>
    <w:rsid w:val="005C235E"/>
    <w:rsid w:val="005C2A44"/>
    <w:rsid w:val="005C40AB"/>
    <w:rsid w:val="005C501B"/>
    <w:rsid w:val="005C5CC6"/>
    <w:rsid w:val="005C72C7"/>
    <w:rsid w:val="005C75E1"/>
    <w:rsid w:val="005C7DE2"/>
    <w:rsid w:val="005C7F58"/>
    <w:rsid w:val="005D05AD"/>
    <w:rsid w:val="005D2178"/>
    <w:rsid w:val="005D2A01"/>
    <w:rsid w:val="005D2F56"/>
    <w:rsid w:val="005D39E2"/>
    <w:rsid w:val="005D44F1"/>
    <w:rsid w:val="005D51E6"/>
    <w:rsid w:val="005D6407"/>
    <w:rsid w:val="005D6997"/>
    <w:rsid w:val="005D6D25"/>
    <w:rsid w:val="005D7F75"/>
    <w:rsid w:val="005E025B"/>
    <w:rsid w:val="005E04D5"/>
    <w:rsid w:val="005E0A44"/>
    <w:rsid w:val="005E30F2"/>
    <w:rsid w:val="005E4336"/>
    <w:rsid w:val="005E4B3F"/>
    <w:rsid w:val="005E5483"/>
    <w:rsid w:val="005E6186"/>
    <w:rsid w:val="005E780F"/>
    <w:rsid w:val="005E788D"/>
    <w:rsid w:val="005F0490"/>
    <w:rsid w:val="005F14F6"/>
    <w:rsid w:val="005F32E9"/>
    <w:rsid w:val="005F3D69"/>
    <w:rsid w:val="005F437C"/>
    <w:rsid w:val="005F48B6"/>
    <w:rsid w:val="005F4D12"/>
    <w:rsid w:val="005F4D63"/>
    <w:rsid w:val="005F544E"/>
    <w:rsid w:val="005F67E5"/>
    <w:rsid w:val="005F6B03"/>
    <w:rsid w:val="005F6C9D"/>
    <w:rsid w:val="005F7CED"/>
    <w:rsid w:val="0060045E"/>
    <w:rsid w:val="0060105D"/>
    <w:rsid w:val="006017DB"/>
    <w:rsid w:val="00605DB4"/>
    <w:rsid w:val="0060756B"/>
    <w:rsid w:val="00607693"/>
    <w:rsid w:val="00610043"/>
    <w:rsid w:val="00610BC6"/>
    <w:rsid w:val="00610E2C"/>
    <w:rsid w:val="00611D33"/>
    <w:rsid w:val="006121D6"/>
    <w:rsid w:val="0061228B"/>
    <w:rsid w:val="00612C4F"/>
    <w:rsid w:val="006146FD"/>
    <w:rsid w:val="00614B7C"/>
    <w:rsid w:val="00614BCB"/>
    <w:rsid w:val="0061649D"/>
    <w:rsid w:val="006170AF"/>
    <w:rsid w:val="00617251"/>
    <w:rsid w:val="0062200F"/>
    <w:rsid w:val="00622DF2"/>
    <w:rsid w:val="00622EE4"/>
    <w:rsid w:val="006238F7"/>
    <w:rsid w:val="006250D7"/>
    <w:rsid w:val="00627D21"/>
    <w:rsid w:val="006305BB"/>
    <w:rsid w:val="0063066D"/>
    <w:rsid w:val="00630780"/>
    <w:rsid w:val="0063195B"/>
    <w:rsid w:val="0063258E"/>
    <w:rsid w:val="00633E03"/>
    <w:rsid w:val="00634B58"/>
    <w:rsid w:val="006351F2"/>
    <w:rsid w:val="0063589F"/>
    <w:rsid w:val="00635928"/>
    <w:rsid w:val="00635C39"/>
    <w:rsid w:val="00636064"/>
    <w:rsid w:val="00640D7D"/>
    <w:rsid w:val="00642B1A"/>
    <w:rsid w:val="00643E8A"/>
    <w:rsid w:val="00644520"/>
    <w:rsid w:val="00644B8B"/>
    <w:rsid w:val="00644DBF"/>
    <w:rsid w:val="00644F9E"/>
    <w:rsid w:val="0064639A"/>
    <w:rsid w:val="006464F7"/>
    <w:rsid w:val="006503FE"/>
    <w:rsid w:val="00650B81"/>
    <w:rsid w:val="00650F08"/>
    <w:rsid w:val="00650FAB"/>
    <w:rsid w:val="0065170D"/>
    <w:rsid w:val="00651B92"/>
    <w:rsid w:val="006535F4"/>
    <w:rsid w:val="00653DFF"/>
    <w:rsid w:val="006544DC"/>
    <w:rsid w:val="006547A9"/>
    <w:rsid w:val="006547CC"/>
    <w:rsid w:val="00654F2B"/>
    <w:rsid w:val="00655268"/>
    <w:rsid w:val="006561BC"/>
    <w:rsid w:val="0065678B"/>
    <w:rsid w:val="00657355"/>
    <w:rsid w:val="00657BB0"/>
    <w:rsid w:val="00657ED6"/>
    <w:rsid w:val="00657FBE"/>
    <w:rsid w:val="00660236"/>
    <w:rsid w:val="0066025E"/>
    <w:rsid w:val="00662D4B"/>
    <w:rsid w:val="00663D76"/>
    <w:rsid w:val="00664188"/>
    <w:rsid w:val="00665C9F"/>
    <w:rsid w:val="006666CF"/>
    <w:rsid w:val="00670389"/>
    <w:rsid w:val="00670DA5"/>
    <w:rsid w:val="0067127D"/>
    <w:rsid w:val="006724E2"/>
    <w:rsid w:val="006746EF"/>
    <w:rsid w:val="00674FC2"/>
    <w:rsid w:val="00675466"/>
    <w:rsid w:val="006759DA"/>
    <w:rsid w:val="00676EFF"/>
    <w:rsid w:val="0067774C"/>
    <w:rsid w:val="00677C95"/>
    <w:rsid w:val="006808EE"/>
    <w:rsid w:val="00680FD7"/>
    <w:rsid w:val="00681122"/>
    <w:rsid w:val="006822E6"/>
    <w:rsid w:val="00683BD9"/>
    <w:rsid w:val="00683C83"/>
    <w:rsid w:val="00683CD6"/>
    <w:rsid w:val="00684ECB"/>
    <w:rsid w:val="00685FA9"/>
    <w:rsid w:val="00686704"/>
    <w:rsid w:val="00686B3F"/>
    <w:rsid w:val="0069085D"/>
    <w:rsid w:val="00691A83"/>
    <w:rsid w:val="00692446"/>
    <w:rsid w:val="0069256A"/>
    <w:rsid w:val="00693B22"/>
    <w:rsid w:val="00693DCD"/>
    <w:rsid w:val="00693E37"/>
    <w:rsid w:val="00694A5F"/>
    <w:rsid w:val="00694EBF"/>
    <w:rsid w:val="006951DB"/>
    <w:rsid w:val="006957AB"/>
    <w:rsid w:val="00697264"/>
    <w:rsid w:val="006A1317"/>
    <w:rsid w:val="006A1BF9"/>
    <w:rsid w:val="006A1CDE"/>
    <w:rsid w:val="006A23A3"/>
    <w:rsid w:val="006A31BF"/>
    <w:rsid w:val="006A3A4B"/>
    <w:rsid w:val="006A3BB1"/>
    <w:rsid w:val="006A4F83"/>
    <w:rsid w:val="006A5A05"/>
    <w:rsid w:val="006B0AB1"/>
    <w:rsid w:val="006B138A"/>
    <w:rsid w:val="006B235C"/>
    <w:rsid w:val="006B31C6"/>
    <w:rsid w:val="006B37FA"/>
    <w:rsid w:val="006B4939"/>
    <w:rsid w:val="006B5475"/>
    <w:rsid w:val="006B5542"/>
    <w:rsid w:val="006B5EFA"/>
    <w:rsid w:val="006B6D3C"/>
    <w:rsid w:val="006B7E4E"/>
    <w:rsid w:val="006C006F"/>
    <w:rsid w:val="006C03E6"/>
    <w:rsid w:val="006C129D"/>
    <w:rsid w:val="006C1A24"/>
    <w:rsid w:val="006C2B5B"/>
    <w:rsid w:val="006C2FA1"/>
    <w:rsid w:val="006C3069"/>
    <w:rsid w:val="006C7944"/>
    <w:rsid w:val="006D2707"/>
    <w:rsid w:val="006D36A7"/>
    <w:rsid w:val="006D41EA"/>
    <w:rsid w:val="006D4479"/>
    <w:rsid w:val="006D5007"/>
    <w:rsid w:val="006D5DC4"/>
    <w:rsid w:val="006D7A70"/>
    <w:rsid w:val="006D7E85"/>
    <w:rsid w:val="006E14E2"/>
    <w:rsid w:val="006E397E"/>
    <w:rsid w:val="006E435E"/>
    <w:rsid w:val="006E625A"/>
    <w:rsid w:val="006E72B6"/>
    <w:rsid w:val="006F0F7A"/>
    <w:rsid w:val="006F2B82"/>
    <w:rsid w:val="006F3AEC"/>
    <w:rsid w:val="006F4981"/>
    <w:rsid w:val="006F5365"/>
    <w:rsid w:val="006F6E47"/>
    <w:rsid w:val="007000E4"/>
    <w:rsid w:val="00700354"/>
    <w:rsid w:val="00702707"/>
    <w:rsid w:val="00703B27"/>
    <w:rsid w:val="00704994"/>
    <w:rsid w:val="00704C8D"/>
    <w:rsid w:val="00705409"/>
    <w:rsid w:val="00707FAB"/>
    <w:rsid w:val="00710544"/>
    <w:rsid w:val="007109E7"/>
    <w:rsid w:val="00710A79"/>
    <w:rsid w:val="00711088"/>
    <w:rsid w:val="00711225"/>
    <w:rsid w:val="00712379"/>
    <w:rsid w:val="0071284E"/>
    <w:rsid w:val="0071338D"/>
    <w:rsid w:val="007157B6"/>
    <w:rsid w:val="00716BC2"/>
    <w:rsid w:val="0071722A"/>
    <w:rsid w:val="00717498"/>
    <w:rsid w:val="0072014A"/>
    <w:rsid w:val="00720527"/>
    <w:rsid w:val="007206D9"/>
    <w:rsid w:val="0072084B"/>
    <w:rsid w:val="00721A2F"/>
    <w:rsid w:val="00722A38"/>
    <w:rsid w:val="00722B3A"/>
    <w:rsid w:val="00722F43"/>
    <w:rsid w:val="00723A45"/>
    <w:rsid w:val="007242C1"/>
    <w:rsid w:val="00724A4D"/>
    <w:rsid w:val="007257B4"/>
    <w:rsid w:val="00726454"/>
    <w:rsid w:val="007268BF"/>
    <w:rsid w:val="00727E34"/>
    <w:rsid w:val="007310C5"/>
    <w:rsid w:val="00731BD9"/>
    <w:rsid w:val="00733D88"/>
    <w:rsid w:val="00734B2E"/>
    <w:rsid w:val="0073569F"/>
    <w:rsid w:val="00735FBA"/>
    <w:rsid w:val="00736E5F"/>
    <w:rsid w:val="007371F1"/>
    <w:rsid w:val="0074003F"/>
    <w:rsid w:val="00743174"/>
    <w:rsid w:val="00743304"/>
    <w:rsid w:val="00745821"/>
    <w:rsid w:val="00747E9A"/>
    <w:rsid w:val="00750E0E"/>
    <w:rsid w:val="007514E5"/>
    <w:rsid w:val="00751877"/>
    <w:rsid w:val="00752912"/>
    <w:rsid w:val="00753BB6"/>
    <w:rsid w:val="00753CA1"/>
    <w:rsid w:val="00753FBC"/>
    <w:rsid w:val="00757124"/>
    <w:rsid w:val="00757400"/>
    <w:rsid w:val="0076133F"/>
    <w:rsid w:val="00761601"/>
    <w:rsid w:val="0076172F"/>
    <w:rsid w:val="00761A58"/>
    <w:rsid w:val="00762EC7"/>
    <w:rsid w:val="00763002"/>
    <w:rsid w:val="00763376"/>
    <w:rsid w:val="00764C2E"/>
    <w:rsid w:val="007657AF"/>
    <w:rsid w:val="007658FC"/>
    <w:rsid w:val="00766F99"/>
    <w:rsid w:val="00767773"/>
    <w:rsid w:val="00767FF7"/>
    <w:rsid w:val="007714CD"/>
    <w:rsid w:val="007717CF"/>
    <w:rsid w:val="007731A2"/>
    <w:rsid w:val="00773EF3"/>
    <w:rsid w:val="007753A1"/>
    <w:rsid w:val="00775459"/>
    <w:rsid w:val="00775C97"/>
    <w:rsid w:val="007761E0"/>
    <w:rsid w:val="007779AF"/>
    <w:rsid w:val="0078031F"/>
    <w:rsid w:val="00780814"/>
    <w:rsid w:val="00780C0F"/>
    <w:rsid w:val="0078144B"/>
    <w:rsid w:val="00783587"/>
    <w:rsid w:val="00783716"/>
    <w:rsid w:val="00783F42"/>
    <w:rsid w:val="00784A5D"/>
    <w:rsid w:val="007854A5"/>
    <w:rsid w:val="00786EB6"/>
    <w:rsid w:val="007904DD"/>
    <w:rsid w:val="0079286C"/>
    <w:rsid w:val="00792A8E"/>
    <w:rsid w:val="00793D57"/>
    <w:rsid w:val="00794181"/>
    <w:rsid w:val="0079436F"/>
    <w:rsid w:val="00795B95"/>
    <w:rsid w:val="007965C2"/>
    <w:rsid w:val="00797A47"/>
    <w:rsid w:val="007A159C"/>
    <w:rsid w:val="007A2457"/>
    <w:rsid w:val="007A2DCC"/>
    <w:rsid w:val="007A2F1C"/>
    <w:rsid w:val="007A3518"/>
    <w:rsid w:val="007A5971"/>
    <w:rsid w:val="007B060D"/>
    <w:rsid w:val="007B06A9"/>
    <w:rsid w:val="007B0E65"/>
    <w:rsid w:val="007B1232"/>
    <w:rsid w:val="007B25E7"/>
    <w:rsid w:val="007B6AC6"/>
    <w:rsid w:val="007B7BA8"/>
    <w:rsid w:val="007B7FB8"/>
    <w:rsid w:val="007C0DC0"/>
    <w:rsid w:val="007C1682"/>
    <w:rsid w:val="007C178B"/>
    <w:rsid w:val="007C19A5"/>
    <w:rsid w:val="007C23AB"/>
    <w:rsid w:val="007C27A9"/>
    <w:rsid w:val="007C2D89"/>
    <w:rsid w:val="007C345C"/>
    <w:rsid w:val="007C37CD"/>
    <w:rsid w:val="007C3BBC"/>
    <w:rsid w:val="007C5A4E"/>
    <w:rsid w:val="007C6AF1"/>
    <w:rsid w:val="007C6C12"/>
    <w:rsid w:val="007C6DF4"/>
    <w:rsid w:val="007C72AD"/>
    <w:rsid w:val="007C7957"/>
    <w:rsid w:val="007C7BDE"/>
    <w:rsid w:val="007D1C75"/>
    <w:rsid w:val="007D27C4"/>
    <w:rsid w:val="007D30D2"/>
    <w:rsid w:val="007D33FE"/>
    <w:rsid w:val="007D38E6"/>
    <w:rsid w:val="007D4FB6"/>
    <w:rsid w:val="007D5760"/>
    <w:rsid w:val="007D5BF9"/>
    <w:rsid w:val="007D7444"/>
    <w:rsid w:val="007E0610"/>
    <w:rsid w:val="007E0D7C"/>
    <w:rsid w:val="007E0DA9"/>
    <w:rsid w:val="007E18A8"/>
    <w:rsid w:val="007E1D34"/>
    <w:rsid w:val="007E1F7D"/>
    <w:rsid w:val="007E2CE8"/>
    <w:rsid w:val="007E6A75"/>
    <w:rsid w:val="007E7344"/>
    <w:rsid w:val="007F0437"/>
    <w:rsid w:val="007F1402"/>
    <w:rsid w:val="007F20C7"/>
    <w:rsid w:val="007F23B9"/>
    <w:rsid w:val="007F3F8F"/>
    <w:rsid w:val="007F47FE"/>
    <w:rsid w:val="007F52ED"/>
    <w:rsid w:val="008031A2"/>
    <w:rsid w:val="00803889"/>
    <w:rsid w:val="00804684"/>
    <w:rsid w:val="008048F5"/>
    <w:rsid w:val="008049EF"/>
    <w:rsid w:val="00805578"/>
    <w:rsid w:val="0080565D"/>
    <w:rsid w:val="008058F7"/>
    <w:rsid w:val="00805BB5"/>
    <w:rsid w:val="0080780D"/>
    <w:rsid w:val="0081024F"/>
    <w:rsid w:val="0081188F"/>
    <w:rsid w:val="00814494"/>
    <w:rsid w:val="008161F4"/>
    <w:rsid w:val="0081795B"/>
    <w:rsid w:val="008205AF"/>
    <w:rsid w:val="008214EF"/>
    <w:rsid w:val="00824B21"/>
    <w:rsid w:val="00825644"/>
    <w:rsid w:val="00825CAF"/>
    <w:rsid w:val="008264B2"/>
    <w:rsid w:val="00827307"/>
    <w:rsid w:val="00827C24"/>
    <w:rsid w:val="008305CB"/>
    <w:rsid w:val="00830728"/>
    <w:rsid w:val="008308DA"/>
    <w:rsid w:val="00832669"/>
    <w:rsid w:val="0083367B"/>
    <w:rsid w:val="008336BE"/>
    <w:rsid w:val="00833DCC"/>
    <w:rsid w:val="008345C3"/>
    <w:rsid w:val="008355E4"/>
    <w:rsid w:val="00835FBC"/>
    <w:rsid w:val="00836062"/>
    <w:rsid w:val="0083696B"/>
    <w:rsid w:val="00840073"/>
    <w:rsid w:val="00840303"/>
    <w:rsid w:val="008412EE"/>
    <w:rsid w:val="008438CF"/>
    <w:rsid w:val="00844022"/>
    <w:rsid w:val="0084661A"/>
    <w:rsid w:val="00846DA1"/>
    <w:rsid w:val="00850333"/>
    <w:rsid w:val="0085164D"/>
    <w:rsid w:val="008517D7"/>
    <w:rsid w:val="008523E5"/>
    <w:rsid w:val="008531D1"/>
    <w:rsid w:val="008537D2"/>
    <w:rsid w:val="008546B3"/>
    <w:rsid w:val="00854CF0"/>
    <w:rsid w:val="00855012"/>
    <w:rsid w:val="0085544E"/>
    <w:rsid w:val="00856B6B"/>
    <w:rsid w:val="00857FC1"/>
    <w:rsid w:val="00860F0A"/>
    <w:rsid w:val="0086147D"/>
    <w:rsid w:val="00861587"/>
    <w:rsid w:val="0086324F"/>
    <w:rsid w:val="008635DC"/>
    <w:rsid w:val="00863A1A"/>
    <w:rsid w:val="00863A7D"/>
    <w:rsid w:val="00865025"/>
    <w:rsid w:val="008650D7"/>
    <w:rsid w:val="00865BF4"/>
    <w:rsid w:val="00870E92"/>
    <w:rsid w:val="00871047"/>
    <w:rsid w:val="0087279B"/>
    <w:rsid w:val="008737BE"/>
    <w:rsid w:val="00874092"/>
    <w:rsid w:val="0087657B"/>
    <w:rsid w:val="00876E0E"/>
    <w:rsid w:val="008772A3"/>
    <w:rsid w:val="0088044A"/>
    <w:rsid w:val="0088048C"/>
    <w:rsid w:val="0088056E"/>
    <w:rsid w:val="00882B9E"/>
    <w:rsid w:val="00882FA9"/>
    <w:rsid w:val="00884077"/>
    <w:rsid w:val="0088440C"/>
    <w:rsid w:val="00884B9E"/>
    <w:rsid w:val="00884DE5"/>
    <w:rsid w:val="00885336"/>
    <w:rsid w:val="008867D4"/>
    <w:rsid w:val="00890273"/>
    <w:rsid w:val="00890297"/>
    <w:rsid w:val="008911D2"/>
    <w:rsid w:val="00891966"/>
    <w:rsid w:val="00891A53"/>
    <w:rsid w:val="00893069"/>
    <w:rsid w:val="008941AF"/>
    <w:rsid w:val="008946DF"/>
    <w:rsid w:val="00895260"/>
    <w:rsid w:val="00895DF6"/>
    <w:rsid w:val="00896562"/>
    <w:rsid w:val="00896F4C"/>
    <w:rsid w:val="008A1FE1"/>
    <w:rsid w:val="008A2A00"/>
    <w:rsid w:val="008A3037"/>
    <w:rsid w:val="008A31CC"/>
    <w:rsid w:val="008A5A18"/>
    <w:rsid w:val="008A5C38"/>
    <w:rsid w:val="008A65A3"/>
    <w:rsid w:val="008B0A52"/>
    <w:rsid w:val="008B12D6"/>
    <w:rsid w:val="008B1CAE"/>
    <w:rsid w:val="008B57A5"/>
    <w:rsid w:val="008B5DCB"/>
    <w:rsid w:val="008B7FA6"/>
    <w:rsid w:val="008C015D"/>
    <w:rsid w:val="008C1320"/>
    <w:rsid w:val="008C29C4"/>
    <w:rsid w:val="008C2E66"/>
    <w:rsid w:val="008C3536"/>
    <w:rsid w:val="008C5352"/>
    <w:rsid w:val="008C6A54"/>
    <w:rsid w:val="008C6AC4"/>
    <w:rsid w:val="008D181F"/>
    <w:rsid w:val="008D2EC7"/>
    <w:rsid w:val="008D339A"/>
    <w:rsid w:val="008D3D7E"/>
    <w:rsid w:val="008D3F74"/>
    <w:rsid w:val="008D3FFF"/>
    <w:rsid w:val="008D41B5"/>
    <w:rsid w:val="008D4899"/>
    <w:rsid w:val="008D4CA8"/>
    <w:rsid w:val="008D6FBC"/>
    <w:rsid w:val="008E067B"/>
    <w:rsid w:val="008E1B3D"/>
    <w:rsid w:val="008E20EC"/>
    <w:rsid w:val="008E2EC7"/>
    <w:rsid w:val="008E3E5C"/>
    <w:rsid w:val="008E4AD4"/>
    <w:rsid w:val="008E6CC1"/>
    <w:rsid w:val="008E6CE0"/>
    <w:rsid w:val="008E7059"/>
    <w:rsid w:val="008E7A11"/>
    <w:rsid w:val="008E7EF3"/>
    <w:rsid w:val="008F01B2"/>
    <w:rsid w:val="008F0BFD"/>
    <w:rsid w:val="008F0DD3"/>
    <w:rsid w:val="008F12BF"/>
    <w:rsid w:val="008F176F"/>
    <w:rsid w:val="008F214D"/>
    <w:rsid w:val="008F2A29"/>
    <w:rsid w:val="008F2C37"/>
    <w:rsid w:val="008F3133"/>
    <w:rsid w:val="008F364B"/>
    <w:rsid w:val="008F41FC"/>
    <w:rsid w:val="008F429E"/>
    <w:rsid w:val="008F51CE"/>
    <w:rsid w:val="008F5A35"/>
    <w:rsid w:val="008F5F97"/>
    <w:rsid w:val="008F6DE3"/>
    <w:rsid w:val="008F78FF"/>
    <w:rsid w:val="008F7A93"/>
    <w:rsid w:val="00900974"/>
    <w:rsid w:val="00900C32"/>
    <w:rsid w:val="0090109F"/>
    <w:rsid w:val="00901167"/>
    <w:rsid w:val="00901232"/>
    <w:rsid w:val="00901F39"/>
    <w:rsid w:val="00902FC3"/>
    <w:rsid w:val="009048F0"/>
    <w:rsid w:val="00904CBE"/>
    <w:rsid w:val="00905B37"/>
    <w:rsid w:val="00907091"/>
    <w:rsid w:val="00907FB8"/>
    <w:rsid w:val="0091006A"/>
    <w:rsid w:val="00910563"/>
    <w:rsid w:val="009114F9"/>
    <w:rsid w:val="00912C8E"/>
    <w:rsid w:val="00912F23"/>
    <w:rsid w:val="009130AF"/>
    <w:rsid w:val="0091383D"/>
    <w:rsid w:val="009140DE"/>
    <w:rsid w:val="00914618"/>
    <w:rsid w:val="0091469E"/>
    <w:rsid w:val="00915D6F"/>
    <w:rsid w:val="0091605D"/>
    <w:rsid w:val="00916660"/>
    <w:rsid w:val="00917E57"/>
    <w:rsid w:val="009206B5"/>
    <w:rsid w:val="00921978"/>
    <w:rsid w:val="00922420"/>
    <w:rsid w:val="00922F81"/>
    <w:rsid w:val="0092577D"/>
    <w:rsid w:val="009259E6"/>
    <w:rsid w:val="00925A7F"/>
    <w:rsid w:val="00925CB3"/>
    <w:rsid w:val="00926006"/>
    <w:rsid w:val="00926438"/>
    <w:rsid w:val="00927F7B"/>
    <w:rsid w:val="00930310"/>
    <w:rsid w:val="009320D2"/>
    <w:rsid w:val="0093335D"/>
    <w:rsid w:val="00933DED"/>
    <w:rsid w:val="00934718"/>
    <w:rsid w:val="0093489E"/>
    <w:rsid w:val="00934C26"/>
    <w:rsid w:val="00937DEB"/>
    <w:rsid w:val="0094039C"/>
    <w:rsid w:val="00940913"/>
    <w:rsid w:val="00941C5B"/>
    <w:rsid w:val="009424FB"/>
    <w:rsid w:val="00942A52"/>
    <w:rsid w:val="0094369C"/>
    <w:rsid w:val="00943796"/>
    <w:rsid w:val="00945BB2"/>
    <w:rsid w:val="00945BB8"/>
    <w:rsid w:val="00945BE6"/>
    <w:rsid w:val="00946B6A"/>
    <w:rsid w:val="009505A3"/>
    <w:rsid w:val="00950834"/>
    <w:rsid w:val="00952B50"/>
    <w:rsid w:val="00952EC8"/>
    <w:rsid w:val="009531CC"/>
    <w:rsid w:val="00953A0E"/>
    <w:rsid w:val="00953F08"/>
    <w:rsid w:val="00955EDE"/>
    <w:rsid w:val="009568FA"/>
    <w:rsid w:val="00956B63"/>
    <w:rsid w:val="00956B9C"/>
    <w:rsid w:val="00957115"/>
    <w:rsid w:val="009572ED"/>
    <w:rsid w:val="00957C30"/>
    <w:rsid w:val="009606D4"/>
    <w:rsid w:val="00960E66"/>
    <w:rsid w:val="00961EB1"/>
    <w:rsid w:val="0096259E"/>
    <w:rsid w:val="00962B07"/>
    <w:rsid w:val="0096332D"/>
    <w:rsid w:val="00963504"/>
    <w:rsid w:val="009646A8"/>
    <w:rsid w:val="00965468"/>
    <w:rsid w:val="00965599"/>
    <w:rsid w:val="00965916"/>
    <w:rsid w:val="009704F7"/>
    <w:rsid w:val="00970F23"/>
    <w:rsid w:val="00971346"/>
    <w:rsid w:val="00972DD3"/>
    <w:rsid w:val="009732D8"/>
    <w:rsid w:val="009737C9"/>
    <w:rsid w:val="009743B9"/>
    <w:rsid w:val="00974607"/>
    <w:rsid w:val="00977519"/>
    <w:rsid w:val="009810DC"/>
    <w:rsid w:val="009818F3"/>
    <w:rsid w:val="00981963"/>
    <w:rsid w:val="0098208C"/>
    <w:rsid w:val="0098397A"/>
    <w:rsid w:val="00983CB3"/>
    <w:rsid w:val="00984293"/>
    <w:rsid w:val="00984495"/>
    <w:rsid w:val="00984D37"/>
    <w:rsid w:val="0098538C"/>
    <w:rsid w:val="0098549E"/>
    <w:rsid w:val="00985B59"/>
    <w:rsid w:val="0098615F"/>
    <w:rsid w:val="00986407"/>
    <w:rsid w:val="009872A0"/>
    <w:rsid w:val="00990662"/>
    <w:rsid w:val="00993780"/>
    <w:rsid w:val="00993C2D"/>
    <w:rsid w:val="009943A9"/>
    <w:rsid w:val="00994CA3"/>
    <w:rsid w:val="0099516B"/>
    <w:rsid w:val="00996781"/>
    <w:rsid w:val="009974B0"/>
    <w:rsid w:val="009A13E7"/>
    <w:rsid w:val="009A2A2E"/>
    <w:rsid w:val="009A2C69"/>
    <w:rsid w:val="009A343B"/>
    <w:rsid w:val="009A3699"/>
    <w:rsid w:val="009A3BBB"/>
    <w:rsid w:val="009A55FC"/>
    <w:rsid w:val="009A7E65"/>
    <w:rsid w:val="009B0441"/>
    <w:rsid w:val="009B16D5"/>
    <w:rsid w:val="009B2A12"/>
    <w:rsid w:val="009B2D78"/>
    <w:rsid w:val="009B4EE0"/>
    <w:rsid w:val="009B72F5"/>
    <w:rsid w:val="009B7ECF"/>
    <w:rsid w:val="009C1E5E"/>
    <w:rsid w:val="009C2B9B"/>
    <w:rsid w:val="009C2F95"/>
    <w:rsid w:val="009C342D"/>
    <w:rsid w:val="009C449A"/>
    <w:rsid w:val="009C4EA9"/>
    <w:rsid w:val="009C5607"/>
    <w:rsid w:val="009C5F1E"/>
    <w:rsid w:val="009C5F9C"/>
    <w:rsid w:val="009C62F6"/>
    <w:rsid w:val="009C634C"/>
    <w:rsid w:val="009C63EF"/>
    <w:rsid w:val="009C669B"/>
    <w:rsid w:val="009C6CEB"/>
    <w:rsid w:val="009C7087"/>
    <w:rsid w:val="009D026B"/>
    <w:rsid w:val="009D05E8"/>
    <w:rsid w:val="009D068A"/>
    <w:rsid w:val="009D0896"/>
    <w:rsid w:val="009D0D16"/>
    <w:rsid w:val="009D10E9"/>
    <w:rsid w:val="009D1CE2"/>
    <w:rsid w:val="009D25F0"/>
    <w:rsid w:val="009D2ADA"/>
    <w:rsid w:val="009D3FE3"/>
    <w:rsid w:val="009D4203"/>
    <w:rsid w:val="009D4E76"/>
    <w:rsid w:val="009D585C"/>
    <w:rsid w:val="009D5CA1"/>
    <w:rsid w:val="009D6A39"/>
    <w:rsid w:val="009E0353"/>
    <w:rsid w:val="009E0F60"/>
    <w:rsid w:val="009E1BFE"/>
    <w:rsid w:val="009E2375"/>
    <w:rsid w:val="009E2A1A"/>
    <w:rsid w:val="009E4022"/>
    <w:rsid w:val="009E531F"/>
    <w:rsid w:val="009E5DCA"/>
    <w:rsid w:val="009E65F4"/>
    <w:rsid w:val="009E73A2"/>
    <w:rsid w:val="009E7D9D"/>
    <w:rsid w:val="009F01DB"/>
    <w:rsid w:val="009F0610"/>
    <w:rsid w:val="009F11B0"/>
    <w:rsid w:val="009F23B6"/>
    <w:rsid w:val="009F23FF"/>
    <w:rsid w:val="009F27C8"/>
    <w:rsid w:val="009F4F71"/>
    <w:rsid w:val="009F5645"/>
    <w:rsid w:val="009F5BDE"/>
    <w:rsid w:val="009F5DF3"/>
    <w:rsid w:val="009F63C0"/>
    <w:rsid w:val="009F6690"/>
    <w:rsid w:val="009F6D75"/>
    <w:rsid w:val="009F7A71"/>
    <w:rsid w:val="009F7B66"/>
    <w:rsid w:val="00A01387"/>
    <w:rsid w:val="00A013A2"/>
    <w:rsid w:val="00A020A3"/>
    <w:rsid w:val="00A020EF"/>
    <w:rsid w:val="00A0210A"/>
    <w:rsid w:val="00A04D26"/>
    <w:rsid w:val="00A05CED"/>
    <w:rsid w:val="00A068BD"/>
    <w:rsid w:val="00A069E2"/>
    <w:rsid w:val="00A06A2E"/>
    <w:rsid w:val="00A075D2"/>
    <w:rsid w:val="00A07832"/>
    <w:rsid w:val="00A07B98"/>
    <w:rsid w:val="00A10060"/>
    <w:rsid w:val="00A134B5"/>
    <w:rsid w:val="00A1373E"/>
    <w:rsid w:val="00A137EB"/>
    <w:rsid w:val="00A13C43"/>
    <w:rsid w:val="00A145EE"/>
    <w:rsid w:val="00A156ED"/>
    <w:rsid w:val="00A15E05"/>
    <w:rsid w:val="00A16201"/>
    <w:rsid w:val="00A16D9B"/>
    <w:rsid w:val="00A16F4C"/>
    <w:rsid w:val="00A1728C"/>
    <w:rsid w:val="00A173E2"/>
    <w:rsid w:val="00A17A01"/>
    <w:rsid w:val="00A21D3A"/>
    <w:rsid w:val="00A22AAC"/>
    <w:rsid w:val="00A25110"/>
    <w:rsid w:val="00A25B4D"/>
    <w:rsid w:val="00A26232"/>
    <w:rsid w:val="00A27F6F"/>
    <w:rsid w:val="00A300BB"/>
    <w:rsid w:val="00A30B32"/>
    <w:rsid w:val="00A30C7A"/>
    <w:rsid w:val="00A3110C"/>
    <w:rsid w:val="00A316A4"/>
    <w:rsid w:val="00A32C2E"/>
    <w:rsid w:val="00A33B64"/>
    <w:rsid w:val="00A33E08"/>
    <w:rsid w:val="00A34407"/>
    <w:rsid w:val="00A348E8"/>
    <w:rsid w:val="00A35438"/>
    <w:rsid w:val="00A3623C"/>
    <w:rsid w:val="00A3640F"/>
    <w:rsid w:val="00A40187"/>
    <w:rsid w:val="00A41E52"/>
    <w:rsid w:val="00A421DB"/>
    <w:rsid w:val="00A43F14"/>
    <w:rsid w:val="00A44904"/>
    <w:rsid w:val="00A45F33"/>
    <w:rsid w:val="00A46471"/>
    <w:rsid w:val="00A46621"/>
    <w:rsid w:val="00A47560"/>
    <w:rsid w:val="00A47C0D"/>
    <w:rsid w:val="00A47D3A"/>
    <w:rsid w:val="00A50E46"/>
    <w:rsid w:val="00A510AD"/>
    <w:rsid w:val="00A51574"/>
    <w:rsid w:val="00A516CF"/>
    <w:rsid w:val="00A518A8"/>
    <w:rsid w:val="00A51D17"/>
    <w:rsid w:val="00A524AD"/>
    <w:rsid w:val="00A52AA2"/>
    <w:rsid w:val="00A541CD"/>
    <w:rsid w:val="00A546D1"/>
    <w:rsid w:val="00A5601D"/>
    <w:rsid w:val="00A5707C"/>
    <w:rsid w:val="00A57D1C"/>
    <w:rsid w:val="00A627A2"/>
    <w:rsid w:val="00A62993"/>
    <w:rsid w:val="00A6350B"/>
    <w:rsid w:val="00A63942"/>
    <w:rsid w:val="00A64508"/>
    <w:rsid w:val="00A65834"/>
    <w:rsid w:val="00A65A3C"/>
    <w:rsid w:val="00A669C2"/>
    <w:rsid w:val="00A66B7D"/>
    <w:rsid w:val="00A66E69"/>
    <w:rsid w:val="00A67D4C"/>
    <w:rsid w:val="00A70040"/>
    <w:rsid w:val="00A70737"/>
    <w:rsid w:val="00A718D0"/>
    <w:rsid w:val="00A71E67"/>
    <w:rsid w:val="00A72191"/>
    <w:rsid w:val="00A7300B"/>
    <w:rsid w:val="00A7352C"/>
    <w:rsid w:val="00A73AF4"/>
    <w:rsid w:val="00A73F6E"/>
    <w:rsid w:val="00A75792"/>
    <w:rsid w:val="00A75DA3"/>
    <w:rsid w:val="00A76AE5"/>
    <w:rsid w:val="00A77C95"/>
    <w:rsid w:val="00A80FF7"/>
    <w:rsid w:val="00A81382"/>
    <w:rsid w:val="00A841D8"/>
    <w:rsid w:val="00A842BD"/>
    <w:rsid w:val="00A86B67"/>
    <w:rsid w:val="00A933DB"/>
    <w:rsid w:val="00A93FC1"/>
    <w:rsid w:val="00A9429E"/>
    <w:rsid w:val="00A94D32"/>
    <w:rsid w:val="00A95DDA"/>
    <w:rsid w:val="00A96292"/>
    <w:rsid w:val="00A96758"/>
    <w:rsid w:val="00A969F9"/>
    <w:rsid w:val="00A97CBF"/>
    <w:rsid w:val="00A97DD0"/>
    <w:rsid w:val="00AA1111"/>
    <w:rsid w:val="00AA1687"/>
    <w:rsid w:val="00AA18DA"/>
    <w:rsid w:val="00AA489D"/>
    <w:rsid w:val="00AA5ECC"/>
    <w:rsid w:val="00AA621F"/>
    <w:rsid w:val="00AA718A"/>
    <w:rsid w:val="00AA77F6"/>
    <w:rsid w:val="00AB0EE1"/>
    <w:rsid w:val="00AB10E3"/>
    <w:rsid w:val="00AB1163"/>
    <w:rsid w:val="00AB1280"/>
    <w:rsid w:val="00AB19A4"/>
    <w:rsid w:val="00AB4CD7"/>
    <w:rsid w:val="00AB50F2"/>
    <w:rsid w:val="00AB5195"/>
    <w:rsid w:val="00AB5C84"/>
    <w:rsid w:val="00AB5E20"/>
    <w:rsid w:val="00AB6733"/>
    <w:rsid w:val="00AB72A1"/>
    <w:rsid w:val="00AB76E9"/>
    <w:rsid w:val="00AC0086"/>
    <w:rsid w:val="00AC0570"/>
    <w:rsid w:val="00AC0611"/>
    <w:rsid w:val="00AC062E"/>
    <w:rsid w:val="00AC11C8"/>
    <w:rsid w:val="00AC25F3"/>
    <w:rsid w:val="00AC30C4"/>
    <w:rsid w:val="00AC4336"/>
    <w:rsid w:val="00AC5777"/>
    <w:rsid w:val="00AC5DEB"/>
    <w:rsid w:val="00AC6405"/>
    <w:rsid w:val="00AC65FA"/>
    <w:rsid w:val="00AD031C"/>
    <w:rsid w:val="00AD0339"/>
    <w:rsid w:val="00AD127C"/>
    <w:rsid w:val="00AD22C2"/>
    <w:rsid w:val="00AD23BB"/>
    <w:rsid w:val="00AD3B10"/>
    <w:rsid w:val="00AD5879"/>
    <w:rsid w:val="00AD6766"/>
    <w:rsid w:val="00AD6CFE"/>
    <w:rsid w:val="00AE499B"/>
    <w:rsid w:val="00AE4CCE"/>
    <w:rsid w:val="00AE66C5"/>
    <w:rsid w:val="00AE6C87"/>
    <w:rsid w:val="00AF0B27"/>
    <w:rsid w:val="00AF0EAC"/>
    <w:rsid w:val="00AF153F"/>
    <w:rsid w:val="00AF1FA1"/>
    <w:rsid w:val="00AF2DF7"/>
    <w:rsid w:val="00AF30D0"/>
    <w:rsid w:val="00AF4F95"/>
    <w:rsid w:val="00AF5B49"/>
    <w:rsid w:val="00AF729B"/>
    <w:rsid w:val="00B00CA7"/>
    <w:rsid w:val="00B02A33"/>
    <w:rsid w:val="00B03E6A"/>
    <w:rsid w:val="00B04768"/>
    <w:rsid w:val="00B04C24"/>
    <w:rsid w:val="00B1098B"/>
    <w:rsid w:val="00B10DCC"/>
    <w:rsid w:val="00B112A9"/>
    <w:rsid w:val="00B1216A"/>
    <w:rsid w:val="00B132CF"/>
    <w:rsid w:val="00B1341B"/>
    <w:rsid w:val="00B13DD3"/>
    <w:rsid w:val="00B13F8C"/>
    <w:rsid w:val="00B14798"/>
    <w:rsid w:val="00B1501B"/>
    <w:rsid w:val="00B15051"/>
    <w:rsid w:val="00B15849"/>
    <w:rsid w:val="00B16CCA"/>
    <w:rsid w:val="00B177C0"/>
    <w:rsid w:val="00B20827"/>
    <w:rsid w:val="00B20969"/>
    <w:rsid w:val="00B21384"/>
    <w:rsid w:val="00B2189F"/>
    <w:rsid w:val="00B221A0"/>
    <w:rsid w:val="00B226C2"/>
    <w:rsid w:val="00B228E9"/>
    <w:rsid w:val="00B22EE6"/>
    <w:rsid w:val="00B2340C"/>
    <w:rsid w:val="00B239A5"/>
    <w:rsid w:val="00B23CAC"/>
    <w:rsid w:val="00B23EF2"/>
    <w:rsid w:val="00B241A1"/>
    <w:rsid w:val="00B2462B"/>
    <w:rsid w:val="00B26ABE"/>
    <w:rsid w:val="00B26B46"/>
    <w:rsid w:val="00B30966"/>
    <w:rsid w:val="00B32D8B"/>
    <w:rsid w:val="00B340C5"/>
    <w:rsid w:val="00B34674"/>
    <w:rsid w:val="00B35D4A"/>
    <w:rsid w:val="00B36DAD"/>
    <w:rsid w:val="00B41538"/>
    <w:rsid w:val="00B41541"/>
    <w:rsid w:val="00B42B4E"/>
    <w:rsid w:val="00B44701"/>
    <w:rsid w:val="00B44D39"/>
    <w:rsid w:val="00B458D5"/>
    <w:rsid w:val="00B50BF4"/>
    <w:rsid w:val="00B52CFD"/>
    <w:rsid w:val="00B53357"/>
    <w:rsid w:val="00B53C0F"/>
    <w:rsid w:val="00B55B58"/>
    <w:rsid w:val="00B55BAF"/>
    <w:rsid w:val="00B56227"/>
    <w:rsid w:val="00B566BF"/>
    <w:rsid w:val="00B57589"/>
    <w:rsid w:val="00B57CC1"/>
    <w:rsid w:val="00B6041F"/>
    <w:rsid w:val="00B60FAD"/>
    <w:rsid w:val="00B61451"/>
    <w:rsid w:val="00B61FF5"/>
    <w:rsid w:val="00B62AD4"/>
    <w:rsid w:val="00B6364D"/>
    <w:rsid w:val="00B66B68"/>
    <w:rsid w:val="00B672A3"/>
    <w:rsid w:val="00B67AF4"/>
    <w:rsid w:val="00B7207E"/>
    <w:rsid w:val="00B7250E"/>
    <w:rsid w:val="00B72C4A"/>
    <w:rsid w:val="00B72D9A"/>
    <w:rsid w:val="00B73CF7"/>
    <w:rsid w:val="00B749B8"/>
    <w:rsid w:val="00B752FA"/>
    <w:rsid w:val="00B767C9"/>
    <w:rsid w:val="00B76E17"/>
    <w:rsid w:val="00B774B7"/>
    <w:rsid w:val="00B803B4"/>
    <w:rsid w:val="00B8058D"/>
    <w:rsid w:val="00B811DD"/>
    <w:rsid w:val="00B81AA4"/>
    <w:rsid w:val="00B81BE2"/>
    <w:rsid w:val="00B82050"/>
    <w:rsid w:val="00B83464"/>
    <w:rsid w:val="00B83DCC"/>
    <w:rsid w:val="00B84684"/>
    <w:rsid w:val="00B84ED6"/>
    <w:rsid w:val="00B8655D"/>
    <w:rsid w:val="00B906C9"/>
    <w:rsid w:val="00B9071F"/>
    <w:rsid w:val="00B910FF"/>
    <w:rsid w:val="00B931D7"/>
    <w:rsid w:val="00B933BB"/>
    <w:rsid w:val="00B9349E"/>
    <w:rsid w:val="00B94A51"/>
    <w:rsid w:val="00B9598A"/>
    <w:rsid w:val="00B96003"/>
    <w:rsid w:val="00BA1D6C"/>
    <w:rsid w:val="00BA1EE7"/>
    <w:rsid w:val="00BA2434"/>
    <w:rsid w:val="00BA2A77"/>
    <w:rsid w:val="00BA2E36"/>
    <w:rsid w:val="00BA3519"/>
    <w:rsid w:val="00BA3BEB"/>
    <w:rsid w:val="00BA3F63"/>
    <w:rsid w:val="00BA3F6F"/>
    <w:rsid w:val="00BA543A"/>
    <w:rsid w:val="00BA5EA7"/>
    <w:rsid w:val="00BA66F3"/>
    <w:rsid w:val="00BA69CB"/>
    <w:rsid w:val="00BA75C2"/>
    <w:rsid w:val="00BB052F"/>
    <w:rsid w:val="00BB0DF0"/>
    <w:rsid w:val="00BB237F"/>
    <w:rsid w:val="00BB2AA9"/>
    <w:rsid w:val="00BB2EA4"/>
    <w:rsid w:val="00BB42EB"/>
    <w:rsid w:val="00BB46E1"/>
    <w:rsid w:val="00BB5345"/>
    <w:rsid w:val="00BB694A"/>
    <w:rsid w:val="00BC0045"/>
    <w:rsid w:val="00BC0217"/>
    <w:rsid w:val="00BC0A62"/>
    <w:rsid w:val="00BC0BB4"/>
    <w:rsid w:val="00BC1FA0"/>
    <w:rsid w:val="00BC2CC4"/>
    <w:rsid w:val="00BC2FA4"/>
    <w:rsid w:val="00BC3017"/>
    <w:rsid w:val="00BC30A7"/>
    <w:rsid w:val="00BC331E"/>
    <w:rsid w:val="00BC342F"/>
    <w:rsid w:val="00BC36FD"/>
    <w:rsid w:val="00BC3907"/>
    <w:rsid w:val="00BC4A59"/>
    <w:rsid w:val="00BC5153"/>
    <w:rsid w:val="00BC7C63"/>
    <w:rsid w:val="00BD0DEB"/>
    <w:rsid w:val="00BD1BDF"/>
    <w:rsid w:val="00BD2B74"/>
    <w:rsid w:val="00BD46C8"/>
    <w:rsid w:val="00BD56DE"/>
    <w:rsid w:val="00BD5E15"/>
    <w:rsid w:val="00BD5EA2"/>
    <w:rsid w:val="00BD6493"/>
    <w:rsid w:val="00BD769A"/>
    <w:rsid w:val="00BE083F"/>
    <w:rsid w:val="00BE2880"/>
    <w:rsid w:val="00BE2DE0"/>
    <w:rsid w:val="00BE3322"/>
    <w:rsid w:val="00BE530F"/>
    <w:rsid w:val="00BE56E5"/>
    <w:rsid w:val="00BE66D1"/>
    <w:rsid w:val="00BE6BA0"/>
    <w:rsid w:val="00BE7348"/>
    <w:rsid w:val="00BE73EC"/>
    <w:rsid w:val="00BE7684"/>
    <w:rsid w:val="00BF080F"/>
    <w:rsid w:val="00BF0842"/>
    <w:rsid w:val="00BF09D1"/>
    <w:rsid w:val="00BF0ED8"/>
    <w:rsid w:val="00BF1528"/>
    <w:rsid w:val="00BF23EA"/>
    <w:rsid w:val="00BF38CD"/>
    <w:rsid w:val="00BF3A43"/>
    <w:rsid w:val="00BF629D"/>
    <w:rsid w:val="00C01DBD"/>
    <w:rsid w:val="00C02519"/>
    <w:rsid w:val="00C0403E"/>
    <w:rsid w:val="00C04E49"/>
    <w:rsid w:val="00C057C7"/>
    <w:rsid w:val="00C064B8"/>
    <w:rsid w:val="00C06B4A"/>
    <w:rsid w:val="00C07FA1"/>
    <w:rsid w:val="00C10FD6"/>
    <w:rsid w:val="00C12094"/>
    <w:rsid w:val="00C158C1"/>
    <w:rsid w:val="00C15ACE"/>
    <w:rsid w:val="00C176B7"/>
    <w:rsid w:val="00C17E87"/>
    <w:rsid w:val="00C20A95"/>
    <w:rsid w:val="00C20B98"/>
    <w:rsid w:val="00C215C5"/>
    <w:rsid w:val="00C22E9E"/>
    <w:rsid w:val="00C22F7F"/>
    <w:rsid w:val="00C245C5"/>
    <w:rsid w:val="00C248E5"/>
    <w:rsid w:val="00C24930"/>
    <w:rsid w:val="00C24B99"/>
    <w:rsid w:val="00C24D7F"/>
    <w:rsid w:val="00C300E5"/>
    <w:rsid w:val="00C30494"/>
    <w:rsid w:val="00C30BE2"/>
    <w:rsid w:val="00C31012"/>
    <w:rsid w:val="00C3123F"/>
    <w:rsid w:val="00C3213E"/>
    <w:rsid w:val="00C33744"/>
    <w:rsid w:val="00C338AF"/>
    <w:rsid w:val="00C33FD0"/>
    <w:rsid w:val="00C34272"/>
    <w:rsid w:val="00C343DC"/>
    <w:rsid w:val="00C370F0"/>
    <w:rsid w:val="00C4131C"/>
    <w:rsid w:val="00C4280A"/>
    <w:rsid w:val="00C42B1B"/>
    <w:rsid w:val="00C42F09"/>
    <w:rsid w:val="00C431BA"/>
    <w:rsid w:val="00C435FD"/>
    <w:rsid w:val="00C44680"/>
    <w:rsid w:val="00C45263"/>
    <w:rsid w:val="00C45EE6"/>
    <w:rsid w:val="00C47082"/>
    <w:rsid w:val="00C47ADD"/>
    <w:rsid w:val="00C50353"/>
    <w:rsid w:val="00C53E41"/>
    <w:rsid w:val="00C55768"/>
    <w:rsid w:val="00C56397"/>
    <w:rsid w:val="00C568D4"/>
    <w:rsid w:val="00C57E2D"/>
    <w:rsid w:val="00C603BF"/>
    <w:rsid w:val="00C61E15"/>
    <w:rsid w:val="00C623BA"/>
    <w:rsid w:val="00C63DC5"/>
    <w:rsid w:val="00C6483E"/>
    <w:rsid w:val="00C66A61"/>
    <w:rsid w:val="00C66DAC"/>
    <w:rsid w:val="00C67A29"/>
    <w:rsid w:val="00C7032B"/>
    <w:rsid w:val="00C70795"/>
    <w:rsid w:val="00C72093"/>
    <w:rsid w:val="00C721EA"/>
    <w:rsid w:val="00C7223F"/>
    <w:rsid w:val="00C73859"/>
    <w:rsid w:val="00C73A13"/>
    <w:rsid w:val="00C73AD4"/>
    <w:rsid w:val="00C73BE3"/>
    <w:rsid w:val="00C73E77"/>
    <w:rsid w:val="00C74579"/>
    <w:rsid w:val="00C755C2"/>
    <w:rsid w:val="00C75641"/>
    <w:rsid w:val="00C75D55"/>
    <w:rsid w:val="00C7610B"/>
    <w:rsid w:val="00C77EF5"/>
    <w:rsid w:val="00C80535"/>
    <w:rsid w:val="00C807CF"/>
    <w:rsid w:val="00C80B24"/>
    <w:rsid w:val="00C80E7E"/>
    <w:rsid w:val="00C8267A"/>
    <w:rsid w:val="00C832C5"/>
    <w:rsid w:val="00C83427"/>
    <w:rsid w:val="00C83BF5"/>
    <w:rsid w:val="00C83DF6"/>
    <w:rsid w:val="00C87A45"/>
    <w:rsid w:val="00C87BAA"/>
    <w:rsid w:val="00C90959"/>
    <w:rsid w:val="00C90DA8"/>
    <w:rsid w:val="00C91102"/>
    <w:rsid w:val="00C91CA5"/>
    <w:rsid w:val="00C9313A"/>
    <w:rsid w:val="00C93375"/>
    <w:rsid w:val="00C93740"/>
    <w:rsid w:val="00C941FB"/>
    <w:rsid w:val="00C94D30"/>
    <w:rsid w:val="00C95493"/>
    <w:rsid w:val="00C95B63"/>
    <w:rsid w:val="00C95D26"/>
    <w:rsid w:val="00C96541"/>
    <w:rsid w:val="00C9665C"/>
    <w:rsid w:val="00C973CC"/>
    <w:rsid w:val="00CA1EA8"/>
    <w:rsid w:val="00CA233C"/>
    <w:rsid w:val="00CA259D"/>
    <w:rsid w:val="00CA304B"/>
    <w:rsid w:val="00CA31C5"/>
    <w:rsid w:val="00CA387D"/>
    <w:rsid w:val="00CA480A"/>
    <w:rsid w:val="00CA5068"/>
    <w:rsid w:val="00CA5694"/>
    <w:rsid w:val="00CA7059"/>
    <w:rsid w:val="00CA7613"/>
    <w:rsid w:val="00CA7AE1"/>
    <w:rsid w:val="00CA7B48"/>
    <w:rsid w:val="00CA7FB2"/>
    <w:rsid w:val="00CB0425"/>
    <w:rsid w:val="00CB0E04"/>
    <w:rsid w:val="00CB0EC5"/>
    <w:rsid w:val="00CB25D1"/>
    <w:rsid w:val="00CB3517"/>
    <w:rsid w:val="00CB3F33"/>
    <w:rsid w:val="00CB4955"/>
    <w:rsid w:val="00CB4BFE"/>
    <w:rsid w:val="00CB593D"/>
    <w:rsid w:val="00CB72F0"/>
    <w:rsid w:val="00CB75D7"/>
    <w:rsid w:val="00CB766C"/>
    <w:rsid w:val="00CC075B"/>
    <w:rsid w:val="00CC0B26"/>
    <w:rsid w:val="00CC1654"/>
    <w:rsid w:val="00CC190B"/>
    <w:rsid w:val="00CC2462"/>
    <w:rsid w:val="00CC2FA7"/>
    <w:rsid w:val="00CC3DD4"/>
    <w:rsid w:val="00CC549A"/>
    <w:rsid w:val="00CC6ACA"/>
    <w:rsid w:val="00CC77B9"/>
    <w:rsid w:val="00CD05F9"/>
    <w:rsid w:val="00CD0A6C"/>
    <w:rsid w:val="00CD16CA"/>
    <w:rsid w:val="00CD36B6"/>
    <w:rsid w:val="00CD448F"/>
    <w:rsid w:val="00CD560F"/>
    <w:rsid w:val="00CD6C24"/>
    <w:rsid w:val="00CD7508"/>
    <w:rsid w:val="00CE1011"/>
    <w:rsid w:val="00CE1623"/>
    <w:rsid w:val="00CE2959"/>
    <w:rsid w:val="00CE2AE7"/>
    <w:rsid w:val="00CE3F17"/>
    <w:rsid w:val="00CE5622"/>
    <w:rsid w:val="00CE6E71"/>
    <w:rsid w:val="00CE75ED"/>
    <w:rsid w:val="00CE7787"/>
    <w:rsid w:val="00CE7CD1"/>
    <w:rsid w:val="00CF02F5"/>
    <w:rsid w:val="00CF051D"/>
    <w:rsid w:val="00CF1AE9"/>
    <w:rsid w:val="00CF1D2D"/>
    <w:rsid w:val="00CF2402"/>
    <w:rsid w:val="00CF63C2"/>
    <w:rsid w:val="00CF66FE"/>
    <w:rsid w:val="00D003CC"/>
    <w:rsid w:val="00D004E2"/>
    <w:rsid w:val="00D00F48"/>
    <w:rsid w:val="00D026DF"/>
    <w:rsid w:val="00D0371D"/>
    <w:rsid w:val="00D038B7"/>
    <w:rsid w:val="00D0536F"/>
    <w:rsid w:val="00D10C70"/>
    <w:rsid w:val="00D1126A"/>
    <w:rsid w:val="00D115BA"/>
    <w:rsid w:val="00D119BC"/>
    <w:rsid w:val="00D11BBE"/>
    <w:rsid w:val="00D139ED"/>
    <w:rsid w:val="00D1438D"/>
    <w:rsid w:val="00D158B8"/>
    <w:rsid w:val="00D16F23"/>
    <w:rsid w:val="00D175DE"/>
    <w:rsid w:val="00D21B6D"/>
    <w:rsid w:val="00D21C69"/>
    <w:rsid w:val="00D2343E"/>
    <w:rsid w:val="00D258AA"/>
    <w:rsid w:val="00D313CF"/>
    <w:rsid w:val="00D32155"/>
    <w:rsid w:val="00D33850"/>
    <w:rsid w:val="00D34652"/>
    <w:rsid w:val="00D34928"/>
    <w:rsid w:val="00D34BFB"/>
    <w:rsid w:val="00D34E0C"/>
    <w:rsid w:val="00D379F2"/>
    <w:rsid w:val="00D4066F"/>
    <w:rsid w:val="00D40A8C"/>
    <w:rsid w:val="00D41361"/>
    <w:rsid w:val="00D41B55"/>
    <w:rsid w:val="00D41E5F"/>
    <w:rsid w:val="00D4284E"/>
    <w:rsid w:val="00D4398F"/>
    <w:rsid w:val="00D44C3B"/>
    <w:rsid w:val="00D45226"/>
    <w:rsid w:val="00D453AA"/>
    <w:rsid w:val="00D45E30"/>
    <w:rsid w:val="00D511BF"/>
    <w:rsid w:val="00D51C6F"/>
    <w:rsid w:val="00D5366A"/>
    <w:rsid w:val="00D5402D"/>
    <w:rsid w:val="00D54CA8"/>
    <w:rsid w:val="00D553EC"/>
    <w:rsid w:val="00D55E04"/>
    <w:rsid w:val="00D55E1D"/>
    <w:rsid w:val="00D563E4"/>
    <w:rsid w:val="00D5640F"/>
    <w:rsid w:val="00D56829"/>
    <w:rsid w:val="00D56E65"/>
    <w:rsid w:val="00D5775D"/>
    <w:rsid w:val="00D577F6"/>
    <w:rsid w:val="00D57872"/>
    <w:rsid w:val="00D60C54"/>
    <w:rsid w:val="00D63D27"/>
    <w:rsid w:val="00D64BE1"/>
    <w:rsid w:val="00D64F4C"/>
    <w:rsid w:val="00D656BC"/>
    <w:rsid w:val="00D66D20"/>
    <w:rsid w:val="00D67E8B"/>
    <w:rsid w:val="00D7029B"/>
    <w:rsid w:val="00D70A3D"/>
    <w:rsid w:val="00D714AB"/>
    <w:rsid w:val="00D71B88"/>
    <w:rsid w:val="00D71BC9"/>
    <w:rsid w:val="00D71F2F"/>
    <w:rsid w:val="00D73E44"/>
    <w:rsid w:val="00D761FB"/>
    <w:rsid w:val="00D76340"/>
    <w:rsid w:val="00D76513"/>
    <w:rsid w:val="00D77D11"/>
    <w:rsid w:val="00D80970"/>
    <w:rsid w:val="00D80C66"/>
    <w:rsid w:val="00D8120F"/>
    <w:rsid w:val="00D81424"/>
    <w:rsid w:val="00D81FC3"/>
    <w:rsid w:val="00D826ED"/>
    <w:rsid w:val="00D83EDC"/>
    <w:rsid w:val="00D84393"/>
    <w:rsid w:val="00D84815"/>
    <w:rsid w:val="00D859AD"/>
    <w:rsid w:val="00D860CE"/>
    <w:rsid w:val="00D86693"/>
    <w:rsid w:val="00D869F5"/>
    <w:rsid w:val="00D876A2"/>
    <w:rsid w:val="00D87BD1"/>
    <w:rsid w:val="00D87BE8"/>
    <w:rsid w:val="00D87D9D"/>
    <w:rsid w:val="00D902BA"/>
    <w:rsid w:val="00D90A9B"/>
    <w:rsid w:val="00D90ECF"/>
    <w:rsid w:val="00D915A6"/>
    <w:rsid w:val="00D91DB4"/>
    <w:rsid w:val="00D92215"/>
    <w:rsid w:val="00D9253E"/>
    <w:rsid w:val="00D9363C"/>
    <w:rsid w:val="00D937AF"/>
    <w:rsid w:val="00D93E07"/>
    <w:rsid w:val="00D951EA"/>
    <w:rsid w:val="00D95409"/>
    <w:rsid w:val="00D95BA4"/>
    <w:rsid w:val="00D9609E"/>
    <w:rsid w:val="00D9669B"/>
    <w:rsid w:val="00D97C76"/>
    <w:rsid w:val="00DA03EC"/>
    <w:rsid w:val="00DA1AEF"/>
    <w:rsid w:val="00DA1BF6"/>
    <w:rsid w:val="00DA1E77"/>
    <w:rsid w:val="00DA27F2"/>
    <w:rsid w:val="00DA37AB"/>
    <w:rsid w:val="00DA38FB"/>
    <w:rsid w:val="00DA3A5A"/>
    <w:rsid w:val="00DA4F85"/>
    <w:rsid w:val="00DA5032"/>
    <w:rsid w:val="00DA5891"/>
    <w:rsid w:val="00DA7088"/>
    <w:rsid w:val="00DA7488"/>
    <w:rsid w:val="00DB19D6"/>
    <w:rsid w:val="00DB29C4"/>
    <w:rsid w:val="00DB46F1"/>
    <w:rsid w:val="00DB4817"/>
    <w:rsid w:val="00DB4D04"/>
    <w:rsid w:val="00DB50F7"/>
    <w:rsid w:val="00DB51A7"/>
    <w:rsid w:val="00DB6385"/>
    <w:rsid w:val="00DB6486"/>
    <w:rsid w:val="00DB6B03"/>
    <w:rsid w:val="00DC1082"/>
    <w:rsid w:val="00DC12D8"/>
    <w:rsid w:val="00DC1597"/>
    <w:rsid w:val="00DC2444"/>
    <w:rsid w:val="00DC2783"/>
    <w:rsid w:val="00DC360A"/>
    <w:rsid w:val="00DC3B94"/>
    <w:rsid w:val="00DC550B"/>
    <w:rsid w:val="00DC5959"/>
    <w:rsid w:val="00DC614B"/>
    <w:rsid w:val="00DC6A60"/>
    <w:rsid w:val="00DC7502"/>
    <w:rsid w:val="00DD05BD"/>
    <w:rsid w:val="00DD0B5F"/>
    <w:rsid w:val="00DD1536"/>
    <w:rsid w:val="00DD1B3B"/>
    <w:rsid w:val="00DD1BC9"/>
    <w:rsid w:val="00DD3634"/>
    <w:rsid w:val="00DD366D"/>
    <w:rsid w:val="00DD462A"/>
    <w:rsid w:val="00DD486F"/>
    <w:rsid w:val="00DD5526"/>
    <w:rsid w:val="00DD5AD5"/>
    <w:rsid w:val="00DD5B7B"/>
    <w:rsid w:val="00DD611A"/>
    <w:rsid w:val="00DD664D"/>
    <w:rsid w:val="00DD772E"/>
    <w:rsid w:val="00DD7E8C"/>
    <w:rsid w:val="00DE1707"/>
    <w:rsid w:val="00DE1BA6"/>
    <w:rsid w:val="00DE2D3A"/>
    <w:rsid w:val="00DE3388"/>
    <w:rsid w:val="00DE33D3"/>
    <w:rsid w:val="00DE3642"/>
    <w:rsid w:val="00DE37C6"/>
    <w:rsid w:val="00DE4A52"/>
    <w:rsid w:val="00DE4AD0"/>
    <w:rsid w:val="00DE5989"/>
    <w:rsid w:val="00DE6430"/>
    <w:rsid w:val="00DE6BB0"/>
    <w:rsid w:val="00DE6C2B"/>
    <w:rsid w:val="00DF1828"/>
    <w:rsid w:val="00DF32BF"/>
    <w:rsid w:val="00DF5E3A"/>
    <w:rsid w:val="00DF7166"/>
    <w:rsid w:val="00E01758"/>
    <w:rsid w:val="00E01854"/>
    <w:rsid w:val="00E04908"/>
    <w:rsid w:val="00E05F67"/>
    <w:rsid w:val="00E06651"/>
    <w:rsid w:val="00E07CB0"/>
    <w:rsid w:val="00E112FB"/>
    <w:rsid w:val="00E1133B"/>
    <w:rsid w:val="00E125B2"/>
    <w:rsid w:val="00E13DBA"/>
    <w:rsid w:val="00E14B07"/>
    <w:rsid w:val="00E14F38"/>
    <w:rsid w:val="00E1583D"/>
    <w:rsid w:val="00E15ACE"/>
    <w:rsid w:val="00E162F5"/>
    <w:rsid w:val="00E165A5"/>
    <w:rsid w:val="00E16C05"/>
    <w:rsid w:val="00E203EA"/>
    <w:rsid w:val="00E22867"/>
    <w:rsid w:val="00E232A3"/>
    <w:rsid w:val="00E2389A"/>
    <w:rsid w:val="00E24047"/>
    <w:rsid w:val="00E24149"/>
    <w:rsid w:val="00E241D0"/>
    <w:rsid w:val="00E2580A"/>
    <w:rsid w:val="00E2622D"/>
    <w:rsid w:val="00E27257"/>
    <w:rsid w:val="00E27A36"/>
    <w:rsid w:val="00E27D56"/>
    <w:rsid w:val="00E30642"/>
    <w:rsid w:val="00E3283A"/>
    <w:rsid w:val="00E334EE"/>
    <w:rsid w:val="00E337B7"/>
    <w:rsid w:val="00E353D8"/>
    <w:rsid w:val="00E3578D"/>
    <w:rsid w:val="00E361C2"/>
    <w:rsid w:val="00E37EB3"/>
    <w:rsid w:val="00E404C3"/>
    <w:rsid w:val="00E4085D"/>
    <w:rsid w:val="00E439CB"/>
    <w:rsid w:val="00E440B8"/>
    <w:rsid w:val="00E44547"/>
    <w:rsid w:val="00E45B2C"/>
    <w:rsid w:val="00E509C7"/>
    <w:rsid w:val="00E50E5A"/>
    <w:rsid w:val="00E51396"/>
    <w:rsid w:val="00E526B6"/>
    <w:rsid w:val="00E52704"/>
    <w:rsid w:val="00E531D4"/>
    <w:rsid w:val="00E55B65"/>
    <w:rsid w:val="00E561E7"/>
    <w:rsid w:val="00E562B5"/>
    <w:rsid w:val="00E56F29"/>
    <w:rsid w:val="00E5702B"/>
    <w:rsid w:val="00E6070B"/>
    <w:rsid w:val="00E60A03"/>
    <w:rsid w:val="00E628D7"/>
    <w:rsid w:val="00E6457E"/>
    <w:rsid w:val="00E64C3F"/>
    <w:rsid w:val="00E65159"/>
    <w:rsid w:val="00E651E4"/>
    <w:rsid w:val="00E6759A"/>
    <w:rsid w:val="00E7130C"/>
    <w:rsid w:val="00E71768"/>
    <w:rsid w:val="00E717BF"/>
    <w:rsid w:val="00E71AF3"/>
    <w:rsid w:val="00E72FAE"/>
    <w:rsid w:val="00E7342B"/>
    <w:rsid w:val="00E7552A"/>
    <w:rsid w:val="00E759EC"/>
    <w:rsid w:val="00E75D3B"/>
    <w:rsid w:val="00E76AF1"/>
    <w:rsid w:val="00E77DDC"/>
    <w:rsid w:val="00E80805"/>
    <w:rsid w:val="00E81B88"/>
    <w:rsid w:val="00E827F7"/>
    <w:rsid w:val="00E83E20"/>
    <w:rsid w:val="00E847BC"/>
    <w:rsid w:val="00E84E4D"/>
    <w:rsid w:val="00E85B7A"/>
    <w:rsid w:val="00E877B9"/>
    <w:rsid w:val="00E908CA"/>
    <w:rsid w:val="00E91EDC"/>
    <w:rsid w:val="00E92455"/>
    <w:rsid w:val="00E93F4D"/>
    <w:rsid w:val="00E9543F"/>
    <w:rsid w:val="00E955AA"/>
    <w:rsid w:val="00E958A6"/>
    <w:rsid w:val="00E966AD"/>
    <w:rsid w:val="00E966BA"/>
    <w:rsid w:val="00E96B78"/>
    <w:rsid w:val="00EA097B"/>
    <w:rsid w:val="00EA15D0"/>
    <w:rsid w:val="00EA2066"/>
    <w:rsid w:val="00EA20CD"/>
    <w:rsid w:val="00EA4528"/>
    <w:rsid w:val="00EA5ACA"/>
    <w:rsid w:val="00EA6122"/>
    <w:rsid w:val="00EA6F89"/>
    <w:rsid w:val="00EA7B2D"/>
    <w:rsid w:val="00EB1900"/>
    <w:rsid w:val="00EB1A80"/>
    <w:rsid w:val="00EB268B"/>
    <w:rsid w:val="00EB3097"/>
    <w:rsid w:val="00EB360C"/>
    <w:rsid w:val="00EB3C62"/>
    <w:rsid w:val="00EB423B"/>
    <w:rsid w:val="00EB48E6"/>
    <w:rsid w:val="00EB4D9D"/>
    <w:rsid w:val="00EB5387"/>
    <w:rsid w:val="00EB65FF"/>
    <w:rsid w:val="00EB700F"/>
    <w:rsid w:val="00EB7971"/>
    <w:rsid w:val="00EC2380"/>
    <w:rsid w:val="00EC2890"/>
    <w:rsid w:val="00EC505D"/>
    <w:rsid w:val="00EC58FA"/>
    <w:rsid w:val="00EC6240"/>
    <w:rsid w:val="00EC7551"/>
    <w:rsid w:val="00EC7772"/>
    <w:rsid w:val="00ED0128"/>
    <w:rsid w:val="00ED0368"/>
    <w:rsid w:val="00ED03A0"/>
    <w:rsid w:val="00ED09BD"/>
    <w:rsid w:val="00ED17E0"/>
    <w:rsid w:val="00ED2F12"/>
    <w:rsid w:val="00ED3D7D"/>
    <w:rsid w:val="00ED4B27"/>
    <w:rsid w:val="00ED51B3"/>
    <w:rsid w:val="00ED617E"/>
    <w:rsid w:val="00ED687A"/>
    <w:rsid w:val="00ED6E2B"/>
    <w:rsid w:val="00ED7D5C"/>
    <w:rsid w:val="00EE0BD4"/>
    <w:rsid w:val="00EE0C61"/>
    <w:rsid w:val="00EE154C"/>
    <w:rsid w:val="00EE1A16"/>
    <w:rsid w:val="00EE21FD"/>
    <w:rsid w:val="00EE2E59"/>
    <w:rsid w:val="00EE3838"/>
    <w:rsid w:val="00EE4949"/>
    <w:rsid w:val="00EE5782"/>
    <w:rsid w:val="00EE6867"/>
    <w:rsid w:val="00EE7476"/>
    <w:rsid w:val="00EF105D"/>
    <w:rsid w:val="00EF1ACB"/>
    <w:rsid w:val="00EF1E8B"/>
    <w:rsid w:val="00EF4266"/>
    <w:rsid w:val="00EF7569"/>
    <w:rsid w:val="00EF7AB3"/>
    <w:rsid w:val="00EF7E82"/>
    <w:rsid w:val="00F00D13"/>
    <w:rsid w:val="00F00D59"/>
    <w:rsid w:val="00F00EE0"/>
    <w:rsid w:val="00F01AF5"/>
    <w:rsid w:val="00F02A58"/>
    <w:rsid w:val="00F039BC"/>
    <w:rsid w:val="00F050E8"/>
    <w:rsid w:val="00F05279"/>
    <w:rsid w:val="00F06969"/>
    <w:rsid w:val="00F06C9C"/>
    <w:rsid w:val="00F072B9"/>
    <w:rsid w:val="00F07ABA"/>
    <w:rsid w:val="00F10E2A"/>
    <w:rsid w:val="00F10EBE"/>
    <w:rsid w:val="00F11DAE"/>
    <w:rsid w:val="00F120D1"/>
    <w:rsid w:val="00F12995"/>
    <w:rsid w:val="00F133C7"/>
    <w:rsid w:val="00F13E5F"/>
    <w:rsid w:val="00F1464A"/>
    <w:rsid w:val="00F14D0A"/>
    <w:rsid w:val="00F14E40"/>
    <w:rsid w:val="00F15B34"/>
    <w:rsid w:val="00F15FC9"/>
    <w:rsid w:val="00F162F6"/>
    <w:rsid w:val="00F20009"/>
    <w:rsid w:val="00F20099"/>
    <w:rsid w:val="00F20F19"/>
    <w:rsid w:val="00F238F5"/>
    <w:rsid w:val="00F258A6"/>
    <w:rsid w:val="00F26151"/>
    <w:rsid w:val="00F264A5"/>
    <w:rsid w:val="00F265DA"/>
    <w:rsid w:val="00F27B2F"/>
    <w:rsid w:val="00F27E91"/>
    <w:rsid w:val="00F3055F"/>
    <w:rsid w:val="00F30C8E"/>
    <w:rsid w:val="00F30DBD"/>
    <w:rsid w:val="00F31227"/>
    <w:rsid w:val="00F333D1"/>
    <w:rsid w:val="00F34BA5"/>
    <w:rsid w:val="00F3627C"/>
    <w:rsid w:val="00F371B0"/>
    <w:rsid w:val="00F37B11"/>
    <w:rsid w:val="00F37D19"/>
    <w:rsid w:val="00F40085"/>
    <w:rsid w:val="00F40337"/>
    <w:rsid w:val="00F4059C"/>
    <w:rsid w:val="00F40A45"/>
    <w:rsid w:val="00F41F06"/>
    <w:rsid w:val="00F42582"/>
    <w:rsid w:val="00F42A50"/>
    <w:rsid w:val="00F42ECF"/>
    <w:rsid w:val="00F43032"/>
    <w:rsid w:val="00F445DA"/>
    <w:rsid w:val="00F456C1"/>
    <w:rsid w:val="00F475AB"/>
    <w:rsid w:val="00F47722"/>
    <w:rsid w:val="00F4775E"/>
    <w:rsid w:val="00F50900"/>
    <w:rsid w:val="00F50CD2"/>
    <w:rsid w:val="00F51751"/>
    <w:rsid w:val="00F51B40"/>
    <w:rsid w:val="00F51E31"/>
    <w:rsid w:val="00F52612"/>
    <w:rsid w:val="00F53EBD"/>
    <w:rsid w:val="00F53F2E"/>
    <w:rsid w:val="00F5505A"/>
    <w:rsid w:val="00F55B0A"/>
    <w:rsid w:val="00F55F56"/>
    <w:rsid w:val="00F57AD3"/>
    <w:rsid w:val="00F57F15"/>
    <w:rsid w:val="00F602D6"/>
    <w:rsid w:val="00F604A7"/>
    <w:rsid w:val="00F60A7A"/>
    <w:rsid w:val="00F61142"/>
    <w:rsid w:val="00F61815"/>
    <w:rsid w:val="00F61F17"/>
    <w:rsid w:val="00F638A6"/>
    <w:rsid w:val="00F63B91"/>
    <w:rsid w:val="00F666B7"/>
    <w:rsid w:val="00F70971"/>
    <w:rsid w:val="00F716E5"/>
    <w:rsid w:val="00F71CA7"/>
    <w:rsid w:val="00F71EA7"/>
    <w:rsid w:val="00F73E92"/>
    <w:rsid w:val="00F7634B"/>
    <w:rsid w:val="00F76672"/>
    <w:rsid w:val="00F804C8"/>
    <w:rsid w:val="00F8141C"/>
    <w:rsid w:val="00F81871"/>
    <w:rsid w:val="00F81FA2"/>
    <w:rsid w:val="00F82F62"/>
    <w:rsid w:val="00F83838"/>
    <w:rsid w:val="00F83B53"/>
    <w:rsid w:val="00F83BFE"/>
    <w:rsid w:val="00F849B9"/>
    <w:rsid w:val="00F84E65"/>
    <w:rsid w:val="00F85D9D"/>
    <w:rsid w:val="00F86166"/>
    <w:rsid w:val="00F87CFD"/>
    <w:rsid w:val="00F903D5"/>
    <w:rsid w:val="00F90836"/>
    <w:rsid w:val="00F90DBB"/>
    <w:rsid w:val="00F90F77"/>
    <w:rsid w:val="00F912E1"/>
    <w:rsid w:val="00F91B5E"/>
    <w:rsid w:val="00F91CEE"/>
    <w:rsid w:val="00F91E3E"/>
    <w:rsid w:val="00F924A6"/>
    <w:rsid w:val="00F955AB"/>
    <w:rsid w:val="00F95618"/>
    <w:rsid w:val="00F964E3"/>
    <w:rsid w:val="00F96D1C"/>
    <w:rsid w:val="00FA02DE"/>
    <w:rsid w:val="00FA1F7C"/>
    <w:rsid w:val="00FA29D7"/>
    <w:rsid w:val="00FA371C"/>
    <w:rsid w:val="00FA3AD1"/>
    <w:rsid w:val="00FA3FF9"/>
    <w:rsid w:val="00FA575E"/>
    <w:rsid w:val="00FA57D7"/>
    <w:rsid w:val="00FA7C7C"/>
    <w:rsid w:val="00FB0351"/>
    <w:rsid w:val="00FB03C4"/>
    <w:rsid w:val="00FB0583"/>
    <w:rsid w:val="00FB0CE5"/>
    <w:rsid w:val="00FB159F"/>
    <w:rsid w:val="00FB15CE"/>
    <w:rsid w:val="00FB1BFC"/>
    <w:rsid w:val="00FB219B"/>
    <w:rsid w:val="00FB2F0F"/>
    <w:rsid w:val="00FB487E"/>
    <w:rsid w:val="00FB6729"/>
    <w:rsid w:val="00FB71DC"/>
    <w:rsid w:val="00FB734E"/>
    <w:rsid w:val="00FC073F"/>
    <w:rsid w:val="00FC1312"/>
    <w:rsid w:val="00FC1D36"/>
    <w:rsid w:val="00FC1FB6"/>
    <w:rsid w:val="00FC392E"/>
    <w:rsid w:val="00FC3D58"/>
    <w:rsid w:val="00FC5766"/>
    <w:rsid w:val="00FC7D3B"/>
    <w:rsid w:val="00FD0125"/>
    <w:rsid w:val="00FD09BD"/>
    <w:rsid w:val="00FD0A1C"/>
    <w:rsid w:val="00FD2750"/>
    <w:rsid w:val="00FD2AFA"/>
    <w:rsid w:val="00FD2F63"/>
    <w:rsid w:val="00FD3462"/>
    <w:rsid w:val="00FD48FA"/>
    <w:rsid w:val="00FD5775"/>
    <w:rsid w:val="00FD6B99"/>
    <w:rsid w:val="00FD6CE8"/>
    <w:rsid w:val="00FE127C"/>
    <w:rsid w:val="00FE1B10"/>
    <w:rsid w:val="00FE52A5"/>
    <w:rsid w:val="00FE5AA4"/>
    <w:rsid w:val="00FE63DC"/>
    <w:rsid w:val="00FE65CE"/>
    <w:rsid w:val="00FE6C0E"/>
    <w:rsid w:val="00FE7037"/>
    <w:rsid w:val="00FE7B6A"/>
    <w:rsid w:val="00FF21C1"/>
    <w:rsid w:val="00FF26EF"/>
    <w:rsid w:val="00FF65F8"/>
    <w:rsid w:val="00FF7402"/>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49228"/>
  <w15:docId w15:val="{E1163DE5-2910-469F-B267-128D46CAD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B98"/>
    <w:pPr>
      <w:spacing w:line="360" w:lineRule="auto"/>
    </w:pPr>
    <w:rPr>
      <w:rFonts w:ascii="Aptos" w:hAnsi="Aptos"/>
      <w:color w:val="000000" w:themeColor="text1"/>
      <w:sz w:val="24"/>
      <w:szCs w:val="24"/>
    </w:rPr>
  </w:style>
  <w:style w:type="paragraph" w:styleId="Heading1">
    <w:name w:val="heading 1"/>
    <w:basedOn w:val="Heading2"/>
    <w:next w:val="Normal"/>
    <w:link w:val="Heading1Char"/>
    <w:uiPriority w:val="9"/>
    <w:qFormat/>
    <w:rsid w:val="00F57F15"/>
    <w:pPr>
      <w:outlineLvl w:val="0"/>
    </w:pPr>
  </w:style>
  <w:style w:type="paragraph" w:styleId="Heading2">
    <w:name w:val="heading 2"/>
    <w:basedOn w:val="Normal"/>
    <w:next w:val="Normal"/>
    <w:link w:val="Heading2Char"/>
    <w:uiPriority w:val="9"/>
    <w:unhideWhenUsed/>
    <w:qFormat/>
    <w:rsid w:val="00F57F15"/>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sid w:val="005127E5"/>
    <w:rPr>
      <w:color w:val="666666"/>
    </w:rPr>
  </w:style>
  <w:style w:type="paragraph" w:styleId="Header">
    <w:name w:val="header"/>
    <w:basedOn w:val="Normal"/>
    <w:link w:val="HeaderChar"/>
    <w:uiPriority w:val="99"/>
    <w:unhideWhenUsed/>
    <w:rsid w:val="005455C2"/>
    <w:pPr>
      <w:tabs>
        <w:tab w:val="center" w:pos="4680"/>
        <w:tab w:val="right" w:pos="9360"/>
      </w:tabs>
      <w:spacing w:line="240" w:lineRule="auto"/>
    </w:pPr>
  </w:style>
  <w:style w:type="character" w:customStyle="1" w:styleId="HeaderChar">
    <w:name w:val="Header Char"/>
    <w:basedOn w:val="DefaultParagraphFont"/>
    <w:link w:val="Header"/>
    <w:uiPriority w:val="99"/>
    <w:rsid w:val="005455C2"/>
  </w:style>
  <w:style w:type="paragraph" w:styleId="Footer">
    <w:name w:val="footer"/>
    <w:basedOn w:val="Normal"/>
    <w:link w:val="FooterChar"/>
    <w:uiPriority w:val="99"/>
    <w:unhideWhenUsed/>
    <w:rsid w:val="005455C2"/>
    <w:pPr>
      <w:tabs>
        <w:tab w:val="center" w:pos="4680"/>
        <w:tab w:val="right" w:pos="9360"/>
      </w:tabs>
      <w:spacing w:line="240" w:lineRule="auto"/>
    </w:pPr>
  </w:style>
  <w:style w:type="character" w:customStyle="1" w:styleId="FooterChar">
    <w:name w:val="Footer Char"/>
    <w:basedOn w:val="DefaultParagraphFont"/>
    <w:link w:val="Footer"/>
    <w:uiPriority w:val="99"/>
    <w:rsid w:val="005455C2"/>
  </w:style>
  <w:style w:type="paragraph" w:styleId="Bibliography">
    <w:name w:val="Bibliography"/>
    <w:basedOn w:val="Normal"/>
    <w:next w:val="Normal"/>
    <w:uiPriority w:val="37"/>
    <w:unhideWhenUsed/>
    <w:rsid w:val="00765344"/>
    <w:pPr>
      <w:tabs>
        <w:tab w:val="left" w:pos="260"/>
        <w:tab w:val="left" w:pos="380"/>
        <w:tab w:val="left" w:pos="504"/>
      </w:tabs>
      <w:spacing w:after="240" w:line="240" w:lineRule="auto"/>
      <w:ind w:left="384" w:hanging="384"/>
    </w:p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character" w:customStyle="1" w:styleId="Heading3Char">
    <w:name w:val="Heading 3 Char"/>
    <w:basedOn w:val="DefaultParagraphFont"/>
    <w:link w:val="Heading3"/>
    <w:uiPriority w:val="9"/>
    <w:rsid w:val="00AB0EE1"/>
    <w:rPr>
      <w:color w:val="434343"/>
      <w:sz w:val="28"/>
      <w:szCs w:val="28"/>
    </w:rPr>
  </w:style>
  <w:style w:type="paragraph" w:styleId="ListParagraph">
    <w:name w:val="List Paragraph"/>
    <w:basedOn w:val="Normal"/>
    <w:uiPriority w:val="34"/>
    <w:qFormat/>
    <w:rsid w:val="0043475A"/>
    <w:pPr>
      <w:ind w:left="720"/>
      <w:contextualSpacing/>
    </w:pPr>
  </w:style>
  <w:style w:type="paragraph" w:styleId="CommentSubject">
    <w:name w:val="annotation subject"/>
    <w:basedOn w:val="CommentText"/>
    <w:next w:val="CommentText"/>
    <w:link w:val="CommentSubjectChar"/>
    <w:uiPriority w:val="99"/>
    <w:semiHidden/>
    <w:unhideWhenUsed/>
    <w:rsid w:val="00914618"/>
    <w:rPr>
      <w:b/>
      <w:bCs/>
    </w:rPr>
  </w:style>
  <w:style w:type="character" w:customStyle="1" w:styleId="CommentSubjectChar">
    <w:name w:val="Comment Subject Char"/>
    <w:basedOn w:val="CommentTextChar"/>
    <w:link w:val="CommentSubject"/>
    <w:uiPriority w:val="99"/>
    <w:semiHidden/>
    <w:rsid w:val="00914618"/>
    <w:rPr>
      <w:b/>
      <w:bCs/>
      <w:sz w:val="20"/>
      <w:szCs w:val="20"/>
    </w:rPr>
  </w:style>
  <w:style w:type="character" w:customStyle="1" w:styleId="Heading1Char">
    <w:name w:val="Heading 1 Char"/>
    <w:basedOn w:val="DefaultParagraphFont"/>
    <w:link w:val="Heading1"/>
    <w:uiPriority w:val="9"/>
    <w:rsid w:val="00F57F15"/>
    <w:rPr>
      <w:rFonts w:ascii="Aptos" w:hAnsi="Aptos"/>
      <w:sz w:val="32"/>
      <w:szCs w:val="32"/>
    </w:rPr>
  </w:style>
  <w:style w:type="character" w:styleId="Hyperlink">
    <w:name w:val="Hyperlink"/>
    <w:basedOn w:val="DefaultParagraphFont"/>
    <w:uiPriority w:val="99"/>
    <w:unhideWhenUsed/>
    <w:rsid w:val="00840073"/>
    <w:rPr>
      <w:color w:val="0000FF" w:themeColor="hyperlink"/>
      <w:u w:val="single"/>
    </w:rPr>
  </w:style>
  <w:style w:type="character" w:styleId="UnresolvedMention">
    <w:name w:val="Unresolved Mention"/>
    <w:basedOn w:val="DefaultParagraphFont"/>
    <w:uiPriority w:val="99"/>
    <w:semiHidden/>
    <w:unhideWhenUsed/>
    <w:rsid w:val="00840073"/>
    <w:rPr>
      <w:color w:val="605E5C"/>
      <w:shd w:val="clear" w:color="auto" w:fill="E1DFDD"/>
    </w:rPr>
  </w:style>
  <w:style w:type="paragraph" w:styleId="Revision">
    <w:name w:val="Revision"/>
    <w:hidden/>
    <w:uiPriority w:val="99"/>
    <w:semiHidden/>
    <w:rsid w:val="00D951EA"/>
    <w:pPr>
      <w:spacing w:line="240" w:lineRule="auto"/>
    </w:pPr>
  </w:style>
  <w:style w:type="character" w:customStyle="1" w:styleId="Heading2Char">
    <w:name w:val="Heading 2 Char"/>
    <w:basedOn w:val="DefaultParagraphFont"/>
    <w:link w:val="Heading2"/>
    <w:uiPriority w:val="9"/>
    <w:rsid w:val="00F57F15"/>
    <w:rPr>
      <w:rFonts w:ascii="Aptos" w:hAnsi="Aptos"/>
      <w:sz w:val="32"/>
      <w:szCs w:val="32"/>
    </w:rPr>
  </w:style>
  <w:style w:type="table" w:styleId="TableGrid">
    <w:name w:val="Table Grid"/>
    <w:basedOn w:val="TableNormal"/>
    <w:uiPriority w:val="39"/>
    <w:rsid w:val="00E531D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A7488"/>
    <w:rPr>
      <w:color w:val="800080" w:themeColor="followedHyperlink"/>
      <w:u w:val="single"/>
    </w:rPr>
  </w:style>
  <w:style w:type="paragraph" w:styleId="HTMLPreformatted">
    <w:name w:val="HTML Preformatted"/>
    <w:basedOn w:val="Normal"/>
    <w:link w:val="HTMLPreformattedChar"/>
    <w:uiPriority w:val="99"/>
    <w:semiHidden/>
    <w:unhideWhenUsed/>
    <w:rsid w:val="00F90836"/>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90836"/>
    <w:rPr>
      <w:rFonts w:ascii="Consolas" w:hAnsi="Consolas"/>
      <w:sz w:val="20"/>
      <w:szCs w:val="20"/>
    </w:rPr>
  </w:style>
  <w:style w:type="paragraph" w:styleId="TOCHeading">
    <w:name w:val="TOC Heading"/>
    <w:basedOn w:val="Heading1"/>
    <w:next w:val="Normal"/>
    <w:uiPriority w:val="39"/>
    <w:unhideWhenUsed/>
    <w:qFormat/>
    <w:rsid w:val="00885336"/>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2">
    <w:name w:val="toc 2"/>
    <w:basedOn w:val="Normal"/>
    <w:next w:val="Normal"/>
    <w:autoRedefine/>
    <w:uiPriority w:val="39"/>
    <w:unhideWhenUsed/>
    <w:rsid w:val="00885336"/>
    <w:pPr>
      <w:spacing w:before="120"/>
      <w:ind w:left="220"/>
    </w:pPr>
    <w:rPr>
      <w:rFonts w:asciiTheme="minorHAnsi" w:hAnsiTheme="minorHAnsi" w:cs="Times New Roman"/>
      <w:b/>
      <w:bCs/>
      <w:szCs w:val="26"/>
    </w:rPr>
  </w:style>
  <w:style w:type="paragraph" w:styleId="TOC3">
    <w:name w:val="toc 3"/>
    <w:basedOn w:val="Normal"/>
    <w:next w:val="Normal"/>
    <w:autoRedefine/>
    <w:uiPriority w:val="39"/>
    <w:unhideWhenUsed/>
    <w:rsid w:val="00885336"/>
    <w:pPr>
      <w:ind w:left="440"/>
    </w:pPr>
    <w:rPr>
      <w:rFonts w:asciiTheme="minorHAnsi" w:hAnsiTheme="minorHAnsi" w:cs="Times New Roman"/>
      <w:sz w:val="20"/>
    </w:rPr>
  </w:style>
  <w:style w:type="paragraph" w:styleId="TOC1">
    <w:name w:val="toc 1"/>
    <w:basedOn w:val="Normal"/>
    <w:next w:val="Normal"/>
    <w:autoRedefine/>
    <w:uiPriority w:val="39"/>
    <w:unhideWhenUsed/>
    <w:rsid w:val="00885336"/>
    <w:pPr>
      <w:spacing w:before="120"/>
    </w:pPr>
    <w:rPr>
      <w:rFonts w:asciiTheme="minorHAnsi" w:hAnsiTheme="minorHAnsi" w:cs="Times New Roman"/>
      <w:b/>
      <w:bCs/>
      <w:i/>
      <w:iCs/>
      <w:szCs w:val="28"/>
    </w:rPr>
  </w:style>
  <w:style w:type="paragraph" w:styleId="TOC4">
    <w:name w:val="toc 4"/>
    <w:basedOn w:val="Normal"/>
    <w:next w:val="Normal"/>
    <w:autoRedefine/>
    <w:uiPriority w:val="39"/>
    <w:semiHidden/>
    <w:unhideWhenUsed/>
    <w:rsid w:val="00885336"/>
    <w:pPr>
      <w:ind w:left="660"/>
    </w:pPr>
    <w:rPr>
      <w:rFonts w:asciiTheme="minorHAnsi" w:hAnsiTheme="minorHAnsi" w:cs="Times New Roman"/>
      <w:sz w:val="20"/>
    </w:rPr>
  </w:style>
  <w:style w:type="paragraph" w:styleId="TOC5">
    <w:name w:val="toc 5"/>
    <w:basedOn w:val="Normal"/>
    <w:next w:val="Normal"/>
    <w:autoRedefine/>
    <w:uiPriority w:val="39"/>
    <w:semiHidden/>
    <w:unhideWhenUsed/>
    <w:rsid w:val="00885336"/>
    <w:pPr>
      <w:ind w:left="880"/>
    </w:pPr>
    <w:rPr>
      <w:rFonts w:asciiTheme="minorHAnsi" w:hAnsiTheme="minorHAnsi" w:cs="Times New Roman"/>
      <w:sz w:val="20"/>
    </w:rPr>
  </w:style>
  <w:style w:type="paragraph" w:styleId="TOC6">
    <w:name w:val="toc 6"/>
    <w:basedOn w:val="Normal"/>
    <w:next w:val="Normal"/>
    <w:autoRedefine/>
    <w:uiPriority w:val="39"/>
    <w:semiHidden/>
    <w:unhideWhenUsed/>
    <w:rsid w:val="00885336"/>
    <w:pPr>
      <w:ind w:left="1100"/>
    </w:pPr>
    <w:rPr>
      <w:rFonts w:asciiTheme="minorHAnsi" w:hAnsiTheme="minorHAnsi" w:cs="Times New Roman"/>
      <w:sz w:val="20"/>
    </w:rPr>
  </w:style>
  <w:style w:type="paragraph" w:styleId="TOC7">
    <w:name w:val="toc 7"/>
    <w:basedOn w:val="Normal"/>
    <w:next w:val="Normal"/>
    <w:autoRedefine/>
    <w:uiPriority w:val="39"/>
    <w:semiHidden/>
    <w:unhideWhenUsed/>
    <w:rsid w:val="00885336"/>
    <w:pPr>
      <w:ind w:left="1320"/>
    </w:pPr>
    <w:rPr>
      <w:rFonts w:asciiTheme="minorHAnsi" w:hAnsiTheme="minorHAnsi" w:cs="Times New Roman"/>
      <w:sz w:val="20"/>
    </w:rPr>
  </w:style>
  <w:style w:type="paragraph" w:styleId="TOC8">
    <w:name w:val="toc 8"/>
    <w:basedOn w:val="Normal"/>
    <w:next w:val="Normal"/>
    <w:autoRedefine/>
    <w:uiPriority w:val="39"/>
    <w:semiHidden/>
    <w:unhideWhenUsed/>
    <w:rsid w:val="00885336"/>
    <w:pPr>
      <w:ind w:left="1540"/>
    </w:pPr>
    <w:rPr>
      <w:rFonts w:asciiTheme="minorHAnsi" w:hAnsiTheme="minorHAnsi" w:cs="Times New Roman"/>
      <w:sz w:val="20"/>
    </w:rPr>
  </w:style>
  <w:style w:type="paragraph" w:styleId="TOC9">
    <w:name w:val="toc 9"/>
    <w:basedOn w:val="Normal"/>
    <w:next w:val="Normal"/>
    <w:autoRedefine/>
    <w:uiPriority w:val="39"/>
    <w:semiHidden/>
    <w:unhideWhenUsed/>
    <w:rsid w:val="00885336"/>
    <w:pPr>
      <w:ind w:left="1760"/>
    </w:pPr>
    <w:rPr>
      <w:rFonts w:asciiTheme="minorHAnsi" w:hAnsiTheme="minorHAnsi" w:cs="Times New Roman"/>
      <w:sz w:val="20"/>
    </w:rPr>
  </w:style>
  <w:style w:type="character" w:customStyle="1" w:styleId="Heading4Char">
    <w:name w:val="Heading 4 Char"/>
    <w:basedOn w:val="DefaultParagraphFont"/>
    <w:link w:val="Heading4"/>
    <w:uiPriority w:val="9"/>
    <w:rsid w:val="005F544E"/>
    <w:rPr>
      <w:rFonts w:ascii="Aptos" w:hAnsi="Aptos"/>
      <w:color w:val="666666"/>
      <w:sz w:val="24"/>
      <w:szCs w:val="24"/>
    </w:rPr>
  </w:style>
  <w:style w:type="paragraph" w:styleId="NormalWeb">
    <w:name w:val="Normal (Web)"/>
    <w:basedOn w:val="Normal"/>
    <w:uiPriority w:val="99"/>
    <w:semiHidden/>
    <w:unhideWhenUsed/>
    <w:rsid w:val="007206D9"/>
    <w:rPr>
      <w:rFonts w:ascii="Times New Roman" w:hAnsi="Times New Roman" w:cs="Times New Roman"/>
    </w:rPr>
  </w:style>
  <w:style w:type="character" w:customStyle="1" w:styleId="fontstyle01">
    <w:name w:val="fontstyle01"/>
    <w:basedOn w:val="DefaultParagraphFont"/>
    <w:rsid w:val="002C1FE4"/>
    <w:rPr>
      <w:rFonts w:ascii="TimesNewRomanPSMT" w:hAnsi="TimesNewRomanPSMT" w:hint="default"/>
      <w:b w:val="0"/>
      <w:bCs w:val="0"/>
      <w:i w:val="0"/>
      <w:iCs w:val="0"/>
      <w:color w:val="000000"/>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5940">
      <w:bodyDiv w:val="1"/>
      <w:marLeft w:val="0"/>
      <w:marRight w:val="0"/>
      <w:marTop w:val="0"/>
      <w:marBottom w:val="0"/>
      <w:divBdr>
        <w:top w:val="none" w:sz="0" w:space="0" w:color="auto"/>
        <w:left w:val="none" w:sz="0" w:space="0" w:color="auto"/>
        <w:bottom w:val="none" w:sz="0" w:space="0" w:color="auto"/>
        <w:right w:val="none" w:sz="0" w:space="0" w:color="auto"/>
      </w:divBdr>
    </w:div>
    <w:div w:id="14700749">
      <w:bodyDiv w:val="1"/>
      <w:marLeft w:val="0"/>
      <w:marRight w:val="0"/>
      <w:marTop w:val="0"/>
      <w:marBottom w:val="0"/>
      <w:divBdr>
        <w:top w:val="none" w:sz="0" w:space="0" w:color="auto"/>
        <w:left w:val="none" w:sz="0" w:space="0" w:color="auto"/>
        <w:bottom w:val="none" w:sz="0" w:space="0" w:color="auto"/>
        <w:right w:val="none" w:sz="0" w:space="0" w:color="auto"/>
      </w:divBdr>
    </w:div>
    <w:div w:id="49353197">
      <w:bodyDiv w:val="1"/>
      <w:marLeft w:val="0"/>
      <w:marRight w:val="0"/>
      <w:marTop w:val="0"/>
      <w:marBottom w:val="0"/>
      <w:divBdr>
        <w:top w:val="none" w:sz="0" w:space="0" w:color="auto"/>
        <w:left w:val="none" w:sz="0" w:space="0" w:color="auto"/>
        <w:bottom w:val="none" w:sz="0" w:space="0" w:color="auto"/>
        <w:right w:val="none" w:sz="0" w:space="0" w:color="auto"/>
      </w:divBdr>
    </w:div>
    <w:div w:id="64032235">
      <w:bodyDiv w:val="1"/>
      <w:marLeft w:val="0"/>
      <w:marRight w:val="0"/>
      <w:marTop w:val="0"/>
      <w:marBottom w:val="0"/>
      <w:divBdr>
        <w:top w:val="none" w:sz="0" w:space="0" w:color="auto"/>
        <w:left w:val="none" w:sz="0" w:space="0" w:color="auto"/>
        <w:bottom w:val="none" w:sz="0" w:space="0" w:color="auto"/>
        <w:right w:val="none" w:sz="0" w:space="0" w:color="auto"/>
      </w:divBdr>
    </w:div>
    <w:div w:id="78643720">
      <w:bodyDiv w:val="1"/>
      <w:marLeft w:val="0"/>
      <w:marRight w:val="0"/>
      <w:marTop w:val="0"/>
      <w:marBottom w:val="0"/>
      <w:divBdr>
        <w:top w:val="none" w:sz="0" w:space="0" w:color="auto"/>
        <w:left w:val="none" w:sz="0" w:space="0" w:color="auto"/>
        <w:bottom w:val="none" w:sz="0" w:space="0" w:color="auto"/>
        <w:right w:val="none" w:sz="0" w:space="0" w:color="auto"/>
      </w:divBdr>
    </w:div>
    <w:div w:id="94597410">
      <w:bodyDiv w:val="1"/>
      <w:marLeft w:val="0"/>
      <w:marRight w:val="0"/>
      <w:marTop w:val="0"/>
      <w:marBottom w:val="0"/>
      <w:divBdr>
        <w:top w:val="none" w:sz="0" w:space="0" w:color="auto"/>
        <w:left w:val="none" w:sz="0" w:space="0" w:color="auto"/>
        <w:bottom w:val="none" w:sz="0" w:space="0" w:color="auto"/>
        <w:right w:val="none" w:sz="0" w:space="0" w:color="auto"/>
      </w:divBdr>
    </w:div>
    <w:div w:id="113257005">
      <w:bodyDiv w:val="1"/>
      <w:marLeft w:val="0"/>
      <w:marRight w:val="0"/>
      <w:marTop w:val="0"/>
      <w:marBottom w:val="0"/>
      <w:divBdr>
        <w:top w:val="none" w:sz="0" w:space="0" w:color="auto"/>
        <w:left w:val="none" w:sz="0" w:space="0" w:color="auto"/>
        <w:bottom w:val="none" w:sz="0" w:space="0" w:color="auto"/>
        <w:right w:val="none" w:sz="0" w:space="0" w:color="auto"/>
      </w:divBdr>
    </w:div>
    <w:div w:id="121311862">
      <w:bodyDiv w:val="1"/>
      <w:marLeft w:val="0"/>
      <w:marRight w:val="0"/>
      <w:marTop w:val="0"/>
      <w:marBottom w:val="0"/>
      <w:divBdr>
        <w:top w:val="none" w:sz="0" w:space="0" w:color="auto"/>
        <w:left w:val="none" w:sz="0" w:space="0" w:color="auto"/>
        <w:bottom w:val="none" w:sz="0" w:space="0" w:color="auto"/>
        <w:right w:val="none" w:sz="0" w:space="0" w:color="auto"/>
      </w:divBdr>
    </w:div>
    <w:div w:id="168371286">
      <w:bodyDiv w:val="1"/>
      <w:marLeft w:val="0"/>
      <w:marRight w:val="0"/>
      <w:marTop w:val="0"/>
      <w:marBottom w:val="0"/>
      <w:divBdr>
        <w:top w:val="none" w:sz="0" w:space="0" w:color="auto"/>
        <w:left w:val="none" w:sz="0" w:space="0" w:color="auto"/>
        <w:bottom w:val="none" w:sz="0" w:space="0" w:color="auto"/>
        <w:right w:val="none" w:sz="0" w:space="0" w:color="auto"/>
      </w:divBdr>
    </w:div>
    <w:div w:id="169031594">
      <w:bodyDiv w:val="1"/>
      <w:marLeft w:val="0"/>
      <w:marRight w:val="0"/>
      <w:marTop w:val="0"/>
      <w:marBottom w:val="0"/>
      <w:divBdr>
        <w:top w:val="none" w:sz="0" w:space="0" w:color="auto"/>
        <w:left w:val="none" w:sz="0" w:space="0" w:color="auto"/>
        <w:bottom w:val="none" w:sz="0" w:space="0" w:color="auto"/>
        <w:right w:val="none" w:sz="0" w:space="0" w:color="auto"/>
      </w:divBdr>
    </w:div>
    <w:div w:id="194579912">
      <w:bodyDiv w:val="1"/>
      <w:marLeft w:val="0"/>
      <w:marRight w:val="0"/>
      <w:marTop w:val="0"/>
      <w:marBottom w:val="0"/>
      <w:divBdr>
        <w:top w:val="none" w:sz="0" w:space="0" w:color="auto"/>
        <w:left w:val="none" w:sz="0" w:space="0" w:color="auto"/>
        <w:bottom w:val="none" w:sz="0" w:space="0" w:color="auto"/>
        <w:right w:val="none" w:sz="0" w:space="0" w:color="auto"/>
      </w:divBdr>
    </w:div>
    <w:div w:id="203174280">
      <w:bodyDiv w:val="1"/>
      <w:marLeft w:val="0"/>
      <w:marRight w:val="0"/>
      <w:marTop w:val="0"/>
      <w:marBottom w:val="0"/>
      <w:divBdr>
        <w:top w:val="none" w:sz="0" w:space="0" w:color="auto"/>
        <w:left w:val="none" w:sz="0" w:space="0" w:color="auto"/>
        <w:bottom w:val="none" w:sz="0" w:space="0" w:color="auto"/>
        <w:right w:val="none" w:sz="0" w:space="0" w:color="auto"/>
      </w:divBdr>
    </w:div>
    <w:div w:id="205146527">
      <w:bodyDiv w:val="1"/>
      <w:marLeft w:val="0"/>
      <w:marRight w:val="0"/>
      <w:marTop w:val="0"/>
      <w:marBottom w:val="0"/>
      <w:divBdr>
        <w:top w:val="none" w:sz="0" w:space="0" w:color="auto"/>
        <w:left w:val="none" w:sz="0" w:space="0" w:color="auto"/>
        <w:bottom w:val="none" w:sz="0" w:space="0" w:color="auto"/>
        <w:right w:val="none" w:sz="0" w:space="0" w:color="auto"/>
      </w:divBdr>
    </w:div>
    <w:div w:id="219905714">
      <w:bodyDiv w:val="1"/>
      <w:marLeft w:val="0"/>
      <w:marRight w:val="0"/>
      <w:marTop w:val="0"/>
      <w:marBottom w:val="0"/>
      <w:divBdr>
        <w:top w:val="none" w:sz="0" w:space="0" w:color="auto"/>
        <w:left w:val="none" w:sz="0" w:space="0" w:color="auto"/>
        <w:bottom w:val="none" w:sz="0" w:space="0" w:color="auto"/>
        <w:right w:val="none" w:sz="0" w:space="0" w:color="auto"/>
      </w:divBdr>
    </w:div>
    <w:div w:id="227885905">
      <w:bodyDiv w:val="1"/>
      <w:marLeft w:val="0"/>
      <w:marRight w:val="0"/>
      <w:marTop w:val="0"/>
      <w:marBottom w:val="0"/>
      <w:divBdr>
        <w:top w:val="none" w:sz="0" w:space="0" w:color="auto"/>
        <w:left w:val="none" w:sz="0" w:space="0" w:color="auto"/>
        <w:bottom w:val="none" w:sz="0" w:space="0" w:color="auto"/>
        <w:right w:val="none" w:sz="0" w:space="0" w:color="auto"/>
      </w:divBdr>
      <w:divsChild>
        <w:div w:id="1401828573">
          <w:marLeft w:val="0"/>
          <w:marRight w:val="0"/>
          <w:marTop w:val="0"/>
          <w:marBottom w:val="0"/>
          <w:divBdr>
            <w:top w:val="none" w:sz="0" w:space="0" w:color="auto"/>
            <w:left w:val="none" w:sz="0" w:space="0" w:color="auto"/>
            <w:bottom w:val="none" w:sz="0" w:space="0" w:color="auto"/>
            <w:right w:val="none" w:sz="0" w:space="0" w:color="auto"/>
          </w:divBdr>
        </w:div>
      </w:divsChild>
    </w:div>
    <w:div w:id="273170164">
      <w:bodyDiv w:val="1"/>
      <w:marLeft w:val="0"/>
      <w:marRight w:val="0"/>
      <w:marTop w:val="0"/>
      <w:marBottom w:val="0"/>
      <w:divBdr>
        <w:top w:val="none" w:sz="0" w:space="0" w:color="auto"/>
        <w:left w:val="none" w:sz="0" w:space="0" w:color="auto"/>
        <w:bottom w:val="none" w:sz="0" w:space="0" w:color="auto"/>
        <w:right w:val="none" w:sz="0" w:space="0" w:color="auto"/>
      </w:divBdr>
    </w:div>
    <w:div w:id="288824447">
      <w:bodyDiv w:val="1"/>
      <w:marLeft w:val="0"/>
      <w:marRight w:val="0"/>
      <w:marTop w:val="0"/>
      <w:marBottom w:val="0"/>
      <w:divBdr>
        <w:top w:val="none" w:sz="0" w:space="0" w:color="auto"/>
        <w:left w:val="none" w:sz="0" w:space="0" w:color="auto"/>
        <w:bottom w:val="none" w:sz="0" w:space="0" w:color="auto"/>
        <w:right w:val="none" w:sz="0" w:space="0" w:color="auto"/>
      </w:divBdr>
    </w:div>
    <w:div w:id="294066803">
      <w:bodyDiv w:val="1"/>
      <w:marLeft w:val="0"/>
      <w:marRight w:val="0"/>
      <w:marTop w:val="0"/>
      <w:marBottom w:val="0"/>
      <w:divBdr>
        <w:top w:val="none" w:sz="0" w:space="0" w:color="auto"/>
        <w:left w:val="none" w:sz="0" w:space="0" w:color="auto"/>
        <w:bottom w:val="none" w:sz="0" w:space="0" w:color="auto"/>
        <w:right w:val="none" w:sz="0" w:space="0" w:color="auto"/>
      </w:divBdr>
    </w:div>
    <w:div w:id="342247919">
      <w:bodyDiv w:val="1"/>
      <w:marLeft w:val="0"/>
      <w:marRight w:val="0"/>
      <w:marTop w:val="0"/>
      <w:marBottom w:val="0"/>
      <w:divBdr>
        <w:top w:val="none" w:sz="0" w:space="0" w:color="auto"/>
        <w:left w:val="none" w:sz="0" w:space="0" w:color="auto"/>
        <w:bottom w:val="none" w:sz="0" w:space="0" w:color="auto"/>
        <w:right w:val="none" w:sz="0" w:space="0" w:color="auto"/>
      </w:divBdr>
    </w:div>
    <w:div w:id="354620067">
      <w:bodyDiv w:val="1"/>
      <w:marLeft w:val="0"/>
      <w:marRight w:val="0"/>
      <w:marTop w:val="0"/>
      <w:marBottom w:val="0"/>
      <w:divBdr>
        <w:top w:val="none" w:sz="0" w:space="0" w:color="auto"/>
        <w:left w:val="none" w:sz="0" w:space="0" w:color="auto"/>
        <w:bottom w:val="none" w:sz="0" w:space="0" w:color="auto"/>
        <w:right w:val="none" w:sz="0" w:space="0" w:color="auto"/>
      </w:divBdr>
      <w:divsChild>
        <w:div w:id="252208739">
          <w:marLeft w:val="0"/>
          <w:marRight w:val="0"/>
          <w:marTop w:val="0"/>
          <w:marBottom w:val="0"/>
          <w:divBdr>
            <w:top w:val="none" w:sz="0" w:space="0" w:color="auto"/>
            <w:left w:val="none" w:sz="0" w:space="0" w:color="auto"/>
            <w:bottom w:val="none" w:sz="0" w:space="0" w:color="auto"/>
            <w:right w:val="none" w:sz="0" w:space="0" w:color="auto"/>
          </w:divBdr>
          <w:divsChild>
            <w:div w:id="98187655">
              <w:marLeft w:val="0"/>
              <w:marRight w:val="0"/>
              <w:marTop w:val="0"/>
              <w:marBottom w:val="0"/>
              <w:divBdr>
                <w:top w:val="none" w:sz="0" w:space="0" w:color="auto"/>
                <w:left w:val="none" w:sz="0" w:space="0" w:color="auto"/>
                <w:bottom w:val="none" w:sz="0" w:space="0" w:color="auto"/>
                <w:right w:val="none" w:sz="0" w:space="0" w:color="auto"/>
              </w:divBdr>
            </w:div>
          </w:divsChild>
        </w:div>
        <w:div w:id="1191459010">
          <w:marLeft w:val="-225"/>
          <w:marRight w:val="-225"/>
          <w:marTop w:val="0"/>
          <w:marBottom w:val="0"/>
          <w:divBdr>
            <w:top w:val="none" w:sz="0" w:space="0" w:color="auto"/>
            <w:left w:val="none" w:sz="0" w:space="0" w:color="auto"/>
            <w:bottom w:val="none" w:sz="0" w:space="0" w:color="auto"/>
            <w:right w:val="none" w:sz="0" w:space="0" w:color="auto"/>
          </w:divBdr>
          <w:divsChild>
            <w:div w:id="2029987104">
              <w:marLeft w:val="0"/>
              <w:marRight w:val="0"/>
              <w:marTop w:val="0"/>
              <w:marBottom w:val="0"/>
              <w:divBdr>
                <w:top w:val="none" w:sz="0" w:space="0" w:color="auto"/>
                <w:left w:val="none" w:sz="0" w:space="0" w:color="auto"/>
                <w:bottom w:val="none" w:sz="0" w:space="0" w:color="auto"/>
                <w:right w:val="none" w:sz="0" w:space="0" w:color="auto"/>
              </w:divBdr>
              <w:divsChild>
                <w:div w:id="603197721">
                  <w:marLeft w:val="0"/>
                  <w:marRight w:val="0"/>
                  <w:marTop w:val="0"/>
                  <w:marBottom w:val="0"/>
                  <w:divBdr>
                    <w:top w:val="none" w:sz="0" w:space="0" w:color="auto"/>
                    <w:left w:val="none" w:sz="0" w:space="0" w:color="auto"/>
                    <w:bottom w:val="none" w:sz="0" w:space="0" w:color="auto"/>
                    <w:right w:val="none" w:sz="0" w:space="0" w:color="auto"/>
                  </w:divBdr>
                  <w:divsChild>
                    <w:div w:id="602029471">
                      <w:marLeft w:val="-225"/>
                      <w:marRight w:val="-225"/>
                      <w:marTop w:val="0"/>
                      <w:marBottom w:val="0"/>
                      <w:divBdr>
                        <w:top w:val="none" w:sz="0" w:space="0" w:color="auto"/>
                        <w:left w:val="none" w:sz="0" w:space="0" w:color="auto"/>
                        <w:bottom w:val="none" w:sz="0" w:space="0" w:color="auto"/>
                        <w:right w:val="none" w:sz="0" w:space="0" w:color="auto"/>
                      </w:divBdr>
                      <w:divsChild>
                        <w:div w:id="1534735184">
                          <w:marLeft w:val="0"/>
                          <w:marRight w:val="0"/>
                          <w:marTop w:val="0"/>
                          <w:marBottom w:val="0"/>
                          <w:divBdr>
                            <w:top w:val="none" w:sz="0" w:space="0" w:color="auto"/>
                            <w:left w:val="none" w:sz="0" w:space="0" w:color="auto"/>
                            <w:bottom w:val="none" w:sz="0" w:space="0" w:color="auto"/>
                            <w:right w:val="none" w:sz="0" w:space="0" w:color="auto"/>
                          </w:divBdr>
                          <w:divsChild>
                            <w:div w:id="984236358">
                              <w:marLeft w:val="-225"/>
                              <w:marRight w:val="-225"/>
                              <w:marTop w:val="0"/>
                              <w:marBottom w:val="0"/>
                              <w:divBdr>
                                <w:top w:val="none" w:sz="0" w:space="0" w:color="auto"/>
                                <w:left w:val="none" w:sz="0" w:space="0" w:color="auto"/>
                                <w:bottom w:val="none" w:sz="0" w:space="0" w:color="auto"/>
                                <w:right w:val="none" w:sz="0" w:space="0" w:color="auto"/>
                              </w:divBdr>
                              <w:divsChild>
                                <w:div w:id="1563638563">
                                  <w:marLeft w:val="0"/>
                                  <w:marRight w:val="0"/>
                                  <w:marTop w:val="0"/>
                                  <w:marBottom w:val="0"/>
                                  <w:divBdr>
                                    <w:top w:val="none" w:sz="0" w:space="0" w:color="auto"/>
                                    <w:left w:val="none" w:sz="0" w:space="0" w:color="auto"/>
                                    <w:bottom w:val="none" w:sz="0" w:space="0" w:color="auto"/>
                                    <w:right w:val="none" w:sz="0" w:space="0" w:color="auto"/>
                                  </w:divBdr>
                                  <w:divsChild>
                                    <w:div w:id="373165106">
                                      <w:marLeft w:val="0"/>
                                      <w:marRight w:val="0"/>
                                      <w:marTop w:val="0"/>
                                      <w:marBottom w:val="0"/>
                                      <w:divBdr>
                                        <w:top w:val="none" w:sz="0" w:space="0" w:color="auto"/>
                                        <w:left w:val="none" w:sz="0" w:space="0" w:color="auto"/>
                                        <w:bottom w:val="none" w:sz="0" w:space="0" w:color="auto"/>
                                        <w:right w:val="none" w:sz="0" w:space="0" w:color="auto"/>
                                      </w:divBdr>
                                      <w:divsChild>
                                        <w:div w:id="176118897">
                                          <w:marLeft w:val="0"/>
                                          <w:marRight w:val="180"/>
                                          <w:marTop w:val="90"/>
                                          <w:marBottom w:val="90"/>
                                          <w:divBdr>
                                            <w:top w:val="single" w:sz="12" w:space="0" w:color="00205C"/>
                                            <w:left w:val="single" w:sz="12" w:space="0" w:color="00205C"/>
                                            <w:bottom w:val="single" w:sz="12" w:space="0" w:color="00205C"/>
                                            <w:right w:val="single" w:sz="12" w:space="0" w:color="00205C"/>
                                          </w:divBdr>
                                        </w:div>
                                        <w:div w:id="234778707">
                                          <w:marLeft w:val="0"/>
                                          <w:marRight w:val="180"/>
                                          <w:marTop w:val="90"/>
                                          <w:marBottom w:val="90"/>
                                          <w:divBdr>
                                            <w:top w:val="single" w:sz="12" w:space="0" w:color="00205C"/>
                                            <w:left w:val="single" w:sz="12" w:space="0" w:color="00205C"/>
                                            <w:bottom w:val="single" w:sz="12" w:space="0" w:color="00205C"/>
                                            <w:right w:val="single" w:sz="12" w:space="0" w:color="00205C"/>
                                          </w:divBdr>
                                        </w:div>
                                        <w:div w:id="292097729">
                                          <w:marLeft w:val="0"/>
                                          <w:marRight w:val="180"/>
                                          <w:marTop w:val="90"/>
                                          <w:marBottom w:val="90"/>
                                          <w:divBdr>
                                            <w:top w:val="single" w:sz="12" w:space="0" w:color="00205C"/>
                                            <w:left w:val="single" w:sz="12" w:space="0" w:color="00205C"/>
                                            <w:bottom w:val="single" w:sz="12" w:space="0" w:color="00205C"/>
                                            <w:right w:val="single" w:sz="12" w:space="0" w:color="00205C"/>
                                          </w:divBdr>
                                        </w:div>
                                        <w:div w:id="479230264">
                                          <w:marLeft w:val="0"/>
                                          <w:marRight w:val="180"/>
                                          <w:marTop w:val="90"/>
                                          <w:marBottom w:val="90"/>
                                          <w:divBdr>
                                            <w:top w:val="single" w:sz="12" w:space="0" w:color="00205C"/>
                                            <w:left w:val="single" w:sz="12" w:space="0" w:color="00205C"/>
                                            <w:bottom w:val="single" w:sz="12" w:space="0" w:color="00205C"/>
                                            <w:right w:val="single" w:sz="12" w:space="0" w:color="00205C"/>
                                          </w:divBdr>
                                        </w:div>
                                        <w:div w:id="1402220154">
                                          <w:marLeft w:val="0"/>
                                          <w:marRight w:val="180"/>
                                          <w:marTop w:val="90"/>
                                          <w:marBottom w:val="90"/>
                                          <w:divBdr>
                                            <w:top w:val="single" w:sz="12" w:space="0" w:color="00205C"/>
                                            <w:left w:val="single" w:sz="12" w:space="0" w:color="00205C"/>
                                            <w:bottom w:val="single" w:sz="12" w:space="0" w:color="00205C"/>
                                            <w:right w:val="single" w:sz="12" w:space="0" w:color="00205C"/>
                                          </w:divBdr>
                                        </w:div>
                                      </w:divsChild>
                                    </w:div>
                                  </w:divsChild>
                                </w:div>
                                <w:div w:id="1835025673">
                                  <w:marLeft w:val="0"/>
                                  <w:marRight w:val="0"/>
                                  <w:marTop w:val="0"/>
                                  <w:marBottom w:val="0"/>
                                  <w:divBdr>
                                    <w:top w:val="none" w:sz="0" w:space="0" w:color="auto"/>
                                    <w:left w:val="none" w:sz="0" w:space="0" w:color="auto"/>
                                    <w:bottom w:val="none" w:sz="0" w:space="0" w:color="auto"/>
                                    <w:right w:val="none" w:sz="0" w:space="0" w:color="auto"/>
                                  </w:divBdr>
                                  <w:divsChild>
                                    <w:div w:id="69544108">
                                      <w:marLeft w:val="0"/>
                                      <w:marRight w:val="0"/>
                                      <w:marTop w:val="0"/>
                                      <w:marBottom w:val="0"/>
                                      <w:divBdr>
                                        <w:top w:val="none" w:sz="0" w:space="0" w:color="auto"/>
                                        <w:left w:val="none" w:sz="0" w:space="0" w:color="auto"/>
                                        <w:bottom w:val="single" w:sz="12" w:space="4" w:color="F5F5F5"/>
                                        <w:right w:val="none" w:sz="0" w:space="0" w:color="auto"/>
                                      </w:divBdr>
                                      <w:divsChild>
                                        <w:div w:id="6430359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2051413740">
                              <w:marLeft w:val="-225"/>
                              <w:marRight w:val="-225"/>
                              <w:marTop w:val="0"/>
                              <w:marBottom w:val="0"/>
                              <w:divBdr>
                                <w:top w:val="none" w:sz="0" w:space="0" w:color="auto"/>
                                <w:left w:val="none" w:sz="0" w:space="0" w:color="auto"/>
                                <w:bottom w:val="none" w:sz="0" w:space="0" w:color="auto"/>
                                <w:right w:val="none" w:sz="0" w:space="0" w:color="auto"/>
                              </w:divBdr>
                              <w:divsChild>
                                <w:div w:id="956444775">
                                  <w:marLeft w:val="0"/>
                                  <w:marRight w:val="0"/>
                                  <w:marTop w:val="0"/>
                                  <w:marBottom w:val="0"/>
                                  <w:divBdr>
                                    <w:top w:val="none" w:sz="0" w:space="0" w:color="auto"/>
                                    <w:left w:val="none" w:sz="0" w:space="0" w:color="auto"/>
                                    <w:bottom w:val="none" w:sz="0" w:space="0" w:color="auto"/>
                                    <w:right w:val="none" w:sz="0" w:space="0" w:color="auto"/>
                                  </w:divBdr>
                                  <w:divsChild>
                                    <w:div w:id="239678536">
                                      <w:marLeft w:val="0"/>
                                      <w:marRight w:val="0"/>
                                      <w:marTop w:val="0"/>
                                      <w:marBottom w:val="600"/>
                                      <w:divBdr>
                                        <w:top w:val="none" w:sz="0" w:space="0" w:color="auto"/>
                                        <w:left w:val="none" w:sz="0" w:space="0" w:color="auto"/>
                                        <w:bottom w:val="none" w:sz="0" w:space="0" w:color="auto"/>
                                        <w:right w:val="none" w:sz="0" w:space="0" w:color="auto"/>
                                      </w:divBdr>
                                      <w:divsChild>
                                        <w:div w:id="24186217">
                                          <w:marLeft w:val="0"/>
                                          <w:marRight w:val="0"/>
                                          <w:marTop w:val="0"/>
                                          <w:marBottom w:val="0"/>
                                          <w:divBdr>
                                            <w:top w:val="none" w:sz="0" w:space="0" w:color="auto"/>
                                            <w:left w:val="none" w:sz="0" w:space="0" w:color="auto"/>
                                            <w:bottom w:val="none" w:sz="0" w:space="0" w:color="auto"/>
                                            <w:right w:val="none" w:sz="0" w:space="0" w:color="auto"/>
                                          </w:divBdr>
                                        </w:div>
                                        <w:div w:id="306782703">
                                          <w:marLeft w:val="0"/>
                                          <w:marRight w:val="0"/>
                                          <w:marTop w:val="0"/>
                                          <w:marBottom w:val="0"/>
                                          <w:divBdr>
                                            <w:top w:val="none" w:sz="0" w:space="0" w:color="auto"/>
                                            <w:left w:val="none" w:sz="0" w:space="0" w:color="auto"/>
                                            <w:bottom w:val="none" w:sz="0" w:space="0" w:color="auto"/>
                                            <w:right w:val="none" w:sz="0" w:space="0" w:color="auto"/>
                                          </w:divBdr>
                                        </w:div>
                                        <w:div w:id="826630898">
                                          <w:marLeft w:val="0"/>
                                          <w:marRight w:val="0"/>
                                          <w:marTop w:val="0"/>
                                          <w:marBottom w:val="0"/>
                                          <w:divBdr>
                                            <w:top w:val="none" w:sz="0" w:space="0" w:color="auto"/>
                                            <w:left w:val="none" w:sz="0" w:space="0" w:color="auto"/>
                                            <w:bottom w:val="none" w:sz="0" w:space="0" w:color="auto"/>
                                            <w:right w:val="none" w:sz="0" w:space="0" w:color="auto"/>
                                          </w:divBdr>
                                        </w:div>
                                        <w:div w:id="202867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5370962">
          <w:marLeft w:val="0"/>
          <w:marRight w:val="0"/>
          <w:marTop w:val="0"/>
          <w:marBottom w:val="0"/>
          <w:divBdr>
            <w:top w:val="none" w:sz="0" w:space="0" w:color="auto"/>
            <w:left w:val="none" w:sz="0" w:space="0" w:color="auto"/>
            <w:bottom w:val="none" w:sz="0" w:space="0" w:color="auto"/>
            <w:right w:val="none" w:sz="0" w:space="0" w:color="auto"/>
          </w:divBdr>
          <w:divsChild>
            <w:div w:id="328559667">
              <w:marLeft w:val="0"/>
              <w:marRight w:val="0"/>
              <w:marTop w:val="0"/>
              <w:marBottom w:val="0"/>
              <w:divBdr>
                <w:top w:val="none" w:sz="0" w:space="0" w:color="auto"/>
                <w:left w:val="none" w:sz="0" w:space="0" w:color="auto"/>
                <w:bottom w:val="none" w:sz="0" w:space="0" w:color="auto"/>
                <w:right w:val="none" w:sz="0" w:space="0" w:color="auto"/>
              </w:divBdr>
              <w:divsChild>
                <w:div w:id="90487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507745">
      <w:bodyDiv w:val="1"/>
      <w:marLeft w:val="0"/>
      <w:marRight w:val="0"/>
      <w:marTop w:val="0"/>
      <w:marBottom w:val="0"/>
      <w:divBdr>
        <w:top w:val="none" w:sz="0" w:space="0" w:color="auto"/>
        <w:left w:val="none" w:sz="0" w:space="0" w:color="auto"/>
        <w:bottom w:val="none" w:sz="0" w:space="0" w:color="auto"/>
        <w:right w:val="none" w:sz="0" w:space="0" w:color="auto"/>
      </w:divBdr>
    </w:div>
    <w:div w:id="470295360">
      <w:bodyDiv w:val="1"/>
      <w:marLeft w:val="0"/>
      <w:marRight w:val="0"/>
      <w:marTop w:val="0"/>
      <w:marBottom w:val="0"/>
      <w:divBdr>
        <w:top w:val="none" w:sz="0" w:space="0" w:color="auto"/>
        <w:left w:val="none" w:sz="0" w:space="0" w:color="auto"/>
        <w:bottom w:val="none" w:sz="0" w:space="0" w:color="auto"/>
        <w:right w:val="none" w:sz="0" w:space="0" w:color="auto"/>
      </w:divBdr>
      <w:divsChild>
        <w:div w:id="839659994">
          <w:marLeft w:val="0"/>
          <w:marRight w:val="0"/>
          <w:marTop w:val="0"/>
          <w:marBottom w:val="0"/>
          <w:divBdr>
            <w:top w:val="none" w:sz="0" w:space="0" w:color="auto"/>
            <w:left w:val="none" w:sz="0" w:space="0" w:color="auto"/>
            <w:bottom w:val="none" w:sz="0" w:space="0" w:color="auto"/>
            <w:right w:val="none" w:sz="0" w:space="0" w:color="auto"/>
          </w:divBdr>
        </w:div>
      </w:divsChild>
    </w:div>
    <w:div w:id="470951065">
      <w:bodyDiv w:val="1"/>
      <w:marLeft w:val="0"/>
      <w:marRight w:val="0"/>
      <w:marTop w:val="0"/>
      <w:marBottom w:val="0"/>
      <w:divBdr>
        <w:top w:val="none" w:sz="0" w:space="0" w:color="auto"/>
        <w:left w:val="none" w:sz="0" w:space="0" w:color="auto"/>
        <w:bottom w:val="none" w:sz="0" w:space="0" w:color="auto"/>
        <w:right w:val="none" w:sz="0" w:space="0" w:color="auto"/>
      </w:divBdr>
    </w:div>
    <w:div w:id="485511552">
      <w:bodyDiv w:val="1"/>
      <w:marLeft w:val="0"/>
      <w:marRight w:val="0"/>
      <w:marTop w:val="0"/>
      <w:marBottom w:val="0"/>
      <w:divBdr>
        <w:top w:val="none" w:sz="0" w:space="0" w:color="auto"/>
        <w:left w:val="none" w:sz="0" w:space="0" w:color="auto"/>
        <w:bottom w:val="none" w:sz="0" w:space="0" w:color="auto"/>
        <w:right w:val="none" w:sz="0" w:space="0" w:color="auto"/>
      </w:divBdr>
    </w:div>
    <w:div w:id="488324489">
      <w:bodyDiv w:val="1"/>
      <w:marLeft w:val="0"/>
      <w:marRight w:val="0"/>
      <w:marTop w:val="0"/>
      <w:marBottom w:val="0"/>
      <w:divBdr>
        <w:top w:val="none" w:sz="0" w:space="0" w:color="auto"/>
        <w:left w:val="none" w:sz="0" w:space="0" w:color="auto"/>
        <w:bottom w:val="none" w:sz="0" w:space="0" w:color="auto"/>
        <w:right w:val="none" w:sz="0" w:space="0" w:color="auto"/>
      </w:divBdr>
    </w:div>
    <w:div w:id="490217999">
      <w:bodyDiv w:val="1"/>
      <w:marLeft w:val="0"/>
      <w:marRight w:val="0"/>
      <w:marTop w:val="0"/>
      <w:marBottom w:val="0"/>
      <w:divBdr>
        <w:top w:val="none" w:sz="0" w:space="0" w:color="auto"/>
        <w:left w:val="none" w:sz="0" w:space="0" w:color="auto"/>
        <w:bottom w:val="none" w:sz="0" w:space="0" w:color="auto"/>
        <w:right w:val="none" w:sz="0" w:space="0" w:color="auto"/>
      </w:divBdr>
    </w:div>
    <w:div w:id="503668040">
      <w:bodyDiv w:val="1"/>
      <w:marLeft w:val="0"/>
      <w:marRight w:val="0"/>
      <w:marTop w:val="0"/>
      <w:marBottom w:val="0"/>
      <w:divBdr>
        <w:top w:val="none" w:sz="0" w:space="0" w:color="auto"/>
        <w:left w:val="none" w:sz="0" w:space="0" w:color="auto"/>
        <w:bottom w:val="none" w:sz="0" w:space="0" w:color="auto"/>
        <w:right w:val="none" w:sz="0" w:space="0" w:color="auto"/>
      </w:divBdr>
    </w:div>
    <w:div w:id="516777340">
      <w:bodyDiv w:val="1"/>
      <w:marLeft w:val="0"/>
      <w:marRight w:val="0"/>
      <w:marTop w:val="0"/>
      <w:marBottom w:val="0"/>
      <w:divBdr>
        <w:top w:val="none" w:sz="0" w:space="0" w:color="auto"/>
        <w:left w:val="none" w:sz="0" w:space="0" w:color="auto"/>
        <w:bottom w:val="none" w:sz="0" w:space="0" w:color="auto"/>
        <w:right w:val="none" w:sz="0" w:space="0" w:color="auto"/>
      </w:divBdr>
    </w:div>
    <w:div w:id="619385025">
      <w:bodyDiv w:val="1"/>
      <w:marLeft w:val="0"/>
      <w:marRight w:val="0"/>
      <w:marTop w:val="0"/>
      <w:marBottom w:val="0"/>
      <w:divBdr>
        <w:top w:val="none" w:sz="0" w:space="0" w:color="auto"/>
        <w:left w:val="none" w:sz="0" w:space="0" w:color="auto"/>
        <w:bottom w:val="none" w:sz="0" w:space="0" w:color="auto"/>
        <w:right w:val="none" w:sz="0" w:space="0" w:color="auto"/>
      </w:divBdr>
    </w:div>
    <w:div w:id="650907384">
      <w:bodyDiv w:val="1"/>
      <w:marLeft w:val="0"/>
      <w:marRight w:val="0"/>
      <w:marTop w:val="0"/>
      <w:marBottom w:val="0"/>
      <w:divBdr>
        <w:top w:val="none" w:sz="0" w:space="0" w:color="auto"/>
        <w:left w:val="none" w:sz="0" w:space="0" w:color="auto"/>
        <w:bottom w:val="none" w:sz="0" w:space="0" w:color="auto"/>
        <w:right w:val="none" w:sz="0" w:space="0" w:color="auto"/>
      </w:divBdr>
    </w:div>
    <w:div w:id="656958250">
      <w:bodyDiv w:val="1"/>
      <w:marLeft w:val="0"/>
      <w:marRight w:val="0"/>
      <w:marTop w:val="0"/>
      <w:marBottom w:val="0"/>
      <w:divBdr>
        <w:top w:val="none" w:sz="0" w:space="0" w:color="auto"/>
        <w:left w:val="none" w:sz="0" w:space="0" w:color="auto"/>
        <w:bottom w:val="none" w:sz="0" w:space="0" w:color="auto"/>
        <w:right w:val="none" w:sz="0" w:space="0" w:color="auto"/>
      </w:divBdr>
    </w:div>
    <w:div w:id="661470701">
      <w:bodyDiv w:val="1"/>
      <w:marLeft w:val="0"/>
      <w:marRight w:val="0"/>
      <w:marTop w:val="0"/>
      <w:marBottom w:val="0"/>
      <w:divBdr>
        <w:top w:val="none" w:sz="0" w:space="0" w:color="auto"/>
        <w:left w:val="none" w:sz="0" w:space="0" w:color="auto"/>
        <w:bottom w:val="none" w:sz="0" w:space="0" w:color="auto"/>
        <w:right w:val="none" w:sz="0" w:space="0" w:color="auto"/>
      </w:divBdr>
    </w:div>
    <w:div w:id="683946353">
      <w:bodyDiv w:val="1"/>
      <w:marLeft w:val="0"/>
      <w:marRight w:val="0"/>
      <w:marTop w:val="0"/>
      <w:marBottom w:val="0"/>
      <w:divBdr>
        <w:top w:val="none" w:sz="0" w:space="0" w:color="auto"/>
        <w:left w:val="none" w:sz="0" w:space="0" w:color="auto"/>
        <w:bottom w:val="none" w:sz="0" w:space="0" w:color="auto"/>
        <w:right w:val="none" w:sz="0" w:space="0" w:color="auto"/>
      </w:divBdr>
    </w:div>
    <w:div w:id="724640968">
      <w:bodyDiv w:val="1"/>
      <w:marLeft w:val="0"/>
      <w:marRight w:val="0"/>
      <w:marTop w:val="0"/>
      <w:marBottom w:val="0"/>
      <w:divBdr>
        <w:top w:val="none" w:sz="0" w:space="0" w:color="auto"/>
        <w:left w:val="none" w:sz="0" w:space="0" w:color="auto"/>
        <w:bottom w:val="none" w:sz="0" w:space="0" w:color="auto"/>
        <w:right w:val="none" w:sz="0" w:space="0" w:color="auto"/>
      </w:divBdr>
    </w:div>
    <w:div w:id="737556862">
      <w:bodyDiv w:val="1"/>
      <w:marLeft w:val="0"/>
      <w:marRight w:val="0"/>
      <w:marTop w:val="0"/>
      <w:marBottom w:val="0"/>
      <w:divBdr>
        <w:top w:val="none" w:sz="0" w:space="0" w:color="auto"/>
        <w:left w:val="none" w:sz="0" w:space="0" w:color="auto"/>
        <w:bottom w:val="none" w:sz="0" w:space="0" w:color="auto"/>
        <w:right w:val="none" w:sz="0" w:space="0" w:color="auto"/>
      </w:divBdr>
    </w:div>
    <w:div w:id="777870963">
      <w:bodyDiv w:val="1"/>
      <w:marLeft w:val="0"/>
      <w:marRight w:val="0"/>
      <w:marTop w:val="0"/>
      <w:marBottom w:val="0"/>
      <w:divBdr>
        <w:top w:val="none" w:sz="0" w:space="0" w:color="auto"/>
        <w:left w:val="none" w:sz="0" w:space="0" w:color="auto"/>
        <w:bottom w:val="none" w:sz="0" w:space="0" w:color="auto"/>
        <w:right w:val="none" w:sz="0" w:space="0" w:color="auto"/>
      </w:divBdr>
    </w:div>
    <w:div w:id="789856825">
      <w:bodyDiv w:val="1"/>
      <w:marLeft w:val="0"/>
      <w:marRight w:val="0"/>
      <w:marTop w:val="0"/>
      <w:marBottom w:val="0"/>
      <w:divBdr>
        <w:top w:val="none" w:sz="0" w:space="0" w:color="auto"/>
        <w:left w:val="none" w:sz="0" w:space="0" w:color="auto"/>
        <w:bottom w:val="none" w:sz="0" w:space="0" w:color="auto"/>
        <w:right w:val="none" w:sz="0" w:space="0" w:color="auto"/>
      </w:divBdr>
    </w:div>
    <w:div w:id="809593022">
      <w:bodyDiv w:val="1"/>
      <w:marLeft w:val="0"/>
      <w:marRight w:val="0"/>
      <w:marTop w:val="0"/>
      <w:marBottom w:val="0"/>
      <w:divBdr>
        <w:top w:val="none" w:sz="0" w:space="0" w:color="auto"/>
        <w:left w:val="none" w:sz="0" w:space="0" w:color="auto"/>
        <w:bottom w:val="none" w:sz="0" w:space="0" w:color="auto"/>
        <w:right w:val="none" w:sz="0" w:space="0" w:color="auto"/>
      </w:divBdr>
    </w:div>
    <w:div w:id="842012473">
      <w:bodyDiv w:val="1"/>
      <w:marLeft w:val="0"/>
      <w:marRight w:val="0"/>
      <w:marTop w:val="0"/>
      <w:marBottom w:val="0"/>
      <w:divBdr>
        <w:top w:val="none" w:sz="0" w:space="0" w:color="auto"/>
        <w:left w:val="none" w:sz="0" w:space="0" w:color="auto"/>
        <w:bottom w:val="none" w:sz="0" w:space="0" w:color="auto"/>
        <w:right w:val="none" w:sz="0" w:space="0" w:color="auto"/>
      </w:divBdr>
    </w:div>
    <w:div w:id="896278278">
      <w:bodyDiv w:val="1"/>
      <w:marLeft w:val="0"/>
      <w:marRight w:val="0"/>
      <w:marTop w:val="0"/>
      <w:marBottom w:val="0"/>
      <w:divBdr>
        <w:top w:val="none" w:sz="0" w:space="0" w:color="auto"/>
        <w:left w:val="none" w:sz="0" w:space="0" w:color="auto"/>
        <w:bottom w:val="none" w:sz="0" w:space="0" w:color="auto"/>
        <w:right w:val="none" w:sz="0" w:space="0" w:color="auto"/>
      </w:divBdr>
    </w:div>
    <w:div w:id="940843846">
      <w:bodyDiv w:val="1"/>
      <w:marLeft w:val="0"/>
      <w:marRight w:val="0"/>
      <w:marTop w:val="0"/>
      <w:marBottom w:val="0"/>
      <w:divBdr>
        <w:top w:val="none" w:sz="0" w:space="0" w:color="auto"/>
        <w:left w:val="none" w:sz="0" w:space="0" w:color="auto"/>
        <w:bottom w:val="none" w:sz="0" w:space="0" w:color="auto"/>
        <w:right w:val="none" w:sz="0" w:space="0" w:color="auto"/>
      </w:divBdr>
    </w:div>
    <w:div w:id="955257795">
      <w:bodyDiv w:val="1"/>
      <w:marLeft w:val="0"/>
      <w:marRight w:val="0"/>
      <w:marTop w:val="0"/>
      <w:marBottom w:val="0"/>
      <w:divBdr>
        <w:top w:val="none" w:sz="0" w:space="0" w:color="auto"/>
        <w:left w:val="none" w:sz="0" w:space="0" w:color="auto"/>
        <w:bottom w:val="none" w:sz="0" w:space="0" w:color="auto"/>
        <w:right w:val="none" w:sz="0" w:space="0" w:color="auto"/>
      </w:divBdr>
    </w:div>
    <w:div w:id="1053239303">
      <w:bodyDiv w:val="1"/>
      <w:marLeft w:val="0"/>
      <w:marRight w:val="0"/>
      <w:marTop w:val="0"/>
      <w:marBottom w:val="0"/>
      <w:divBdr>
        <w:top w:val="none" w:sz="0" w:space="0" w:color="auto"/>
        <w:left w:val="none" w:sz="0" w:space="0" w:color="auto"/>
        <w:bottom w:val="none" w:sz="0" w:space="0" w:color="auto"/>
        <w:right w:val="none" w:sz="0" w:space="0" w:color="auto"/>
      </w:divBdr>
    </w:div>
    <w:div w:id="1057165922">
      <w:bodyDiv w:val="1"/>
      <w:marLeft w:val="0"/>
      <w:marRight w:val="0"/>
      <w:marTop w:val="0"/>
      <w:marBottom w:val="0"/>
      <w:divBdr>
        <w:top w:val="none" w:sz="0" w:space="0" w:color="auto"/>
        <w:left w:val="none" w:sz="0" w:space="0" w:color="auto"/>
        <w:bottom w:val="none" w:sz="0" w:space="0" w:color="auto"/>
        <w:right w:val="none" w:sz="0" w:space="0" w:color="auto"/>
      </w:divBdr>
    </w:div>
    <w:div w:id="1067993711">
      <w:bodyDiv w:val="1"/>
      <w:marLeft w:val="0"/>
      <w:marRight w:val="0"/>
      <w:marTop w:val="0"/>
      <w:marBottom w:val="0"/>
      <w:divBdr>
        <w:top w:val="none" w:sz="0" w:space="0" w:color="auto"/>
        <w:left w:val="none" w:sz="0" w:space="0" w:color="auto"/>
        <w:bottom w:val="none" w:sz="0" w:space="0" w:color="auto"/>
        <w:right w:val="none" w:sz="0" w:space="0" w:color="auto"/>
      </w:divBdr>
    </w:div>
    <w:div w:id="1079398899">
      <w:bodyDiv w:val="1"/>
      <w:marLeft w:val="0"/>
      <w:marRight w:val="0"/>
      <w:marTop w:val="0"/>
      <w:marBottom w:val="0"/>
      <w:divBdr>
        <w:top w:val="none" w:sz="0" w:space="0" w:color="auto"/>
        <w:left w:val="none" w:sz="0" w:space="0" w:color="auto"/>
        <w:bottom w:val="none" w:sz="0" w:space="0" w:color="auto"/>
        <w:right w:val="none" w:sz="0" w:space="0" w:color="auto"/>
      </w:divBdr>
    </w:div>
    <w:div w:id="1107504615">
      <w:bodyDiv w:val="1"/>
      <w:marLeft w:val="0"/>
      <w:marRight w:val="0"/>
      <w:marTop w:val="0"/>
      <w:marBottom w:val="0"/>
      <w:divBdr>
        <w:top w:val="none" w:sz="0" w:space="0" w:color="auto"/>
        <w:left w:val="none" w:sz="0" w:space="0" w:color="auto"/>
        <w:bottom w:val="none" w:sz="0" w:space="0" w:color="auto"/>
        <w:right w:val="none" w:sz="0" w:space="0" w:color="auto"/>
      </w:divBdr>
    </w:div>
    <w:div w:id="1136525932">
      <w:bodyDiv w:val="1"/>
      <w:marLeft w:val="0"/>
      <w:marRight w:val="0"/>
      <w:marTop w:val="0"/>
      <w:marBottom w:val="0"/>
      <w:divBdr>
        <w:top w:val="none" w:sz="0" w:space="0" w:color="auto"/>
        <w:left w:val="none" w:sz="0" w:space="0" w:color="auto"/>
        <w:bottom w:val="none" w:sz="0" w:space="0" w:color="auto"/>
        <w:right w:val="none" w:sz="0" w:space="0" w:color="auto"/>
      </w:divBdr>
    </w:div>
    <w:div w:id="1145390757">
      <w:bodyDiv w:val="1"/>
      <w:marLeft w:val="0"/>
      <w:marRight w:val="0"/>
      <w:marTop w:val="0"/>
      <w:marBottom w:val="0"/>
      <w:divBdr>
        <w:top w:val="none" w:sz="0" w:space="0" w:color="auto"/>
        <w:left w:val="none" w:sz="0" w:space="0" w:color="auto"/>
        <w:bottom w:val="none" w:sz="0" w:space="0" w:color="auto"/>
        <w:right w:val="none" w:sz="0" w:space="0" w:color="auto"/>
      </w:divBdr>
    </w:div>
    <w:div w:id="1155755953">
      <w:bodyDiv w:val="1"/>
      <w:marLeft w:val="0"/>
      <w:marRight w:val="0"/>
      <w:marTop w:val="0"/>
      <w:marBottom w:val="0"/>
      <w:divBdr>
        <w:top w:val="none" w:sz="0" w:space="0" w:color="auto"/>
        <w:left w:val="none" w:sz="0" w:space="0" w:color="auto"/>
        <w:bottom w:val="none" w:sz="0" w:space="0" w:color="auto"/>
        <w:right w:val="none" w:sz="0" w:space="0" w:color="auto"/>
      </w:divBdr>
    </w:div>
    <w:div w:id="1164736423">
      <w:bodyDiv w:val="1"/>
      <w:marLeft w:val="0"/>
      <w:marRight w:val="0"/>
      <w:marTop w:val="0"/>
      <w:marBottom w:val="0"/>
      <w:divBdr>
        <w:top w:val="none" w:sz="0" w:space="0" w:color="auto"/>
        <w:left w:val="none" w:sz="0" w:space="0" w:color="auto"/>
        <w:bottom w:val="none" w:sz="0" w:space="0" w:color="auto"/>
        <w:right w:val="none" w:sz="0" w:space="0" w:color="auto"/>
      </w:divBdr>
    </w:div>
    <w:div w:id="1167862000">
      <w:bodyDiv w:val="1"/>
      <w:marLeft w:val="0"/>
      <w:marRight w:val="0"/>
      <w:marTop w:val="0"/>
      <w:marBottom w:val="0"/>
      <w:divBdr>
        <w:top w:val="none" w:sz="0" w:space="0" w:color="auto"/>
        <w:left w:val="none" w:sz="0" w:space="0" w:color="auto"/>
        <w:bottom w:val="none" w:sz="0" w:space="0" w:color="auto"/>
        <w:right w:val="none" w:sz="0" w:space="0" w:color="auto"/>
      </w:divBdr>
    </w:div>
    <w:div w:id="1181746667">
      <w:bodyDiv w:val="1"/>
      <w:marLeft w:val="0"/>
      <w:marRight w:val="0"/>
      <w:marTop w:val="0"/>
      <w:marBottom w:val="0"/>
      <w:divBdr>
        <w:top w:val="none" w:sz="0" w:space="0" w:color="auto"/>
        <w:left w:val="none" w:sz="0" w:space="0" w:color="auto"/>
        <w:bottom w:val="none" w:sz="0" w:space="0" w:color="auto"/>
        <w:right w:val="none" w:sz="0" w:space="0" w:color="auto"/>
      </w:divBdr>
    </w:div>
    <w:div w:id="1187720674">
      <w:bodyDiv w:val="1"/>
      <w:marLeft w:val="0"/>
      <w:marRight w:val="0"/>
      <w:marTop w:val="0"/>
      <w:marBottom w:val="0"/>
      <w:divBdr>
        <w:top w:val="none" w:sz="0" w:space="0" w:color="auto"/>
        <w:left w:val="none" w:sz="0" w:space="0" w:color="auto"/>
        <w:bottom w:val="none" w:sz="0" w:space="0" w:color="auto"/>
        <w:right w:val="none" w:sz="0" w:space="0" w:color="auto"/>
      </w:divBdr>
    </w:div>
    <w:div w:id="1249077308">
      <w:bodyDiv w:val="1"/>
      <w:marLeft w:val="0"/>
      <w:marRight w:val="0"/>
      <w:marTop w:val="0"/>
      <w:marBottom w:val="0"/>
      <w:divBdr>
        <w:top w:val="none" w:sz="0" w:space="0" w:color="auto"/>
        <w:left w:val="none" w:sz="0" w:space="0" w:color="auto"/>
        <w:bottom w:val="none" w:sz="0" w:space="0" w:color="auto"/>
        <w:right w:val="none" w:sz="0" w:space="0" w:color="auto"/>
      </w:divBdr>
    </w:div>
    <w:div w:id="1259682333">
      <w:bodyDiv w:val="1"/>
      <w:marLeft w:val="0"/>
      <w:marRight w:val="0"/>
      <w:marTop w:val="0"/>
      <w:marBottom w:val="0"/>
      <w:divBdr>
        <w:top w:val="none" w:sz="0" w:space="0" w:color="auto"/>
        <w:left w:val="none" w:sz="0" w:space="0" w:color="auto"/>
        <w:bottom w:val="none" w:sz="0" w:space="0" w:color="auto"/>
        <w:right w:val="none" w:sz="0" w:space="0" w:color="auto"/>
      </w:divBdr>
      <w:divsChild>
        <w:div w:id="1359696080">
          <w:marLeft w:val="0"/>
          <w:marRight w:val="0"/>
          <w:marTop w:val="0"/>
          <w:marBottom w:val="0"/>
          <w:divBdr>
            <w:top w:val="none" w:sz="0" w:space="0" w:color="auto"/>
            <w:left w:val="none" w:sz="0" w:space="0" w:color="auto"/>
            <w:bottom w:val="none" w:sz="0" w:space="0" w:color="auto"/>
            <w:right w:val="none" w:sz="0" w:space="0" w:color="auto"/>
          </w:divBdr>
        </w:div>
      </w:divsChild>
    </w:div>
    <w:div w:id="1272858939">
      <w:bodyDiv w:val="1"/>
      <w:marLeft w:val="0"/>
      <w:marRight w:val="0"/>
      <w:marTop w:val="0"/>
      <w:marBottom w:val="0"/>
      <w:divBdr>
        <w:top w:val="none" w:sz="0" w:space="0" w:color="auto"/>
        <w:left w:val="none" w:sz="0" w:space="0" w:color="auto"/>
        <w:bottom w:val="none" w:sz="0" w:space="0" w:color="auto"/>
        <w:right w:val="none" w:sz="0" w:space="0" w:color="auto"/>
      </w:divBdr>
    </w:div>
    <w:div w:id="1304045042">
      <w:bodyDiv w:val="1"/>
      <w:marLeft w:val="0"/>
      <w:marRight w:val="0"/>
      <w:marTop w:val="0"/>
      <w:marBottom w:val="0"/>
      <w:divBdr>
        <w:top w:val="none" w:sz="0" w:space="0" w:color="auto"/>
        <w:left w:val="none" w:sz="0" w:space="0" w:color="auto"/>
        <w:bottom w:val="none" w:sz="0" w:space="0" w:color="auto"/>
        <w:right w:val="none" w:sz="0" w:space="0" w:color="auto"/>
      </w:divBdr>
    </w:div>
    <w:div w:id="1422098278">
      <w:bodyDiv w:val="1"/>
      <w:marLeft w:val="0"/>
      <w:marRight w:val="0"/>
      <w:marTop w:val="0"/>
      <w:marBottom w:val="0"/>
      <w:divBdr>
        <w:top w:val="none" w:sz="0" w:space="0" w:color="auto"/>
        <w:left w:val="none" w:sz="0" w:space="0" w:color="auto"/>
        <w:bottom w:val="none" w:sz="0" w:space="0" w:color="auto"/>
        <w:right w:val="none" w:sz="0" w:space="0" w:color="auto"/>
      </w:divBdr>
    </w:div>
    <w:div w:id="1431851573">
      <w:bodyDiv w:val="1"/>
      <w:marLeft w:val="0"/>
      <w:marRight w:val="0"/>
      <w:marTop w:val="0"/>
      <w:marBottom w:val="0"/>
      <w:divBdr>
        <w:top w:val="none" w:sz="0" w:space="0" w:color="auto"/>
        <w:left w:val="none" w:sz="0" w:space="0" w:color="auto"/>
        <w:bottom w:val="none" w:sz="0" w:space="0" w:color="auto"/>
        <w:right w:val="none" w:sz="0" w:space="0" w:color="auto"/>
      </w:divBdr>
    </w:div>
    <w:div w:id="1470131307">
      <w:bodyDiv w:val="1"/>
      <w:marLeft w:val="0"/>
      <w:marRight w:val="0"/>
      <w:marTop w:val="0"/>
      <w:marBottom w:val="0"/>
      <w:divBdr>
        <w:top w:val="none" w:sz="0" w:space="0" w:color="auto"/>
        <w:left w:val="none" w:sz="0" w:space="0" w:color="auto"/>
        <w:bottom w:val="none" w:sz="0" w:space="0" w:color="auto"/>
        <w:right w:val="none" w:sz="0" w:space="0" w:color="auto"/>
      </w:divBdr>
    </w:div>
    <w:div w:id="1482385359">
      <w:bodyDiv w:val="1"/>
      <w:marLeft w:val="0"/>
      <w:marRight w:val="0"/>
      <w:marTop w:val="0"/>
      <w:marBottom w:val="0"/>
      <w:divBdr>
        <w:top w:val="none" w:sz="0" w:space="0" w:color="auto"/>
        <w:left w:val="none" w:sz="0" w:space="0" w:color="auto"/>
        <w:bottom w:val="none" w:sz="0" w:space="0" w:color="auto"/>
        <w:right w:val="none" w:sz="0" w:space="0" w:color="auto"/>
      </w:divBdr>
    </w:div>
    <w:div w:id="1511724091">
      <w:bodyDiv w:val="1"/>
      <w:marLeft w:val="0"/>
      <w:marRight w:val="0"/>
      <w:marTop w:val="0"/>
      <w:marBottom w:val="0"/>
      <w:divBdr>
        <w:top w:val="none" w:sz="0" w:space="0" w:color="auto"/>
        <w:left w:val="none" w:sz="0" w:space="0" w:color="auto"/>
        <w:bottom w:val="none" w:sz="0" w:space="0" w:color="auto"/>
        <w:right w:val="none" w:sz="0" w:space="0" w:color="auto"/>
      </w:divBdr>
    </w:div>
    <w:div w:id="1527601882">
      <w:bodyDiv w:val="1"/>
      <w:marLeft w:val="0"/>
      <w:marRight w:val="0"/>
      <w:marTop w:val="0"/>
      <w:marBottom w:val="0"/>
      <w:divBdr>
        <w:top w:val="none" w:sz="0" w:space="0" w:color="auto"/>
        <w:left w:val="none" w:sz="0" w:space="0" w:color="auto"/>
        <w:bottom w:val="none" w:sz="0" w:space="0" w:color="auto"/>
        <w:right w:val="none" w:sz="0" w:space="0" w:color="auto"/>
      </w:divBdr>
    </w:div>
    <w:div w:id="1536776286">
      <w:bodyDiv w:val="1"/>
      <w:marLeft w:val="0"/>
      <w:marRight w:val="0"/>
      <w:marTop w:val="0"/>
      <w:marBottom w:val="0"/>
      <w:divBdr>
        <w:top w:val="none" w:sz="0" w:space="0" w:color="auto"/>
        <w:left w:val="none" w:sz="0" w:space="0" w:color="auto"/>
        <w:bottom w:val="none" w:sz="0" w:space="0" w:color="auto"/>
        <w:right w:val="none" w:sz="0" w:space="0" w:color="auto"/>
      </w:divBdr>
    </w:div>
    <w:div w:id="1549680694">
      <w:bodyDiv w:val="1"/>
      <w:marLeft w:val="0"/>
      <w:marRight w:val="0"/>
      <w:marTop w:val="0"/>
      <w:marBottom w:val="0"/>
      <w:divBdr>
        <w:top w:val="none" w:sz="0" w:space="0" w:color="auto"/>
        <w:left w:val="none" w:sz="0" w:space="0" w:color="auto"/>
        <w:bottom w:val="none" w:sz="0" w:space="0" w:color="auto"/>
        <w:right w:val="none" w:sz="0" w:space="0" w:color="auto"/>
      </w:divBdr>
    </w:div>
    <w:div w:id="1590313083">
      <w:bodyDiv w:val="1"/>
      <w:marLeft w:val="0"/>
      <w:marRight w:val="0"/>
      <w:marTop w:val="0"/>
      <w:marBottom w:val="0"/>
      <w:divBdr>
        <w:top w:val="none" w:sz="0" w:space="0" w:color="auto"/>
        <w:left w:val="none" w:sz="0" w:space="0" w:color="auto"/>
        <w:bottom w:val="none" w:sz="0" w:space="0" w:color="auto"/>
        <w:right w:val="none" w:sz="0" w:space="0" w:color="auto"/>
      </w:divBdr>
    </w:div>
    <w:div w:id="1633972857">
      <w:bodyDiv w:val="1"/>
      <w:marLeft w:val="0"/>
      <w:marRight w:val="0"/>
      <w:marTop w:val="0"/>
      <w:marBottom w:val="0"/>
      <w:divBdr>
        <w:top w:val="none" w:sz="0" w:space="0" w:color="auto"/>
        <w:left w:val="none" w:sz="0" w:space="0" w:color="auto"/>
        <w:bottom w:val="none" w:sz="0" w:space="0" w:color="auto"/>
        <w:right w:val="none" w:sz="0" w:space="0" w:color="auto"/>
      </w:divBdr>
    </w:div>
    <w:div w:id="1644039284">
      <w:bodyDiv w:val="1"/>
      <w:marLeft w:val="0"/>
      <w:marRight w:val="0"/>
      <w:marTop w:val="0"/>
      <w:marBottom w:val="0"/>
      <w:divBdr>
        <w:top w:val="none" w:sz="0" w:space="0" w:color="auto"/>
        <w:left w:val="none" w:sz="0" w:space="0" w:color="auto"/>
        <w:bottom w:val="none" w:sz="0" w:space="0" w:color="auto"/>
        <w:right w:val="none" w:sz="0" w:space="0" w:color="auto"/>
      </w:divBdr>
    </w:div>
    <w:div w:id="1648322467">
      <w:bodyDiv w:val="1"/>
      <w:marLeft w:val="0"/>
      <w:marRight w:val="0"/>
      <w:marTop w:val="0"/>
      <w:marBottom w:val="0"/>
      <w:divBdr>
        <w:top w:val="none" w:sz="0" w:space="0" w:color="auto"/>
        <w:left w:val="none" w:sz="0" w:space="0" w:color="auto"/>
        <w:bottom w:val="none" w:sz="0" w:space="0" w:color="auto"/>
        <w:right w:val="none" w:sz="0" w:space="0" w:color="auto"/>
      </w:divBdr>
    </w:div>
    <w:div w:id="1756827955">
      <w:bodyDiv w:val="1"/>
      <w:marLeft w:val="0"/>
      <w:marRight w:val="0"/>
      <w:marTop w:val="0"/>
      <w:marBottom w:val="0"/>
      <w:divBdr>
        <w:top w:val="none" w:sz="0" w:space="0" w:color="auto"/>
        <w:left w:val="none" w:sz="0" w:space="0" w:color="auto"/>
        <w:bottom w:val="none" w:sz="0" w:space="0" w:color="auto"/>
        <w:right w:val="none" w:sz="0" w:space="0" w:color="auto"/>
      </w:divBdr>
    </w:div>
    <w:div w:id="1788768213">
      <w:bodyDiv w:val="1"/>
      <w:marLeft w:val="0"/>
      <w:marRight w:val="0"/>
      <w:marTop w:val="0"/>
      <w:marBottom w:val="0"/>
      <w:divBdr>
        <w:top w:val="none" w:sz="0" w:space="0" w:color="auto"/>
        <w:left w:val="none" w:sz="0" w:space="0" w:color="auto"/>
        <w:bottom w:val="none" w:sz="0" w:space="0" w:color="auto"/>
        <w:right w:val="none" w:sz="0" w:space="0" w:color="auto"/>
      </w:divBdr>
    </w:div>
    <w:div w:id="1855414771">
      <w:bodyDiv w:val="1"/>
      <w:marLeft w:val="0"/>
      <w:marRight w:val="0"/>
      <w:marTop w:val="0"/>
      <w:marBottom w:val="0"/>
      <w:divBdr>
        <w:top w:val="none" w:sz="0" w:space="0" w:color="auto"/>
        <w:left w:val="none" w:sz="0" w:space="0" w:color="auto"/>
        <w:bottom w:val="none" w:sz="0" w:space="0" w:color="auto"/>
        <w:right w:val="none" w:sz="0" w:space="0" w:color="auto"/>
      </w:divBdr>
    </w:div>
    <w:div w:id="1879539014">
      <w:bodyDiv w:val="1"/>
      <w:marLeft w:val="0"/>
      <w:marRight w:val="0"/>
      <w:marTop w:val="0"/>
      <w:marBottom w:val="0"/>
      <w:divBdr>
        <w:top w:val="none" w:sz="0" w:space="0" w:color="auto"/>
        <w:left w:val="none" w:sz="0" w:space="0" w:color="auto"/>
        <w:bottom w:val="none" w:sz="0" w:space="0" w:color="auto"/>
        <w:right w:val="none" w:sz="0" w:space="0" w:color="auto"/>
      </w:divBdr>
    </w:div>
    <w:div w:id="1898543961">
      <w:bodyDiv w:val="1"/>
      <w:marLeft w:val="0"/>
      <w:marRight w:val="0"/>
      <w:marTop w:val="0"/>
      <w:marBottom w:val="0"/>
      <w:divBdr>
        <w:top w:val="none" w:sz="0" w:space="0" w:color="auto"/>
        <w:left w:val="none" w:sz="0" w:space="0" w:color="auto"/>
        <w:bottom w:val="none" w:sz="0" w:space="0" w:color="auto"/>
        <w:right w:val="none" w:sz="0" w:space="0" w:color="auto"/>
      </w:divBdr>
    </w:div>
    <w:div w:id="1923296738">
      <w:bodyDiv w:val="1"/>
      <w:marLeft w:val="0"/>
      <w:marRight w:val="0"/>
      <w:marTop w:val="0"/>
      <w:marBottom w:val="0"/>
      <w:divBdr>
        <w:top w:val="none" w:sz="0" w:space="0" w:color="auto"/>
        <w:left w:val="none" w:sz="0" w:space="0" w:color="auto"/>
        <w:bottom w:val="none" w:sz="0" w:space="0" w:color="auto"/>
        <w:right w:val="none" w:sz="0" w:space="0" w:color="auto"/>
      </w:divBdr>
    </w:div>
    <w:div w:id="1926645698">
      <w:bodyDiv w:val="1"/>
      <w:marLeft w:val="0"/>
      <w:marRight w:val="0"/>
      <w:marTop w:val="0"/>
      <w:marBottom w:val="0"/>
      <w:divBdr>
        <w:top w:val="none" w:sz="0" w:space="0" w:color="auto"/>
        <w:left w:val="none" w:sz="0" w:space="0" w:color="auto"/>
        <w:bottom w:val="none" w:sz="0" w:space="0" w:color="auto"/>
        <w:right w:val="none" w:sz="0" w:space="0" w:color="auto"/>
      </w:divBdr>
    </w:div>
    <w:div w:id="1945577498">
      <w:bodyDiv w:val="1"/>
      <w:marLeft w:val="0"/>
      <w:marRight w:val="0"/>
      <w:marTop w:val="0"/>
      <w:marBottom w:val="0"/>
      <w:divBdr>
        <w:top w:val="none" w:sz="0" w:space="0" w:color="auto"/>
        <w:left w:val="none" w:sz="0" w:space="0" w:color="auto"/>
        <w:bottom w:val="none" w:sz="0" w:space="0" w:color="auto"/>
        <w:right w:val="none" w:sz="0" w:space="0" w:color="auto"/>
      </w:divBdr>
    </w:div>
    <w:div w:id="1957759313">
      <w:bodyDiv w:val="1"/>
      <w:marLeft w:val="0"/>
      <w:marRight w:val="0"/>
      <w:marTop w:val="0"/>
      <w:marBottom w:val="0"/>
      <w:divBdr>
        <w:top w:val="none" w:sz="0" w:space="0" w:color="auto"/>
        <w:left w:val="none" w:sz="0" w:space="0" w:color="auto"/>
        <w:bottom w:val="none" w:sz="0" w:space="0" w:color="auto"/>
        <w:right w:val="none" w:sz="0" w:space="0" w:color="auto"/>
      </w:divBdr>
      <w:divsChild>
        <w:div w:id="1160460121">
          <w:marLeft w:val="0"/>
          <w:marRight w:val="0"/>
          <w:marTop w:val="0"/>
          <w:marBottom w:val="0"/>
          <w:divBdr>
            <w:top w:val="none" w:sz="0" w:space="0" w:color="auto"/>
            <w:left w:val="none" w:sz="0" w:space="0" w:color="auto"/>
            <w:bottom w:val="none" w:sz="0" w:space="0" w:color="auto"/>
            <w:right w:val="none" w:sz="0" w:space="0" w:color="auto"/>
          </w:divBdr>
        </w:div>
      </w:divsChild>
    </w:div>
    <w:div w:id="2018386316">
      <w:bodyDiv w:val="1"/>
      <w:marLeft w:val="0"/>
      <w:marRight w:val="0"/>
      <w:marTop w:val="0"/>
      <w:marBottom w:val="0"/>
      <w:divBdr>
        <w:top w:val="none" w:sz="0" w:space="0" w:color="auto"/>
        <w:left w:val="none" w:sz="0" w:space="0" w:color="auto"/>
        <w:bottom w:val="none" w:sz="0" w:space="0" w:color="auto"/>
        <w:right w:val="none" w:sz="0" w:space="0" w:color="auto"/>
      </w:divBdr>
    </w:div>
    <w:div w:id="2041203136">
      <w:bodyDiv w:val="1"/>
      <w:marLeft w:val="0"/>
      <w:marRight w:val="0"/>
      <w:marTop w:val="0"/>
      <w:marBottom w:val="0"/>
      <w:divBdr>
        <w:top w:val="none" w:sz="0" w:space="0" w:color="auto"/>
        <w:left w:val="none" w:sz="0" w:space="0" w:color="auto"/>
        <w:bottom w:val="none" w:sz="0" w:space="0" w:color="auto"/>
        <w:right w:val="none" w:sz="0" w:space="0" w:color="auto"/>
      </w:divBdr>
      <w:divsChild>
        <w:div w:id="1191842627">
          <w:marLeft w:val="0"/>
          <w:marRight w:val="0"/>
          <w:marTop w:val="0"/>
          <w:marBottom w:val="0"/>
          <w:divBdr>
            <w:top w:val="none" w:sz="0" w:space="0" w:color="auto"/>
            <w:left w:val="none" w:sz="0" w:space="0" w:color="auto"/>
            <w:bottom w:val="none" w:sz="0" w:space="0" w:color="auto"/>
            <w:right w:val="none" w:sz="0" w:space="0" w:color="auto"/>
          </w:divBdr>
        </w:div>
      </w:divsChild>
    </w:div>
    <w:div w:id="2086101607">
      <w:bodyDiv w:val="1"/>
      <w:marLeft w:val="0"/>
      <w:marRight w:val="0"/>
      <w:marTop w:val="0"/>
      <w:marBottom w:val="0"/>
      <w:divBdr>
        <w:top w:val="none" w:sz="0" w:space="0" w:color="auto"/>
        <w:left w:val="none" w:sz="0" w:space="0" w:color="auto"/>
        <w:bottom w:val="none" w:sz="0" w:space="0" w:color="auto"/>
        <w:right w:val="none" w:sz="0" w:space="0" w:color="auto"/>
      </w:divBdr>
    </w:div>
    <w:div w:id="2093355471">
      <w:bodyDiv w:val="1"/>
      <w:marLeft w:val="0"/>
      <w:marRight w:val="0"/>
      <w:marTop w:val="0"/>
      <w:marBottom w:val="0"/>
      <w:divBdr>
        <w:top w:val="none" w:sz="0" w:space="0" w:color="auto"/>
        <w:left w:val="none" w:sz="0" w:space="0" w:color="auto"/>
        <w:bottom w:val="none" w:sz="0" w:space="0" w:color="auto"/>
        <w:right w:val="none" w:sz="0" w:space="0" w:color="auto"/>
      </w:divBdr>
    </w:div>
    <w:div w:id="2102330392">
      <w:bodyDiv w:val="1"/>
      <w:marLeft w:val="0"/>
      <w:marRight w:val="0"/>
      <w:marTop w:val="0"/>
      <w:marBottom w:val="0"/>
      <w:divBdr>
        <w:top w:val="none" w:sz="0" w:space="0" w:color="auto"/>
        <w:left w:val="none" w:sz="0" w:space="0" w:color="auto"/>
        <w:bottom w:val="none" w:sz="0" w:space="0" w:color="auto"/>
        <w:right w:val="none" w:sz="0" w:space="0" w:color="auto"/>
      </w:divBdr>
    </w:div>
    <w:div w:id="2117283814">
      <w:bodyDiv w:val="1"/>
      <w:marLeft w:val="0"/>
      <w:marRight w:val="0"/>
      <w:marTop w:val="0"/>
      <w:marBottom w:val="0"/>
      <w:divBdr>
        <w:top w:val="none" w:sz="0" w:space="0" w:color="auto"/>
        <w:left w:val="none" w:sz="0" w:space="0" w:color="auto"/>
        <w:bottom w:val="none" w:sz="0" w:space="0" w:color="auto"/>
        <w:right w:val="none" w:sz="0" w:space="0" w:color="auto"/>
      </w:divBdr>
    </w:div>
    <w:div w:id="21428431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0f5eb7a-3f09-4ccb-9a17-2c4fa8202c3e" xsi:nil="true"/>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ndu53wYGt6HnkXDpKDmMCu/43A==">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</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A2E3680EE573554D94035A4421814AE7" ma:contentTypeVersion="17" ma:contentTypeDescription="Create a new document." ma:contentTypeScope="" ma:versionID="677f1e42a8347fa1a33a1e5bd082a6f0">
  <xsd:schema xmlns:xsd="http://www.w3.org/2001/XMLSchema" xmlns:xs="http://www.w3.org/2001/XMLSchema" xmlns:p="http://schemas.microsoft.com/office/2006/metadata/properties" xmlns:ns3="00f5eb7a-3f09-4ccb-9a17-2c4fa8202c3e" xmlns:ns4="534d57da-ff16-4cef-a6f3-6603b923fb9d" targetNamespace="http://schemas.microsoft.com/office/2006/metadata/properties" ma:root="true" ma:fieldsID="3152a6d693dc4f03211544ef130251e4" ns3:_="" ns4:_="">
    <xsd:import namespace="00f5eb7a-3f09-4ccb-9a17-2c4fa8202c3e"/>
    <xsd:import namespace="534d57da-ff16-4cef-a6f3-6603b923fb9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f5eb7a-3f09-4ccb-9a17-2c4fa8202c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4d57da-ff16-4cef-a6f3-6603b923fb9d"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SharingHintHash" ma:index="2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C00E788-F0BC-46FB-A07D-C58627BA0AFE}">
  <ds:schemaRefs>
    <ds:schemaRef ds:uri="http://schemas.microsoft.com/office/2006/metadata/properties"/>
    <ds:schemaRef ds:uri="http://schemas.microsoft.com/office/infopath/2007/PartnerControls"/>
    <ds:schemaRef ds:uri="00f5eb7a-3f09-4ccb-9a17-2c4fa8202c3e"/>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4C8490E-D3BA-4C03-B8F3-1DA315608B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f5eb7a-3f09-4ccb-9a17-2c4fa8202c3e"/>
    <ds:schemaRef ds:uri="534d57da-ff16-4cef-a6f3-6603b923fb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F6F51F4-5859-44B7-B20A-7EB4E4161878}">
  <ds:schemaRefs>
    <ds:schemaRef ds:uri="http://schemas.openxmlformats.org/officeDocument/2006/bibliography"/>
  </ds:schemaRefs>
</ds:datastoreItem>
</file>

<file path=customXml/itemProps5.xml><?xml version="1.0" encoding="utf-8"?>
<ds:datastoreItem xmlns:ds="http://schemas.openxmlformats.org/officeDocument/2006/customXml" ds:itemID="{337A23CE-E10A-4043-BC60-ADD821B08A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30</Pages>
  <Words>53852</Words>
  <Characters>309651</Characters>
  <Application>Microsoft Office Word</Application>
  <DocSecurity>0</DocSecurity>
  <Lines>5529</Lines>
  <Paragraphs>1644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Jong-Hoon Kim</dc:creator>
  <cp:keywords/>
  <dc:description/>
  <cp:lastModifiedBy>Jong-Hoon Kim</cp:lastModifiedBy>
  <cp:revision>2</cp:revision>
  <cp:lastPrinted>2025-07-25T08:19:00Z</cp:lastPrinted>
  <dcterms:created xsi:type="dcterms:W3CDTF">2025-09-30T07:21:00Z</dcterms:created>
  <dcterms:modified xsi:type="dcterms:W3CDTF">2025-09-30T07:21:00Z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id="EgwuGF5k"/&gt;&lt;style id="http://www.zotero.org/styles/vancouver-superscript" locale="en-CA" hasBibliography="1" bibliographyStyleHasBeenSet="1"/&gt;&lt;prefs&gt;&lt;pref name="fieldType" value="Field"/&gt;&lt;pref na</vt:lpwstr>
  </property>
  <property fmtid="{D5CDD505-2E9C-101B-9397-08002B2CF9AE}" pid="3" name="ZOTERO_PREF_2">
    <vt:lpwstr>me="automaticJournalAbbreviations" value="true"/&gt;&lt;/prefs&gt;&lt;/data&gt;</vt:lpwstr>
  </property>
  <property fmtid="{D5CDD505-2E9C-101B-9397-08002B2CF9AE}" pid="4" name="ContentTypeId">
    <vt:lpwstr>0x010100A2E3680EE573554D94035A4421814AE7</vt:lpwstr>
  </property>
  <property fmtid="{D5CDD505-2E9C-101B-9397-08002B2CF9AE}" pid="5" name="_activity">
    <vt:lpwstr/>
  </property>
</Properties>
</file>