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67C3" w14:textId="77777777" w:rsidR="008625EA" w:rsidRPr="00097432" w:rsidRDefault="008625EA" w:rsidP="008625EA">
      <w:r w:rsidRPr="00097432">
        <w:t>Impact of cholera outbreak response immunization: Insights from modeling outbreaks in sub-Saharan Africa, 2010-202</w:t>
      </w:r>
      <w:r w:rsidRPr="00097432">
        <w:rPr>
          <w:rFonts w:hint="eastAsia"/>
        </w:rPr>
        <w:t>0</w:t>
      </w:r>
      <w:r w:rsidRPr="00097432">
        <w:t>.</w:t>
      </w:r>
    </w:p>
    <w:p w14:paraId="72174112" w14:textId="77777777" w:rsidR="008625EA" w:rsidRDefault="008625EA">
      <w:pPr>
        <w:pStyle w:val="TOCHeading"/>
        <w:rPr>
          <w:rFonts w:asciiTheme="minorHAnsi" w:eastAsiaTheme="minorEastAsia" w:hAnsiTheme="minorHAnsi" w:cstheme="minorBidi"/>
          <w:b w:val="0"/>
          <w:bCs w:val="0"/>
          <w:color w:val="auto"/>
          <w:kern w:val="2"/>
          <w:sz w:val="24"/>
          <w:szCs w:val="24"/>
          <w:lang w:eastAsia="ko-KR"/>
          <w14:ligatures w14:val="standardContextual"/>
        </w:rPr>
      </w:pPr>
    </w:p>
    <w:p w14:paraId="74F30888" w14:textId="77777777" w:rsidR="008625EA" w:rsidRDefault="008625EA" w:rsidP="008625EA"/>
    <w:p w14:paraId="2291B55A" w14:textId="77777777" w:rsidR="008625EA" w:rsidRDefault="008625EA" w:rsidP="008625EA"/>
    <w:p w14:paraId="1B56F8C9" w14:textId="77777777" w:rsidR="008625EA" w:rsidRDefault="008625EA" w:rsidP="008625EA"/>
    <w:p w14:paraId="0A3AB04D" w14:textId="77777777" w:rsidR="008625EA" w:rsidRDefault="008625EA" w:rsidP="008625EA"/>
    <w:p w14:paraId="3A76CA00" w14:textId="77777777" w:rsidR="008625EA" w:rsidRDefault="008625EA" w:rsidP="008625EA"/>
    <w:p w14:paraId="23BFE375" w14:textId="77777777" w:rsidR="008625EA" w:rsidRDefault="008625EA" w:rsidP="008625EA"/>
    <w:p w14:paraId="0DB3FBE4" w14:textId="77777777" w:rsidR="008625EA" w:rsidRDefault="008625EA" w:rsidP="008625EA"/>
    <w:p w14:paraId="5744FFEC" w14:textId="77777777" w:rsidR="008625EA" w:rsidRDefault="008625EA" w:rsidP="008625EA"/>
    <w:p w14:paraId="5AA7866B" w14:textId="77777777" w:rsidR="008625EA" w:rsidRDefault="008625EA" w:rsidP="008625EA"/>
    <w:p w14:paraId="145A9FC6" w14:textId="77777777" w:rsidR="008625EA" w:rsidRDefault="008625EA" w:rsidP="008625EA"/>
    <w:p w14:paraId="4907ABBA" w14:textId="77777777" w:rsidR="008625EA" w:rsidRDefault="008625EA" w:rsidP="008625EA"/>
    <w:p w14:paraId="19518971" w14:textId="77777777" w:rsidR="008625EA" w:rsidRDefault="008625EA" w:rsidP="008625EA"/>
    <w:p w14:paraId="2514B7FA" w14:textId="77777777" w:rsidR="008625EA" w:rsidRDefault="008625EA" w:rsidP="008625EA"/>
    <w:p w14:paraId="611718D4" w14:textId="77777777" w:rsidR="008625EA" w:rsidRPr="008625EA" w:rsidRDefault="008625EA" w:rsidP="008625EA"/>
    <w:p w14:paraId="5C91410D" w14:textId="77777777" w:rsidR="008625EA" w:rsidRDefault="008625EA">
      <w:pPr>
        <w:pStyle w:val="TOCHeading"/>
        <w:rPr>
          <w:rFonts w:asciiTheme="minorHAnsi" w:eastAsiaTheme="minorEastAsia" w:hAnsiTheme="minorHAnsi" w:cstheme="minorBidi"/>
          <w:b w:val="0"/>
          <w:bCs w:val="0"/>
          <w:color w:val="auto"/>
          <w:kern w:val="2"/>
          <w:sz w:val="24"/>
          <w:szCs w:val="24"/>
          <w:lang w:eastAsia="ko-KR"/>
          <w14:ligatures w14:val="standardContextual"/>
        </w:rPr>
      </w:pPr>
    </w:p>
    <w:p w14:paraId="5DC5FAA2" w14:textId="77777777" w:rsidR="008625EA" w:rsidRDefault="008625EA" w:rsidP="008625EA"/>
    <w:p w14:paraId="4BE870A4" w14:textId="77777777" w:rsidR="008625EA" w:rsidRDefault="008625EA" w:rsidP="008625EA"/>
    <w:p w14:paraId="4D7D3C3A" w14:textId="77777777" w:rsidR="008625EA" w:rsidRPr="008625EA" w:rsidRDefault="008625EA" w:rsidP="008625EA"/>
    <w:sdt>
      <w:sdtPr>
        <w:rPr>
          <w:rFonts w:asciiTheme="minorHAnsi" w:eastAsiaTheme="minorEastAsia" w:hAnsiTheme="minorHAnsi" w:cstheme="minorBidi"/>
          <w:b w:val="0"/>
          <w:bCs w:val="0"/>
          <w:color w:val="auto"/>
          <w:kern w:val="2"/>
          <w:sz w:val="24"/>
          <w:szCs w:val="24"/>
          <w:lang w:eastAsia="ko-KR"/>
          <w14:ligatures w14:val="standardContextual"/>
        </w:rPr>
        <w:id w:val="1643080219"/>
        <w:docPartObj>
          <w:docPartGallery w:val="Table of Contents"/>
          <w:docPartUnique/>
        </w:docPartObj>
      </w:sdtPr>
      <w:sdtEndPr>
        <w:rPr>
          <w:noProof/>
        </w:rPr>
      </w:sdtEndPr>
      <w:sdtContent>
        <w:p w14:paraId="49A14FC2" w14:textId="66336407" w:rsidR="00A06BBC" w:rsidRPr="00A436ED" w:rsidRDefault="00A06BBC">
          <w:pPr>
            <w:pStyle w:val="TOCHeading"/>
            <w:rPr>
              <w:color w:val="auto"/>
            </w:rPr>
          </w:pPr>
          <w:r w:rsidRPr="00A436ED">
            <w:rPr>
              <w:color w:val="auto"/>
            </w:rPr>
            <w:t>Table of Contents</w:t>
          </w:r>
        </w:p>
        <w:p w14:paraId="62831C2A" w14:textId="4B1CE61B" w:rsidR="00D64E9F" w:rsidRDefault="00A06BBC">
          <w:pPr>
            <w:pStyle w:val="TOC3"/>
            <w:tabs>
              <w:tab w:val="right" w:leader="dot" w:pos="9350"/>
            </w:tabs>
            <w:rPr>
              <w:rFonts w:cstheme="minorBidi"/>
              <w:noProof/>
              <w:sz w:val="24"/>
            </w:rPr>
          </w:pPr>
          <w:r w:rsidRPr="00A436ED">
            <w:fldChar w:fldCharType="begin"/>
          </w:r>
          <w:r w:rsidRPr="00A436ED">
            <w:instrText xml:space="preserve"> TOC \o "1-3" \h \z \u </w:instrText>
          </w:r>
          <w:r w:rsidRPr="00A436ED">
            <w:fldChar w:fldCharType="separate"/>
          </w:r>
          <w:hyperlink w:anchor="_Toc208578222" w:history="1">
            <w:r w:rsidR="00D64E9F" w:rsidRPr="00E023E2">
              <w:rPr>
                <w:rStyle w:val="Hyperlink"/>
                <w:rFonts w:cs="Arial"/>
                <w:noProof/>
              </w:rPr>
              <w:t>S1. Vaccine impact</w:t>
            </w:r>
            <w:r w:rsidR="00D64E9F">
              <w:rPr>
                <w:noProof/>
                <w:webHidden/>
              </w:rPr>
              <w:tab/>
            </w:r>
            <w:r w:rsidR="00D64E9F">
              <w:rPr>
                <w:noProof/>
                <w:webHidden/>
              </w:rPr>
              <w:fldChar w:fldCharType="begin"/>
            </w:r>
            <w:r w:rsidR="00D64E9F">
              <w:rPr>
                <w:noProof/>
                <w:webHidden/>
              </w:rPr>
              <w:instrText xml:space="preserve"> PAGEREF _Toc208578222 \h </w:instrText>
            </w:r>
            <w:r w:rsidR="00D64E9F">
              <w:rPr>
                <w:noProof/>
                <w:webHidden/>
              </w:rPr>
            </w:r>
            <w:r w:rsidR="00D64E9F">
              <w:rPr>
                <w:noProof/>
                <w:webHidden/>
              </w:rPr>
              <w:fldChar w:fldCharType="separate"/>
            </w:r>
            <w:r w:rsidR="00D64E9F">
              <w:rPr>
                <w:noProof/>
                <w:webHidden/>
              </w:rPr>
              <w:t>3</w:t>
            </w:r>
            <w:r w:rsidR="00D64E9F">
              <w:rPr>
                <w:noProof/>
                <w:webHidden/>
              </w:rPr>
              <w:fldChar w:fldCharType="end"/>
            </w:r>
          </w:hyperlink>
        </w:p>
        <w:p w14:paraId="5ADC5A03" w14:textId="5F226248" w:rsidR="00D64E9F" w:rsidRDefault="00D64E9F">
          <w:pPr>
            <w:pStyle w:val="TOC3"/>
            <w:tabs>
              <w:tab w:val="right" w:leader="dot" w:pos="9350"/>
            </w:tabs>
            <w:rPr>
              <w:rFonts w:cstheme="minorBidi"/>
              <w:noProof/>
              <w:sz w:val="24"/>
            </w:rPr>
          </w:pPr>
          <w:hyperlink w:anchor="_Toc208578223" w:history="1">
            <w:r w:rsidRPr="00E023E2">
              <w:rPr>
                <w:rStyle w:val="Hyperlink"/>
                <w:rFonts w:cs="Arial"/>
                <w:noProof/>
              </w:rPr>
              <w:t>S2. Indirect vaccine effectiveness</w:t>
            </w:r>
            <w:r>
              <w:rPr>
                <w:noProof/>
                <w:webHidden/>
              </w:rPr>
              <w:tab/>
            </w:r>
            <w:r>
              <w:rPr>
                <w:noProof/>
                <w:webHidden/>
              </w:rPr>
              <w:fldChar w:fldCharType="begin"/>
            </w:r>
            <w:r>
              <w:rPr>
                <w:noProof/>
                <w:webHidden/>
              </w:rPr>
              <w:instrText xml:space="preserve"> PAGEREF _Toc208578223 \h </w:instrText>
            </w:r>
            <w:r>
              <w:rPr>
                <w:noProof/>
                <w:webHidden/>
              </w:rPr>
            </w:r>
            <w:r>
              <w:rPr>
                <w:noProof/>
                <w:webHidden/>
              </w:rPr>
              <w:fldChar w:fldCharType="separate"/>
            </w:r>
            <w:r>
              <w:rPr>
                <w:noProof/>
                <w:webHidden/>
              </w:rPr>
              <w:t>4</w:t>
            </w:r>
            <w:r>
              <w:rPr>
                <w:noProof/>
                <w:webHidden/>
              </w:rPr>
              <w:fldChar w:fldCharType="end"/>
            </w:r>
          </w:hyperlink>
        </w:p>
        <w:p w14:paraId="527619D4" w14:textId="26CA3785" w:rsidR="00D64E9F" w:rsidRDefault="00D64E9F">
          <w:pPr>
            <w:pStyle w:val="TOC3"/>
            <w:tabs>
              <w:tab w:val="right" w:leader="dot" w:pos="9350"/>
            </w:tabs>
            <w:rPr>
              <w:rFonts w:cstheme="minorBidi"/>
              <w:noProof/>
              <w:sz w:val="24"/>
            </w:rPr>
          </w:pPr>
          <w:hyperlink w:anchor="_Toc208578224" w:history="1">
            <w:r w:rsidRPr="00E023E2">
              <w:rPr>
                <w:rStyle w:val="Hyperlink"/>
                <w:noProof/>
              </w:rPr>
              <w:t>Figure S1.</w:t>
            </w:r>
            <w:r>
              <w:rPr>
                <w:noProof/>
                <w:webHidden/>
              </w:rPr>
              <w:tab/>
            </w:r>
            <w:r>
              <w:rPr>
                <w:noProof/>
                <w:webHidden/>
              </w:rPr>
              <w:fldChar w:fldCharType="begin"/>
            </w:r>
            <w:r>
              <w:rPr>
                <w:noProof/>
                <w:webHidden/>
              </w:rPr>
              <w:instrText xml:space="preserve"> PAGEREF _Toc208578224 \h </w:instrText>
            </w:r>
            <w:r>
              <w:rPr>
                <w:noProof/>
                <w:webHidden/>
              </w:rPr>
            </w:r>
            <w:r>
              <w:rPr>
                <w:noProof/>
                <w:webHidden/>
              </w:rPr>
              <w:fldChar w:fldCharType="separate"/>
            </w:r>
            <w:r>
              <w:rPr>
                <w:noProof/>
                <w:webHidden/>
              </w:rPr>
              <w:t>5</w:t>
            </w:r>
            <w:r>
              <w:rPr>
                <w:noProof/>
                <w:webHidden/>
              </w:rPr>
              <w:fldChar w:fldCharType="end"/>
            </w:r>
          </w:hyperlink>
        </w:p>
        <w:p w14:paraId="17C9B3B5" w14:textId="17209FDA" w:rsidR="00D64E9F" w:rsidRDefault="00D64E9F">
          <w:pPr>
            <w:pStyle w:val="TOC3"/>
            <w:tabs>
              <w:tab w:val="right" w:leader="dot" w:pos="9350"/>
            </w:tabs>
            <w:rPr>
              <w:rFonts w:cstheme="minorBidi"/>
              <w:noProof/>
              <w:sz w:val="24"/>
            </w:rPr>
          </w:pPr>
          <w:hyperlink w:anchor="_Toc208578225" w:history="1">
            <w:r w:rsidRPr="00E023E2">
              <w:rPr>
                <w:rStyle w:val="Hyperlink"/>
                <w:rFonts w:cs="Arial"/>
                <w:noProof/>
              </w:rPr>
              <w:t>S3. Parameter exploration using Sobol low-discrepancy sampling</w:t>
            </w:r>
            <w:r>
              <w:rPr>
                <w:noProof/>
                <w:webHidden/>
              </w:rPr>
              <w:tab/>
            </w:r>
            <w:r>
              <w:rPr>
                <w:noProof/>
                <w:webHidden/>
              </w:rPr>
              <w:fldChar w:fldCharType="begin"/>
            </w:r>
            <w:r>
              <w:rPr>
                <w:noProof/>
                <w:webHidden/>
              </w:rPr>
              <w:instrText xml:space="preserve"> PAGEREF _Toc208578225 \h </w:instrText>
            </w:r>
            <w:r>
              <w:rPr>
                <w:noProof/>
                <w:webHidden/>
              </w:rPr>
            </w:r>
            <w:r>
              <w:rPr>
                <w:noProof/>
                <w:webHidden/>
              </w:rPr>
              <w:fldChar w:fldCharType="separate"/>
            </w:r>
            <w:r>
              <w:rPr>
                <w:noProof/>
                <w:webHidden/>
              </w:rPr>
              <w:t>6</w:t>
            </w:r>
            <w:r>
              <w:rPr>
                <w:noProof/>
                <w:webHidden/>
              </w:rPr>
              <w:fldChar w:fldCharType="end"/>
            </w:r>
          </w:hyperlink>
        </w:p>
        <w:p w14:paraId="2FFFEA7E" w14:textId="15CF1293" w:rsidR="00D64E9F" w:rsidRDefault="00D64E9F">
          <w:pPr>
            <w:pStyle w:val="TOC3"/>
            <w:tabs>
              <w:tab w:val="right" w:leader="dot" w:pos="9350"/>
            </w:tabs>
            <w:rPr>
              <w:rFonts w:cstheme="minorBidi"/>
              <w:noProof/>
              <w:sz w:val="24"/>
            </w:rPr>
          </w:pPr>
          <w:hyperlink w:anchor="_Toc208578226" w:history="1">
            <w:r w:rsidRPr="00E023E2">
              <w:rPr>
                <w:rStyle w:val="Hyperlink"/>
                <w:rFonts w:cs="Arial"/>
                <w:noProof/>
              </w:rPr>
              <w:t>S4. Delay in immunogenicity of oral cholera vaccine</w:t>
            </w:r>
            <w:r>
              <w:rPr>
                <w:noProof/>
                <w:webHidden/>
              </w:rPr>
              <w:tab/>
            </w:r>
            <w:r>
              <w:rPr>
                <w:noProof/>
                <w:webHidden/>
              </w:rPr>
              <w:fldChar w:fldCharType="begin"/>
            </w:r>
            <w:r>
              <w:rPr>
                <w:noProof/>
                <w:webHidden/>
              </w:rPr>
              <w:instrText xml:space="preserve"> PAGEREF _Toc208578226 \h </w:instrText>
            </w:r>
            <w:r>
              <w:rPr>
                <w:noProof/>
                <w:webHidden/>
              </w:rPr>
            </w:r>
            <w:r>
              <w:rPr>
                <w:noProof/>
                <w:webHidden/>
              </w:rPr>
              <w:fldChar w:fldCharType="separate"/>
            </w:r>
            <w:r>
              <w:rPr>
                <w:noProof/>
                <w:webHidden/>
              </w:rPr>
              <w:t>7</w:t>
            </w:r>
            <w:r>
              <w:rPr>
                <w:noProof/>
                <w:webHidden/>
              </w:rPr>
              <w:fldChar w:fldCharType="end"/>
            </w:r>
          </w:hyperlink>
        </w:p>
        <w:p w14:paraId="07D39F0C" w14:textId="0B5B8805" w:rsidR="00D64E9F" w:rsidRDefault="00D64E9F">
          <w:pPr>
            <w:pStyle w:val="TOC3"/>
            <w:tabs>
              <w:tab w:val="right" w:leader="dot" w:pos="9350"/>
            </w:tabs>
            <w:rPr>
              <w:rFonts w:cstheme="minorBidi"/>
              <w:noProof/>
              <w:sz w:val="24"/>
            </w:rPr>
          </w:pPr>
          <w:hyperlink w:anchor="_Toc208578227" w:history="1">
            <w:r w:rsidRPr="00E023E2">
              <w:rPr>
                <w:rStyle w:val="Hyperlink"/>
                <w:rFonts w:cs="Arial"/>
                <w:noProof/>
              </w:rPr>
              <w:t>S5. Number of workdays lost to patients and caregivers</w:t>
            </w:r>
            <w:r>
              <w:rPr>
                <w:noProof/>
                <w:webHidden/>
              </w:rPr>
              <w:tab/>
            </w:r>
            <w:r>
              <w:rPr>
                <w:noProof/>
                <w:webHidden/>
              </w:rPr>
              <w:fldChar w:fldCharType="begin"/>
            </w:r>
            <w:r>
              <w:rPr>
                <w:noProof/>
                <w:webHidden/>
              </w:rPr>
              <w:instrText xml:space="preserve"> PAGEREF _Toc208578227 \h </w:instrText>
            </w:r>
            <w:r>
              <w:rPr>
                <w:noProof/>
                <w:webHidden/>
              </w:rPr>
            </w:r>
            <w:r>
              <w:rPr>
                <w:noProof/>
                <w:webHidden/>
              </w:rPr>
              <w:fldChar w:fldCharType="separate"/>
            </w:r>
            <w:r>
              <w:rPr>
                <w:noProof/>
                <w:webHidden/>
              </w:rPr>
              <w:t>8</w:t>
            </w:r>
            <w:r>
              <w:rPr>
                <w:noProof/>
                <w:webHidden/>
              </w:rPr>
              <w:fldChar w:fldCharType="end"/>
            </w:r>
          </w:hyperlink>
        </w:p>
        <w:p w14:paraId="5C893678" w14:textId="6327AB5E" w:rsidR="00D64E9F" w:rsidRDefault="00D64E9F">
          <w:pPr>
            <w:pStyle w:val="TOC3"/>
            <w:tabs>
              <w:tab w:val="right" w:leader="dot" w:pos="9350"/>
            </w:tabs>
            <w:rPr>
              <w:rFonts w:cstheme="minorBidi"/>
              <w:noProof/>
              <w:sz w:val="24"/>
            </w:rPr>
          </w:pPr>
          <w:hyperlink w:anchor="_Toc208578228" w:history="1">
            <w:r w:rsidRPr="00E023E2">
              <w:rPr>
                <w:rStyle w:val="Hyperlink"/>
                <w:rFonts w:cs="Arial"/>
                <w:noProof/>
              </w:rPr>
              <w:t>S6. Mean age of infection</w:t>
            </w:r>
            <w:r>
              <w:rPr>
                <w:noProof/>
                <w:webHidden/>
              </w:rPr>
              <w:tab/>
            </w:r>
            <w:r>
              <w:rPr>
                <w:noProof/>
                <w:webHidden/>
              </w:rPr>
              <w:fldChar w:fldCharType="begin"/>
            </w:r>
            <w:r>
              <w:rPr>
                <w:noProof/>
                <w:webHidden/>
              </w:rPr>
              <w:instrText xml:space="preserve"> PAGEREF _Toc208578228 \h </w:instrText>
            </w:r>
            <w:r>
              <w:rPr>
                <w:noProof/>
                <w:webHidden/>
              </w:rPr>
            </w:r>
            <w:r>
              <w:rPr>
                <w:noProof/>
                <w:webHidden/>
              </w:rPr>
              <w:fldChar w:fldCharType="separate"/>
            </w:r>
            <w:r>
              <w:rPr>
                <w:noProof/>
                <w:webHidden/>
              </w:rPr>
              <w:t>8</w:t>
            </w:r>
            <w:r>
              <w:rPr>
                <w:noProof/>
                <w:webHidden/>
              </w:rPr>
              <w:fldChar w:fldCharType="end"/>
            </w:r>
          </w:hyperlink>
        </w:p>
        <w:p w14:paraId="16FB92C1" w14:textId="2CC586FB" w:rsidR="00D64E9F" w:rsidRDefault="00D64E9F">
          <w:pPr>
            <w:pStyle w:val="TOC3"/>
            <w:tabs>
              <w:tab w:val="right" w:leader="dot" w:pos="9350"/>
            </w:tabs>
            <w:rPr>
              <w:rFonts w:cstheme="minorBidi"/>
              <w:noProof/>
              <w:sz w:val="24"/>
            </w:rPr>
          </w:pPr>
          <w:hyperlink w:anchor="_Toc208578229" w:history="1">
            <w:r w:rsidRPr="00E023E2">
              <w:rPr>
                <w:rStyle w:val="Hyperlink"/>
                <w:rFonts w:cs="Arial"/>
                <w:noProof/>
              </w:rPr>
              <w:t>S7. Vaccine coverage proportion</w:t>
            </w:r>
            <w:r>
              <w:rPr>
                <w:noProof/>
                <w:webHidden/>
              </w:rPr>
              <w:tab/>
            </w:r>
            <w:r>
              <w:rPr>
                <w:noProof/>
                <w:webHidden/>
              </w:rPr>
              <w:fldChar w:fldCharType="begin"/>
            </w:r>
            <w:r>
              <w:rPr>
                <w:noProof/>
                <w:webHidden/>
              </w:rPr>
              <w:instrText xml:space="preserve"> PAGEREF _Toc208578229 \h </w:instrText>
            </w:r>
            <w:r>
              <w:rPr>
                <w:noProof/>
                <w:webHidden/>
              </w:rPr>
            </w:r>
            <w:r>
              <w:rPr>
                <w:noProof/>
                <w:webHidden/>
              </w:rPr>
              <w:fldChar w:fldCharType="separate"/>
            </w:r>
            <w:r>
              <w:rPr>
                <w:noProof/>
                <w:webHidden/>
              </w:rPr>
              <w:t>9</w:t>
            </w:r>
            <w:r>
              <w:rPr>
                <w:noProof/>
                <w:webHidden/>
              </w:rPr>
              <w:fldChar w:fldCharType="end"/>
            </w:r>
          </w:hyperlink>
        </w:p>
        <w:p w14:paraId="4C39C4F0" w14:textId="6A59DF2B" w:rsidR="00D64E9F" w:rsidRDefault="00D64E9F">
          <w:pPr>
            <w:pStyle w:val="TOC3"/>
            <w:tabs>
              <w:tab w:val="right" w:leader="dot" w:pos="9350"/>
            </w:tabs>
            <w:rPr>
              <w:rFonts w:cstheme="minorBidi"/>
              <w:noProof/>
              <w:sz w:val="24"/>
            </w:rPr>
          </w:pPr>
          <w:hyperlink w:anchor="_Toc208578230" w:history="1">
            <w:r w:rsidRPr="00E023E2">
              <w:rPr>
                <w:rStyle w:val="Hyperlink"/>
                <w:rFonts w:cs="Arial"/>
                <w:noProof/>
              </w:rPr>
              <w:t>S8. Cost-effective analyses (CEA)</w:t>
            </w:r>
            <w:r>
              <w:rPr>
                <w:noProof/>
                <w:webHidden/>
              </w:rPr>
              <w:tab/>
            </w:r>
            <w:r>
              <w:rPr>
                <w:noProof/>
                <w:webHidden/>
              </w:rPr>
              <w:fldChar w:fldCharType="begin"/>
            </w:r>
            <w:r>
              <w:rPr>
                <w:noProof/>
                <w:webHidden/>
              </w:rPr>
              <w:instrText xml:space="preserve"> PAGEREF _Toc208578230 \h </w:instrText>
            </w:r>
            <w:r>
              <w:rPr>
                <w:noProof/>
                <w:webHidden/>
              </w:rPr>
            </w:r>
            <w:r>
              <w:rPr>
                <w:noProof/>
                <w:webHidden/>
              </w:rPr>
              <w:fldChar w:fldCharType="separate"/>
            </w:r>
            <w:r>
              <w:rPr>
                <w:noProof/>
                <w:webHidden/>
              </w:rPr>
              <w:t>9</w:t>
            </w:r>
            <w:r>
              <w:rPr>
                <w:noProof/>
                <w:webHidden/>
              </w:rPr>
              <w:fldChar w:fldCharType="end"/>
            </w:r>
          </w:hyperlink>
        </w:p>
        <w:p w14:paraId="5F450852" w14:textId="0A110F8F" w:rsidR="00D64E9F" w:rsidRDefault="00D64E9F">
          <w:pPr>
            <w:pStyle w:val="TOC3"/>
            <w:tabs>
              <w:tab w:val="right" w:leader="dot" w:pos="9350"/>
            </w:tabs>
            <w:rPr>
              <w:rFonts w:cstheme="minorBidi"/>
              <w:noProof/>
              <w:sz w:val="24"/>
            </w:rPr>
          </w:pPr>
          <w:hyperlink w:anchor="_Toc208578231" w:history="1">
            <w:r w:rsidRPr="00E023E2">
              <w:rPr>
                <w:rStyle w:val="Hyperlink"/>
                <w:noProof/>
              </w:rPr>
              <w:t>Figure S2</w:t>
            </w:r>
            <w:r>
              <w:rPr>
                <w:noProof/>
                <w:webHidden/>
              </w:rPr>
              <w:tab/>
            </w:r>
            <w:r>
              <w:rPr>
                <w:noProof/>
                <w:webHidden/>
              </w:rPr>
              <w:fldChar w:fldCharType="begin"/>
            </w:r>
            <w:r>
              <w:rPr>
                <w:noProof/>
                <w:webHidden/>
              </w:rPr>
              <w:instrText xml:space="preserve"> PAGEREF _Toc208578231 \h </w:instrText>
            </w:r>
            <w:r>
              <w:rPr>
                <w:noProof/>
                <w:webHidden/>
              </w:rPr>
            </w:r>
            <w:r>
              <w:rPr>
                <w:noProof/>
                <w:webHidden/>
              </w:rPr>
              <w:fldChar w:fldCharType="separate"/>
            </w:r>
            <w:r>
              <w:rPr>
                <w:noProof/>
                <w:webHidden/>
              </w:rPr>
              <w:t>11</w:t>
            </w:r>
            <w:r>
              <w:rPr>
                <w:noProof/>
                <w:webHidden/>
              </w:rPr>
              <w:fldChar w:fldCharType="end"/>
            </w:r>
          </w:hyperlink>
        </w:p>
        <w:p w14:paraId="765D2985" w14:textId="38F4DEDB" w:rsidR="00D64E9F" w:rsidRDefault="00D64E9F">
          <w:pPr>
            <w:pStyle w:val="TOC3"/>
            <w:tabs>
              <w:tab w:val="right" w:leader="dot" w:pos="9350"/>
            </w:tabs>
            <w:rPr>
              <w:rFonts w:cstheme="minorBidi"/>
              <w:noProof/>
              <w:sz w:val="24"/>
            </w:rPr>
          </w:pPr>
          <w:hyperlink w:anchor="_Toc208578232" w:history="1">
            <w:r w:rsidRPr="00E023E2">
              <w:rPr>
                <w:rStyle w:val="Hyperlink"/>
                <w:noProof/>
              </w:rPr>
              <w:t>Figure S3</w:t>
            </w:r>
            <w:r>
              <w:rPr>
                <w:noProof/>
                <w:webHidden/>
              </w:rPr>
              <w:tab/>
            </w:r>
            <w:r>
              <w:rPr>
                <w:noProof/>
                <w:webHidden/>
              </w:rPr>
              <w:fldChar w:fldCharType="begin"/>
            </w:r>
            <w:r>
              <w:rPr>
                <w:noProof/>
                <w:webHidden/>
              </w:rPr>
              <w:instrText xml:space="preserve"> PAGEREF _Toc208578232 \h </w:instrText>
            </w:r>
            <w:r>
              <w:rPr>
                <w:noProof/>
                <w:webHidden/>
              </w:rPr>
            </w:r>
            <w:r>
              <w:rPr>
                <w:noProof/>
                <w:webHidden/>
              </w:rPr>
              <w:fldChar w:fldCharType="separate"/>
            </w:r>
            <w:r>
              <w:rPr>
                <w:noProof/>
                <w:webHidden/>
              </w:rPr>
              <w:t>12</w:t>
            </w:r>
            <w:r>
              <w:rPr>
                <w:noProof/>
                <w:webHidden/>
              </w:rPr>
              <w:fldChar w:fldCharType="end"/>
            </w:r>
          </w:hyperlink>
        </w:p>
        <w:p w14:paraId="6F0EDD8E" w14:textId="62605D31" w:rsidR="00D64E9F" w:rsidRDefault="00D64E9F">
          <w:pPr>
            <w:pStyle w:val="TOC3"/>
            <w:tabs>
              <w:tab w:val="right" w:leader="dot" w:pos="9350"/>
            </w:tabs>
            <w:rPr>
              <w:rFonts w:cstheme="minorBidi"/>
              <w:noProof/>
              <w:sz w:val="24"/>
            </w:rPr>
          </w:pPr>
          <w:hyperlink w:anchor="_Toc208578233" w:history="1">
            <w:r w:rsidRPr="00E023E2">
              <w:rPr>
                <w:rStyle w:val="Hyperlink"/>
                <w:noProof/>
              </w:rPr>
              <w:t>Table S1</w:t>
            </w:r>
            <w:r>
              <w:rPr>
                <w:noProof/>
                <w:webHidden/>
              </w:rPr>
              <w:tab/>
            </w:r>
            <w:r>
              <w:rPr>
                <w:noProof/>
                <w:webHidden/>
              </w:rPr>
              <w:fldChar w:fldCharType="begin"/>
            </w:r>
            <w:r>
              <w:rPr>
                <w:noProof/>
                <w:webHidden/>
              </w:rPr>
              <w:instrText xml:space="preserve"> PAGEREF _Toc208578233 \h </w:instrText>
            </w:r>
            <w:r>
              <w:rPr>
                <w:noProof/>
                <w:webHidden/>
              </w:rPr>
            </w:r>
            <w:r>
              <w:rPr>
                <w:noProof/>
                <w:webHidden/>
              </w:rPr>
              <w:fldChar w:fldCharType="separate"/>
            </w:r>
            <w:r>
              <w:rPr>
                <w:noProof/>
                <w:webHidden/>
              </w:rPr>
              <w:t>14</w:t>
            </w:r>
            <w:r>
              <w:rPr>
                <w:noProof/>
                <w:webHidden/>
              </w:rPr>
              <w:fldChar w:fldCharType="end"/>
            </w:r>
          </w:hyperlink>
        </w:p>
        <w:p w14:paraId="285695BC" w14:textId="3ACA80EF" w:rsidR="00D64E9F" w:rsidRDefault="00D64E9F">
          <w:pPr>
            <w:pStyle w:val="TOC3"/>
            <w:tabs>
              <w:tab w:val="right" w:leader="dot" w:pos="9350"/>
            </w:tabs>
            <w:rPr>
              <w:rFonts w:cstheme="minorBidi"/>
              <w:noProof/>
              <w:sz w:val="24"/>
            </w:rPr>
          </w:pPr>
          <w:hyperlink w:anchor="_Toc208578234" w:history="1">
            <w:r w:rsidRPr="00E023E2">
              <w:rPr>
                <w:rStyle w:val="Hyperlink"/>
                <w:noProof/>
              </w:rPr>
              <w:t>Table S2</w:t>
            </w:r>
            <w:r>
              <w:rPr>
                <w:noProof/>
                <w:webHidden/>
              </w:rPr>
              <w:tab/>
            </w:r>
            <w:r>
              <w:rPr>
                <w:noProof/>
                <w:webHidden/>
              </w:rPr>
              <w:fldChar w:fldCharType="begin"/>
            </w:r>
            <w:r>
              <w:rPr>
                <w:noProof/>
                <w:webHidden/>
              </w:rPr>
              <w:instrText xml:space="preserve"> PAGEREF _Toc208578234 \h </w:instrText>
            </w:r>
            <w:r>
              <w:rPr>
                <w:noProof/>
                <w:webHidden/>
              </w:rPr>
            </w:r>
            <w:r>
              <w:rPr>
                <w:noProof/>
                <w:webHidden/>
              </w:rPr>
              <w:fldChar w:fldCharType="separate"/>
            </w:r>
            <w:r>
              <w:rPr>
                <w:noProof/>
                <w:webHidden/>
              </w:rPr>
              <w:t>16</w:t>
            </w:r>
            <w:r>
              <w:rPr>
                <w:noProof/>
                <w:webHidden/>
              </w:rPr>
              <w:fldChar w:fldCharType="end"/>
            </w:r>
          </w:hyperlink>
        </w:p>
        <w:p w14:paraId="1CBB1E99" w14:textId="5DD0D5F7" w:rsidR="00D64E9F" w:rsidRDefault="00D64E9F">
          <w:pPr>
            <w:pStyle w:val="TOC3"/>
            <w:tabs>
              <w:tab w:val="right" w:leader="dot" w:pos="9350"/>
            </w:tabs>
            <w:rPr>
              <w:rFonts w:cstheme="minorBidi"/>
              <w:noProof/>
              <w:sz w:val="24"/>
            </w:rPr>
          </w:pPr>
          <w:hyperlink w:anchor="_Toc208578235" w:history="1">
            <w:r w:rsidRPr="00E023E2">
              <w:rPr>
                <w:rStyle w:val="Hyperlink"/>
                <w:noProof/>
              </w:rPr>
              <w:t>Figure S4</w:t>
            </w:r>
            <w:r>
              <w:rPr>
                <w:noProof/>
                <w:webHidden/>
              </w:rPr>
              <w:tab/>
            </w:r>
            <w:r>
              <w:rPr>
                <w:noProof/>
                <w:webHidden/>
              </w:rPr>
              <w:fldChar w:fldCharType="begin"/>
            </w:r>
            <w:r>
              <w:rPr>
                <w:noProof/>
                <w:webHidden/>
              </w:rPr>
              <w:instrText xml:space="preserve"> PAGEREF _Toc208578235 \h </w:instrText>
            </w:r>
            <w:r>
              <w:rPr>
                <w:noProof/>
                <w:webHidden/>
              </w:rPr>
            </w:r>
            <w:r>
              <w:rPr>
                <w:noProof/>
                <w:webHidden/>
              </w:rPr>
              <w:fldChar w:fldCharType="separate"/>
            </w:r>
            <w:r>
              <w:rPr>
                <w:noProof/>
                <w:webHidden/>
              </w:rPr>
              <w:t>18</w:t>
            </w:r>
            <w:r>
              <w:rPr>
                <w:noProof/>
                <w:webHidden/>
              </w:rPr>
              <w:fldChar w:fldCharType="end"/>
            </w:r>
          </w:hyperlink>
        </w:p>
        <w:p w14:paraId="51918A21" w14:textId="24B9338A" w:rsidR="00D64E9F" w:rsidRDefault="00D64E9F">
          <w:pPr>
            <w:pStyle w:val="TOC3"/>
            <w:tabs>
              <w:tab w:val="right" w:leader="dot" w:pos="9350"/>
            </w:tabs>
            <w:rPr>
              <w:rFonts w:cstheme="minorBidi"/>
              <w:noProof/>
              <w:sz w:val="24"/>
            </w:rPr>
          </w:pPr>
          <w:hyperlink w:anchor="_Toc208578236" w:history="1">
            <w:r w:rsidRPr="00E023E2">
              <w:rPr>
                <w:rStyle w:val="Hyperlink"/>
                <w:noProof/>
              </w:rPr>
              <w:t>Table S3</w:t>
            </w:r>
            <w:r>
              <w:rPr>
                <w:noProof/>
                <w:webHidden/>
              </w:rPr>
              <w:tab/>
            </w:r>
            <w:r>
              <w:rPr>
                <w:noProof/>
                <w:webHidden/>
              </w:rPr>
              <w:fldChar w:fldCharType="begin"/>
            </w:r>
            <w:r>
              <w:rPr>
                <w:noProof/>
                <w:webHidden/>
              </w:rPr>
              <w:instrText xml:space="preserve"> PAGEREF _Toc208578236 \h </w:instrText>
            </w:r>
            <w:r>
              <w:rPr>
                <w:noProof/>
                <w:webHidden/>
              </w:rPr>
            </w:r>
            <w:r>
              <w:rPr>
                <w:noProof/>
                <w:webHidden/>
              </w:rPr>
              <w:fldChar w:fldCharType="separate"/>
            </w:r>
            <w:r>
              <w:rPr>
                <w:noProof/>
                <w:webHidden/>
              </w:rPr>
              <w:t>19</w:t>
            </w:r>
            <w:r>
              <w:rPr>
                <w:noProof/>
                <w:webHidden/>
              </w:rPr>
              <w:fldChar w:fldCharType="end"/>
            </w:r>
          </w:hyperlink>
        </w:p>
        <w:p w14:paraId="576CF6D1" w14:textId="0BB40C91" w:rsidR="00D64E9F" w:rsidRDefault="00D64E9F">
          <w:pPr>
            <w:pStyle w:val="TOC3"/>
            <w:tabs>
              <w:tab w:val="right" w:leader="dot" w:pos="9350"/>
            </w:tabs>
            <w:rPr>
              <w:rFonts w:cstheme="minorBidi"/>
              <w:noProof/>
              <w:sz w:val="24"/>
            </w:rPr>
          </w:pPr>
          <w:hyperlink w:anchor="_Toc208578237" w:history="1">
            <w:r w:rsidRPr="00E023E2">
              <w:rPr>
                <w:rStyle w:val="Hyperlink"/>
                <w:rFonts w:cs="Arial"/>
                <w:noProof/>
              </w:rPr>
              <w:t>S9. Vaccine effectiveness comparison using dynamic models</w:t>
            </w:r>
            <w:r>
              <w:rPr>
                <w:noProof/>
                <w:webHidden/>
              </w:rPr>
              <w:tab/>
            </w:r>
            <w:r>
              <w:rPr>
                <w:noProof/>
                <w:webHidden/>
              </w:rPr>
              <w:fldChar w:fldCharType="begin"/>
            </w:r>
            <w:r>
              <w:rPr>
                <w:noProof/>
                <w:webHidden/>
              </w:rPr>
              <w:instrText xml:space="preserve"> PAGEREF _Toc208578237 \h </w:instrText>
            </w:r>
            <w:r>
              <w:rPr>
                <w:noProof/>
                <w:webHidden/>
              </w:rPr>
            </w:r>
            <w:r>
              <w:rPr>
                <w:noProof/>
                <w:webHidden/>
              </w:rPr>
              <w:fldChar w:fldCharType="separate"/>
            </w:r>
            <w:r>
              <w:rPr>
                <w:noProof/>
                <w:webHidden/>
              </w:rPr>
              <w:t>24</w:t>
            </w:r>
            <w:r>
              <w:rPr>
                <w:noProof/>
                <w:webHidden/>
              </w:rPr>
              <w:fldChar w:fldCharType="end"/>
            </w:r>
          </w:hyperlink>
        </w:p>
        <w:p w14:paraId="0A45A02C" w14:textId="23E88E6E" w:rsidR="00D64E9F" w:rsidRDefault="00D64E9F">
          <w:pPr>
            <w:pStyle w:val="TOC3"/>
            <w:tabs>
              <w:tab w:val="right" w:leader="dot" w:pos="9350"/>
            </w:tabs>
            <w:rPr>
              <w:rFonts w:cstheme="minorBidi"/>
              <w:noProof/>
              <w:sz w:val="24"/>
            </w:rPr>
          </w:pPr>
          <w:hyperlink w:anchor="_Toc208578238" w:history="1">
            <w:r w:rsidRPr="00E023E2">
              <w:rPr>
                <w:rStyle w:val="Hyperlink"/>
                <w:noProof/>
              </w:rPr>
              <w:t>Figure S5</w:t>
            </w:r>
            <w:r>
              <w:rPr>
                <w:noProof/>
                <w:webHidden/>
              </w:rPr>
              <w:tab/>
            </w:r>
            <w:r>
              <w:rPr>
                <w:noProof/>
                <w:webHidden/>
              </w:rPr>
              <w:fldChar w:fldCharType="begin"/>
            </w:r>
            <w:r>
              <w:rPr>
                <w:noProof/>
                <w:webHidden/>
              </w:rPr>
              <w:instrText xml:space="preserve"> PAGEREF _Toc208578238 \h </w:instrText>
            </w:r>
            <w:r>
              <w:rPr>
                <w:noProof/>
                <w:webHidden/>
              </w:rPr>
            </w:r>
            <w:r>
              <w:rPr>
                <w:noProof/>
                <w:webHidden/>
              </w:rPr>
              <w:fldChar w:fldCharType="separate"/>
            </w:r>
            <w:r>
              <w:rPr>
                <w:noProof/>
                <w:webHidden/>
              </w:rPr>
              <w:t>26</w:t>
            </w:r>
            <w:r>
              <w:rPr>
                <w:noProof/>
                <w:webHidden/>
              </w:rPr>
              <w:fldChar w:fldCharType="end"/>
            </w:r>
          </w:hyperlink>
        </w:p>
        <w:p w14:paraId="2C1E6F35" w14:textId="1EE8624F" w:rsidR="00D64E9F" w:rsidRDefault="00D64E9F">
          <w:pPr>
            <w:pStyle w:val="TOC3"/>
            <w:tabs>
              <w:tab w:val="right" w:leader="dot" w:pos="9350"/>
            </w:tabs>
            <w:rPr>
              <w:rFonts w:cstheme="minorBidi"/>
              <w:noProof/>
              <w:sz w:val="24"/>
            </w:rPr>
          </w:pPr>
          <w:hyperlink w:anchor="_Toc208578239" w:history="1">
            <w:r w:rsidRPr="00E023E2">
              <w:rPr>
                <w:rStyle w:val="Hyperlink"/>
                <w:noProof/>
              </w:rPr>
              <w:t>Figure S6</w:t>
            </w:r>
            <w:r>
              <w:rPr>
                <w:noProof/>
                <w:webHidden/>
              </w:rPr>
              <w:tab/>
            </w:r>
            <w:r>
              <w:rPr>
                <w:noProof/>
                <w:webHidden/>
              </w:rPr>
              <w:fldChar w:fldCharType="begin"/>
            </w:r>
            <w:r>
              <w:rPr>
                <w:noProof/>
                <w:webHidden/>
              </w:rPr>
              <w:instrText xml:space="preserve"> PAGEREF _Toc208578239 \h </w:instrText>
            </w:r>
            <w:r>
              <w:rPr>
                <w:noProof/>
                <w:webHidden/>
              </w:rPr>
            </w:r>
            <w:r>
              <w:rPr>
                <w:noProof/>
                <w:webHidden/>
              </w:rPr>
              <w:fldChar w:fldCharType="separate"/>
            </w:r>
            <w:r>
              <w:rPr>
                <w:noProof/>
                <w:webHidden/>
              </w:rPr>
              <w:t>28</w:t>
            </w:r>
            <w:r>
              <w:rPr>
                <w:noProof/>
                <w:webHidden/>
              </w:rPr>
              <w:fldChar w:fldCharType="end"/>
            </w:r>
          </w:hyperlink>
        </w:p>
        <w:p w14:paraId="269D1913" w14:textId="0CFA84FC" w:rsidR="00D64E9F" w:rsidRDefault="00D64E9F">
          <w:pPr>
            <w:pStyle w:val="TOC3"/>
            <w:tabs>
              <w:tab w:val="right" w:leader="dot" w:pos="9350"/>
            </w:tabs>
            <w:rPr>
              <w:rFonts w:cstheme="minorBidi"/>
              <w:noProof/>
              <w:sz w:val="24"/>
            </w:rPr>
          </w:pPr>
          <w:hyperlink w:anchor="_Toc208578240" w:history="1">
            <w:r w:rsidRPr="00E023E2">
              <w:rPr>
                <w:rStyle w:val="Hyperlink"/>
                <w:noProof/>
              </w:rPr>
              <w:t>Figure S7</w:t>
            </w:r>
            <w:r>
              <w:rPr>
                <w:noProof/>
                <w:webHidden/>
              </w:rPr>
              <w:tab/>
            </w:r>
            <w:r>
              <w:rPr>
                <w:noProof/>
                <w:webHidden/>
              </w:rPr>
              <w:fldChar w:fldCharType="begin"/>
            </w:r>
            <w:r>
              <w:rPr>
                <w:noProof/>
                <w:webHidden/>
              </w:rPr>
              <w:instrText xml:space="preserve"> PAGEREF _Toc208578240 \h </w:instrText>
            </w:r>
            <w:r>
              <w:rPr>
                <w:noProof/>
                <w:webHidden/>
              </w:rPr>
            </w:r>
            <w:r>
              <w:rPr>
                <w:noProof/>
                <w:webHidden/>
              </w:rPr>
              <w:fldChar w:fldCharType="separate"/>
            </w:r>
            <w:r>
              <w:rPr>
                <w:noProof/>
                <w:webHidden/>
              </w:rPr>
              <w:t>29</w:t>
            </w:r>
            <w:r>
              <w:rPr>
                <w:noProof/>
                <w:webHidden/>
              </w:rPr>
              <w:fldChar w:fldCharType="end"/>
            </w:r>
          </w:hyperlink>
        </w:p>
        <w:p w14:paraId="73D7B90D" w14:textId="1B634925" w:rsidR="00D64E9F" w:rsidRDefault="00D64E9F">
          <w:pPr>
            <w:pStyle w:val="TOC3"/>
            <w:tabs>
              <w:tab w:val="right" w:leader="dot" w:pos="9350"/>
            </w:tabs>
            <w:rPr>
              <w:rFonts w:cstheme="minorBidi"/>
              <w:noProof/>
              <w:sz w:val="24"/>
            </w:rPr>
          </w:pPr>
          <w:hyperlink w:anchor="_Toc208578241" w:history="1">
            <w:r w:rsidRPr="00E023E2">
              <w:rPr>
                <w:rStyle w:val="Hyperlink"/>
                <w:noProof/>
              </w:rPr>
              <w:t>Table S4</w:t>
            </w:r>
            <w:r>
              <w:rPr>
                <w:noProof/>
                <w:webHidden/>
              </w:rPr>
              <w:tab/>
            </w:r>
            <w:r>
              <w:rPr>
                <w:noProof/>
                <w:webHidden/>
              </w:rPr>
              <w:fldChar w:fldCharType="begin"/>
            </w:r>
            <w:r>
              <w:rPr>
                <w:noProof/>
                <w:webHidden/>
              </w:rPr>
              <w:instrText xml:space="preserve"> PAGEREF _Toc208578241 \h </w:instrText>
            </w:r>
            <w:r>
              <w:rPr>
                <w:noProof/>
                <w:webHidden/>
              </w:rPr>
            </w:r>
            <w:r>
              <w:rPr>
                <w:noProof/>
                <w:webHidden/>
              </w:rPr>
              <w:fldChar w:fldCharType="separate"/>
            </w:r>
            <w:r>
              <w:rPr>
                <w:noProof/>
                <w:webHidden/>
              </w:rPr>
              <w:t>31</w:t>
            </w:r>
            <w:r>
              <w:rPr>
                <w:noProof/>
                <w:webHidden/>
              </w:rPr>
              <w:fldChar w:fldCharType="end"/>
            </w:r>
          </w:hyperlink>
        </w:p>
        <w:p w14:paraId="35E32F0B" w14:textId="6E534F36" w:rsidR="00D64E9F" w:rsidRDefault="00D64E9F">
          <w:pPr>
            <w:pStyle w:val="TOC3"/>
            <w:tabs>
              <w:tab w:val="right" w:leader="dot" w:pos="9350"/>
            </w:tabs>
            <w:rPr>
              <w:rFonts w:cstheme="minorBidi"/>
              <w:noProof/>
              <w:sz w:val="24"/>
            </w:rPr>
          </w:pPr>
          <w:hyperlink w:anchor="_Toc208578242" w:history="1">
            <w:r w:rsidRPr="00E023E2">
              <w:rPr>
                <w:rStyle w:val="Hyperlink"/>
                <w:noProof/>
              </w:rPr>
              <w:t>References</w:t>
            </w:r>
            <w:r>
              <w:rPr>
                <w:noProof/>
                <w:webHidden/>
              </w:rPr>
              <w:tab/>
            </w:r>
            <w:r>
              <w:rPr>
                <w:noProof/>
                <w:webHidden/>
              </w:rPr>
              <w:fldChar w:fldCharType="begin"/>
            </w:r>
            <w:r>
              <w:rPr>
                <w:noProof/>
                <w:webHidden/>
              </w:rPr>
              <w:instrText xml:space="preserve"> PAGEREF _Toc208578242 \h </w:instrText>
            </w:r>
            <w:r>
              <w:rPr>
                <w:noProof/>
                <w:webHidden/>
              </w:rPr>
            </w:r>
            <w:r>
              <w:rPr>
                <w:noProof/>
                <w:webHidden/>
              </w:rPr>
              <w:fldChar w:fldCharType="separate"/>
            </w:r>
            <w:r>
              <w:rPr>
                <w:noProof/>
                <w:webHidden/>
              </w:rPr>
              <w:t>33</w:t>
            </w:r>
            <w:r>
              <w:rPr>
                <w:noProof/>
                <w:webHidden/>
              </w:rPr>
              <w:fldChar w:fldCharType="end"/>
            </w:r>
          </w:hyperlink>
        </w:p>
        <w:p w14:paraId="4C7DAE3A" w14:textId="679094A2" w:rsidR="00A06BBC" w:rsidRPr="00A436ED" w:rsidRDefault="00A06BBC">
          <w:r w:rsidRPr="00A436ED">
            <w:rPr>
              <w:b/>
              <w:bCs/>
              <w:noProof/>
            </w:rPr>
            <w:fldChar w:fldCharType="end"/>
          </w:r>
        </w:p>
      </w:sdtContent>
    </w:sdt>
    <w:p w14:paraId="572C4EE5" w14:textId="77777777" w:rsidR="00C80650" w:rsidRPr="00A436ED" w:rsidRDefault="00C80650" w:rsidP="00DC1E36"/>
    <w:p w14:paraId="573F2711" w14:textId="77777777" w:rsidR="00C80650" w:rsidRPr="00A436ED" w:rsidRDefault="00C80650" w:rsidP="00DC1E36"/>
    <w:p w14:paraId="37B96599" w14:textId="77777777" w:rsidR="00235FE9" w:rsidRDefault="00235FE9" w:rsidP="00235FE9"/>
    <w:p w14:paraId="5581FC6B" w14:textId="77777777" w:rsidR="00A16B1B" w:rsidRDefault="00A16B1B" w:rsidP="00235FE9"/>
    <w:p w14:paraId="3578CAD6" w14:textId="77777777" w:rsidR="00A16B1B" w:rsidRDefault="00A16B1B" w:rsidP="00235FE9"/>
    <w:p w14:paraId="0B7F3AB6" w14:textId="77777777" w:rsidR="00A16B1B" w:rsidRPr="00A436ED" w:rsidRDefault="00A16B1B" w:rsidP="00235FE9"/>
    <w:p w14:paraId="3F2F96C8" w14:textId="77777777" w:rsidR="00235FE9" w:rsidRPr="00A436ED" w:rsidRDefault="00235FE9" w:rsidP="00235FE9"/>
    <w:p w14:paraId="52945FAD" w14:textId="4CB861F6" w:rsidR="00A77F8C" w:rsidRPr="00A436ED" w:rsidRDefault="00A77F8C" w:rsidP="00A77F8C">
      <w:pPr>
        <w:pStyle w:val="Heading3"/>
        <w:rPr>
          <w:rFonts w:cs="Arial"/>
          <w:color w:val="auto"/>
        </w:rPr>
      </w:pPr>
      <w:bookmarkStart w:id="0" w:name="_Toc184911564"/>
      <w:bookmarkStart w:id="1" w:name="_Toc184920089"/>
      <w:bookmarkStart w:id="2" w:name="_Toc208578222"/>
      <w:r w:rsidRPr="00A436ED">
        <w:rPr>
          <w:rFonts w:cs="Arial"/>
          <w:color w:val="auto"/>
        </w:rPr>
        <w:lastRenderedPageBreak/>
        <w:t>S1. Vaccine impact</w:t>
      </w:r>
      <w:bookmarkEnd w:id="0"/>
      <w:bookmarkEnd w:id="1"/>
      <w:bookmarkEnd w:id="2"/>
    </w:p>
    <w:p w14:paraId="21275710" w14:textId="4837B338" w:rsidR="00A77F8C" w:rsidRPr="00A436ED" w:rsidRDefault="00A77F8C" w:rsidP="007365B1">
      <w:pPr>
        <w:rPr>
          <w:iCs/>
        </w:rPr>
      </w:pPr>
      <w:r w:rsidRPr="00A436ED">
        <w:t>Following the notations used in the previous study,</w:t>
      </w:r>
      <w:r w:rsidRPr="00A436ED">
        <w:fldChar w:fldCharType="begin"/>
      </w:r>
      <w:r w:rsidR="00CF4F91">
        <w:instrText xml:space="preserve"> ADDIN ZOTERO_ITEM CSL_CITATION {"citationID":"IEmd3QvV","properties":{"formattedCitation":"\\super 1\\nosupersub{}","plainCitation":"1","noteIndex":0},"citationItems":[{"id":7130,"uris":["http://zotero.org/users/7663102/items/6A9TXNJW"],"itemData":{"id":7130,"type":"article-journal","abstract":"In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Pr="00A436ED">
        <w:fldChar w:fldCharType="separate"/>
      </w:r>
      <w:r w:rsidR="002818F5" w:rsidRPr="00A436ED">
        <w:rPr>
          <w:kern w:val="0"/>
          <w:vertAlign w:val="superscript"/>
        </w:rPr>
        <w:t>1</w:t>
      </w:r>
      <w:r w:rsidRPr="00A436ED">
        <w:fldChar w:fldCharType="end"/>
      </w:r>
      <w:r w:rsidRPr="00A436ED">
        <w:t xml:space="preserve"> we define population </w:t>
      </w:r>
      <m:oMath>
        <m:r>
          <w:rPr>
            <w:rFonts w:ascii="Cambria Math" w:hAnsi="Cambria Math"/>
          </w:rPr>
          <m:t>A</m:t>
        </m:r>
      </m:oMath>
      <w:r w:rsidRPr="00A436ED">
        <w:t xml:space="preserve">, in which a fraction, </w:t>
      </w:r>
      <m:oMath>
        <m:r>
          <w:rPr>
            <w:rFonts w:ascii="Cambria Math" w:hAnsi="Cambria Math"/>
          </w:rPr>
          <m:t>π</m:t>
        </m:r>
      </m:oMath>
      <w:r w:rsidRPr="00A436ED">
        <w:t xml:space="preserve">, of the population is vaccinated and the rest, </w:t>
      </w:r>
      <m:oMath>
        <m:r>
          <w:rPr>
            <w:rFonts w:ascii="Cambria Math" w:hAnsi="Cambria Math"/>
          </w:rPr>
          <m:t>1-π</m:t>
        </m:r>
      </m:oMath>
      <w:r w:rsidR="009929A1">
        <w:rPr>
          <w:rFonts w:hint="eastAsia"/>
        </w:rPr>
        <w:t>,</w:t>
      </w:r>
      <w:r w:rsidRPr="00A436ED">
        <w:t xml:space="preserve"> of the population remains unvaccinated. We define another population, </w:t>
      </w:r>
      <m:oMath>
        <m:r>
          <w:rPr>
            <w:rFonts w:ascii="Cambria Math" w:hAnsi="Cambria Math"/>
          </w:rPr>
          <m:t>B</m:t>
        </m:r>
      </m:oMath>
      <w:r w:rsidRPr="00A436ED">
        <w:t xml:space="preserve">, in which no one was vaccinated. Let </w:t>
      </w:r>
      <m:oMath>
        <m:sSub>
          <m:sSubPr>
            <m:ctrlPr>
              <w:rPr>
                <w:rFonts w:ascii="Cambria Math" w:hAnsi="Cambria Math"/>
                <w:i/>
              </w:rPr>
            </m:ctrlPr>
          </m:sSubPr>
          <m:e>
            <m:r>
              <w:rPr>
                <w:rFonts w:ascii="Cambria Math" w:hAnsi="Cambria Math"/>
              </w:rPr>
              <m:t>C</m:t>
            </m:r>
          </m:e>
          <m:sub>
            <m:r>
              <w:rPr>
                <w:rFonts w:ascii="Cambria Math" w:hAnsi="Cambria Math"/>
              </w:rPr>
              <m:t>A0</m:t>
            </m:r>
          </m:sub>
        </m:sSub>
      </m:oMath>
      <w:r w:rsidRPr="00A436ED">
        <w:t xml:space="preserve"> and </w:t>
      </w:r>
      <m:oMath>
        <m:sSub>
          <m:sSubPr>
            <m:ctrlPr>
              <w:rPr>
                <w:rFonts w:ascii="Cambria Math" w:hAnsi="Cambria Math"/>
                <w:i/>
              </w:rPr>
            </m:ctrlPr>
          </m:sSubPr>
          <m:e>
            <m:r>
              <w:rPr>
                <w:rFonts w:ascii="Cambria Math" w:hAnsi="Cambria Math"/>
              </w:rPr>
              <m:t>C</m:t>
            </m:r>
          </m:e>
          <m:sub>
            <m:r>
              <w:rPr>
                <w:rFonts w:ascii="Cambria Math" w:hAnsi="Cambria Math"/>
              </w:rPr>
              <m:t>A1</m:t>
            </m:r>
          </m:sub>
        </m:sSub>
      </m:oMath>
      <w:r w:rsidRPr="00A436ED">
        <w:t xml:space="preserve"> denote cumulative incidence in the unvaccinated and vaccinated individuals of population </w:t>
      </w:r>
      <m:oMath>
        <m:r>
          <w:rPr>
            <w:rFonts w:ascii="Cambria Math" w:hAnsi="Cambria Math"/>
          </w:rPr>
          <m:t>A</m:t>
        </m:r>
      </m:oMath>
      <w:r w:rsidRPr="00A436ED">
        <w:t>. Similarly, let</w:t>
      </w:r>
      <w:r w:rsidRPr="00A436ED">
        <w:rPr>
          <w:i/>
        </w:rPr>
        <w:t xml:space="preserve"> </w:t>
      </w:r>
      <m:oMath>
        <m:sSub>
          <m:sSubPr>
            <m:ctrlPr>
              <w:rPr>
                <w:rFonts w:ascii="Cambria Math" w:hAnsi="Cambria Math"/>
                <w:i/>
              </w:rPr>
            </m:ctrlPr>
          </m:sSubPr>
          <m:e>
            <m:r>
              <w:rPr>
                <w:rFonts w:ascii="Cambria Math" w:hAnsi="Cambria Math"/>
              </w:rPr>
              <m:t>C</m:t>
            </m:r>
          </m:e>
          <m:sub>
            <m:r>
              <w:rPr>
                <w:rFonts w:ascii="Cambria Math" w:hAnsi="Cambria Math"/>
              </w:rPr>
              <m:t>B0</m:t>
            </m:r>
          </m:sub>
        </m:sSub>
      </m:oMath>
      <w:r w:rsidRPr="00A436ED">
        <w:t xml:space="preserve"> denote cumulative incidence in population </w:t>
      </w:r>
      <m:oMath>
        <m:r>
          <w:rPr>
            <w:rFonts w:ascii="Cambria Math" w:hAnsi="Cambria Math"/>
          </w:rPr>
          <m:t>B</m:t>
        </m:r>
      </m:oMath>
      <w:r w:rsidRPr="00A436ED">
        <w:t>. Four measures of vaccine effectiveness—direct (</w:t>
      </w:r>
      <m:oMath>
        <m:r>
          <m:rPr>
            <m:sty m:val="p"/>
          </m:rPr>
          <w:rPr>
            <w:rFonts w:ascii="Cambria Math" w:hAnsi="Cambria Math"/>
          </w:rPr>
          <m:t xml:space="preserve">DVE), </m:t>
        </m:r>
      </m:oMath>
      <w:r w:rsidRPr="00A436ED">
        <w:rPr>
          <w:iCs/>
        </w:rPr>
        <w:t>indirect (</w:t>
      </w:r>
      <m:oMath>
        <m:r>
          <m:rPr>
            <m:sty m:val="p"/>
          </m:rPr>
          <w:rPr>
            <w:rFonts w:ascii="Cambria Math" w:hAnsi="Cambria Math"/>
          </w:rPr>
          <m:t>IVE</m:t>
        </m:r>
      </m:oMath>
      <w:r w:rsidRPr="00A436ED">
        <w:rPr>
          <w:iCs/>
        </w:rPr>
        <w:t>), total (</w:t>
      </w:r>
      <m:oMath>
        <m:r>
          <m:rPr>
            <m:sty m:val="p"/>
          </m:rPr>
          <w:rPr>
            <w:rFonts w:ascii="Cambria Math" w:hAnsi="Cambria Math"/>
          </w:rPr>
          <m:t>TVE</m:t>
        </m:r>
      </m:oMath>
      <w:r w:rsidRPr="00A436ED">
        <w:rPr>
          <w:iCs/>
        </w:rPr>
        <w:t>), and overall (</w:t>
      </w:r>
      <m:oMath>
        <m:r>
          <m:rPr>
            <m:sty m:val="p"/>
          </m:rPr>
          <w:rPr>
            <w:rFonts w:ascii="Cambria Math" w:hAnsi="Cambria Math"/>
          </w:rPr>
          <m:t>OVE)</m:t>
        </m:r>
      </m:oMath>
      <w:r w:rsidRPr="00A436ED">
        <w:rPr>
          <w:iCs/>
        </w:rPr>
        <w:t>—can be defined as follows:</w:t>
      </w:r>
    </w:p>
    <w:p w14:paraId="7D43CF7C" w14:textId="77777777" w:rsidR="00A77F8C" w:rsidRPr="00A436ED" w:rsidRDefault="00A77F8C" w:rsidP="00A77F8C">
      <w:pPr>
        <w:rPr>
          <w:rFonts w:ascii="Arial" w:hAnsi="Arial" w:cs="Arial"/>
        </w:rPr>
      </w:pPr>
      <m:oMathPara>
        <m:oMath>
          <m:r>
            <m:rPr>
              <m:sty m:val="p"/>
            </m:rPr>
            <w:rPr>
              <w:rFonts w:ascii="Cambria Math" w:hAnsi="Cambria Math" w:cs="Arial"/>
            </w:rPr>
            <m:t>DVE=1-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0</m:t>
                  </m:r>
                </m:sub>
              </m:sSub>
            </m:den>
          </m:f>
          <m:r>
            <m:rPr>
              <m:sty m:val="p"/>
            </m:rPr>
            <w:rPr>
              <w:rFonts w:ascii="Cambria Math" w:hAnsi="Cambria Math" w:cs="Arial"/>
            </w:rPr>
            <m:t>, IVE=1-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0</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 TVE=1-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 OVE=1-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πC</m:t>
                  </m:r>
                </m:e>
                <m:sub>
                  <m:r>
                    <w:rPr>
                      <w:rFonts w:ascii="Cambria Math" w:hAnsi="Cambria Math" w:cs="Arial"/>
                    </w:rPr>
                    <m:t>A</m:t>
                  </m:r>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d>
                    <m:dPr>
                      <m:ctrlPr>
                        <w:rPr>
                          <w:rFonts w:ascii="Cambria Math" w:hAnsi="Cambria Math" w:cs="Arial"/>
                        </w:rPr>
                      </m:ctrlPr>
                    </m:dPr>
                    <m:e>
                      <m:r>
                        <m:rPr>
                          <m:sty m:val="p"/>
                        </m:rPr>
                        <w:rPr>
                          <w:rFonts w:ascii="Cambria Math" w:hAnsi="Cambria Math" w:cs="Arial"/>
                        </w:rPr>
                        <m:t>1-</m:t>
                      </m:r>
                      <m:r>
                        <w:rPr>
                          <w:rFonts w:ascii="Cambria Math" w:hAnsi="Cambria Math" w:cs="Arial"/>
                        </w:rPr>
                        <m:t>π</m:t>
                      </m:r>
                    </m:e>
                  </m:d>
                  <m:r>
                    <w:rPr>
                      <w:rFonts w:ascii="Cambria Math" w:hAnsi="Cambria Math" w:cs="Arial"/>
                    </w:rPr>
                    <m:t>C</m:t>
                  </m:r>
                </m:e>
                <m:sub>
                  <m:r>
                    <w:rPr>
                      <w:rFonts w:ascii="Cambria Math" w:hAnsi="Cambria Math" w:cs="Arial"/>
                    </w:rPr>
                    <m:t>A</m:t>
                  </m:r>
                  <m:r>
                    <m:rPr>
                      <m:sty m:val="p"/>
                    </m:rPr>
                    <w:rPr>
                      <w:rFonts w:ascii="Cambria Math" w:hAnsi="Cambria Math" w:cs="Arial"/>
                    </w:rPr>
                    <m:t>0</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m:t>
          </m:r>
        </m:oMath>
      </m:oMathPara>
    </w:p>
    <w:p w14:paraId="2D7BBD9C" w14:textId="77777777" w:rsidR="00A77F8C" w:rsidRPr="00336DC5" w:rsidRDefault="00A77F8C" w:rsidP="00A77F8C">
      <w:pPr>
        <w:rPr>
          <w:rFonts w:ascii="Aptos" w:hAnsi="Aptos" w:cs="Arial"/>
        </w:rPr>
      </w:pPr>
      <w:r w:rsidRPr="00336DC5">
        <w:rPr>
          <w:rFonts w:ascii="Aptos" w:hAnsi="Aptos" w:cs="Arial"/>
        </w:rPr>
        <w:t>We see that the following relationships hold true.</w:t>
      </w:r>
    </w:p>
    <w:p w14:paraId="7F25E35C" w14:textId="77777777" w:rsidR="00A77F8C" w:rsidRPr="00A436ED" w:rsidRDefault="00A77F8C" w:rsidP="00A77F8C">
      <w:pPr>
        <w:rPr>
          <w:rFonts w:ascii="Arial" w:hAnsi="Arial" w:cs="Arial"/>
        </w:rPr>
      </w:pPr>
      <m:oMathPara>
        <m:oMath>
          <m:r>
            <m:rPr>
              <m:sty m:val="p"/>
            </m:rPr>
            <w:rPr>
              <w:rFonts w:ascii="Cambria Math" w:hAnsi="Cambria Math" w:cs="Arial"/>
            </w:rPr>
            <m:t>OVE=1-</m:t>
          </m:r>
          <m:d>
            <m:dPr>
              <m:begChr m:val="["/>
              <m:endChr m:val="]"/>
              <m:ctrlPr>
                <w:rPr>
                  <w:rFonts w:ascii="Cambria Math" w:hAnsi="Cambria Math" w:cs="Arial"/>
                </w:rPr>
              </m:ctrlPr>
            </m:dPr>
            <m:e>
              <m:r>
                <w:rPr>
                  <w:rFonts w:ascii="Cambria Math" w:hAnsi="Cambria Math" w:cs="Arial"/>
                </w:rPr>
                <m:t>π</m:t>
              </m:r>
              <m:d>
                <m:dPr>
                  <m:ctrlPr>
                    <w:rPr>
                      <w:rFonts w:ascii="Cambria Math" w:hAnsi="Cambria Math" w:cs="Arial"/>
                    </w:rPr>
                  </m:ctrlPr>
                </m:dPr>
                <m:e>
                  <m:r>
                    <m:rPr>
                      <m:sty m:val="p"/>
                    </m:rPr>
                    <w:rPr>
                      <w:rFonts w:ascii="Cambria Math" w:hAnsi="Cambria Math" w:cs="Arial"/>
                    </w:rPr>
                    <m:t>1-TVE</m:t>
                  </m:r>
                </m:e>
              </m:d>
              <m:r>
                <m:rPr>
                  <m:sty m:val="p"/>
                </m:rPr>
                <w:rPr>
                  <w:rFonts w:ascii="Cambria Math" w:hAnsi="Cambria Math" w:cs="Arial"/>
                </w:rPr>
                <m:t>+</m:t>
              </m:r>
              <m:d>
                <m:dPr>
                  <m:ctrlPr>
                    <w:rPr>
                      <w:rFonts w:ascii="Cambria Math" w:hAnsi="Cambria Math" w:cs="Arial"/>
                    </w:rPr>
                  </m:ctrlPr>
                </m:dPr>
                <m:e>
                  <m:r>
                    <m:rPr>
                      <m:sty m:val="p"/>
                    </m:rPr>
                    <w:rPr>
                      <w:rFonts w:ascii="Cambria Math" w:hAnsi="Cambria Math" w:cs="Arial"/>
                    </w:rPr>
                    <m:t>1-</m:t>
                  </m:r>
                  <m:r>
                    <w:rPr>
                      <w:rFonts w:ascii="Cambria Math" w:hAnsi="Cambria Math" w:cs="Arial"/>
                    </w:rPr>
                    <m:t>π</m:t>
                  </m:r>
                </m:e>
              </m:d>
              <m:d>
                <m:dPr>
                  <m:ctrlPr>
                    <w:rPr>
                      <w:rFonts w:ascii="Cambria Math" w:hAnsi="Cambria Math" w:cs="Arial"/>
                    </w:rPr>
                  </m:ctrlPr>
                </m:dPr>
                <m:e>
                  <m:r>
                    <m:rPr>
                      <m:sty m:val="p"/>
                    </m:rPr>
                    <w:rPr>
                      <w:rFonts w:ascii="Cambria Math" w:hAnsi="Cambria Math" w:cs="Arial"/>
                    </w:rPr>
                    <m:t>1-IVE</m:t>
                  </m:r>
                </m:e>
              </m:d>
            </m:e>
          </m:d>
          <m:r>
            <m:rPr>
              <m:sty m:val="p"/>
            </m:rPr>
            <w:rPr>
              <w:rFonts w:ascii="Cambria Math" w:hAnsi="Cambria Math" w:cs="Arial"/>
            </w:rPr>
            <m:t>,</m:t>
          </m:r>
        </m:oMath>
      </m:oMathPara>
    </w:p>
    <w:p w14:paraId="6B902A85" w14:textId="77777777" w:rsidR="00A77F8C" w:rsidRPr="00A436ED" w:rsidRDefault="00A77F8C" w:rsidP="00A77F8C">
      <w:pPr>
        <w:rPr>
          <w:rFonts w:ascii="Arial" w:hAnsi="Arial" w:cs="Arial"/>
        </w:rPr>
      </w:pPr>
      <m:oMathPara>
        <m:oMath>
          <m:r>
            <m:rPr>
              <m:sty m:val="p"/>
            </m:rPr>
            <w:rPr>
              <w:rFonts w:ascii="Cambria Math" w:hAnsi="Cambria Math" w:cs="Arial"/>
            </w:rPr>
            <m:t>TVE=1-</m:t>
          </m:r>
          <m:d>
            <m:dPr>
              <m:ctrlPr>
                <w:rPr>
                  <w:rFonts w:ascii="Cambria Math" w:hAnsi="Cambria Math" w:cs="Arial"/>
                </w:rPr>
              </m:ctrlPr>
            </m:dPr>
            <m:e>
              <m:r>
                <m:rPr>
                  <m:sty m:val="p"/>
                </m:rPr>
                <w:rPr>
                  <w:rFonts w:ascii="Cambria Math" w:hAnsi="Cambria Math" w:cs="Arial"/>
                </w:rPr>
                <m:t>1-DVE</m:t>
              </m:r>
            </m:e>
          </m:d>
          <m:d>
            <m:dPr>
              <m:ctrlPr>
                <w:rPr>
                  <w:rFonts w:ascii="Cambria Math" w:hAnsi="Cambria Math" w:cs="Arial"/>
                </w:rPr>
              </m:ctrlPr>
            </m:dPr>
            <m:e>
              <m:r>
                <m:rPr>
                  <m:sty m:val="p"/>
                </m:rPr>
                <w:rPr>
                  <w:rFonts w:ascii="Cambria Math" w:hAnsi="Cambria Math" w:cs="Arial"/>
                </w:rPr>
                <m:t>1-IVE</m:t>
              </m:r>
            </m:e>
          </m:d>
          <m:r>
            <m:rPr>
              <m:sty m:val="p"/>
            </m:rPr>
            <w:rPr>
              <w:rFonts w:ascii="Cambria Math" w:hAnsi="Cambria Math" w:cs="Arial"/>
            </w:rPr>
            <m:t>,</m:t>
          </m:r>
        </m:oMath>
      </m:oMathPara>
    </w:p>
    <w:p w14:paraId="14BC11F3" w14:textId="2C66259A" w:rsidR="00A77F8C" w:rsidRPr="00336DC5" w:rsidRDefault="00336DC5" w:rsidP="00A77F8C">
      <w:pPr>
        <w:rPr>
          <w:rFonts w:cs="Arial"/>
        </w:rPr>
      </w:pPr>
      <w:r>
        <w:rPr>
          <w:rFonts w:cs="Arial" w:hint="eastAsia"/>
        </w:rPr>
        <w:t>T</w:t>
      </w:r>
      <w:r w:rsidR="00A77F8C" w:rsidRPr="00336DC5">
        <w:rPr>
          <w:rFonts w:cs="Arial"/>
        </w:rPr>
        <w:t>he impact of vaccine was modeled based on the definition of overall effectiveness, given the direct and indirect vaccine effectiveness, of which estimates are available. Following the notions based on the study,</w:t>
      </w:r>
      <w:r w:rsidR="00A77F8C" w:rsidRPr="00336DC5">
        <w:rPr>
          <w:rFonts w:cs="Arial"/>
        </w:rPr>
        <w:fldChar w:fldCharType="begin"/>
      </w:r>
      <w:r w:rsidR="00CF4F91" w:rsidRPr="00336DC5">
        <w:rPr>
          <w:rFonts w:cs="Arial"/>
        </w:rPr>
        <w:instrText xml:space="preserve"> ADDIN ZOTERO_ITEM CSL_CITATION {"citationID":"goEMGeZS","properties":{"formattedCitation":"\\super 1\\nosupersub{}","plainCitation":"1","noteIndex":0},"citationItems":[{"id":7130,"uris":["http://zotero.org/users/7663102/items/6A9TXNJW"],"itemData":{"id":7130,"type":"article-journal","abstract":"In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00A77F8C" w:rsidRPr="00336DC5">
        <w:rPr>
          <w:rFonts w:cs="Arial"/>
        </w:rPr>
        <w:fldChar w:fldCharType="separate"/>
      </w:r>
      <w:r w:rsidR="002818F5" w:rsidRPr="00336DC5">
        <w:rPr>
          <w:rFonts w:cs="Arial"/>
          <w:kern w:val="0"/>
          <w:vertAlign w:val="superscript"/>
        </w:rPr>
        <w:t>1</w:t>
      </w:r>
      <w:r w:rsidR="00A77F8C" w:rsidRPr="00336DC5">
        <w:rPr>
          <w:rFonts w:cs="Arial"/>
        </w:rPr>
        <w:fldChar w:fldCharType="end"/>
      </w:r>
      <w:r w:rsidR="00A77F8C" w:rsidRPr="00336DC5">
        <w:rPr>
          <w:rFonts w:cs="Arial"/>
        </w:rPr>
        <w:t xml:space="preserve"> the cumulative incidence, </w:t>
      </w:r>
      <m:oMath>
        <m:sSubSup>
          <m:sSubSupPr>
            <m:ctrlPr>
              <w:rPr>
                <w:rFonts w:ascii="Cambria Math" w:hAnsi="Cambria Math" w:cs="Arial"/>
                <w:i/>
              </w:rPr>
            </m:ctrlPr>
          </m:sSubSupPr>
          <m:e>
            <m:r>
              <w:rPr>
                <w:rFonts w:ascii="Cambria Math" w:hAnsi="Cambria Math" w:cs="Arial"/>
              </w:rPr>
              <m:t>C</m:t>
            </m:r>
          </m:e>
          <m:sub>
            <m:r>
              <w:rPr>
                <w:rFonts w:ascii="Cambria Math" w:hAnsi="Cambria Math" w:cs="Arial"/>
              </w:rPr>
              <m:t xml:space="preserve">i,π </m:t>
            </m:r>
          </m:sub>
          <m:sup>
            <m:r>
              <w:rPr>
                <w:rFonts w:ascii="Cambria Math" w:hAnsi="Cambria Math" w:cs="Arial"/>
              </w:rPr>
              <m:t>'</m:t>
            </m:r>
          </m:sup>
        </m:sSubSup>
      </m:oMath>
      <w:r w:rsidR="00A77F8C" w:rsidRPr="00336DC5">
        <w:rPr>
          <w:rFonts w:cs="Arial"/>
        </w:rPr>
        <w:t xml:space="preserve">, for age group </w:t>
      </w:r>
      <m:oMath>
        <m:r>
          <w:rPr>
            <w:rFonts w:ascii="Cambria Math" w:hAnsi="Cambria Math" w:cs="Arial"/>
          </w:rPr>
          <m:t>i</m:t>
        </m:r>
      </m:oMath>
      <w:r w:rsidR="00A77F8C" w:rsidRPr="00336DC5">
        <w:rPr>
          <w:rFonts w:cs="Arial"/>
        </w:rPr>
        <w:t xml:space="preserve"> in a population in which a proportion, </w:t>
      </w:r>
      <m:oMath>
        <m:r>
          <w:rPr>
            <w:rFonts w:ascii="Cambria Math" w:hAnsi="Cambria Math" w:cs="Arial"/>
          </w:rPr>
          <m:t>π</m:t>
        </m:r>
      </m:oMath>
      <w:r w:rsidR="00A77F8C" w:rsidRPr="00336DC5">
        <w:rPr>
          <w:rFonts w:cs="Arial"/>
        </w:rPr>
        <w:t>, of population was vaccinated can be defined as follows:</w:t>
      </w:r>
    </w:p>
    <w:bookmarkStart w:id="3" w:name="_Hlk171429672"/>
    <w:p w14:paraId="0E0964D5" w14:textId="77777777" w:rsidR="00A77F8C" w:rsidRPr="00A436ED" w:rsidRDefault="00000000" w:rsidP="00A77F8C">
      <w:pPr>
        <w:rPr>
          <w:rFonts w:ascii="Arial" w:hAnsi="Arial" w:cs="Arial"/>
        </w:rPr>
      </w:pPr>
      <m:oMathPara>
        <m:oMath>
          <m:sSubSup>
            <m:sSubSupPr>
              <m:ctrlPr>
                <w:rPr>
                  <w:rFonts w:ascii="Cambria Math" w:hAnsi="Cambria Math" w:cs="Arial"/>
                </w:rPr>
              </m:ctrlPr>
            </m:sSubSupPr>
            <m:e>
              <m:r>
                <w:rPr>
                  <w:rFonts w:ascii="Cambria Math" w:hAnsi="Cambria Math" w:cs="Arial"/>
                </w:rPr>
                <m:t>C</m:t>
              </m:r>
            </m:e>
            <m:sub>
              <m:r>
                <w:rPr>
                  <w:rFonts w:ascii="Cambria Math" w:hAnsi="Cambria Math" w:cs="Arial"/>
                </w:rPr>
                <m:t>i</m:t>
              </m:r>
              <m:r>
                <m:rPr>
                  <m:sty m:val="p"/>
                </m:rPr>
                <w:rPr>
                  <w:rFonts w:ascii="Cambria Math" w:hAnsi="Cambria Math" w:cs="Arial"/>
                </w:rPr>
                <m:t xml:space="preserve">, </m:t>
              </m:r>
              <m:r>
                <w:rPr>
                  <w:rFonts w:ascii="Cambria Math" w:hAnsi="Cambria Math" w:cs="Arial"/>
                </w:rPr>
                <m:t>π</m:t>
              </m:r>
            </m:sub>
            <m:sup>
              <m:r>
                <m:rPr>
                  <m:sty m:val="p"/>
                </m:rPr>
                <w:rPr>
                  <w:rFonts w:ascii="Cambria Math" w:hAnsi="Cambria Math" w:cs="Arial"/>
                </w:rPr>
                <m:t>'</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r>
            <m:rPr>
              <m:sty m:val="p"/>
            </m:rPr>
            <w:rPr>
              <w:rFonts w:ascii="Cambria Math" w:hAnsi="Cambria Math" w:cs="Arial"/>
            </w:rPr>
            <m:t>(1-OVE)</m:t>
          </m:r>
          <w:bookmarkEnd w:id="3"/>
          <m:r>
            <m:rPr>
              <m:sty m:val="p"/>
            </m:rPr>
            <w:rPr>
              <w:rFonts w:ascii="Cambria Math" w:hAnsi="Cambria Math" w:cs="Arial"/>
            </w:rPr>
            <m:t>.</m:t>
          </m:r>
        </m:oMath>
      </m:oMathPara>
    </w:p>
    <w:p w14:paraId="196DF2C8" w14:textId="0B2D6A28" w:rsidR="00A77F8C" w:rsidRPr="00336DC5" w:rsidRDefault="00A77F8C" w:rsidP="007365B1">
      <w:pPr>
        <w:rPr>
          <w:rFonts w:ascii="Aptos" w:hAnsi="Aptos"/>
        </w:rPr>
      </w:pPr>
      <w:r w:rsidRPr="00336DC5">
        <w:rPr>
          <w:rFonts w:ascii="Aptos" w:hAnsi="Aptos"/>
        </w:rPr>
        <w:t xml:space="preserve">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336DC5">
        <w:rPr>
          <w:rFonts w:ascii="Aptos" w:hAnsi="Aptos"/>
        </w:rPr>
        <w:t>, represents the incidence</w:t>
      </w:r>
      <w:r w:rsidR="00C35E2B" w:rsidRPr="00336DC5">
        <w:rPr>
          <w:rFonts w:ascii="Aptos" w:hAnsi="Aptos"/>
        </w:rPr>
        <w:t xml:space="preserve"> in the population</w:t>
      </w:r>
      <w:r w:rsidRPr="00336DC5">
        <w:rPr>
          <w:rFonts w:ascii="Aptos" w:hAnsi="Aptos"/>
        </w:rPr>
        <w:t xml:space="preserve"> </w:t>
      </w:r>
      <w:r w:rsidR="00C35E2B" w:rsidRPr="00336DC5">
        <w:rPr>
          <w:rFonts w:ascii="Aptos" w:hAnsi="Aptos"/>
        </w:rPr>
        <w:t>without</w:t>
      </w:r>
      <w:r w:rsidRPr="00336DC5">
        <w:rPr>
          <w:rFonts w:ascii="Aptos" w:hAnsi="Aptos"/>
        </w:rPr>
        <w:t xml:space="preserve"> vaccines. We replace </w:t>
      </w:r>
      <m:oMath>
        <m:r>
          <m:rPr>
            <m:sty m:val="p"/>
          </m:rPr>
          <w:rPr>
            <w:rFonts w:ascii="Cambria Math" w:hAnsi="Cambria Math"/>
          </w:rPr>
          <m:t>OVE</m:t>
        </m:r>
      </m:oMath>
      <w:r w:rsidRPr="00336DC5">
        <w:rPr>
          <w:rFonts w:ascii="Aptos" w:hAnsi="Aptos"/>
        </w:rPr>
        <w:t xml:space="preserve"> in the equation using the </w:t>
      </w:r>
      <m:oMath>
        <m:r>
          <m:rPr>
            <m:sty m:val="p"/>
          </m:rPr>
          <w:rPr>
            <w:rFonts w:ascii="Cambria Math" w:hAnsi="Cambria Math"/>
          </w:rPr>
          <m:t>DVE</m:t>
        </m:r>
      </m:oMath>
      <w:r w:rsidRPr="00336DC5">
        <w:rPr>
          <w:rFonts w:ascii="Aptos" w:hAnsi="Aptos"/>
        </w:rPr>
        <w:t xml:space="preserve"> and </w:t>
      </w:r>
      <m:oMath>
        <m:r>
          <m:rPr>
            <m:sty m:val="p"/>
          </m:rPr>
          <w:rPr>
            <w:rFonts w:ascii="Cambria Math" w:hAnsi="Cambria Math"/>
          </w:rPr>
          <m:t>IVE</m:t>
        </m:r>
      </m:oMath>
      <w:r w:rsidRPr="00336DC5">
        <w:rPr>
          <w:rFonts w:ascii="Aptos" w:hAnsi="Aptos"/>
        </w:rPr>
        <w:t xml:space="preserve">, for which estimates are </w:t>
      </w:r>
      <w:proofErr w:type="gramStart"/>
      <w:r w:rsidRPr="00336DC5">
        <w:rPr>
          <w:rFonts w:ascii="Aptos" w:hAnsi="Aptos"/>
        </w:rPr>
        <w:t>available,</w:t>
      </w:r>
      <w:proofErr w:type="gramEnd"/>
      <w:r w:rsidRPr="00336DC5">
        <w:rPr>
          <w:rFonts w:ascii="Aptos" w:hAnsi="Aptos"/>
        </w:rPr>
        <w:t xml:space="preserve"> based on the relationship we stated above: </w:t>
      </w:r>
    </w:p>
    <w:p w14:paraId="2A07AD5D" w14:textId="77777777" w:rsidR="00A77F8C" w:rsidRPr="00A436ED" w:rsidRDefault="00A77F8C" w:rsidP="00A77F8C">
      <w:pPr>
        <w:rPr>
          <w:rFonts w:ascii="Arial" w:hAnsi="Arial" w:cs="Arial"/>
        </w:rPr>
      </w:pPr>
      <w:r w:rsidRPr="00A436ED">
        <w:rPr>
          <w:rFonts w:ascii="Arial" w:hAnsi="Arial" w:cs="Arial"/>
        </w:rPr>
        <w:br/>
      </w:r>
      <m:oMathPara>
        <m:oMath>
          <m:sSubSup>
            <m:sSubSupPr>
              <m:ctrlPr>
                <w:rPr>
                  <w:rFonts w:ascii="Cambria Math" w:hAnsi="Cambria Math" w:cs="Arial"/>
                </w:rPr>
              </m:ctrlPr>
            </m:sSubSupPr>
            <m:e>
              <m:r>
                <w:rPr>
                  <w:rFonts w:ascii="Cambria Math" w:hAnsi="Cambria Math" w:cs="Arial"/>
                </w:rPr>
                <m:t>C</m:t>
              </m:r>
            </m:e>
            <m:sub>
              <m:r>
                <w:rPr>
                  <w:rFonts w:ascii="Cambria Math" w:hAnsi="Cambria Math" w:cs="Arial"/>
                </w:rPr>
                <m:t>i</m:t>
              </m:r>
              <m:r>
                <m:rPr>
                  <m:sty m:val="p"/>
                </m:rPr>
                <w:rPr>
                  <w:rFonts w:ascii="Cambria Math" w:hAnsi="Cambria Math" w:cs="Arial"/>
                </w:rPr>
                <m:t>,</m:t>
              </m:r>
              <m:r>
                <w:rPr>
                  <w:rFonts w:ascii="Cambria Math" w:hAnsi="Cambria Math" w:cs="Arial"/>
                </w:rPr>
                <m:t>π</m:t>
              </m:r>
            </m:sub>
            <m:sup>
              <m:r>
                <m:rPr>
                  <m:sty m:val="p"/>
                </m:rPr>
                <w:rPr>
                  <w:rFonts w:ascii="Cambria Math" w:hAnsi="Cambria Math" w:cs="Arial"/>
                </w:rPr>
                <m:t>'</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d>
            <m:dPr>
              <m:begChr m:val="["/>
              <m:endChr m:val="]"/>
              <m:ctrlPr>
                <w:rPr>
                  <w:rFonts w:ascii="Cambria Math" w:hAnsi="Cambria Math" w:cs="Arial"/>
                </w:rPr>
              </m:ctrlPr>
            </m:dPr>
            <m:e>
              <m:r>
                <w:rPr>
                  <w:rFonts w:ascii="Cambria Math" w:hAnsi="Cambria Math" w:cs="Arial"/>
                </w:rPr>
                <m:t>π</m:t>
              </m:r>
              <m:d>
                <m:dPr>
                  <m:ctrlPr>
                    <w:rPr>
                      <w:rFonts w:ascii="Cambria Math" w:hAnsi="Cambria Math" w:cs="Arial"/>
                      <w:iCs/>
                    </w:rPr>
                  </m:ctrlPr>
                </m:dPr>
                <m:e>
                  <m:r>
                    <m:rPr>
                      <m:sty m:val="p"/>
                    </m:rPr>
                    <w:rPr>
                      <w:rFonts w:ascii="Cambria Math" w:hAnsi="Cambria Math" w:cs="Arial"/>
                    </w:rPr>
                    <m:t>1-DVE</m:t>
                  </m:r>
                </m:e>
              </m:d>
              <m:d>
                <m:dPr>
                  <m:ctrlPr>
                    <w:rPr>
                      <w:rFonts w:ascii="Cambria Math" w:hAnsi="Cambria Math" w:cs="Arial"/>
                      <w:iCs/>
                    </w:rPr>
                  </m:ctrlPr>
                </m:dPr>
                <m:e>
                  <m:r>
                    <m:rPr>
                      <m:sty m:val="p"/>
                    </m:rPr>
                    <w:rPr>
                      <w:rFonts w:ascii="Cambria Math" w:hAnsi="Cambria Math" w:cs="Arial"/>
                    </w:rPr>
                    <m:t>1-IVE</m:t>
                  </m:r>
                </m:e>
              </m:d>
              <m:r>
                <m:rPr>
                  <m:sty m:val="p"/>
                </m:rPr>
                <w:rPr>
                  <w:rFonts w:ascii="Cambria Math" w:hAnsi="Cambria Math" w:cs="Arial"/>
                </w:rPr>
                <m:t>+</m:t>
              </m:r>
              <m:d>
                <m:dPr>
                  <m:ctrlPr>
                    <w:rPr>
                      <w:rFonts w:ascii="Cambria Math" w:hAnsi="Cambria Math" w:cs="Arial"/>
                      <w:iCs/>
                    </w:rPr>
                  </m:ctrlPr>
                </m:dPr>
                <m:e>
                  <m:r>
                    <m:rPr>
                      <m:sty m:val="p"/>
                    </m:rPr>
                    <w:rPr>
                      <w:rFonts w:ascii="Cambria Math" w:hAnsi="Cambria Math" w:cs="Arial"/>
                    </w:rPr>
                    <m:t>1-</m:t>
                  </m:r>
                  <m:r>
                    <w:rPr>
                      <w:rFonts w:ascii="Cambria Math" w:hAnsi="Cambria Math" w:cs="Arial"/>
                    </w:rPr>
                    <m:t>π</m:t>
                  </m:r>
                </m:e>
              </m:d>
              <m:d>
                <m:dPr>
                  <m:ctrlPr>
                    <w:rPr>
                      <w:rFonts w:ascii="Cambria Math" w:hAnsi="Cambria Math" w:cs="Arial"/>
                      <w:iCs/>
                    </w:rPr>
                  </m:ctrlPr>
                </m:dPr>
                <m:e>
                  <m:r>
                    <m:rPr>
                      <m:sty m:val="p"/>
                    </m:rPr>
                    <w:rPr>
                      <w:rFonts w:ascii="Cambria Math" w:hAnsi="Cambria Math" w:cs="Arial"/>
                    </w:rPr>
                    <m:t>1-IVE</m:t>
                  </m:r>
                </m:e>
              </m:d>
            </m:e>
          </m:d>
          <m:r>
            <m:rPr>
              <m:sty m:val="p"/>
            </m:rPr>
            <w:rPr>
              <w:rFonts w:ascii="Cambria Math" w:hAnsi="Cambria Math" w:cs="Arial"/>
            </w:rPr>
            <m:t>.</m:t>
          </m:r>
        </m:oMath>
      </m:oMathPara>
    </w:p>
    <w:p w14:paraId="03927FF0" w14:textId="77777777" w:rsidR="00A77F8C" w:rsidRPr="00A436ED" w:rsidRDefault="00A77F8C" w:rsidP="00A77F8C">
      <w:pPr>
        <w:rPr>
          <w:rFonts w:ascii="Arial" w:hAnsi="Arial" w:cs="Arial"/>
        </w:rPr>
      </w:pPr>
    </w:p>
    <w:p w14:paraId="2642C1AD" w14:textId="75BE6D3C" w:rsidR="00A77F8C" w:rsidRPr="00A436ED" w:rsidRDefault="00A77F8C" w:rsidP="00A77F8C">
      <w:pPr>
        <w:pStyle w:val="Heading3"/>
        <w:rPr>
          <w:rFonts w:asciiTheme="minorHAnsi" w:hAnsiTheme="minorHAnsi" w:cs="Arial"/>
          <w:color w:val="auto"/>
        </w:rPr>
      </w:pPr>
      <w:bookmarkStart w:id="4" w:name="_Toc184911565"/>
      <w:bookmarkStart w:id="5" w:name="_Toc184920090"/>
      <w:bookmarkStart w:id="6" w:name="_Toc208578223"/>
      <w:r w:rsidRPr="00A436ED">
        <w:rPr>
          <w:rFonts w:asciiTheme="minorHAnsi" w:hAnsiTheme="minorHAnsi" w:cs="Arial"/>
          <w:color w:val="auto"/>
        </w:rPr>
        <w:lastRenderedPageBreak/>
        <w:t xml:space="preserve">S2. </w:t>
      </w:r>
      <w:r w:rsidR="007C1673" w:rsidRPr="00A436ED">
        <w:rPr>
          <w:rFonts w:asciiTheme="minorHAnsi" w:hAnsiTheme="minorHAnsi" w:cs="Arial"/>
          <w:color w:val="auto"/>
        </w:rPr>
        <w:t>I</w:t>
      </w:r>
      <w:r w:rsidRPr="00A436ED">
        <w:rPr>
          <w:rFonts w:asciiTheme="minorHAnsi" w:hAnsiTheme="minorHAnsi" w:cs="Arial"/>
          <w:color w:val="auto"/>
        </w:rPr>
        <w:t xml:space="preserve">ndirect vaccine </w:t>
      </w:r>
      <w:bookmarkEnd w:id="4"/>
      <w:bookmarkEnd w:id="5"/>
      <w:r w:rsidR="009929A1">
        <w:rPr>
          <w:rFonts w:asciiTheme="minorHAnsi" w:hAnsiTheme="minorHAnsi" w:cs="Arial" w:hint="eastAsia"/>
          <w:color w:val="auto"/>
        </w:rPr>
        <w:t>effectiveness</w:t>
      </w:r>
      <w:bookmarkEnd w:id="6"/>
    </w:p>
    <w:p w14:paraId="153A9FE7" w14:textId="626C1ABB" w:rsidR="002F3B43" w:rsidRPr="00A436ED" w:rsidRDefault="00A77F8C" w:rsidP="007365B1">
      <w:r w:rsidRPr="00A436ED">
        <w:t>Indirect vaccine eff</w:t>
      </w:r>
      <w:r w:rsidR="009929A1">
        <w:rPr>
          <w:rFonts w:hint="eastAsia"/>
        </w:rPr>
        <w:t>e</w:t>
      </w:r>
      <w:r w:rsidRPr="00A436ED">
        <w:t>c</w:t>
      </w:r>
      <w:r w:rsidR="009929A1">
        <w:rPr>
          <w:rFonts w:hint="eastAsia"/>
        </w:rPr>
        <w:t>tiveness</w:t>
      </w:r>
      <w:r w:rsidRPr="00A436ED">
        <w:t xml:space="preserve"> (IVE) of the </w:t>
      </w:r>
      <w:r w:rsidR="002F3B43" w:rsidRPr="00A436ED">
        <w:t xml:space="preserve">oral cholera </w:t>
      </w:r>
      <w:r w:rsidRPr="00A436ED">
        <w:t xml:space="preserve">vaccine was </w:t>
      </w:r>
      <w:r w:rsidR="009348E7" w:rsidRPr="00A436ED">
        <w:t>est</w:t>
      </w:r>
      <w:r w:rsidR="00140DA2" w:rsidRPr="00A436ED">
        <w:t>imated</w:t>
      </w:r>
      <w:r w:rsidR="002F3B43" w:rsidRPr="00A436ED">
        <w:t xml:space="preserve"> using </w:t>
      </w:r>
      <w:r w:rsidRPr="00A436ED">
        <w:t>incidence rates among unvaccinated individuals residing in cluster</w:t>
      </w:r>
      <w:r w:rsidR="002F3B43" w:rsidRPr="00A436ED">
        <w:t>s</w:t>
      </w:r>
      <w:r w:rsidRPr="00A436ED">
        <w:t xml:space="preserve"> with varying </w:t>
      </w:r>
      <w:r w:rsidR="00736180" w:rsidRPr="00A436ED">
        <w:rPr>
          <w:rFonts w:hint="eastAsia"/>
        </w:rPr>
        <w:t xml:space="preserve">vaccine coverage </w:t>
      </w:r>
      <w:r w:rsidRPr="00A436ED">
        <w:t>levels</w:t>
      </w:r>
      <w:r w:rsidR="00736180" w:rsidRPr="00A436ED">
        <w:rPr>
          <w:rFonts w:hint="eastAsia"/>
        </w:rPr>
        <w:t xml:space="preserve">, as observed in a </w:t>
      </w:r>
      <w:r w:rsidRPr="00A436ED">
        <w:t xml:space="preserve">randomized trial </w:t>
      </w:r>
      <w:r w:rsidR="002F3B43" w:rsidRPr="00A436ED">
        <w:t xml:space="preserve">conducted in </w:t>
      </w:r>
      <w:r w:rsidRPr="00A436ED">
        <w:t>Matlab, Bangladesh</w:t>
      </w:r>
      <w:r w:rsidR="007C1673" w:rsidRPr="00A436ED">
        <w:t>.</w:t>
      </w:r>
      <w:r w:rsidRPr="00A436ED">
        <w:fldChar w:fldCharType="begin"/>
      </w:r>
      <w:r w:rsidR="00A16B1B">
        <w:instrText xml:space="preserve"> ADDIN ZOTERO_ITEM CSL_CITATION {"citationID":"GWRdcvKx","properties":{"formattedCitation":"\\super 2\\nosupersub{}","plainCitation":"2","noteIndex":0},"citationItems":[{"id":"xs3HqAE9/7ImdbzJI","uris":["http://zotero.org/users/local/xDVOxgbN/items/WNJ8E36Z"],"itemData":{"id":"6iyTpOnq/ImKYleEW","type":"article-journal","container-title":"The Lancet","DOI":"10.1016/S0140-6736(86)91944-6","ISSN":"01406736","issue":"8499","journalAbbreviation":"The Lancet","language":"en","license":"https://www.elsevier.com/tdm/userlicense/1.0/","page":"124-127","source":"DOI.org (Crossref)","title":"FIELD TRIAL OF ORAL CHOLERA VACCINES IN BANGLADESH","volume":"328","author":[{"family":"Clemens","given":"JohnD"},{"family":"Harris","given":"JeffreyR"},{"family":"Khan","given":"M.R"},{"family":"Kay","given":"BradfordA"},{"family":"Yunus","given":"Md"},{"family":"Svennerholm","given":"Ann-Mari"},{"family":"Sack","given":"DavidA"},{"family":"Chakraborty","given":"J"},{"family":"Stanton","given":"BonitaF"},{"family":"Khan","given":"M.U"},{"family":"Atkinson","given":"William"},{"family":"Holmgren","given":"Jan"}],"issued":{"date-parts":[["1986",7]]}}}],"schema":"https://github.com/citation-style-language/schema/raw/master/csl-citation.json"} </w:instrText>
      </w:r>
      <w:r w:rsidRPr="00A436ED">
        <w:fldChar w:fldCharType="separate"/>
      </w:r>
      <w:r w:rsidR="002818F5" w:rsidRPr="00A436ED">
        <w:rPr>
          <w:kern w:val="0"/>
          <w:vertAlign w:val="superscript"/>
        </w:rPr>
        <w:t>2</w:t>
      </w:r>
      <w:r w:rsidRPr="00A436ED">
        <w:fldChar w:fldCharType="end"/>
      </w:r>
      <w:r w:rsidRPr="00A436ED">
        <w:t xml:space="preserve"> </w:t>
      </w:r>
      <w:r w:rsidR="002F3B43" w:rsidRPr="00A436ED">
        <w:t>V</w:t>
      </w:r>
      <w:r w:rsidRPr="00A436ED">
        <w:t>accine coverage</w:t>
      </w:r>
      <w:r w:rsidR="009348E7" w:rsidRPr="00A436ED">
        <w:t xml:space="preserve"> rates were reported </w:t>
      </w:r>
      <w:r w:rsidRPr="00A436ED">
        <w:t xml:space="preserve">as a range and the mid-point </w:t>
      </w:r>
      <w:r w:rsidR="009348E7" w:rsidRPr="00A436ED">
        <w:t xml:space="preserve">was taken </w:t>
      </w:r>
      <w:r w:rsidRPr="00A436ED">
        <w:t xml:space="preserve">as </w:t>
      </w:r>
      <w:r w:rsidR="009348E7" w:rsidRPr="00A436ED">
        <w:t>the</w:t>
      </w:r>
      <w:r w:rsidRPr="00A436ED">
        <w:t xml:space="preserve"> representative value. Observed IVE </w:t>
      </w:r>
      <w:r w:rsidRPr="00A436ED">
        <w:rPr>
          <w:iCs/>
          <w:lang w:val="en-CA"/>
        </w:rPr>
        <w:t xml:space="preserve">at vaccine coverage </w:t>
      </w:r>
      <m:oMath>
        <m:r>
          <w:rPr>
            <w:rFonts w:ascii="Cambria Math" w:hAnsi="Cambria Math"/>
            <w:lang w:val="en-CA"/>
          </w:rPr>
          <m:t>x</m:t>
        </m:r>
      </m:oMath>
      <w:r w:rsidRPr="00A436ED">
        <w:rPr>
          <w:iCs/>
          <w:lang w:val="en-CA"/>
        </w:rPr>
        <w:t xml:space="preserve">, was calculated as </w:t>
      </w:r>
      <m:oMath>
        <m:r>
          <w:rPr>
            <w:rFonts w:ascii="Cambria Math" w:hAnsi="Cambria Math"/>
            <w:lang w:val="en-CA"/>
          </w:rPr>
          <m:t>1-</m:t>
        </m:r>
        <m:f>
          <m:fPr>
            <m:type m:val="lin"/>
            <m:ctrlPr>
              <w:rPr>
                <w:rFonts w:ascii="Cambria Math" w:hAnsi="Cambria Math"/>
                <w:i/>
                <w:iCs/>
                <w:lang w:val="en-CA"/>
              </w:rPr>
            </m:ctrlPr>
          </m:fPr>
          <m:num>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x</m:t>
                </m:r>
              </m:sub>
            </m:sSub>
          </m:num>
          <m:den>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den>
        </m:f>
      </m:oMath>
      <w:r w:rsidRPr="00A436ED">
        <w:rPr>
          <w:iCs/>
          <w:lang w:val="en-CA"/>
        </w:rPr>
        <w:t xml:space="preserve">, where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x</m:t>
            </m:r>
          </m:sub>
        </m:sSub>
      </m:oMath>
      <w:r w:rsidRPr="00A436ED">
        <w:rPr>
          <w:iCs/>
          <w:lang w:val="en-CA"/>
        </w:rPr>
        <w:t xml:space="preserve"> represent</w:t>
      </w:r>
      <w:r w:rsidR="00140DA2" w:rsidRPr="00A436ED">
        <w:rPr>
          <w:iCs/>
          <w:lang w:val="en-CA"/>
        </w:rPr>
        <w:t>s</w:t>
      </w:r>
      <w:r w:rsidRPr="00A436ED">
        <w:rPr>
          <w:iCs/>
          <w:lang w:val="en-CA"/>
        </w:rPr>
        <w:t xml:space="preserve"> the incidence rate among unvaccinated people</w:t>
      </w:r>
      <w:r w:rsidR="002F3B43" w:rsidRPr="00A436ED">
        <w:rPr>
          <w:iCs/>
          <w:lang w:val="en-CA"/>
        </w:rPr>
        <w:t xml:space="preserve"> in a population </w:t>
      </w:r>
      <w:r w:rsidR="009348E7" w:rsidRPr="00A436ED">
        <w:rPr>
          <w:iCs/>
          <w:lang w:val="en-CA"/>
        </w:rPr>
        <w:t>with</w:t>
      </w:r>
      <w:r w:rsidR="002F3B43" w:rsidRPr="00A436ED">
        <w:rPr>
          <w:iCs/>
          <w:lang w:val="en-CA"/>
        </w:rPr>
        <w:t xml:space="preserve"> vaccine coverage rate </w:t>
      </w:r>
      <m:oMath>
        <m:r>
          <m:rPr>
            <m:sty m:val="p"/>
          </m:rPr>
          <w:rPr>
            <w:rFonts w:ascii="Cambria Math" w:hAnsi="Cambria Math"/>
            <w:lang w:val="en-CA"/>
          </w:rPr>
          <m:t>x</m:t>
        </m:r>
      </m:oMath>
      <w:r w:rsidR="009348E7" w:rsidRPr="00A436ED">
        <w:rPr>
          <w:lang w:val="en-CA"/>
        </w:rPr>
        <w:t xml:space="preserve">, and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t>
      </w:r>
      <w:r w:rsidR="009348E7" w:rsidRPr="00A436ED">
        <w:rPr>
          <w:iCs/>
          <w:lang w:val="en-CA"/>
        </w:rPr>
        <w:t>denotes</w:t>
      </w:r>
      <w:r w:rsidR="002F3B43" w:rsidRPr="00A436ED">
        <w:rPr>
          <w:iCs/>
          <w:lang w:val="en-CA"/>
        </w:rPr>
        <w:t xml:space="preserve"> the incidence rate in a population </w:t>
      </w:r>
      <w:r w:rsidR="009348E7" w:rsidRPr="00A436ED">
        <w:rPr>
          <w:iCs/>
          <w:lang w:val="en-CA"/>
        </w:rPr>
        <w:t>with no vaccination</w:t>
      </w:r>
      <w:r w:rsidR="002F3B43" w:rsidRPr="00A436ED">
        <w:rPr>
          <w:iCs/>
          <w:lang w:val="en-CA"/>
        </w:rPr>
        <w:t xml:space="preserve">. </w:t>
      </w:r>
      <w:r w:rsidR="009348E7" w:rsidRPr="00A436ED">
        <w:rPr>
          <w:iCs/>
          <w:lang w:val="en-CA"/>
        </w:rPr>
        <w:t xml:space="preserve">While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was not provided in the </w:t>
      </w:r>
      <w:r w:rsidR="009348E7" w:rsidRPr="00A436ED">
        <w:rPr>
          <w:iCs/>
          <w:lang w:val="en-CA"/>
        </w:rPr>
        <w:t xml:space="preserve">original </w:t>
      </w:r>
      <w:r w:rsidR="002F3B43" w:rsidRPr="00A436ED">
        <w:rPr>
          <w:iCs/>
          <w:lang w:val="en-CA"/>
        </w:rPr>
        <w:t>analysis of</w:t>
      </w:r>
      <w:r w:rsidR="00140DA2" w:rsidRPr="00A436ED">
        <w:rPr>
          <w:iCs/>
          <w:lang w:val="en-CA"/>
        </w:rPr>
        <w:t xml:space="preserve"> the</w:t>
      </w:r>
      <w:r w:rsidR="002F3B43" w:rsidRPr="00A436ED">
        <w:rPr>
          <w:iCs/>
          <w:lang w:val="en-CA"/>
        </w:rPr>
        <w:t xml:space="preserve"> clinical trial, a su</w:t>
      </w:r>
      <w:r w:rsidR="009348E7" w:rsidRPr="00A436ED">
        <w:rPr>
          <w:iCs/>
          <w:lang w:val="en-CA"/>
        </w:rPr>
        <w:t>b</w:t>
      </w:r>
      <w:r w:rsidR="002F3B43" w:rsidRPr="00A436ED">
        <w:rPr>
          <w:iCs/>
          <w:lang w:val="en-CA"/>
        </w:rPr>
        <w:t xml:space="preserve">sequent </w:t>
      </w:r>
      <w:r w:rsidR="009348E7" w:rsidRPr="00A436ED">
        <w:rPr>
          <w:iCs/>
          <w:lang w:val="en-CA"/>
        </w:rPr>
        <w:t xml:space="preserve">dynamic modeling </w:t>
      </w:r>
      <w:r w:rsidR="002F3B43" w:rsidRPr="00A436ED">
        <w:rPr>
          <w:iCs/>
          <w:lang w:val="en-CA"/>
        </w:rPr>
        <w:t>study</w:t>
      </w:r>
      <w:r w:rsidR="002F3B43" w:rsidRPr="00A436ED">
        <w:fldChar w:fldCharType="begin"/>
      </w:r>
      <w:r w:rsidR="00CF4F91">
        <w:instrText xml:space="preserve"> ADDIN ZOTERO_ITEM CSL_CITATION {"citationID":"Qw3kiWv6","properties":{"formattedCitation":"\\super 3\\nosupersub{}","plainCitation":"3","noteIndex":0},"citationItems":[{"id":7255,"uris":["http://zotero.org/users/7663102/items/TCTSRXWU"],"itemData":{"id":7255,"type":"article-journal","abstract":"BACKGROUND: Although advances in rehydration therapy have made cholera a treatable disease with low case-fatality in settings with appropriate medical  care, cholera continues to impose considerable mortality in the world's most  impoverished populations. Internationally licensed, killed whole-cell based oral  cholera vaccines (OCVs) have been available for over a decade, but have not been  used for the control of cholera. Recently, these vaccines were shown to confer  significant levels of herd protection, suggesting that the protective potential  of these vaccines has been underestimated and that these vaccines may be highly  effective in cholera control when deployed in mass immunization programs. We used  a large-scale stochastic simulation model to investigate the possibility of  controlling endemic cholera with OCVs. METHODS AND FINDINGS: We construct a  large-scale, stochastic cholera transmission model of Matlab, Bangladesh. We find  that cholera transmission could be controlled in endemic areas with 50% coverage  with OCVs. At this level of coverage, the model predicts that there would be an  89% (95% confidence interval [CI] 72%-98%) reduction in cholera cases among the  unvaccinated, and a 93% (95% CI 82%-99%) reduction overall in the entire  population. Even a more modest coverage of 30% would result in a 76% (95% CI  44%-95%) reduction in cholera incidence for the population area covered. For  populations that have less natural immunity than the population of Matlab, 70%  coverage would probably be necessary for cholera control, i.e., an annual  incidence rate of &lt; or = 1 case per 1,000 people in the population. CONCLUSIONS:  Endemic cholera could be reduced to an annual incidence rate of &lt; or = 1 case per  1,000 people in endemic areas with biennial vaccination with OCVs if coverage  could reach 50%-70% depending on the level of prior immunity in the population.  These vaccination efforts could be targeted with careful use of ecological data.","container-title":"PLoS medicine","DOI":"10.1371/journal.pmed.0040336","ISSN":"1549-1676 1549-1277","issue":"11","journalAbbreviation":"PLoS Med","language":"eng","page":"e336","title":"Controlling endemic cholera with oral vaccines.","volume":"4","author":[{"family":"Longini","given":"Ira M. Jr"},{"family":"Nizam","given":"Azhar"},{"family":"Ali","given":"Mohammad"},{"family":"Yunus","given":"Mohammad"},{"family":"Shenvi","given":"Neeta"},{"family":"Clemens","given":"John D."}],"issued":{"date-parts":[["2007",11,27]]},"citation-key":"longiniControllingEndemicCholera2007"}}],"schema":"https://github.com/citation-style-language/schema/raw/master/csl-citation.json"} </w:instrText>
      </w:r>
      <w:r w:rsidR="002F3B43" w:rsidRPr="00A436ED">
        <w:fldChar w:fldCharType="separate"/>
      </w:r>
      <w:r w:rsidR="002818F5" w:rsidRPr="00A436ED">
        <w:rPr>
          <w:kern w:val="0"/>
          <w:vertAlign w:val="superscript"/>
        </w:rPr>
        <w:t>3</w:t>
      </w:r>
      <w:r w:rsidR="002F3B43" w:rsidRPr="00A436ED">
        <w:fldChar w:fldCharType="end"/>
      </w:r>
      <w:r w:rsidR="002F3B43" w:rsidRPr="00A436ED">
        <w:rPr>
          <w:iCs/>
          <w:lang w:val="en-CA"/>
        </w:rPr>
        <w:t xml:space="preserve"> provide</w:t>
      </w:r>
      <w:r w:rsidR="009348E7" w:rsidRPr="00A436ED">
        <w:rPr>
          <w:iCs/>
          <w:lang w:val="en-CA"/>
        </w:rPr>
        <w:t>d</w:t>
      </w:r>
      <w:r w:rsidR="002F3B43" w:rsidRPr="00A436ED">
        <w:rPr>
          <w:iCs/>
          <w:lang w:val="en-CA"/>
        </w:rPr>
        <w:t xml:space="preserve"> a plausible value of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which </w:t>
      </w:r>
      <w:r w:rsidR="009348E7" w:rsidRPr="00A436ED">
        <w:rPr>
          <w:iCs/>
          <w:lang w:val="en-CA"/>
        </w:rPr>
        <w:t>was</w:t>
      </w:r>
      <w:r w:rsidR="002F3B43" w:rsidRPr="00A436ED">
        <w:rPr>
          <w:iCs/>
          <w:lang w:val="en-CA"/>
        </w:rPr>
        <w:t xml:space="preserve"> used to compute IVE. </w:t>
      </w:r>
      <w:r w:rsidRPr="00A436ED">
        <w:t xml:space="preserve">This </w:t>
      </w:r>
      <w:r w:rsidR="009348E7" w:rsidRPr="00A436ED">
        <w:t xml:space="preserve">approach resulted in </w:t>
      </w:r>
      <w:r w:rsidR="007C1673" w:rsidRPr="00A436ED">
        <w:t xml:space="preserve">five </w:t>
      </w:r>
      <w:r w:rsidRPr="00A436ED">
        <w:t xml:space="preserve">IVE </w:t>
      </w:r>
      <w:r w:rsidR="007C1673" w:rsidRPr="00A436ED">
        <w:t xml:space="preserve">values </w:t>
      </w:r>
      <w:r w:rsidRPr="00A436ED">
        <w:t xml:space="preserve">at </w:t>
      </w:r>
      <w:r w:rsidR="007C1673" w:rsidRPr="00A436ED">
        <w:t>5</w:t>
      </w:r>
      <w:r w:rsidRPr="00A436ED">
        <w:t xml:space="preserve"> vaccine coverage rates. </w:t>
      </w:r>
    </w:p>
    <w:p w14:paraId="4754FA56" w14:textId="0068370C" w:rsidR="008D02B8" w:rsidRPr="00A436ED" w:rsidRDefault="009348E7" w:rsidP="007365B1">
      <w:pPr>
        <w:rPr>
          <w:iCs/>
          <w:lang w:val="en-CA"/>
        </w:rPr>
      </w:pPr>
      <w:r w:rsidRPr="00A436ED">
        <w:t>To model the relationship between IVE and vaccine coverage, w</w:t>
      </w:r>
      <w:r w:rsidR="00A77F8C" w:rsidRPr="00A436ED">
        <w:t xml:space="preserve">e </w:t>
      </w:r>
      <w:r w:rsidR="007C1673" w:rsidRPr="00A436ED">
        <w:t xml:space="preserve">used </w:t>
      </w:r>
      <w:r w:rsidR="00A77F8C" w:rsidRPr="00A436ED">
        <w:t xml:space="preserve">a Bayesian </w:t>
      </w:r>
      <w:r w:rsidRPr="00A436ED">
        <w:t>B</w:t>
      </w:r>
      <w:r w:rsidR="00A77F8C" w:rsidRPr="00A436ED">
        <w:t>eta regression</w:t>
      </w:r>
      <w:r w:rsidRPr="00A436ED">
        <w:t xml:space="preserve">. </w:t>
      </w:r>
      <w:r w:rsidR="008D02B8" w:rsidRPr="00A436ED">
        <w:t>The expected value of</w:t>
      </w:r>
      <w:r w:rsidR="00140DA2" w:rsidRPr="00A436ED">
        <w:t xml:space="preserve"> IVE,</w:t>
      </w:r>
      <w:r w:rsidR="008D02B8" w:rsidRPr="00A436ED">
        <w:t xml:space="preserve"> </w:t>
      </w:r>
      <m:oMath>
        <m:r>
          <w:rPr>
            <w:rFonts w:ascii="Cambria Math" w:hAnsi="Cambria Math"/>
          </w:rPr>
          <m:t>Y</m:t>
        </m:r>
      </m:oMath>
      <w:r w:rsidR="00140DA2" w:rsidRPr="00A436ED">
        <w:t>,</w:t>
      </w:r>
      <w:r w:rsidR="008D02B8" w:rsidRPr="00A436ED">
        <w:t xml:space="preserve"> </w:t>
      </w:r>
      <w:r w:rsidR="0017527C" w:rsidRPr="00A436ED">
        <w:t>was</w:t>
      </w:r>
      <w:r w:rsidR="008D02B8" w:rsidRPr="00A436ED">
        <w:t xml:space="preserve"> a</w:t>
      </w:r>
      <w:r w:rsidRPr="00A436ED">
        <w:t>n</w:t>
      </w:r>
      <w:r w:rsidR="008D02B8" w:rsidRPr="00A436ED">
        <w:t xml:space="preserve"> </w:t>
      </w:r>
      <w:proofErr w:type="spellStart"/>
      <w:r w:rsidR="008D02B8" w:rsidRPr="00A436ED">
        <w:t>expit</w:t>
      </w:r>
      <w:proofErr w:type="spellEnd"/>
      <w:r w:rsidR="008D02B8" w:rsidRPr="00A436ED">
        <w:t xml:space="preserve">-transformed function of </w:t>
      </w:r>
      <m:oMath>
        <m:r>
          <w:rPr>
            <w:rFonts w:ascii="Cambria Math" w:hAnsi="Cambria Math"/>
          </w:rPr>
          <m:t>η</m:t>
        </m:r>
      </m:oMath>
      <w:r w:rsidR="0017527C" w:rsidRPr="00A436ED">
        <w:t xml:space="preserve">, which </w:t>
      </w:r>
      <w:r w:rsidRPr="00A436ED">
        <w:t xml:space="preserve">itself was modeled as </w:t>
      </w:r>
      <w:r w:rsidR="008D02B8" w:rsidRPr="00A436ED">
        <w:t xml:space="preserve">a </w:t>
      </w:r>
      <w:r w:rsidR="0017527C" w:rsidRPr="00A436ED">
        <w:t>linear function of the independent variable,</w:t>
      </w:r>
      <w:r w:rsidR="00140DA2" w:rsidRPr="00A436ED">
        <w:t xml:space="preserve"> vaccine coverage rate</w:t>
      </w:r>
      <w:r w:rsidR="0017527C" w:rsidRPr="00A436ED">
        <w:t xml:space="preserve"> </w:t>
      </w:r>
      <m:oMath>
        <m:r>
          <w:rPr>
            <w:rFonts w:ascii="Cambria Math" w:hAnsi="Cambria Math"/>
          </w:rPr>
          <m:t>X</m:t>
        </m:r>
      </m:oMath>
      <w:r w:rsidR="008D02B8" w:rsidRPr="00A436ED">
        <w:t xml:space="preserve">. </w:t>
      </w:r>
      <w:r w:rsidRPr="00A436ED">
        <w:t>The response variable</w:t>
      </w:r>
      <w:r w:rsidR="008D02B8" w:rsidRPr="00A436ED">
        <w:t xml:space="preserve"> </w:t>
      </w:r>
      <m:oMath>
        <m:r>
          <w:rPr>
            <w:rFonts w:ascii="Cambria Math" w:hAnsi="Cambria Math"/>
          </w:rPr>
          <m:t>Y</m:t>
        </m:r>
      </m:oMath>
      <w:r w:rsidR="008D02B8" w:rsidRPr="00A436ED">
        <w:t xml:space="preserve"> was assumed to follow a Beta distribution</w:t>
      </w:r>
      <w:r w:rsidRPr="00A436ED">
        <w:t>, parameterized by its</w:t>
      </w:r>
      <w:r w:rsidR="008D02B8" w:rsidRPr="00A436ED">
        <w:t xml:space="preserve"> mean, </w:t>
      </w:r>
      <m:oMath>
        <m:r>
          <w:rPr>
            <w:rFonts w:ascii="Cambria Math" w:hAnsi="Cambria Math"/>
          </w:rPr>
          <m:t>μ</m:t>
        </m:r>
      </m:oMath>
      <w:r w:rsidR="008D02B8" w:rsidRPr="00A436ED">
        <w:t xml:space="preserve">, and precision, </w:t>
      </w:r>
      <m:oMath>
        <m:r>
          <w:rPr>
            <w:rFonts w:ascii="Cambria Math" w:hAnsi="Cambria Math"/>
          </w:rPr>
          <m:t>ϕ</m:t>
        </m:r>
      </m:oMath>
      <w:r w:rsidR="008D02B8" w:rsidRPr="00A436ED">
        <w:t xml:space="preserve">. </w:t>
      </w:r>
      <w:r w:rsidRPr="00A436ED">
        <w:t xml:space="preserve">Weekly informative priors were assigned to </w:t>
      </w:r>
      <w:r w:rsidR="008D02B8" w:rsidRPr="00A436ED">
        <w:t>the linear predictor</w:t>
      </w:r>
      <w:r w:rsidRPr="00A436ED">
        <w:t xml:space="preserve"> coefficients, </w:t>
      </w:r>
      <m:oMath>
        <m:r>
          <w:rPr>
            <w:rFonts w:ascii="Cambria Math" w:hAnsi="Cambria Math"/>
          </w:rPr>
          <m:t>β</m:t>
        </m:r>
      </m:oMath>
      <w:r w:rsidRPr="00A436ED">
        <w:t>,</w:t>
      </w:r>
      <w:r w:rsidR="008D02B8" w:rsidRPr="00A436ED">
        <w:t xml:space="preserve"> and the precision </w:t>
      </w:r>
      <w:r w:rsidRPr="00A436ED">
        <w:t xml:space="preserve">parameter, </w:t>
      </w:r>
      <m:oMath>
        <m:r>
          <w:rPr>
            <w:rFonts w:ascii="Cambria Math" w:hAnsi="Cambria Math"/>
          </w:rPr>
          <m:t>ϕ&gt;0</m:t>
        </m:r>
      </m:oMath>
      <w:r w:rsidRPr="00A436ED">
        <w:t>,</w:t>
      </w:r>
      <w:r w:rsidR="008D02B8" w:rsidRPr="00A436ED">
        <w:t xml:space="preserve"> </w:t>
      </w:r>
      <w:r w:rsidR="007A0B59" w:rsidRPr="00A436ED">
        <w:t>based on the standard recommendations for Bayesian analysis.</w:t>
      </w:r>
      <w:r w:rsidR="000157CA">
        <w:fldChar w:fldCharType="begin"/>
      </w:r>
      <w:r w:rsidR="00CF4F91">
        <w:instrText xml:space="preserve"> ADDIN ZOTERO_ITEM CSL_CITATION {"citationID":"f1c4nkYk","properties":{"formattedCitation":"\\super 4\\nosupersub{}","plainCitation":"4","noteIndex":0},"citationItems":[{"id":15235,"uris":["http://zotero.org/users/7663102/items/V3ZCEFRE"],"itemData":{"id":15235,"type":"software","title":"Stan Modeling Language Users Guide and Reference Manual","URL":"https://mc-stan.org","version":"2.36","author":[{"family":"Stan Development Team","given":""}],"issued":{"date-parts":[["2024"]]},"citation-key":"standevelopmentteamStanModelingLanguage2024"}}],"schema":"https://github.com/citation-style-language/schema/raw/master/csl-citation.json"} </w:instrText>
      </w:r>
      <w:r w:rsidR="000157CA">
        <w:fldChar w:fldCharType="separate"/>
      </w:r>
      <w:r w:rsidR="000157CA" w:rsidRPr="000157CA">
        <w:rPr>
          <w:rFonts w:ascii="Aptos" w:hAnsi="Aptos" w:cs="Times New Roman"/>
          <w:kern w:val="0"/>
          <w:vertAlign w:val="superscript"/>
        </w:rPr>
        <w:t>4</w:t>
      </w:r>
      <w:r w:rsidR="000157CA">
        <w:fldChar w:fldCharType="end"/>
      </w:r>
      <w:r w:rsidR="008D02B8" w:rsidRPr="00A436ED">
        <w:t xml:space="preserve"> </w:t>
      </w:r>
      <w:r w:rsidR="002818F5" w:rsidRPr="00A436ED">
        <w:t>The regression model was implemented in the probabilistic programming language Stan,</w:t>
      </w:r>
      <w:r w:rsidR="002818F5" w:rsidRPr="00A436ED">
        <w:fldChar w:fldCharType="begin"/>
      </w:r>
      <w:r w:rsidR="00CF4F91">
        <w:instrText xml:space="preserve"> ADDIN ZOTERO_ITEM CSL_CITATION {"citationID":"cLHmVCF1","properties":{"formattedCitation":"\\super 5\\nosupersub{}","plainCitation":"5","noteIndex":0},"citationItems":[{"id":14945,"uris":["http://zotero.org/users/7663102/items/HNDHN7CU"],"itemData":{"id":14945,"type":"article-journal","abstract":"Stan is a probabilistic programming language for specifying statistical models. A Stan program imperatively defines a log probability function over parameters conditioned on specified data and constants. As of version 2.14.0, Stan provides full Bayesian inference for continuous-variable models through Markov chain Monte Carlo methods such as the No-U-Turn sampler, an adaptive form of Hamiltonian Monte Carlo sampling. Penalized maximum likelihood estimates are calculated using optimization methods such as the limited memory Broyden-Fletcher-Goldfarb-Shanno algorithm. Stan is also a platform for computing log densities and their gradients and Hessians, which can be used in alternative algorithms such as variational Bayes, expectation propagation, and marginal inference using approximate integration. To this end, Stan is set up so that the densities, gradients, and Hessians, along with intermediate quantities of the algorithm such as acceptance probabilities, are easily accessible. Stan can be called from the command line using the cmdstan package, through R using the rstan package, and through Python using the pystan package. All three interfaces support sampling and optimization-based inference with diagnostics and posterior analysis. rstan and pystan also provide access to log probabilities, gradients, Hessians, parameter transforms, and specialized plotting.","container-title":"Journal of Statistical Software","DOI":"10.18637/jss.v076.i01","ISSN":"1548-7660","language":"en","license":"Copyright (c) 2017 Bob Carpenter, Andrew Gelman, Matthew D. Hoffman, Daniel Lee, Ben Goodrich, Michael Betancourt, Marcus Brubaker, Jiqiang Guo, Peter Li, Allen Riddell","page":"1-32","source":"www.jstatsoft.org","title":"Stan: A Probabilistic Programming Language","title-short":"Stan","volume":"76","author":[{"family":"Carpenter","given":"Bob"},{"family":"Gelman","given":"Andrew"},{"family":"Hoffman","given":"Matthew D."},{"family":"Lee","given":"Daniel"},{"family":"Goodrich","given":"Ben"},{"family":"Betancourt","given":"Michael"},{"family":"Brubaker","given":"Marcus"},{"family":"Guo","given":"Jiqiang"},{"family":"Li","given":"Peter"},{"family":"Riddell","given":"Allen"}],"issued":{"date-parts":[["2017",1,11]]},"citation-key":"carpenterStanProbabilisticProgramming2017"}}],"schema":"https://github.com/citation-style-language/schema/raw/master/csl-citation.json"} </w:instrText>
      </w:r>
      <w:r w:rsidR="002818F5" w:rsidRPr="00A436ED">
        <w:fldChar w:fldCharType="separate"/>
      </w:r>
      <w:r w:rsidR="000157CA" w:rsidRPr="000157CA">
        <w:rPr>
          <w:rFonts w:ascii="Aptos" w:hAnsi="Aptos" w:cs="Times New Roman"/>
          <w:kern w:val="0"/>
          <w:vertAlign w:val="superscript"/>
        </w:rPr>
        <w:t>5</w:t>
      </w:r>
      <w:r w:rsidR="002818F5" w:rsidRPr="00A436ED">
        <w:fldChar w:fldCharType="end"/>
      </w:r>
      <w:r w:rsidR="002818F5" w:rsidRPr="00A436ED">
        <w:t xml:space="preserve"> and the code is available on GitHub.</w:t>
      </w:r>
      <w:r w:rsidR="000157CA">
        <w:fldChar w:fldCharType="begin"/>
      </w:r>
      <w:r w:rsidR="00CF4F91">
        <w:instrText xml:space="preserve"> ADDIN ZOTERO_ITEM CSL_CITATION {"citationID":"2987fJmg","properties":{"formattedCitation":"\\super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0157CA">
        <w:fldChar w:fldCharType="separate"/>
      </w:r>
      <w:r w:rsidR="000157CA" w:rsidRPr="000157CA">
        <w:rPr>
          <w:rFonts w:ascii="Aptos" w:hAnsi="Aptos" w:cs="Times New Roman"/>
          <w:kern w:val="0"/>
          <w:vertAlign w:val="superscript"/>
        </w:rPr>
        <w:t>6</w:t>
      </w:r>
      <w:r w:rsidR="000157CA">
        <w:fldChar w:fldCharType="end"/>
      </w:r>
    </w:p>
    <w:p w14:paraId="16A93E78" w14:textId="5892DDA5" w:rsidR="00A30722" w:rsidRPr="00A436ED" w:rsidRDefault="00714C75" w:rsidP="00A77F8C">
      <w:pPr>
        <w:rPr>
          <w:rFonts w:ascii="Arial" w:hAnsi="Arial" w:cs="Arial"/>
        </w:rPr>
      </w:pPr>
      <m:oMathPara>
        <m:oMath>
          <m:r>
            <w:rPr>
              <w:rFonts w:ascii="Cambria Math" w:hAnsi="Cambria Math" w:cs="Arial"/>
            </w:rPr>
            <m:t>E</m:t>
          </m:r>
          <m:d>
            <m:dPr>
              <m:ctrlPr>
                <w:rPr>
                  <w:rFonts w:ascii="Cambria Math" w:hAnsi="Cambria Math" w:cs="Arial"/>
                  <w:i/>
                </w:rPr>
              </m:ctrlPr>
            </m:dPr>
            <m:e>
              <m:r>
                <w:rPr>
                  <w:rFonts w:ascii="Cambria Math" w:hAnsi="Cambria Math" w:cs="Arial"/>
                </w:rPr>
                <m:t>Y</m:t>
              </m:r>
            </m:e>
          </m:d>
          <m:r>
            <w:rPr>
              <w:rFonts w:ascii="Cambria Math" w:hAnsi="Cambria Math" w:cs="Arial"/>
            </w:rPr>
            <m:t>=μ=</m:t>
          </m:r>
          <m:f>
            <m:fPr>
              <m:ctrlPr>
                <w:rPr>
                  <w:rFonts w:ascii="Cambria Math" w:hAnsi="Cambria Math" w:cs="Arial"/>
                  <w:i/>
                </w:rPr>
              </m:ctrlPr>
            </m:fPr>
            <m:num>
              <m:r>
                <w:rPr>
                  <w:rFonts w:ascii="Cambria Math" w:hAnsi="Cambria Math" w:cs="Arial"/>
                </w:rPr>
                <m:t>1</m:t>
              </m:r>
            </m:num>
            <m:den>
              <m:r>
                <w:rPr>
                  <w:rFonts w:ascii="Cambria Math" w:hAnsi="Cambria Math" w:cs="Arial"/>
                </w:rPr>
                <m:t>1+</m:t>
              </m:r>
              <m:sSup>
                <m:sSupPr>
                  <m:ctrlPr>
                    <w:rPr>
                      <w:rFonts w:ascii="Cambria Math" w:hAnsi="Cambria Math" w:cs="Arial"/>
                      <w:i/>
                    </w:rPr>
                  </m:ctrlPr>
                </m:sSupPr>
                <m:e>
                  <m:r>
                    <w:rPr>
                      <w:rFonts w:ascii="Cambria Math" w:hAnsi="Cambria Math" w:cs="Arial"/>
                    </w:rPr>
                    <m:t>e</m:t>
                  </m:r>
                </m:e>
                <m:sup>
                  <m:r>
                    <w:rPr>
                      <w:rFonts w:ascii="Cambria Math" w:hAnsi="Cambria Math" w:cs="Arial"/>
                    </w:rPr>
                    <m:t>-η</m:t>
                  </m:r>
                </m:sup>
              </m:sSup>
            </m:den>
          </m:f>
        </m:oMath>
      </m:oMathPara>
    </w:p>
    <w:p w14:paraId="28C23DBF" w14:textId="7DA425DA" w:rsidR="007C1673" w:rsidRPr="00A436ED" w:rsidRDefault="00714C75" w:rsidP="00A77F8C">
      <w:pPr>
        <w:rPr>
          <w:rFonts w:ascii="Arial" w:hAnsi="Arial" w:cs="Arial"/>
        </w:rPr>
      </w:pPr>
      <m:oMathPara>
        <m:oMath>
          <m:r>
            <w:rPr>
              <w:rFonts w:ascii="Cambria Math" w:hAnsi="Cambria Math" w:cs="Arial"/>
            </w:rPr>
            <m:t>η=</m:t>
          </m:r>
          <m:sSub>
            <m:sSubPr>
              <m:ctrlPr>
                <w:rPr>
                  <w:rFonts w:ascii="Cambria Math" w:hAnsi="Cambria Math" w:cs="Arial"/>
                  <w:i/>
                </w:rPr>
              </m:ctrlPr>
            </m:sSubPr>
            <m:e>
              <m:r>
                <w:rPr>
                  <w:rFonts w:ascii="Cambria Math" w:hAnsi="Cambria Math" w:cs="Arial"/>
                </w:rPr>
                <m:t>β</m:t>
              </m:r>
            </m:e>
            <m:sub>
              <m:r>
                <w:rPr>
                  <w:rFonts w:ascii="Cambria Math" w:hAnsi="Cambria Math" w:cs="Arial"/>
                </w:rPr>
                <m:t>0</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1</m:t>
              </m:r>
            </m:sub>
          </m:sSub>
          <m:r>
            <w:rPr>
              <w:rFonts w:ascii="Cambria Math" w:hAnsi="Cambria Math" w:cs="Arial"/>
            </w:rPr>
            <m:t>X</m:t>
          </m:r>
        </m:oMath>
      </m:oMathPara>
    </w:p>
    <w:p w14:paraId="3EA138A8" w14:textId="16BC0D87" w:rsidR="0017527C" w:rsidRPr="00A436ED" w:rsidRDefault="0017527C" w:rsidP="00A77F8C">
      <w:pPr>
        <w:rPr>
          <w:rFonts w:ascii="Arial" w:hAnsi="Arial" w:cs="Arial"/>
        </w:rPr>
      </w:pPr>
      <m:oMathPara>
        <m:oMath>
          <m:r>
            <w:rPr>
              <w:rFonts w:ascii="Cambria Math" w:hAnsi="Cambria Math" w:cs="Arial"/>
            </w:rPr>
            <m:t xml:space="preserve">Y ~ </m:t>
          </m:r>
          <m:r>
            <m:rPr>
              <m:sty m:val="p"/>
            </m:rPr>
            <w:rPr>
              <w:rFonts w:ascii="Cambria Math" w:hAnsi="Cambria Math" w:cs="Arial"/>
            </w:rPr>
            <m:t>Beta</m:t>
          </m:r>
          <m:r>
            <w:rPr>
              <w:rFonts w:ascii="Cambria Math" w:hAnsi="Cambria Math" w:cs="Arial"/>
            </w:rPr>
            <m:t>(μ, ϕ)</m:t>
          </m:r>
        </m:oMath>
      </m:oMathPara>
    </w:p>
    <w:p w14:paraId="295DA158" w14:textId="3F49AD7F" w:rsidR="0017527C" w:rsidRPr="00A436ED" w:rsidRDefault="0017527C" w:rsidP="0017527C">
      <w:pPr>
        <w:rPr>
          <w:rFonts w:ascii="Arial" w:hAnsi="Arial" w:cs="Arial"/>
        </w:rPr>
      </w:pPr>
      <m:oMathPara>
        <m:oMath>
          <m:r>
            <w:rPr>
              <w:rFonts w:ascii="Cambria Math" w:hAnsi="Cambria Math" w:cs="Arial"/>
            </w:rPr>
            <m:t xml:space="preserve">β ~ </m:t>
          </m:r>
          <m:r>
            <m:rPr>
              <m:sty m:val="p"/>
            </m:rPr>
            <w:rPr>
              <w:rFonts w:ascii="Cambria Math" w:hAnsi="Cambria Math" w:cs="Arial"/>
            </w:rPr>
            <m:t>Normal</m:t>
          </m:r>
          <m:d>
            <m:dPr>
              <m:ctrlPr>
                <w:rPr>
                  <w:rFonts w:ascii="Cambria Math" w:hAnsi="Cambria Math" w:cs="Arial"/>
                  <w:i/>
                </w:rPr>
              </m:ctrlPr>
            </m:dPr>
            <m:e>
              <m:r>
                <w:rPr>
                  <w:rFonts w:ascii="Cambria Math" w:hAnsi="Cambria Math" w:cs="Arial"/>
                </w:rPr>
                <m:t>0, 5</m:t>
              </m:r>
            </m:e>
          </m:d>
        </m:oMath>
      </m:oMathPara>
    </w:p>
    <w:p w14:paraId="611EFCAB" w14:textId="184695A5" w:rsidR="0017527C" w:rsidRPr="00A436ED" w:rsidRDefault="0017527C" w:rsidP="0017527C">
      <w:pPr>
        <w:rPr>
          <w:rFonts w:ascii="Arial" w:hAnsi="Arial" w:cs="Arial"/>
        </w:rPr>
      </w:pPr>
      <m:oMathPara>
        <m:oMath>
          <m:r>
            <w:rPr>
              <w:rFonts w:ascii="Cambria Math" w:hAnsi="Cambria Math" w:cs="Arial"/>
            </w:rPr>
            <m:t xml:space="preserve">ϕ ~ </m:t>
          </m:r>
          <m:r>
            <m:rPr>
              <m:sty m:val="p"/>
            </m:rPr>
            <w:rPr>
              <w:rFonts w:ascii="Cambria Math" w:hAnsi="Cambria Math" w:cs="Arial"/>
            </w:rPr>
            <m:t>Cauchy</m:t>
          </m:r>
          <m:r>
            <w:rPr>
              <w:rFonts w:ascii="Cambria Math" w:hAnsi="Cambria Math" w:cs="Arial"/>
            </w:rPr>
            <m:t>(0, 5)</m:t>
          </m:r>
        </m:oMath>
      </m:oMathPara>
    </w:p>
    <w:p w14:paraId="40A6FC04" w14:textId="32E13385" w:rsidR="0017527C" w:rsidRPr="00A436ED" w:rsidRDefault="002818F5" w:rsidP="0017527C">
      <w:pPr>
        <w:rPr>
          <w:rFonts w:ascii="Arial" w:hAnsi="Arial" w:cs="Arial"/>
        </w:rPr>
      </w:pPr>
      <w:r w:rsidRPr="00A436ED">
        <w:rPr>
          <w:rFonts w:ascii="Arial" w:hAnsi="Arial" w:cs="Arial"/>
        </w:rPr>
        <w:t xml:space="preserve"> </w:t>
      </w:r>
    </w:p>
    <w:p w14:paraId="5A7C2C60" w14:textId="77777777" w:rsidR="00A06BBC" w:rsidRPr="00A436ED" w:rsidRDefault="00A77F8C" w:rsidP="00A06BBC">
      <w:pPr>
        <w:pStyle w:val="Heading3"/>
        <w:rPr>
          <w:color w:val="auto"/>
        </w:rPr>
      </w:pPr>
      <w:bookmarkStart w:id="7" w:name="_Toc184920091"/>
      <w:bookmarkStart w:id="8" w:name="_Toc208578224"/>
      <w:r w:rsidRPr="00A436ED">
        <w:rPr>
          <w:color w:val="auto"/>
        </w:rPr>
        <w:lastRenderedPageBreak/>
        <w:t>Figure S1.</w:t>
      </w:r>
      <w:bookmarkEnd w:id="8"/>
      <w:r w:rsidRPr="00A436ED">
        <w:rPr>
          <w:color w:val="auto"/>
        </w:rPr>
        <w:t xml:space="preserve"> </w:t>
      </w:r>
    </w:p>
    <w:p w14:paraId="3193EF7B" w14:textId="78AF55D9" w:rsidR="00A77F8C" w:rsidRPr="00A436ED" w:rsidRDefault="00A77F8C" w:rsidP="00A06BBC">
      <w:r w:rsidRPr="00A436ED">
        <w:t>Posterior predicted values for the indirect vaccine effectiveness based on a Bayesian beta regression with cholera incidence data from Matlab, Bangladesh. Dynamic model represent</w:t>
      </w:r>
      <w:r w:rsidR="000157CA">
        <w:rPr>
          <w:rFonts w:hint="eastAsia"/>
        </w:rPr>
        <w:t>s</w:t>
      </w:r>
      <w:r w:rsidRPr="00A436ED">
        <w:t xml:space="preserve"> the values from the dynamic model by </w:t>
      </w:r>
      <w:proofErr w:type="spellStart"/>
      <w:r w:rsidRPr="00A436ED">
        <w:t>Longini</w:t>
      </w:r>
      <w:proofErr w:type="spellEnd"/>
      <w:r w:rsidRPr="00A436ED">
        <w:t xml:space="preserve"> et al.</w:t>
      </w:r>
      <w:r w:rsidRPr="00A436ED">
        <w:fldChar w:fldCharType="begin"/>
      </w:r>
      <w:r w:rsidR="00CF4F91">
        <w:instrText xml:space="preserve"> ADDIN ZOTERO_ITEM CSL_CITATION {"citationID":"bWJTJ4By","properties":{"formattedCitation":"\\super 3\\nosupersub{}","plainCitation":"3","noteIndex":0},"citationItems":[{"id":7255,"uris":["http://zotero.org/users/7663102/items/TCTSRXWU"],"itemData":{"id":7255,"type":"article-journal","abstract":"BACKGROUND: Although advances in rehydration therapy have made cholera a treatable disease with low case-fatality in settings with appropriate medical  care, cholera continues to impose considerable mortality in the world's most  impoverished populations. Internationally licensed, killed whole-cell based oral  cholera vaccines (OCVs) have been available for over a decade, but have not been  used for the control of cholera. Recently, these vaccines were shown to confer  significant levels of herd protection, suggesting that the protective potential  of these vaccines has been underestimated and that these vaccines may be highly  effective in cholera control when deployed in mass immunization programs. We used  a large-scale stochastic simulation model to investigate the possibility of  controlling endemic cholera with OCVs. METHODS AND FINDINGS: We construct a  large-scale, stochastic cholera transmission model of Matlab, Bangladesh. We find  that cholera transmission could be controlled in endemic areas with 50% coverage  with OCVs. At this level of coverage, the model predicts that there would be an  89% (95% confidence interval [CI] 72%-98%) reduction in cholera cases among the  unvaccinated, and a 93% (95% CI 82%-99%) reduction overall in the entire  population. Even a more modest coverage of 30% would result in a 76% (95% CI  44%-95%) reduction in cholera incidence for the population area covered. For  populations that have less natural immunity than the population of Matlab, 70%  coverage would probably be necessary for cholera control, i.e., an annual  incidence rate of &lt; or = 1 case per 1,000 people in the population. CONCLUSIONS:  Endemic cholera could be reduced to an annual incidence rate of &lt; or = 1 case per  1,000 people in endemic areas with biennial vaccination with OCVs if coverage  could reach 50%-70% depending on the level of prior immunity in the population.  These vaccination efforts could be targeted with careful use of ecological data.","container-title":"PLoS medicine","DOI":"10.1371/journal.pmed.0040336","ISSN":"1549-1676 1549-1277","issue":"11","journalAbbreviation":"PLoS Med","language":"eng","page":"e336","title":"Controlling endemic cholera with oral vaccines.","volume":"4","author":[{"family":"Longini","given":"Ira M. Jr"},{"family":"Nizam","given":"Azhar"},{"family":"Ali","given":"Mohammad"},{"family":"Yunus","given":"Mohammad"},{"family":"Shenvi","given":"Neeta"},{"family":"Clemens","given":"John D."}],"issued":{"date-parts":[["2007",11,27]]},"citation-key":"longiniControllingEndemicCholera2007"}}],"schema":"https://github.com/citation-style-language/schema/raw/master/csl-citation.json"} </w:instrText>
      </w:r>
      <w:r w:rsidRPr="00A436ED">
        <w:fldChar w:fldCharType="separate"/>
      </w:r>
      <w:r w:rsidR="002818F5" w:rsidRPr="00A436ED">
        <w:rPr>
          <w:kern w:val="0"/>
          <w:vertAlign w:val="superscript"/>
        </w:rPr>
        <w:t>3</w:t>
      </w:r>
      <w:bookmarkEnd w:id="7"/>
      <w:r w:rsidRPr="00A436ED">
        <w:fldChar w:fldCharType="end"/>
      </w:r>
    </w:p>
    <w:p w14:paraId="13570173" w14:textId="77777777" w:rsidR="00A77F8C" w:rsidRPr="00A436ED" w:rsidRDefault="00A77F8C" w:rsidP="00A77F8C">
      <w:pPr>
        <w:rPr>
          <w:rFonts w:ascii="Arial" w:hAnsi="Arial" w:cs="Arial"/>
          <w:lang w:val="en-CA"/>
        </w:rPr>
      </w:pPr>
      <w:r w:rsidRPr="00A436ED">
        <w:rPr>
          <w:rFonts w:ascii="Arial" w:hAnsi="Arial" w:cs="Arial"/>
          <w:noProof/>
        </w:rPr>
        <w:drawing>
          <wp:inline distT="0" distB="0" distL="0" distR="0" wp14:anchorId="0BDF625C" wp14:editId="13CD2523">
            <wp:extent cx="5120640" cy="4039616"/>
            <wp:effectExtent l="0" t="0" r="3810" b="0"/>
            <wp:docPr id="1716765100" name="Picture 1" descr="A graph of a vaccin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5100" name="Picture 1" descr="A graph of a vaccine model&#10;&#10;Description automatically generated"/>
                    <pic:cNvPicPr/>
                  </pic:nvPicPr>
                  <pic:blipFill>
                    <a:blip r:embed="rId8"/>
                    <a:stretch>
                      <a:fillRect/>
                    </a:stretch>
                  </pic:blipFill>
                  <pic:spPr>
                    <a:xfrm>
                      <a:off x="0" y="0"/>
                      <a:ext cx="5120640" cy="4039616"/>
                    </a:xfrm>
                    <a:prstGeom prst="rect">
                      <a:avLst/>
                    </a:prstGeom>
                  </pic:spPr>
                </pic:pic>
              </a:graphicData>
            </a:graphic>
          </wp:inline>
        </w:drawing>
      </w:r>
    </w:p>
    <w:p w14:paraId="23ECE831" w14:textId="77777777" w:rsidR="00A77F8C" w:rsidRPr="00A436ED" w:rsidRDefault="00A77F8C" w:rsidP="00DC1E36">
      <w:pPr>
        <w:rPr>
          <w:lang w:val="en-CA"/>
        </w:rPr>
      </w:pPr>
    </w:p>
    <w:p w14:paraId="09EFC9C1" w14:textId="77777777" w:rsidR="00F56B25" w:rsidRPr="00A436ED" w:rsidRDefault="00F56B25" w:rsidP="00F56B25">
      <w:pPr>
        <w:rPr>
          <w:lang w:val="en-CA"/>
        </w:rPr>
      </w:pPr>
    </w:p>
    <w:p w14:paraId="70FC383E" w14:textId="77777777" w:rsidR="00F56B25" w:rsidRPr="00A436ED" w:rsidRDefault="00F56B25" w:rsidP="00F56B25">
      <w:pPr>
        <w:rPr>
          <w:lang w:val="en-CA"/>
        </w:rPr>
      </w:pPr>
    </w:p>
    <w:p w14:paraId="5DBA6A9D" w14:textId="77777777" w:rsidR="00F56B25" w:rsidRPr="00A436ED" w:rsidRDefault="00F56B25" w:rsidP="00F56B25">
      <w:pPr>
        <w:rPr>
          <w:lang w:val="en-CA"/>
        </w:rPr>
      </w:pPr>
    </w:p>
    <w:p w14:paraId="2A73ED47" w14:textId="77777777" w:rsidR="00F56B25" w:rsidRPr="00A436ED" w:rsidRDefault="00F56B25" w:rsidP="00F56B25">
      <w:pPr>
        <w:rPr>
          <w:lang w:val="en-CA"/>
        </w:rPr>
      </w:pPr>
    </w:p>
    <w:p w14:paraId="65481F87" w14:textId="77777777" w:rsidR="00F56B25" w:rsidRPr="00A436ED" w:rsidRDefault="00F56B25" w:rsidP="00F56B25">
      <w:pPr>
        <w:rPr>
          <w:lang w:val="en-CA"/>
        </w:rPr>
      </w:pPr>
    </w:p>
    <w:p w14:paraId="710487EA" w14:textId="77777777" w:rsidR="00F56B25" w:rsidRPr="00A436ED" w:rsidRDefault="00F56B25" w:rsidP="00F56B25">
      <w:pPr>
        <w:rPr>
          <w:lang w:val="en-CA"/>
        </w:rPr>
      </w:pPr>
    </w:p>
    <w:p w14:paraId="5A3BB442" w14:textId="77777777" w:rsidR="0041060F" w:rsidRPr="00A436ED" w:rsidRDefault="0041060F" w:rsidP="0041060F">
      <w:pPr>
        <w:pStyle w:val="Heading3"/>
        <w:rPr>
          <w:rFonts w:cs="Arial"/>
          <w:color w:val="auto"/>
        </w:rPr>
      </w:pPr>
      <w:bookmarkStart w:id="9" w:name="_Toc184911568"/>
      <w:bookmarkStart w:id="10" w:name="_Toc184920092"/>
      <w:bookmarkStart w:id="11" w:name="_Toc184911566"/>
      <w:bookmarkStart w:id="12" w:name="_Toc208578225"/>
      <w:r w:rsidRPr="00A436ED">
        <w:rPr>
          <w:rFonts w:cs="Arial"/>
          <w:color w:val="auto"/>
        </w:rPr>
        <w:lastRenderedPageBreak/>
        <w:t>S3. Parameter exploration using Sobol low-discrepancy sampling</w:t>
      </w:r>
      <w:bookmarkEnd w:id="9"/>
      <w:bookmarkEnd w:id="10"/>
      <w:bookmarkEnd w:id="12"/>
    </w:p>
    <w:p w14:paraId="3F7F20FE" w14:textId="1E60AB93" w:rsidR="0041060F" w:rsidRPr="00A436ED" w:rsidRDefault="0041060F" w:rsidP="007365B1">
      <w:r w:rsidRPr="00A436ED">
        <w:t>To comprehensively explore the effects of key model parameters on cholera outbreak dynamics and the impact of OCV campaigns, we conducted a systematic parameter sampling using the Sobol low-discrepancy sequence.</w:t>
      </w:r>
      <w:r w:rsidRPr="00A436ED">
        <w:fldChar w:fldCharType="begin"/>
      </w:r>
      <w:r w:rsidR="00CF4F91">
        <w:instrText xml:space="preserve"> ADDIN ZOTERO_ITEM CSL_CITATION {"citationID":"XxaRAoST","properties":{"formattedCitation":"\\super 7,8\\nosupersub{}","plainCitation":"7,8","noteIndex":0},"citationItems":[{"id":15194,"uris":["http://zotero.org/users/7663102/items/7665RFE9"],"itemData":{"id":15194,"type":"article-journal","abstract":"Global sensitivity indices for rather complex mathematical models can be efﬁciently computed by Monte Carlo (or quasi-Monte Carlo) methods. These indices are used for estimating the inﬂuence of individual variables or groups of variables on the model output. © 2001 IMACS. Published by Elsevier Science B.V. All rights reserved.","container-title":"Mathematics and Computers in Simulation","DOI":"10.1016/S0378-4754(00)00270-6","ISSN":"03784754","issue":"1-3","journalAbbreviation":"Mathematics and Computers in Simulation","language":"en","license":"https://www.elsevier.com/tdm/userlicense/1.0/","page":"271-280","source":"DOI.org (Crossref)","title":"Global sensitivity indices for nonlinear mathematical models an</w:instrText>
      </w:r>
      <w:r w:rsidR="00CF4F91">
        <w:rPr>
          <w:rFonts w:hint="eastAsia"/>
        </w:rPr>
        <w:instrText>d their Monte Carlo estimates","volume":"55","author":[{"family":"Sobol</w:instrText>
      </w:r>
      <w:r w:rsidR="00CF4F91">
        <w:rPr>
          <w:rFonts w:hint="eastAsia"/>
        </w:rPr>
        <w:instrText>′</w:instrText>
      </w:r>
      <w:r w:rsidR="00CF4F91">
        <w:rPr>
          <w:rFonts w:hint="eastAsia"/>
        </w:rPr>
        <w:instrText>","given":"I.M"}],"issued":{"date-parts":[["2001",2]]},"citation-key":"sobolGlobalSensitivityIndices2001"}},{"id":9417,"uris":["http://zotero.org/users/7663102/items/UEY2ZF88"],"itemD</w:instrText>
      </w:r>
      <w:r w:rsidR="00CF4F91">
        <w:instrText xml:space="preserve">ata":{"id":9417,"type":"article-journal","abstract":"Computational and mathematical models in biology rely heavily on the parameters that characterize them. However, robust estimates for their values are typically elusive and thus a large parameter space becomes necessary for model study, particularly to make translationally impactful predictions. Sampling schemes exploring parameter spaces for models are used for a variety of purposes in systems biology, including model calibration and sensitivity analysis. Typically, random sampling is used; however, when models have a high number of unknown parameters or the models are highly complex, computational cost becomes an important factor. This issue can be reduced through the use of efficient sampling schemes such as Latin hypercube sampling (LHS) and Sobol sequences. In this work, we compare and contrast three sampling schemes – random sampling, LHS, and Sobol sequences – for the purposes of performing both parameter sensitivity analysis and model calibration. In addition, we apply these analyses to different types of computational and mathematical models of varying complexity: a simple ODE model, a complex ODE model, and an agent-based model. In general, the sampling scheme had little effect when used for calibration efforts, but when applied to sensitivity analyses, Sobol sequences exhibited faster convergence. While the observed benefit to convergence is relatively small, Sobol sequences are computationally less expensive to compute than LHS samples and also have the benefit of being deterministic, which allows for better reproducibility of results.","container-title":"Mathematical biosciences","DOI":"10.1016/j.mbs.2021.108593","ISSN":"0025-5564","journalAbbreviation":"Math Biosci","note":"PMID: 33865847\nPMCID: PMC8184610","page":"108593","source":"PubMed Central","title":"To Sobol or not to Sobol? The effects of sampling schemes in systems biology applications","title-short":"To Sobol or not to Sobol?","volume":"337","author":[{"family":"Renardy","given":"Marissa"},{"family":"Joslyn","given":"Louis R."},{"family":"Millar","given":"Jess A."},{"family":"Kirschner","given":"Denise E."}],"issued":{"date-parts":[["2021",7]]},"citation-key":"renardySobolNotSobol2021"}}],"schema":"https://github.com/citation-style-language/schema/raw/master/csl-citation.json"} </w:instrText>
      </w:r>
      <w:r w:rsidRPr="00A436ED">
        <w:fldChar w:fldCharType="separate"/>
      </w:r>
      <w:r w:rsidR="000157CA" w:rsidRPr="000157CA">
        <w:rPr>
          <w:rFonts w:ascii="Aptos" w:hAnsi="Aptos" w:cs="Times New Roman"/>
          <w:kern w:val="0"/>
          <w:vertAlign w:val="superscript"/>
        </w:rPr>
        <w:t>7,8</w:t>
      </w:r>
      <w:r w:rsidRPr="00A436ED">
        <w:fldChar w:fldCharType="end"/>
      </w:r>
      <w:r w:rsidRPr="00A436ED">
        <w:t xml:space="preserve"> This method provides an efficient way to thoroughly cover complex parameter spaces while minimizing clustering or overrepresentation of specific regions, making it particularly suitable for sensitivity and uncertainty analyses.  </w:t>
      </w:r>
    </w:p>
    <w:p w14:paraId="0B218206" w14:textId="50CD39F8" w:rsidR="0041060F" w:rsidRPr="00A436ED" w:rsidRDefault="0041060F" w:rsidP="007365B1">
      <w:r w:rsidRPr="00A436ED">
        <w:t>We examined a range of plausible values for the following parameters: vaccine efficacy (&lt;5 years and 5+ years), indirect vaccine eff</w:t>
      </w:r>
      <w:r w:rsidR="001F5075">
        <w:rPr>
          <w:rFonts w:hint="eastAsia"/>
        </w:rPr>
        <w:t>ectiveness</w:t>
      </w:r>
      <w:r w:rsidRPr="00A436ED">
        <w:t>, delay from vaccination and development of partially protective immunity, and campaign duration (days required to complete vaccination in a target population). Different distributions are assumed for each parameter based on the assumption of the estimation and on our best judgement. For the direct vaccine efficacy, we assumed that the log incidence rate ratio (e.g., vaccine efficacy = 1 – incidence rate ratio) as the confidence interval of the original estimates may usually be constructed this way. Indirect vaccine efficacy was drawn from the posterior predictive values of the Bayesian beta regression model we have developed (</w:t>
      </w:r>
      <w:r w:rsidR="00E805C1" w:rsidRPr="00A436ED">
        <w:rPr>
          <w:b/>
          <w:bCs/>
        </w:rPr>
        <w:t>S2</w:t>
      </w:r>
      <w:r w:rsidRPr="00A436ED">
        <w:t>). Delay from vaccination and development of partially protective immunity has been assumed to be uniformly distributed due to the paucity of the data. The duration of a vaccination campaign was assumed to follow a truncated normal distribution with the minimum and maximum based on the data and our judgement.</w:t>
      </w:r>
    </w:p>
    <w:p w14:paraId="1F85DA2D" w14:textId="679E3E1F" w:rsidR="0041060F" w:rsidRPr="00A436ED" w:rsidRDefault="0041060F" w:rsidP="007365B1">
      <w:r w:rsidRPr="00A436ED">
        <w:t>We employed the Sobol low-discrepancy sequence to generate pseudo-random numbers for each parameter, ensuring uniform coverage across their respective distributions. Each Sobol sequence element, ranging from 0 to 1, was transformed into the target parameter space using the inverse cumulative distribution function (CDF) of the specified distribution. The Sobol sequence generation was implemented using the ‘pomp’ R package, with custom routines to map values onto the respective distributions (</w:t>
      </w:r>
      <w:r w:rsidR="00497EC8" w:rsidRPr="00A436ED">
        <w:t>GitHub</w:t>
      </w:r>
      <w:r w:rsidR="00497EC8">
        <w:fldChar w:fldCharType="begin"/>
      </w:r>
      <w:r w:rsidR="00CF4F91">
        <w:instrText xml:space="preserve"> ADDIN ZOTERO_ITEM CSL_CITATION {"citationID":"6UIklI8T","properties":{"formattedCitation":"\\super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497EC8">
        <w:fldChar w:fldCharType="separate"/>
      </w:r>
      <w:r w:rsidR="00497EC8" w:rsidRPr="000157CA">
        <w:rPr>
          <w:rFonts w:ascii="Aptos" w:hAnsi="Aptos" w:cs="Times New Roman"/>
          <w:kern w:val="0"/>
          <w:vertAlign w:val="superscript"/>
        </w:rPr>
        <w:t>6</w:t>
      </w:r>
      <w:r w:rsidR="00497EC8">
        <w:fldChar w:fldCharType="end"/>
      </w:r>
      <w:r w:rsidRPr="00A436ED">
        <w:t>)</w:t>
      </w:r>
      <w:r w:rsidR="002D26F8" w:rsidRPr="00A436ED">
        <w:rPr>
          <w:rFonts w:hint="eastAsia"/>
        </w:rPr>
        <w:t>.</w:t>
      </w:r>
      <w:r w:rsidRPr="00A436ED">
        <w:t xml:space="preserve"> A total of 200 parameter sets were utilized, covering the entire feasible range of values for each parameter. </w:t>
      </w:r>
    </w:p>
    <w:p w14:paraId="6D0FBA73" w14:textId="0CA42387" w:rsidR="0041060F" w:rsidRPr="00A436ED" w:rsidRDefault="0041060F" w:rsidP="007365B1">
      <w:r w:rsidRPr="00A436ED">
        <w:lastRenderedPageBreak/>
        <w:t xml:space="preserve">Validation involved visually inspecting histograms of the generated parameter values to confirm that the transformations were accurate and that the values adhered to the intended distributions. </w:t>
      </w:r>
    </w:p>
    <w:p w14:paraId="729789A6" w14:textId="6EA40EBB" w:rsidR="00314A91" w:rsidRPr="00A436ED" w:rsidRDefault="00907900" w:rsidP="003C2C3D">
      <w:pPr>
        <w:pStyle w:val="Heading3"/>
        <w:rPr>
          <w:rFonts w:cs="Arial"/>
          <w:color w:val="auto"/>
        </w:rPr>
      </w:pPr>
      <w:bookmarkStart w:id="13" w:name="_Toc184911570"/>
      <w:bookmarkStart w:id="14" w:name="_Toc184920098"/>
      <w:bookmarkStart w:id="15" w:name="_Toc208578226"/>
      <w:bookmarkEnd w:id="11"/>
      <w:r w:rsidRPr="00A436ED">
        <w:rPr>
          <w:rFonts w:cs="Arial"/>
          <w:color w:val="auto"/>
        </w:rPr>
        <w:t>S</w:t>
      </w:r>
      <w:r w:rsidR="00592B80">
        <w:rPr>
          <w:rFonts w:cs="Arial" w:hint="eastAsia"/>
          <w:color w:val="auto"/>
        </w:rPr>
        <w:t>4</w:t>
      </w:r>
      <w:r w:rsidRPr="00A436ED">
        <w:rPr>
          <w:rFonts w:cs="Arial"/>
          <w:color w:val="auto"/>
        </w:rPr>
        <w:t xml:space="preserve">. </w:t>
      </w:r>
      <w:r w:rsidR="00592B80">
        <w:rPr>
          <w:rFonts w:cs="Arial" w:hint="eastAsia"/>
          <w:color w:val="auto"/>
        </w:rPr>
        <w:t>Delay in i</w:t>
      </w:r>
      <w:r w:rsidR="00314A91" w:rsidRPr="00A436ED">
        <w:rPr>
          <w:rFonts w:cs="Arial"/>
          <w:color w:val="auto"/>
        </w:rPr>
        <w:t>mmunogenicity of oral cholera vaccine</w:t>
      </w:r>
      <w:bookmarkEnd w:id="13"/>
      <w:bookmarkEnd w:id="14"/>
      <w:bookmarkEnd w:id="15"/>
    </w:p>
    <w:p w14:paraId="176D0FE7" w14:textId="482E86FC" w:rsidR="003074BF" w:rsidRDefault="008878B9" w:rsidP="007365B1">
      <w:r w:rsidRPr="00A436ED">
        <w:t>W</w:t>
      </w:r>
      <w:r w:rsidR="00133F57" w:rsidRPr="00A436ED">
        <w:t xml:space="preserve">e assumed a period of delay before protective immunity develops following vaccination. Studies investigating the immunogenicity of OCV typically measure the rate of seroconversion (considered a proxy for protection), defined as a four-fold or greater increase in antibody/vibriocidal </w:t>
      </w:r>
      <w:proofErr w:type="spellStart"/>
      <w:r w:rsidR="00133F57" w:rsidRPr="00A436ED">
        <w:t>titres</w:t>
      </w:r>
      <w:proofErr w:type="spellEnd"/>
      <w:r w:rsidR="00133F57" w:rsidRPr="00A436ED">
        <w:t xml:space="preserve"> compared to baseline </w:t>
      </w:r>
      <w:proofErr w:type="spellStart"/>
      <w:r w:rsidR="00133F57" w:rsidRPr="00A436ED">
        <w:t>titres</w:t>
      </w:r>
      <w:proofErr w:type="spellEnd"/>
      <w:r w:rsidR="00133F57" w:rsidRPr="00A436ED">
        <w:t xml:space="preserve"> </w:t>
      </w:r>
      <w:r w:rsidR="00133F57" w:rsidRPr="00A436ED">
        <w:fldChar w:fldCharType="begin"/>
      </w:r>
      <w:r w:rsidR="00A16B1B">
        <w:instrText xml:space="preserve"> ADDIN ZOTERO_ITEM CSL_CITATION {"citationID":"LdGf3KKL","properties":{"formattedCitation":"\\super 9\\uc0\\u8211{}17\\nosupersub{}","plainCitation":"9–17","noteIndex":0},"citationItems":[{"id":"xs3HqAE9/NxaHGv4Q","uris":["http://zotero.org/users/local/xDVOxgbN/items/VMBJ3ILL"],"itemData":{"id":4,"type":"article-journal","abstract":"INTRODUCTION: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w:instrText>
      </w:r>
      <w:r w:rsidR="00A16B1B">
        <w:rPr>
          <w:rFonts w:hint="eastAsia"/>
        </w:rPr>
        <w:instrText xml:space="preserve"> V. cholerae Inaba and Ogawa after 1st dose was 35/134 (26%) and 34/134 (25%) respectively. We observed a statistical difference in seroconversion between the two subgroups of baseline titres (low &lt;80 and high </w:instrText>
      </w:r>
      <w:r w:rsidR="00A16B1B">
        <w:rPr>
          <w:rFonts w:hint="eastAsia"/>
        </w:rPr>
        <w:instrText>≥</w:instrText>
      </w:r>
      <w:r w:rsidR="00A16B1B">
        <w:rPr>
          <w:rFonts w:hint="eastAsia"/>
        </w:rPr>
        <w:instrText>80) for both Inaba (p = 0.02) and Ogawa (p&lt;0</w:instrText>
      </w:r>
      <w:r w:rsidR="00A16B1B">
        <w:instrText>.0001).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Cleopatra"}],"issued":{"date-parts":[["2022"]]}}},{"id":"xs3HqAE9/gG0GJLMm","uris":["http://zotero.org/users/local/xDVOxgbN/items/3XUCD5LV"],"itemData":{"id":7,"type":"article-journal","abstract":"Immune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D."},{"family":"Sur","given":"Dipika"}],"issued":{"date-parts":[["2009",11,16]]}}},{"id":"xs3HqAE9/MWvxhMPq","uris":["http://zotero.org/users/local/xDVOxgbN/items/PQEELNWL"],"itemData":{"id":17,"type":"article-journal","abstract":"After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D."},{"family":"Qadri","given":"Firdausi"}],"issued":{"date-parts":[["2020",3]]}}},{"id":"xs3HqAE9/pdIIk5JH","uris":["http://zotero.org/users/local/xDVOxgbN/items/ZG8J3XZ6"],"itemData":{"id":20,"type":"article-journal","container-title":"PLOS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xs3HqAE9/5EWvu8xQ","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w:instrText>
      </w:r>
      <w:r w:rsidR="00A16B1B">
        <w:rPr>
          <w:rFonts w:hint="eastAsia"/>
        </w:rPr>
        <w:instrText>e responses after administration of Shanchol, in 25 adults, 51 older children (6-17 years), and 47 younger children (1-5 years) in Haiti, where cholera was introduced in 2010. A</w:instrText>
      </w:r>
      <w:r w:rsidR="00A16B1B">
        <w:rPr>
          <w:rFonts w:hint="eastAsia"/>
        </w:rPr>
        <w:instrText>≥</w:instrText>
      </w:r>
      <w:r w:rsidR="00A16B1B">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A16B1B">
        <w:rPr>
          <w:rFonts w:hint="eastAsia"/>
        </w:rPr>
        <w:instrText>≥</w:instrText>
      </w:r>
      <w:r w:rsidR="00A16B1B">
        <w:rPr>
          <w:rFonts w:hint="eastAsia"/>
        </w:rPr>
        <w:instrText>2-fold increase in serum O-antigen specific polysaccharide IgA antibody levels again</w:instrText>
      </w:r>
      <w:r w:rsidR="00A16B1B">
        <w:instrText>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B."}],"issued":{"date-parts":[["2014",5]]}}},{"id":"xs3HqAE9/eyPyTCOK","uris":["http://zotero.org/users/local/xDVOxgbN/items/885T83T7"],"itemData":{"id":28,"type":"article-journal","abstract":"Cholera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A."}],"issued":{"date-parts":[["2021",8,16]]}}},{"id":"xs3HqAE9/ro9uzvDN","uris":["http://zotero.org/users/local/xDVOxgbN/items/MD4Y8M2Z"],"itemData":{"id":30,"type":"article-journal","abstract":"As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xs3HqAE9/xvqUjTn1","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K."},{"family":"Gurwith","given":"Marc"}],"issued":{"date-parts":[["2018",2]]}}},{"id":"xs3HqAE9/vGNfqeu1","uris":["http://zotero.org/users/local/xDVOxgbN/items/88EEN4QJ"],"itemData":{"id":25,"type":"article-journal","abstract":"BACKGROUND: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non-inferio</w:instrText>
      </w:r>
      <w:r w:rsidR="00A16B1B">
        <w:rPr>
          <w:rFonts w:hint="eastAsia"/>
        </w:rPr>
        <w:instrText>rity, age-descending clinical trial of OCV (Hillchol vs. Shanchol) in the Mirpur area of Dhaka city from July 2016 to May 2017. This study was carried out in three different age cohorts (1-&lt;5, 5-17 and </w:instrText>
      </w:r>
      <w:r w:rsidR="00A16B1B">
        <w:rPr>
          <w:rFonts w:hint="eastAsia"/>
        </w:rPr>
        <w:instrText>≥</w:instrText>
      </w:r>
      <w:r w:rsidR="00A16B1B">
        <w:rPr>
          <w:rFonts w:hint="eastAsia"/>
        </w:rPr>
        <w:instrText>18 years old). Two doses of vaccine were given at 14</w:instrText>
      </w:r>
      <w:r w:rsidR="00A16B1B">
        <w:instrText xml:space="preserve">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9–17</w:t>
      </w:r>
      <w:r w:rsidR="00133F57" w:rsidRPr="00A436ED">
        <w:fldChar w:fldCharType="end"/>
      </w:r>
      <w:r w:rsidR="00133F57" w:rsidRPr="00A436ED">
        <w:t xml:space="preserve">. However, dosing schedules, follow-up times, and populations varied across studies. For instance, Ng’ombe et al. investigated a two-dose schedule for the </w:t>
      </w:r>
      <w:proofErr w:type="spellStart"/>
      <w:r w:rsidR="00133F57" w:rsidRPr="00A436ED">
        <w:t>Shanchol</w:t>
      </w:r>
      <w:proofErr w:type="spellEnd"/>
      <w:r w:rsidR="00133F57" w:rsidRPr="00A436ED">
        <w:t xml:space="preserve"> OCV in Zambia, administering the first and second doses 28 days apart and collecting blood samples at baseline and after day 28 (before second dose), month 6, month 12, month 24, month 30, month 42, and month 48 </w:t>
      </w:r>
      <w:r w:rsidR="00133F57" w:rsidRPr="00A436ED">
        <w:fldChar w:fldCharType="begin"/>
      </w:r>
      <w:r w:rsidR="00A16B1B">
        <w:instrText xml:space="preserve"> ADDIN ZOTERO_ITEM CSL_CITATION {"citationID":"sNNgwLQT","properties":{"formattedCitation":"\\super 9\\nosupersub{}","plainCitation":"9","noteIndex":0},"citationItems":[{"id":"xs3HqAE9/NxaHGv4Q","uris":["http://zotero.org/users/local/xDVOxgbN/items/VMBJ3ILL"],"itemData":{"id":4,"type":"article-journal","abstract":"INTRODUCTION: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 V. cholerae Inaba </w:instrText>
      </w:r>
      <w:r w:rsidR="00A16B1B">
        <w:rPr>
          <w:rFonts w:hint="eastAsia"/>
        </w:rPr>
        <w:instrText xml:space="preserve">and Ogawa after 1st dose was 35/134 (26%) and 34/134 (25%) respectively. We observed a statistical difference in seroconversion between the two subgroups of baseline titres (low &lt;80 and high </w:instrText>
      </w:r>
      <w:r w:rsidR="00A16B1B">
        <w:rPr>
          <w:rFonts w:hint="eastAsia"/>
        </w:rPr>
        <w:instrText>≥</w:instrText>
      </w:r>
      <w:r w:rsidR="00A16B1B">
        <w:rPr>
          <w:rFonts w:hint="eastAsia"/>
        </w:rPr>
        <w:instrText>80) for both Inaba (p = 0.02) and Ogawa (p&lt;0.0001). From a base</w:instrText>
      </w:r>
      <w:r w:rsidR="00A16B1B">
        <w:instrText xml:space="preserv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9</w:t>
      </w:r>
      <w:r w:rsidR="00133F57" w:rsidRPr="00A436ED">
        <w:fldChar w:fldCharType="end"/>
      </w:r>
      <w:r w:rsidR="00133F57" w:rsidRPr="00A436ED">
        <w:t xml:space="preserve">. They observed a significant rise in vibriocidal antibody </w:t>
      </w:r>
      <w:proofErr w:type="spellStart"/>
      <w:r w:rsidR="00133F57" w:rsidRPr="00A436ED">
        <w:t>titres</w:t>
      </w:r>
      <w:proofErr w:type="spellEnd"/>
      <w:r w:rsidR="00133F57" w:rsidRPr="00A436ED">
        <w:t xml:space="preserve"> </w:t>
      </w:r>
      <w:proofErr w:type="gramStart"/>
      <w:r w:rsidR="00133F57" w:rsidRPr="00A436ED">
        <w:t>at</w:t>
      </w:r>
      <w:proofErr w:type="gramEnd"/>
      <w:r w:rsidR="00133F57" w:rsidRPr="00A436ED">
        <w:t xml:space="preserve"> day 28, which declined nearly to baseline levels </w:t>
      </w:r>
      <w:proofErr w:type="gramStart"/>
      <w:r w:rsidR="00133F57" w:rsidRPr="00A436ED">
        <w:t>at</w:t>
      </w:r>
      <w:proofErr w:type="gramEnd"/>
      <w:r w:rsidR="00133F57" w:rsidRPr="00A436ED">
        <w:t xml:space="preserve"> month 6. Other studies by Mohan et al. (India) and Chowdhury et al. (Bangladesh) investigated a two-dose schedule for </w:t>
      </w:r>
      <w:proofErr w:type="spellStart"/>
      <w:r w:rsidR="00133F57" w:rsidRPr="00A436ED">
        <w:t>Shanchol</w:t>
      </w:r>
      <w:proofErr w:type="spellEnd"/>
      <w:r w:rsidR="00133F57" w:rsidRPr="00A436ED">
        <w:t xml:space="preserve"> with doses being administered 14 days apart instead, and blood collections performed at days 0, 14 (before second dose), and 28 </w:t>
      </w:r>
      <w:r w:rsidR="00133F57" w:rsidRPr="00A436ED">
        <w:fldChar w:fldCharType="begin"/>
      </w:r>
      <w:r w:rsidR="00A16B1B">
        <w:instrText xml:space="preserve"> ADDIN ZOTERO_ITEM CSL_CITATION {"citationID":"R45MrzBh","properties":{"formattedCitation":"\\super 11,12\\nosupersub{}","plainCitation":"11,12","noteIndex":0},"citationItems":[{"id":"xs3HqAE9/MWvxhMPq","uris":["http://zotero.org/users/local/xDVOxgbN/items/PQEELNWL"],"itemData":{"id":17,"type":"article-journal","abstract":"After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D."},{"family":"Qadri","given":"Firdausi"}],"issued":{"date-parts":[["2020",3]]}}},{"id":"xs3HqAE9/pdIIk5JH","uris":["http://zotero.org/users/local/xDVOxgbN/items/ZG8J3XZ6"],"itemData":{"id":20,"type":"article-journal","container-title":"PLOS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11,12</w:t>
      </w:r>
      <w:r w:rsidR="00133F57" w:rsidRPr="00A436ED">
        <w:fldChar w:fldCharType="end"/>
      </w:r>
      <w:r w:rsidR="00133F57" w:rsidRPr="00A436ED">
        <w:t xml:space="preserve">. Both studies found that vibriocidal antibody </w:t>
      </w:r>
      <w:proofErr w:type="spellStart"/>
      <w:r w:rsidR="00133F57" w:rsidRPr="00A436ED">
        <w:t>titres</w:t>
      </w:r>
      <w:proofErr w:type="spellEnd"/>
      <w:r w:rsidR="00133F57" w:rsidRPr="00A436ED">
        <w:t xml:space="preserve"> were significantly increased at day 14 and day 28, compared to baseline, and that this increase was higher after the first dose, compared to the increase following the second dose of vaccine. Charles et al. (Haiti) investigated a two-dose </w:t>
      </w:r>
      <w:proofErr w:type="spellStart"/>
      <w:r w:rsidR="00133F57" w:rsidRPr="00A436ED">
        <w:t>Shanchol</w:t>
      </w:r>
      <w:proofErr w:type="spellEnd"/>
      <w:r w:rsidR="00133F57" w:rsidRPr="00A436ED">
        <w:t xml:space="preserve"> schedule administered 28 days apart, with blood collection occurring 7 days post-vaccination for each dose </w:t>
      </w:r>
      <w:r w:rsidR="00133F57" w:rsidRPr="00A436ED">
        <w:fldChar w:fldCharType="begin"/>
      </w:r>
      <w:r w:rsidR="00A16B1B">
        <w:instrText xml:space="preserve"> ADDIN ZOTERO_ITEM CSL_CITATION {"citationID":"Mm6dqhqj","properties":{"formattedCitation":"\\super 13\\nosupersub{}","plainCitation":"13","noteIndex":0},"citationItems":[{"id":"xs3HqAE9/5EWvu8xQ","uris":["http://zotero.org/users/local/xDVOxgbN/items/TP75RAGU"],"itemData":{"id":22,"type":"article-journal","abstract":"BACKGROUND: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immune responses after administration of Shanchol, in 25 adults, 51 older children (6-1</w:instrText>
      </w:r>
      <w:r w:rsidR="00A16B1B">
        <w:rPr>
          <w:rFonts w:hint="eastAsia"/>
        </w:rPr>
        <w:instrText>7 years), and 47 younger children (1-5 years) in Haiti, where cholera was introduced in 2010. A</w:instrText>
      </w:r>
      <w:r w:rsidR="00A16B1B">
        <w:rPr>
          <w:rFonts w:hint="eastAsia"/>
        </w:rPr>
        <w:instrText>≥</w:instrText>
      </w:r>
      <w:r w:rsidR="00A16B1B">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A16B1B">
        <w:rPr>
          <w:rFonts w:hint="eastAsia"/>
        </w:rPr>
        <w:instrText>≥</w:instrText>
      </w:r>
      <w:r w:rsidR="00A16B1B">
        <w:rPr>
          <w:rFonts w:hint="eastAsia"/>
        </w:rPr>
        <w:instrText xml:space="preserve">2-fold increase in serum O-antigen specific polysaccharide IgA antibody levels against V. cholerae O1 Ogawa was observed in 59% of adults, 45% of older children, and </w:instrText>
      </w:r>
      <w:r w:rsidR="00A16B1B">
        <w:instrText xml:space="preserve">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13</w:t>
      </w:r>
      <w:r w:rsidR="00133F57" w:rsidRPr="00A436ED">
        <w:fldChar w:fldCharType="end"/>
      </w:r>
      <w:r w:rsidR="00133F57" w:rsidRPr="00A436ED">
        <w:t>. They found that each age cohort had a significant vibriocidal antibody response by as early as day 7, compared to baseline, and increased further by day 21. Additionally, O-antigen specific IgA serum responses were also significant at day 7 and 21. We believe that these findings make it reasonable to conclude a time to immunity post-vaccination of 14 days for modeling purposes. This assumption will be tested via sensitivity analyses using a range of values (from 7 to 28 days) to explore the robustness of our results.</w:t>
      </w:r>
    </w:p>
    <w:p w14:paraId="4547B0E8" w14:textId="113CDAED" w:rsidR="00E56F41" w:rsidRPr="00A436ED" w:rsidRDefault="00E56F41" w:rsidP="00E56F41">
      <w:pPr>
        <w:pStyle w:val="Heading3"/>
        <w:rPr>
          <w:rFonts w:cs="Arial"/>
          <w:color w:val="auto"/>
        </w:rPr>
      </w:pPr>
      <w:bookmarkStart w:id="16" w:name="_Toc208578227"/>
      <w:r w:rsidRPr="00A436ED">
        <w:rPr>
          <w:rFonts w:cs="Arial"/>
          <w:color w:val="auto"/>
        </w:rPr>
        <w:lastRenderedPageBreak/>
        <w:t>S</w:t>
      </w:r>
      <w:r w:rsidR="00850C40">
        <w:rPr>
          <w:rFonts w:cs="Arial" w:hint="eastAsia"/>
          <w:color w:val="auto"/>
        </w:rPr>
        <w:t>5</w:t>
      </w:r>
      <w:r w:rsidRPr="00A436ED">
        <w:rPr>
          <w:rFonts w:cs="Arial"/>
          <w:color w:val="auto"/>
        </w:rPr>
        <w:t xml:space="preserve">. </w:t>
      </w:r>
      <w:r w:rsidRPr="00E56F41">
        <w:rPr>
          <w:rFonts w:cs="Arial"/>
          <w:color w:val="auto"/>
        </w:rPr>
        <w:t>Number of workdays lost to patients and caregivers</w:t>
      </w:r>
      <w:bookmarkEnd w:id="16"/>
      <w:r>
        <w:rPr>
          <w:rFonts w:cs="Arial" w:hint="eastAsia"/>
          <w:color w:val="auto"/>
        </w:rPr>
        <w:t xml:space="preserve"> </w:t>
      </w:r>
    </w:p>
    <w:p w14:paraId="23A41CDA" w14:textId="7836F623" w:rsidR="00E56F41" w:rsidRDefault="00E56F41" w:rsidP="007365B1">
      <w:r w:rsidRPr="00E56F41">
        <w:t xml:space="preserve">To estimate the average number of productivity days lost due to cholera illness, we compiled patient-level data from </w:t>
      </w:r>
      <w:r w:rsidR="00E96DC3">
        <w:rPr>
          <w:rFonts w:hint="eastAsia"/>
        </w:rPr>
        <w:t>four</w:t>
      </w:r>
      <w:r w:rsidRPr="00E56F41">
        <w:t xml:space="preserve"> published studies conducted in sub-Saharan Africa between 2012 and 2017.  These studies were drawn from diverse geographical settings including Malawi</w:t>
      </w:r>
      <w:r>
        <w:fldChar w:fldCharType="begin"/>
      </w:r>
      <w:r>
        <w:instrText xml:space="preserve"> ADDIN ZOTERO_ITEM CSL_CITATION {"citationID":"AiQW24kd","properties":{"formattedCitation":"\\super 18\\nosupersub{}","plainCitation":"18","noteIndex":0},"citationItems":[{"id":11233,"uris":["http://zotero.org/users/7663102/items/V9W3WPPZ"],"itemData":{"id":11233,"type":"article-journal","abstract":"Cholera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Gargasson","given":"Jean-Bernard"}],"issued":{"date-parts":[["2017"]]},"citation-key":"ilboudoCostofillnessCholeraHouseholds2017"}}],"schema":"https://github.com/citation-style-language/schema/raw/master/csl-citation.json"} </w:instrText>
      </w:r>
      <w:r>
        <w:fldChar w:fldCharType="separate"/>
      </w:r>
      <w:r w:rsidRPr="00E56F41">
        <w:rPr>
          <w:rFonts w:ascii="Aptos" w:hAnsi="Aptos" w:cs="Times New Roman"/>
          <w:kern w:val="0"/>
          <w:vertAlign w:val="superscript"/>
        </w:rPr>
        <w:t>18</w:t>
      </w:r>
      <w:r>
        <w:fldChar w:fldCharType="end"/>
      </w:r>
      <w:r w:rsidRPr="00E56F41">
        <w:t>, Ghana</w:t>
      </w:r>
      <w:r>
        <w:fldChar w:fldCharType="begin"/>
      </w:r>
      <w:r>
        <w:instrText xml:space="preserve"> ADDIN ZOTERO_ITEM CSL_CITATION {"citationID":"w7cAj4FM","properties":{"formattedCitation":"\\super 19\\nosupersub{}","plainCitation":"19","noteIndex":0},"citationItems":[{"id":15771,"uris":["http://zotero.org/users/7663102/items/ACGR2WNR"],"itemData":{"id":15771,"type":"article-journal","abstract":"INTRODUCTION: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S."},{"family":"Nketiah-Amponsah","given":"Edward"}],"issued":{"date-parts":[["2017",12,4]]},"citation-key":"awalime2017"}}],"schema":"https://github.com/citation-style-language/schema/raw/master/csl-citation.json"} </w:instrText>
      </w:r>
      <w:r>
        <w:fldChar w:fldCharType="separate"/>
      </w:r>
      <w:r w:rsidRPr="00E56F41">
        <w:rPr>
          <w:rFonts w:ascii="Aptos" w:hAnsi="Aptos" w:cs="Times New Roman"/>
          <w:kern w:val="0"/>
          <w:vertAlign w:val="superscript"/>
        </w:rPr>
        <w:t>19</w:t>
      </w:r>
      <w:r>
        <w:fldChar w:fldCharType="end"/>
      </w:r>
      <w:r w:rsidRPr="00E56F41">
        <w:t>, Mozambique</w:t>
      </w:r>
      <w:r>
        <w:fldChar w:fldCharType="begin"/>
      </w:r>
      <w:r>
        <w:instrText xml:space="preserve"> ADDIN ZOTERO_ITEM CSL_CITATION {"citationID":"bfJAahke","properties":{"formattedCitation":"\\super 20\\nosupersub{}","plainCitation":"20","noteIndex":0},"citationItems":[{"id":15762,"uris":["http://zotero.org/users/7663102/items/YQELS69B"],"itemData":{"id":15762,"type":"article-journal","abstract":"Economic analyses of cholera immunization programmes require estimates of the costs of cholera. The Diseases of the Most Impoverished programme measured the public, provider, and patient costs of culture-confirmed cholera in four study sites with endemic cholera using a combination of hospital- and community-based studies. Families with culture-proven cases were surveyed at home 7 and 14 days after confirmation of illness. Public costs were measured at local health facilities using a micro-costing methodology. Hospital-based studies found that the costs of severe cholera were USD 32 and 47 in Matlab and Beira. Community-based studies in North Jakarta and Kolkata found that cholera cases cost between USD 28 and USD 206, depending on hospitalization. Patient costs of illness as a percentage of average monthly income were 21% and 65% for hospitalized cases in Kolkata and North Jakarta, respectively. This burden on families is not captured by studies that adopt a provider perspective.","container-title":"Epidemiology and infection","DOI":"10.1017/S0950268811000513","ISSN":"0950-2688","issue":"3","journalAbbreviation":"Epidemiol Infect","note":"PMID: 21554781\nPMCID: PMC3824392","page":"10.1017/S0950268811000513","source":"PubMed Central","title":"Costs of Illness Due to Endemic Cholera","volume":"140","author":[{"family":"Poulos","given":"C."},{"family":"Riewpaiboon","given":"A."},{"family":"Stewart","given":"J.F."},{"family":"Clemens","given":"J."},{"family":"Guh","given":"S."},{"family":"Agtini","given":"M."},{"family":"Sur","given":"D."},{"family":"Islam","given":"Z."},{"family":"Lucas","given":"M."},{"family":"Whittington","given":"D."}],"issued":{"date-parts":[["2012",3]]},"citation-key":"poulos2012"}}],"schema":"https://github.com/citation-style-language/schema/raw/master/csl-citation.json"} </w:instrText>
      </w:r>
      <w:r>
        <w:fldChar w:fldCharType="separate"/>
      </w:r>
      <w:r w:rsidRPr="00E56F41">
        <w:rPr>
          <w:rFonts w:ascii="Aptos" w:hAnsi="Aptos" w:cs="Times New Roman"/>
          <w:kern w:val="0"/>
          <w:vertAlign w:val="superscript"/>
        </w:rPr>
        <w:t>20</w:t>
      </w:r>
      <w:r>
        <w:fldChar w:fldCharType="end"/>
      </w:r>
      <w:r w:rsidRPr="00E56F41">
        <w:t>, and Zanzibar</w:t>
      </w:r>
      <w:r>
        <w:fldChar w:fldCharType="begin"/>
      </w:r>
      <w:r>
        <w:instrText xml:space="preserve"> ADDIN ZOTERO_ITEM CSL_CITATION {"citationID":"TQUgPIIR","properties":{"formattedCitation":"\\super 21\\nosupersub{}","plainCitation":"21","noteIndex":0},"citationItems":[{"id":11077,"uris":["http://zotero.org/users/7663102/items/RSS9DN2G"],"itemData":{"id":11077,"type":"article-journal","abstract":"BACKGROUND: The World Health Organization (WHO) recommends oral cholera vaccines (OCVs) as a supplementary tool to conventional prevention of cholera. Dukoral, a killed whole-cell two-dose OCV, was used in a mass vaccination campaign in 2009 in Zanzibar. Public and private costs of illness (COI) due to endemic cholera and costs of the mass vaccination campaign were estimated to assess the cost-effectiveness of OCV for this particular campaign from both the health care provider and the societal perspective.\nMETHODOLOGY/PRINCIPAL FINDINGS: Public and private COI were obtained from interviews with local experts, with patients from three outbreaks and from reports and record review. Cost data for the vaccination campaign were collected based on actual expenditure and planned budget data. A static cohort of 50,000 individuals was examined, including herd protection. Primary outcome measures were incremental cost-effectiveness ratios (ICER) per death, per case and per disability-adjusted life-year (DALY) averted. One-way sensitivity and threshold analyses were conducted. The ICER was evaluated with regard to WHO criteria for cost-effectiveness. Base-case ICERs were USD 750,000 per death averted, USD 6,000 per case averted and USD 30,000 per DALY averted, without differences between the health care provider and the societal perspective. Threshold analyses using Shanchol and assuming high incidence and case-fatality rate indicated that the purchase price per course would have to be as low as USD 1.2 to render the mass vaccination campaign cost-effective from a health care provider perspective (societal perspective: USD 1.3).\nCONCLUSIONS/SIGNIFICANCE: Based on empirical and site-specific cost and effectiveness data from Zanzibar, the 2009 mass vaccination campaign was cost-ineffective mainly due to the relatively high OCV purchase price and a relatively low incidence. However, mass vaccination campaigns in Zanzibar to control endemic cholera may meet criteria for cost-effectiveness under certain circumstances, especially in high-incidence areas and at OCV prices below USD 1.3.","container-title":"PLoS neglected tropical diseases","DOI":"10.1371/journal.pntd.0001844","ISSN":"1935-2735","issue":"10","journalAbbreviation":"PLoS Negl Trop Dis","language":"eng","note":"PMID: 23056660\nPMCID: PMC3464297","page":"e1844","source":"PubMed","title":"Costs of illness due to cholera, costs of immunization and cost-effectiveness of an oral cholera mass vaccination campaign in Zanzibar","volume":"6","author":[{"family":"Schaetti","given":"Christian"},{"family":"Weiss","given":"Mitchell G."},{"family":"Ali","given":"Said M."},{"family":"Chaignat","given":"Claire-Lise"},{"family":"Khatib","given":"Ahmed M."},{"family":"Reyburn","given":"Rita"},{"family":"Duintjer Tebbens","given":"Radboud J."},{"family":"Hutubessy","given":"Raymond"}],"issued":{"date-parts":[["2012"]]},"citation-key":"schaettiCostsIllnessDue2012"}}],"schema":"https://github.com/citation-style-language/schema/raw/master/csl-citation.json"} </w:instrText>
      </w:r>
      <w:r>
        <w:fldChar w:fldCharType="separate"/>
      </w:r>
      <w:r w:rsidRPr="00E56F41">
        <w:rPr>
          <w:rFonts w:ascii="Aptos" w:hAnsi="Aptos" w:cs="Times New Roman"/>
          <w:kern w:val="0"/>
          <w:vertAlign w:val="superscript"/>
        </w:rPr>
        <w:t>21</w:t>
      </w:r>
      <w:r>
        <w:fldChar w:fldCharType="end"/>
      </w:r>
      <w:r w:rsidRPr="00E56F41">
        <w:t xml:space="preserve">. </w:t>
      </w:r>
      <w:r w:rsidR="005D1F67">
        <w:rPr>
          <w:rFonts w:hint="eastAsia"/>
        </w:rPr>
        <w:t>T</w:t>
      </w:r>
      <w:r w:rsidRPr="00E56F41">
        <w:t>wo additional studies</w:t>
      </w:r>
      <w:r w:rsidR="00E96DC3">
        <w:rPr>
          <w:rFonts w:hint="eastAsia"/>
        </w:rPr>
        <w:t xml:space="preserve"> </w:t>
      </w:r>
      <w:r w:rsidR="005D1F67">
        <w:rPr>
          <w:rFonts w:hint="eastAsia"/>
        </w:rPr>
        <w:t>from</w:t>
      </w:r>
      <w:r w:rsidR="00E96DC3">
        <w:rPr>
          <w:rFonts w:hint="eastAsia"/>
        </w:rPr>
        <w:t xml:space="preserve"> </w:t>
      </w:r>
      <w:r w:rsidRPr="00E56F41">
        <w:t xml:space="preserve">Somalia </w:t>
      </w:r>
      <w:r>
        <w:fldChar w:fldCharType="begin"/>
      </w:r>
      <w:r>
        <w:instrText xml:space="preserve"> ADDIN ZOTERO_ITEM CSL_CITATION {"citationID":"d611C8Ks","properties":{"formattedCitation":"\\super 22\\nosupersub{}","plainCitation":"22","noteIndex":0},"citationItems":[{"id":15777,"uris":["http://zotero.org/users/7663102/items/I9MQZEDE"],"itemData":{"id":15777,"type":"article-journal","abstract":"Cholera remains a substantial public health challenge in Somalia. Ongoing droughts in the country have caused significant outbreaks which have negatively affected the lives of many individuals and overwhelmed health facilities. We aimed to estimate the costs associated with cholera cases for households and health facilities in Somalia.","container-title":"Journal of Epidemiology and Global Health","DOI":"10.1007/s44197-024-00278-6","ISSN":"2210-6014","issue":"3","journalAbbreviation":"J Epidemiol Glob Health","language":"en","page":"1219-1230","source":"Springer Link","title":"Cost of Cholera for Households and Health Facilities, Somalia","volume":"14","author":[{"family":"Figuereo","given":"Salvador"},{"family":"Yoon","given":"Ian"},{"family":"Kaddu","given":"Ssentamu Simon"},{"family":"Lubogo","given":"Mutaawe"},{"family":"Baruch","given":"Joaquin"},{"family":"Hossain","given":"Asm Amjad"},{"family":"Mohamed","given":"Sahra Isse"},{"family":"Abubakar","given":"Ali H. A."},{"family":"Mohamud","given":"Khalid Mohamed"},{"family":"Malik","given":"Sk Md Mamunur Rahman"}],"issued":{"date-parts":[["2024",9,1]]},"citation-key":"figuereo2024"}}],"schema":"https://github.com/citation-style-language/schema/raw/master/csl-citation.json"} </w:instrText>
      </w:r>
      <w:r>
        <w:fldChar w:fldCharType="separate"/>
      </w:r>
      <w:r w:rsidRPr="00E56F41">
        <w:rPr>
          <w:rFonts w:ascii="Aptos" w:hAnsi="Aptos" w:cs="Times New Roman"/>
          <w:kern w:val="0"/>
          <w:vertAlign w:val="superscript"/>
        </w:rPr>
        <w:t>22</w:t>
      </w:r>
      <w:r>
        <w:fldChar w:fldCharType="end"/>
      </w:r>
      <w:r w:rsidRPr="00E56F41">
        <w:t>and Zambia</w:t>
      </w:r>
      <w:r>
        <w:fldChar w:fldCharType="begin"/>
      </w:r>
      <w:r w:rsidR="00A16B1B">
        <w:instrText xml:space="preserve"> ADDIN ZOTERO_ITEM CSL_CITATION {"citationID":"jOkM3AUr","properties":{"formattedCitation":"\\super 23\\nosupersub{}","plainCitation":"23","noteIndex":0},"citationItems":[{"id":"xs3HqAE9/OD65pC0o","uris":["http://zotero.org/users/local/xDVOxgbN/items/CHWSBXCE"],"itemData":{"id":"KLfV67S5/B6P7ZAKz","type":"article-journal","container-title":"PLOS ONE","DOI":"10.1371/journal.pone.0215972","ISSN":"1932-6203","issue":"5","journalAbbreviation":"PLoS ONE","language":"en","page":"e0215972","source":"DOI.org (Crossref)","title":"Evaluating the costs of cholera illness and cost-effectiveness of a single dose oral vaccination campaign in Lusaka, Zambia","volume":"14","author":[{"family":"Tembo","given":"Tannia"},{"family":"Simuyandi","given":"Michelo"},{"family":"Chiyenu","given":"Kanema"},{"family":"Sharma","given":"Anjali"},{"family":"Chilyabanyama","given":"Obvious N."},{"family":"Mbwili-Muleya","given":"Clara"},{"family":"Mazaba","given":"Mazyanga Lucy"},{"family":"Chilengi","given":"Roma"}],"editor":[{"family":"Thet Wai","given":"Khin"}],"issued":{"date-parts":[["2019",5,31]]}}}],"schema":"https://github.com/citation-style-language/schema/raw/master/csl-citation.json"} </w:instrText>
      </w:r>
      <w:r>
        <w:fldChar w:fldCharType="separate"/>
      </w:r>
      <w:r w:rsidRPr="00E56F41">
        <w:rPr>
          <w:rFonts w:ascii="Aptos" w:hAnsi="Aptos" w:cs="Times New Roman"/>
          <w:kern w:val="0"/>
          <w:vertAlign w:val="superscript"/>
        </w:rPr>
        <w:t>23</w:t>
      </w:r>
      <w:r>
        <w:fldChar w:fldCharType="end"/>
      </w:r>
      <w:r w:rsidR="005D1F67">
        <w:rPr>
          <w:rFonts w:hint="eastAsia"/>
        </w:rPr>
        <w:t xml:space="preserve"> were reviewed but </w:t>
      </w:r>
      <w:r>
        <w:rPr>
          <w:rFonts w:hint="eastAsia"/>
        </w:rPr>
        <w:t>excluded</w:t>
      </w:r>
      <w:r w:rsidR="00D332C4">
        <w:rPr>
          <w:rFonts w:hint="eastAsia"/>
        </w:rPr>
        <w:t>. T</w:t>
      </w:r>
      <w:r>
        <w:rPr>
          <w:rFonts w:hint="eastAsia"/>
        </w:rPr>
        <w:t xml:space="preserve">he </w:t>
      </w:r>
      <w:r w:rsidR="005D1F67">
        <w:rPr>
          <w:rFonts w:hint="eastAsia"/>
        </w:rPr>
        <w:t xml:space="preserve">Somalia </w:t>
      </w:r>
      <w:r>
        <w:rPr>
          <w:rFonts w:hint="eastAsia"/>
        </w:rPr>
        <w:t xml:space="preserve">study </w:t>
      </w:r>
      <w:r w:rsidRPr="00E56F41">
        <w:t xml:space="preserve">reported </w:t>
      </w:r>
      <w:r w:rsidR="005D1F67">
        <w:rPr>
          <w:rFonts w:hint="eastAsia"/>
        </w:rPr>
        <w:t xml:space="preserve">only </w:t>
      </w:r>
      <w:r w:rsidRPr="00E56F41">
        <w:t xml:space="preserve">the </w:t>
      </w:r>
      <w:r w:rsidR="005D1F67">
        <w:rPr>
          <w:rFonts w:hint="eastAsia"/>
        </w:rPr>
        <w:t xml:space="preserve">average duration of stay </w:t>
      </w:r>
      <w:r w:rsidRPr="00E56F41">
        <w:t xml:space="preserve">at the cholera treatment center only </w:t>
      </w:r>
      <w:r w:rsidR="005D1F67">
        <w:rPr>
          <w:rFonts w:hint="eastAsia"/>
        </w:rPr>
        <w:t xml:space="preserve">and </w:t>
      </w:r>
      <w:r>
        <w:rPr>
          <w:rFonts w:hint="eastAsia"/>
        </w:rPr>
        <w:t xml:space="preserve">did </w:t>
      </w:r>
      <w:r w:rsidRPr="00E56F41">
        <w:t xml:space="preserve">not account for </w:t>
      </w:r>
      <w:r w:rsidR="005D1F67">
        <w:rPr>
          <w:rFonts w:hint="eastAsia"/>
        </w:rPr>
        <w:t>post-discharge recovery while t</w:t>
      </w:r>
      <w:r>
        <w:t>he</w:t>
      </w:r>
      <w:r>
        <w:rPr>
          <w:rFonts w:hint="eastAsia"/>
        </w:rPr>
        <w:t xml:space="preserve"> </w:t>
      </w:r>
      <w:r w:rsidR="005D1F67">
        <w:rPr>
          <w:rFonts w:hint="eastAsia"/>
        </w:rPr>
        <w:t xml:space="preserve">Zambia </w:t>
      </w:r>
      <w:r>
        <w:rPr>
          <w:rFonts w:hint="eastAsia"/>
        </w:rPr>
        <w:t xml:space="preserve">study </w:t>
      </w:r>
      <w:r w:rsidR="005D1F67">
        <w:rPr>
          <w:rFonts w:hint="eastAsia"/>
        </w:rPr>
        <w:t xml:space="preserve">provided </w:t>
      </w:r>
      <w:r w:rsidR="005D1F67" w:rsidRPr="005D1F67">
        <w:t>only categorical durations without reporting a mean or median, and the upper bound of the categories was undefined.</w:t>
      </w:r>
      <w:r w:rsidRPr="00E56F41">
        <w:t> </w:t>
      </w:r>
      <w:r w:rsidR="005D1F67" w:rsidRPr="005D1F67">
        <w:t>The four included studies used varying definitions of productivity loss, such as self-reported inactivity periods, missed workdays, and illness duration. We treated these as conceptually comparable, interpreting each as reflecting the total number of days of productivity lost per patient, including both hospitalization and recovery periods.</w:t>
      </w:r>
      <w:r w:rsidR="00D332C4">
        <w:rPr>
          <w:rFonts w:hint="eastAsia"/>
        </w:rPr>
        <w:t xml:space="preserve"> </w:t>
      </w:r>
      <w:r>
        <w:rPr>
          <w:rFonts w:hint="eastAsia"/>
        </w:rPr>
        <w:t>Two studies (</w:t>
      </w:r>
      <w:r w:rsidRPr="00E56F41">
        <w:t>Malawi</w:t>
      </w:r>
      <w:r>
        <w:fldChar w:fldCharType="begin"/>
      </w:r>
      <w:r w:rsidR="00A16B1B">
        <w:instrText xml:space="preserve"> ADDIN ZOTERO_ITEM CSL_CITATION {"citationID":"koVDCcGJ","properties":{"formattedCitation":"\\super 18\\nosupersub{}","plainCitation":"18","noteIndex":0},"citationItems":[{"id":11233,"uris":["http://zotero.org/users/7663102/items/V9W3WPPZ"],"itemData":{"id":11233,"type":"article-journal","abstract":"Cholera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Gargasson","given":"Jean-Bernard"}],"issued":{"date-parts":[["2017"]]},"citation-key":"ilboudoCostofillnessCholeraHouseholds2017"}}],"schema":"https://github.com/citation-style-language/schema/raw/master/csl-citation.json"} </w:instrText>
      </w:r>
      <w:r>
        <w:fldChar w:fldCharType="separate"/>
      </w:r>
      <w:r w:rsidRPr="00E56F41">
        <w:rPr>
          <w:rFonts w:ascii="Aptos" w:hAnsi="Aptos" w:cs="Times New Roman"/>
          <w:kern w:val="0"/>
          <w:vertAlign w:val="superscript"/>
        </w:rPr>
        <w:t>18</w:t>
      </w:r>
      <w:r>
        <w:fldChar w:fldCharType="end"/>
      </w:r>
      <w:r w:rsidRPr="00E56F41">
        <w:t>, Ghana</w:t>
      </w:r>
      <w:r>
        <w:fldChar w:fldCharType="begin"/>
      </w:r>
      <w:r w:rsidR="00A16B1B">
        <w:instrText xml:space="preserve"> ADDIN ZOTERO_ITEM CSL_CITATION {"citationID":"bPgkfP4X","properties":{"formattedCitation":"\\super 19\\nosupersub{}","plainCitation":"19","noteIndex":0},"citationItems":[{"id":15771,"uris":["http://zotero.org/users/7663102/items/ACGR2WNR"],"itemData":{"id":15771,"type":"article-journal","abstract":"INTRODUCTION: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S."},{"family":"Nketiah-Amponsah","given":"Edward"}],"issued":{"date-parts":[["2017",12,4]]},"citation-key":"awalime2017"}}],"schema":"https://github.com/citation-style-language/schema/raw/master/csl-citation.json"} </w:instrText>
      </w:r>
      <w:r>
        <w:fldChar w:fldCharType="separate"/>
      </w:r>
      <w:r w:rsidRPr="00E56F41">
        <w:rPr>
          <w:rFonts w:ascii="Aptos" w:hAnsi="Aptos" w:cs="Times New Roman"/>
          <w:kern w:val="0"/>
          <w:vertAlign w:val="superscript"/>
        </w:rPr>
        <w:t>19</w:t>
      </w:r>
      <w:r>
        <w:fldChar w:fldCharType="end"/>
      </w:r>
      <w:r>
        <w:rPr>
          <w:rFonts w:hint="eastAsia"/>
        </w:rPr>
        <w:t xml:space="preserve">) also </w:t>
      </w:r>
      <w:r w:rsidR="009F2490">
        <w:rPr>
          <w:rFonts w:hint="eastAsia"/>
        </w:rPr>
        <w:t>reported</w:t>
      </w:r>
      <w:r w:rsidR="005D1F67" w:rsidRPr="005D1F67">
        <w:t xml:space="preserve"> productivity loss from the caregiver’s perspective.</w:t>
      </w:r>
      <w:r>
        <w:rPr>
          <w:rFonts w:hint="eastAsia"/>
        </w:rPr>
        <w:t xml:space="preserve"> </w:t>
      </w:r>
      <w:r w:rsidRPr="00E56F41">
        <w:t xml:space="preserve">Using these </w:t>
      </w:r>
      <w:r w:rsidR="005D1F67">
        <w:rPr>
          <w:rFonts w:hint="eastAsia"/>
        </w:rPr>
        <w:t>data</w:t>
      </w:r>
      <w:r w:rsidRPr="00E56F41">
        <w:t>, we c</w:t>
      </w:r>
      <w:r w:rsidR="005D1F67">
        <w:rPr>
          <w:rFonts w:hint="eastAsia"/>
        </w:rPr>
        <w:t xml:space="preserve">alculated </w:t>
      </w:r>
      <w:r w:rsidRPr="00E56F41">
        <w:t>a weighted average of days lost</w:t>
      </w:r>
      <w:r w:rsidR="005D1F67">
        <w:rPr>
          <w:rFonts w:hint="eastAsia"/>
        </w:rPr>
        <w:t xml:space="preserve"> per episode</w:t>
      </w:r>
      <w:proofErr w:type="gramStart"/>
      <w:r w:rsidRPr="00E56F41">
        <w:t>, applying</w:t>
      </w:r>
      <w:proofErr w:type="gramEnd"/>
      <w:r w:rsidRPr="00E56F41">
        <w:t xml:space="preserve"> </w:t>
      </w:r>
      <w:proofErr w:type="spellStart"/>
      <w:r w:rsidR="005D1F67">
        <w:rPr>
          <w:rFonts w:hint="eastAsia"/>
        </w:rPr>
        <w:t>applying</w:t>
      </w:r>
      <w:proofErr w:type="spellEnd"/>
      <w:r w:rsidR="005D1F67">
        <w:rPr>
          <w:rFonts w:hint="eastAsia"/>
        </w:rPr>
        <w:t xml:space="preserve"> study-specific </w:t>
      </w:r>
      <w:r w:rsidRPr="00E56F41">
        <w:t>sample sizes as weights. This yielded a</w:t>
      </w:r>
      <w:r w:rsidR="005D1F67">
        <w:rPr>
          <w:rFonts w:hint="eastAsia"/>
        </w:rPr>
        <w:t>n</w:t>
      </w:r>
      <w:r w:rsidRPr="00E56F41">
        <w:t xml:space="preserve"> average of </w:t>
      </w:r>
      <w:r w:rsidR="00D332C4">
        <w:rPr>
          <w:rFonts w:hint="eastAsia"/>
        </w:rPr>
        <w:t>6.5</w:t>
      </w:r>
      <w:r w:rsidRPr="00E56F41">
        <w:t xml:space="preserve"> days</w:t>
      </w:r>
      <w:r w:rsidR="00D332C4">
        <w:rPr>
          <w:rFonts w:hint="eastAsia"/>
        </w:rPr>
        <w:t xml:space="preserve"> </w:t>
      </w:r>
      <w:r w:rsidR="005D1F67">
        <w:rPr>
          <w:rFonts w:hint="eastAsia"/>
        </w:rPr>
        <w:t xml:space="preserve">per patient </w:t>
      </w:r>
      <w:r w:rsidR="00D332C4">
        <w:rPr>
          <w:rFonts w:hint="eastAsia"/>
        </w:rPr>
        <w:t>and 3.3 days</w:t>
      </w:r>
      <w:r w:rsidRPr="00E56F41">
        <w:t xml:space="preserve"> lost per </w:t>
      </w:r>
      <w:r w:rsidR="00D332C4">
        <w:rPr>
          <w:rFonts w:hint="eastAsia"/>
        </w:rPr>
        <w:t>caregiver</w:t>
      </w:r>
      <w:r w:rsidR="005D1F67">
        <w:rPr>
          <w:rFonts w:hint="eastAsia"/>
        </w:rPr>
        <w:t xml:space="preserve"> per cholera episode</w:t>
      </w:r>
      <w:r w:rsidRPr="00E56F41">
        <w:t xml:space="preserve">. </w:t>
      </w:r>
    </w:p>
    <w:p w14:paraId="2DB35AB5" w14:textId="406FF3BA" w:rsidR="00592B80" w:rsidRPr="00A436ED" w:rsidRDefault="00592B80" w:rsidP="00592B80">
      <w:pPr>
        <w:pStyle w:val="Heading3"/>
        <w:rPr>
          <w:rFonts w:cs="Arial"/>
          <w:color w:val="auto"/>
        </w:rPr>
      </w:pPr>
      <w:bookmarkStart w:id="17" w:name="_Toc208578228"/>
      <w:r w:rsidRPr="00A436ED">
        <w:rPr>
          <w:rFonts w:cs="Arial"/>
          <w:color w:val="auto"/>
        </w:rPr>
        <w:t>S</w:t>
      </w:r>
      <w:r w:rsidR="00850C40">
        <w:rPr>
          <w:rFonts w:cs="Arial" w:hint="eastAsia"/>
          <w:color w:val="auto"/>
        </w:rPr>
        <w:t>6</w:t>
      </w:r>
      <w:r w:rsidRPr="00A436ED">
        <w:rPr>
          <w:rFonts w:cs="Arial"/>
          <w:color w:val="auto"/>
        </w:rPr>
        <w:t xml:space="preserve">. </w:t>
      </w:r>
      <w:r>
        <w:rPr>
          <w:rFonts w:cs="Arial" w:hint="eastAsia"/>
          <w:color w:val="auto"/>
        </w:rPr>
        <w:t>Mean age of infection</w:t>
      </w:r>
      <w:bookmarkEnd w:id="17"/>
    </w:p>
    <w:p w14:paraId="4083BC13" w14:textId="718ADE59" w:rsidR="002D464F" w:rsidRDefault="002D464F" w:rsidP="00A12017">
      <w:r w:rsidRPr="002D464F">
        <w:t xml:space="preserve">The </w:t>
      </w:r>
      <w:r w:rsidR="006C2E03">
        <w:rPr>
          <w:rFonts w:hint="eastAsia"/>
        </w:rPr>
        <w:t>mean</w:t>
      </w:r>
      <w:r w:rsidRPr="002D464F">
        <w:t xml:space="preserve"> age of infection was estimated as the weighted mean of infected individuals’ ages, based on outbreak investigations in </w:t>
      </w:r>
      <w:r w:rsidR="00CF4F91">
        <w:rPr>
          <w:rFonts w:hint="eastAsia"/>
        </w:rPr>
        <w:t>Sudan</w:t>
      </w:r>
      <w:r w:rsidR="00CF4F91">
        <w:fldChar w:fldCharType="begin"/>
      </w:r>
      <w:r w:rsidR="00E56F41">
        <w:instrText xml:space="preserve"> ADDIN ZOTERO_ITEM CSL_CITATION {"citationID":"qeCjqO4A","properties":{"formattedCitation":"\\super 24\\nosupersub{}","plainCitation":"24","noteIndex":0},"citationItems":[{"id":15470,"uris":["http://zotero.org/users/7663102/items/U4ANRM9Y"],"itemData":{"id":15470,"type":"article-journal","container-title":"Eastern Mediterranean Health Journal","journalAbbreviation":"EMHJ","language":"en-gb","title":"Retrospective analysis of a large-scale cholera outbreak in Sudan","URL":"http://www.emro.who.int/emhj-volume-30-2024/volume-30-issue-10/retrospective-analysis-of-a-large-scale-cholera-outbreak-in-sudan.html","author":[{"family":"Bushra","given":"Hassan"}],"accessed":{"date-parts":[["2025",5,13]]},"citation-key":"bushra"}}],"schema":"https://github.com/citation-style-language/schema/raw/master/csl-citation.json"} </w:instrText>
      </w:r>
      <w:r w:rsidR="00CF4F91">
        <w:fldChar w:fldCharType="separate"/>
      </w:r>
      <w:r w:rsidR="00E56F41" w:rsidRPr="00E56F41">
        <w:rPr>
          <w:rFonts w:ascii="Aptos" w:hAnsi="Aptos" w:cs="Times New Roman"/>
          <w:kern w:val="0"/>
          <w:vertAlign w:val="superscript"/>
        </w:rPr>
        <w:t>24</w:t>
      </w:r>
      <w:r w:rsidR="00CF4F91">
        <w:fldChar w:fldCharType="end"/>
      </w:r>
      <w:r w:rsidR="00CF4F91">
        <w:rPr>
          <w:rFonts w:hint="eastAsia"/>
        </w:rPr>
        <w:t>, South Sudan</w:t>
      </w:r>
      <w:r w:rsidR="00CF4F91">
        <w:fldChar w:fldCharType="begin"/>
      </w:r>
      <w:r w:rsidR="00E56F41">
        <w:instrText xml:space="preserve"> ADDIN ZOTERO_ITEM CSL_CITATION {"citationID":"c9tibvND","properties":{"formattedCitation":"\\super 25\\nosupersub{}","plainCitation":"25","noteIndex":0},"citationItems":[{"id":5982,"uris":["http://zotero.org/users/7663102/items/7QUHPTS7"],"itemData":{"id":5982,"type":"article-journal","abstract":"Background: On 18th May 2017, State Ministry of Health of former Warrap State received a report from Tonj East County of an outbreak of acute watery diarrhoea and vomiting in Makuac payam. We conducted this investigation to confirm the causative organism and describe the epidemiology of the outbreak in order to support evidence-based control measures. Methods: We defined a suspected case as a resident of Tonj East or Tonj North County with sudden onset of acute watery diarrhoea and vomiting between May 1 and October 15, 2017. A probable case was defined as a suspected case with a positive rapid test for Vibrio cholerae; a confirmed case was a probable case with a positive stool culture for V. cholerae. We conducted systematic case finding by visiting health facilities and villages in the affected payams. We reviewed patient records from 1 May 2017 to 15 October 2017, to identify suspected cholera case-patients. We conducted a descriptive epidemiologic study, examining the distribution of the cases. We computed the attack rates by age, sex, and payam of residence. Case fatality rate was calculated as the ratio of the total number of suspected cholera death to the total number of cholera case-patients. We conducted an oral cholera vaccination campaign after the peak of the outbreak to control and prevent the spread to other payams. Results: We identified 1451 suspected cholera cases between May and October 2017. Of these, 81% (21/26) had a positive rapid diagnostic test for V. cholerae; out of the 16 rectal swabs transported to the National Public Laboratory, 88% (14/16) were confirmed to be V. cholerae O1 serotype Inaba. The epidemic curve shows continuous common source outbreak with several peaks. The mean age o</w:instrText>
      </w:r>
      <w:r w:rsidR="00E56F41">
        <w:rPr>
          <w:rFonts w:hint="eastAsia"/>
        </w:rPr>
        <w:instrText xml:space="preserve">f the case-patients was 24 years (Range: 0.2-75y). The clinical presentations of the case-patients were consistent with cholera. Males had an attack rate of 9.9/10000. The highest attack rate was in </w:instrText>
      </w:r>
      <w:r w:rsidR="00E56F41">
        <w:rPr>
          <w:rFonts w:hint="eastAsia"/>
        </w:rPr>
        <w:instrText>≥</w:instrText>
      </w:r>
      <w:r w:rsidR="00E56F41">
        <w:rPr>
          <w:rFonts w:hint="eastAsia"/>
        </w:rPr>
        <w:instrText xml:space="preserve">30y (14 per 10,000). Among the six payams affected, Makuac had the highest attack rate of 3/100. The case fatality rate (CFR) was 3.0% (44/1451). Paliang and Wunlit had an oral cholera vaccination coverage of </w:instrText>
      </w:r>
      <w:r w:rsidR="00E56F41">
        <w:rPr>
          <w:rFonts w:hint="eastAsia"/>
        </w:rPr>
        <w:instrText>≥</w:instrText>
      </w:r>
      <w:r w:rsidR="00E56F41">
        <w:rPr>
          <w:rFonts w:hint="eastAsia"/>
        </w:rPr>
        <w:instrText>100%, while 4 payams had a vaccination coverage of &lt; 90%. Conclusion: This was a continuous common s</w:instrText>
      </w:r>
      <w:r w:rsidR="00E56F41">
        <w:instrText xml:space="preserve">ource cholera outbreak caused by V. cholerae 01 sero type Inaba. We recommended strengthening of the surveillance system to improve early detection and effective response.","container-title":"BMC Infectious Diseases","DOI":"10.1186/s12879-018-3640-5","issue":"1","language":"eng","page":"4","title":"Epidemiological description of a protracted cholera outbreak in Tonj East and Tonj North counties, former Warrap State, South Sudan, May-Oct 2017","volume":"19","author":[{"family":"Nsubuga","given":"Fred"},{"family":"Garang","given":"Stephen Chol"},{"family":"Tut","given":"Mathew"},{"family":"Oguttu","given":"David"},{"family":"Lubajo","given":"Robert"},{"family":"Lodiongo","given":"Dennis"},{"family":"Lasuba","given":"Michael"},{"family":"Mpairwe","given":"Allan"}],"issued":{"date-parts":[["2019"]]},"citation-key":"nsubugaEpidemiologicalDescriptionProtracted2019"}}],"schema":"https://github.com/citation-style-language/schema/raw/master/csl-citation.json"} </w:instrText>
      </w:r>
      <w:r w:rsidR="00CF4F91">
        <w:fldChar w:fldCharType="separate"/>
      </w:r>
      <w:r w:rsidR="00E56F41" w:rsidRPr="00E56F41">
        <w:rPr>
          <w:rFonts w:ascii="Aptos" w:hAnsi="Aptos" w:cs="Times New Roman"/>
          <w:kern w:val="0"/>
          <w:vertAlign w:val="superscript"/>
        </w:rPr>
        <w:t>25</w:t>
      </w:r>
      <w:r w:rsidR="00CF4F91">
        <w:fldChar w:fldCharType="end"/>
      </w:r>
      <w:r w:rsidR="00CF4F91">
        <w:rPr>
          <w:rFonts w:hint="eastAsia"/>
        </w:rPr>
        <w:t>, Nigeria</w:t>
      </w:r>
      <w:r w:rsidR="00CF4F91">
        <w:fldChar w:fldCharType="begin"/>
      </w:r>
      <w:r w:rsidR="00E56F41">
        <w:instrText xml:space="preserve"> ADDIN ZOTERO_ITEM CSL_CITATION {"citationID":"aCI6ZuLr","properties":{"formattedCitation":"\\super 26\\nosupersub{}","plainCitation":"26","noteIndex":0},"citationItems":[{"id":5760,"uris":["http://zotero.org/users/7663102/items/88NZJNEI"],"itemData":{"id":5760,"type":"article-journal","abstract":"BACKGROUND: In 2010, 18 States of Nigeria reported cholera outbreaks with a total of 41,787 cases including 1,716 deaths (case-fatality rate [CFR]: 4.1%). This exceeded the mean overall CFR of 2.4% reported in Africa from 2000-2005 and the WHO acceptable rate of 1%. We conducted a descriptive analysis of the 2010 cholera outbreak to determine its epidemiological and spatio-temporal characteristics. METHODS: We conducted retrospective analysis of line lists obtained from 10 of the 18 states that submitted line lists to the Federal Ministry of Health (FMOH). We described the outbreak by time, place and person and calculated the attack rates by state as well as the age- and sex-specific CFR from cholera cases for whom information on age, sex, place of residence, onset of symptoms and outcome were available. RESULTS: A total of 21,111 cases were reported with an overall attack rate and CFR of 47.8 cases /100,000 population and 5.1%, respectively. The CFR ranged in the states between 3.8% and 8.9%. The age-specific CFR was highest among individuals 65 years and above (14.6%). The epidemiological curve showed three peaks with increasing number of weekly reported cases. A geographical clustering of LGAs reporting cholera cases could be seen in all ten states. During the third peak which coincided with flooding in five states the majority of newly affected LGAs were situated next to LGAs with previously reported cholera cases, only few isolated outbreaks were seen. CONCLUSION: Our study showed a cholera outbreak that grew in magnitude and spread to involve the whole northern part of the country. It also highlights challenges of suboptimal surveillance and response in developing countries as well as potential endemicity of cholera in the northern part of Nigeria. There is the need for a harmonized, coordinated approach to cholera outbreaks through effective surveillance and response with emphasis on training and motivating front line health workers towards timely detection, reporting and response. Findings from the report should be interpreted with caution due to the high number of cases with incomplete information, and lack of data from eight states.","container-title":"BMC Public Health","DOI":"10.1186/1471-2458-14-1167","issue":"1","language":"eng","page":"1167","title":"Descriptive characterization of the 2010 cholera outbreak in Nigeria","volume":"14","author":[{"family":"Dalhat","given":"Mahmood Muazu"},{"family":"Isa","given":"Aisha Nasiru"},{"family":"Nguku","given":"Patrick"},{"family":"Nasir","given":"Sani-Gwarzo"},{"family":"Urban","given":"Katharina"},{"family":"Abdulaziz","given":"Mohammed"},{"family":"Dankoli","given":"Raymond Salanga"},{"family":"Nsubuga","given":"Peter"},{"family":"Poggensee","given":"Gabriele"}],"issued":{"date-parts":[["2014"]]},"citation-key":"dalhatDescriptiveCharacterization20102014"}}],"schema":"https://github.com/citation-style-language/schema/raw/master/csl-citation.json"} </w:instrText>
      </w:r>
      <w:r w:rsidR="00CF4F91">
        <w:fldChar w:fldCharType="separate"/>
      </w:r>
      <w:r w:rsidR="00E56F41" w:rsidRPr="00E56F41">
        <w:rPr>
          <w:rFonts w:ascii="Aptos" w:hAnsi="Aptos" w:cs="Times New Roman"/>
          <w:kern w:val="0"/>
          <w:vertAlign w:val="superscript"/>
        </w:rPr>
        <w:t>26</w:t>
      </w:r>
      <w:r w:rsidR="00CF4F91">
        <w:fldChar w:fldCharType="end"/>
      </w:r>
      <w:r w:rsidR="00CF4F91">
        <w:rPr>
          <w:rFonts w:hint="eastAsia"/>
        </w:rPr>
        <w:t xml:space="preserve"> , Ethiopia</w:t>
      </w:r>
      <w:r w:rsidR="00CF4F91">
        <w:fldChar w:fldCharType="begin"/>
      </w:r>
      <w:r w:rsidR="00E56F41">
        <w:instrText xml:space="preserve"> ADDIN ZOTERO_ITEM CSL_CITATION {"citationID":"NAXnvccC","properties":{"formattedCitation":"\\super 27\\nosupersub{}","plainCitation":"27","noteIndex":0},"citationItems":[{"id":15462,"uris":["http://zotero.org/users/7663102/items/VLQJ8YQ2"],"itemData":{"id":15462,"type":"article-journal","abstract":"Background\nThe Ethiopian government has developed the multisectoral cholera elimination plan (NCP) with an aim of reducing cholera incidence and case fatality rate (CFR). To better understand and monitor the progress of this plan, a comprehensive review of national cholera epidemiology is needed.\n\nMethods\nReported data on cholera/acute watery diarrhea (AWD) cases in the past 20 years were extracted from the Ethiopian Public Health Institute and World Health Organization databases. Descriptive statistics, Pearson χ2, and logistic regression analyses were conducted.\n\nResults\nFrom January 2001 to November 2023, a total of 215 205 cholera/AWD cases, 2355 deaths with a cumulative CFR of 1.10% (95% confidence interval [CI], 1.092–1.095), and a mean annual incidence rate of 8.9/100 000 (95% CI, 6.5–11.3) were reported. Two major upsurges of cholera epidemics were found in the last two decades with mean attack rate (AR) of 20.57/100 000 in 2006–2010 and 14.83/100 000 in 2016–2020. Another resurgence of outbreaks occured in 2021–2023 (mean AR, 8.63/100 000). In 2015–2023, 54.0% (53 990/99 945) of cases were aged 15–44 years. National cholera CFR (3.13% [95% CI: 2.1–4.5]) was the highest in 2022. The 2015–2023 cu</w:instrText>
      </w:r>
      <w:r w:rsidR="00E56F41">
        <w:rPr>
          <w:rFonts w:hint="eastAsia"/>
        </w:rPr>
        <w:instrText>mulative cholera CFR was different across regions: Benishangul Gumuz (6.07%), Gambela (1.89%), Sidama (1.42%), Southern Nation, Nationalities, and Peoples</w:instrText>
      </w:r>
      <w:r w:rsidR="00E56F41">
        <w:rPr>
          <w:rFonts w:hint="eastAsia"/>
        </w:rPr>
        <w:instrText>’</w:instrText>
      </w:r>
      <w:r w:rsidR="00E56F41">
        <w:rPr>
          <w:rFonts w:hint="eastAsia"/>
        </w:rPr>
        <w:instrText xml:space="preserve"> (1.34%), Oromia (1.10%), and Amhara (1.09%). Cholera/AWD patients in older adults (</w:instrText>
      </w:r>
      <w:r w:rsidR="00E56F41">
        <w:rPr>
          <w:rFonts w:hint="eastAsia"/>
        </w:rPr>
        <w:instrText>≥</w:instrText>
      </w:r>
      <w:r w:rsidR="00E56F41">
        <w:rPr>
          <w:rFonts w:hint="eastAsia"/>
        </w:rPr>
        <w:instrText>45 years), seve</w:instrText>
      </w:r>
      <w:r w:rsidR="00E56F41">
        <w:instrText xml:space="preserve">re dehydration, peak rainy season (June–August), and outpatients were associated with higher risk of death.\n\nConclusions\nCholera has been a public health problem in Ethiopia with case fatalities still above the global target. Case management needs to be improved particularly in outpatients and older populations. Outbreak preparedness should be rolled out well in advance of the typical rainy seasons. Significant investments are essential to advance the cholera surveillance system at healthcare setting and community level. Underlying factors of cholera deaths per areas should be further investigated to guide appropriate interventions to meet the NCP target by 2028.","container-title":"Clinical Infectious Diseases: An Official Publication of the Infectious Diseases Society of America","DOI":"10.1093/cid/ciae236","ISSN":"1058-4838","issue":"Suppl 1","journalAbbreviation":"Clin Infect Dis","note":"PMID: 38996039\nPMCID: PMC11244192","page":"S8-S19","source":"PubMed Central","title":"Retrospective Analysis of Cholera/Acute Watery Diarrhea Outbreaks in Ethiopia From 2001 To 2023: Incidence, Case Fatality Rate, and Seasonal and Multiyear Epidemic Patterns","title-short":"Retrospective Analysis of Cholera/Acute Watery Diarrhea Outbreaks in Ethiopia From 2001 To 2023","volume":"79","author":[{"family":"Worku Demlie","given":"Yeshambel"},{"family":"Gedefaw","given":"Abel"},{"family":"Jeon","given":"Yeonji"},{"family":"Hailu","given":"Dejene"},{"family":"Getahun","given":"Tomas"},{"family":"Mogeni","given":"Ondari D"},{"family":"Mukasa","given":"David"},{"family":"Jang","given":"Geun Hyeog"},{"family":"Pak","given":"Gi Deok"},{"family":"Kim","given":"Deok Ryun"},{"family":"Getachew","given":"Edlawit Mesfin"},{"family":"Yeshitela","given":"Biruk"},{"family":"Ayele Abebe","given":"Samuyel"},{"family":"Edosa","given":"Moti"},{"family":"Wossen","given":"Mesfin"},{"family":"Teferi","given":"Mekonnen"},{"family":"Park","given":"Se Eun"}],"issued":{"date-parts":[["2024",7,12]]},"citation-key":"workudemlie2024"}}],"schema":"https://github.com/citation-style-language/schema/raw/master/csl-citation.json"} </w:instrText>
      </w:r>
      <w:r w:rsidR="00CF4F91">
        <w:fldChar w:fldCharType="separate"/>
      </w:r>
      <w:r w:rsidR="00E56F41" w:rsidRPr="00E56F41">
        <w:rPr>
          <w:rFonts w:ascii="Aptos" w:hAnsi="Aptos" w:cs="Times New Roman"/>
          <w:kern w:val="0"/>
          <w:vertAlign w:val="superscript"/>
        </w:rPr>
        <w:t>27</w:t>
      </w:r>
      <w:r w:rsidR="00CF4F91">
        <w:fldChar w:fldCharType="end"/>
      </w:r>
      <w:r w:rsidR="00CF4F91">
        <w:rPr>
          <w:rFonts w:hint="eastAsia"/>
        </w:rPr>
        <w:t>, and Uganda</w:t>
      </w:r>
      <w:r w:rsidR="00CF4F91">
        <w:fldChar w:fldCharType="begin"/>
      </w:r>
      <w:r w:rsidR="00E56F41">
        <w:instrText xml:space="preserve"> ADDIN ZOTERO_ITEM CSL_CITATION {"citationID":"tV3bQmXs","properties":{"formattedCitation":"\\super 28,29\\nosupersub{}","plainCitation":"28,29","noteIndex":0},"citationItems":[{"id":5846,"uris":["http://zotero.org/users/7663102/items/KUSHILKL"],"itemData":{"id":5846,"type":"article-journal","abstract":"BACKGROUND: The communities in fishing villages in the Great Lakes Region of Africa and particularly in Uganda experience recurrent cholera outbreaks that lead to considerable mortality and morbidity. We evaluated cholera epidemiology and population characteristics in the fishing villages of Uganda to better target prevention and control interventions of cholera and contribute to its elimination from those communities. METHODOLOGY/PRINCIPAL FINDINGS: We conducted a prospective study between 2011-15 in fishing villages in Uganda. We collected, reviewed and documented epidemiological and socioeconomic data for 10 cholera outbreaks that occurred in fishing communities located along the African Great Lakes and River Nile in Uganda. These outbreaks caused 1,827 suspected cholera cases and 43 deaths, with a Case-Fatality Ratio (CFR) of 2.4%. Though the communities in the fishing villages make up only 5-10% of the Ugandan population, they bear the biggest burden of cholera contributing 58% and 55% of all reported cases and deaths in Uganda during the study period. The CFR was significantly higher among males than females (3.2% vs. 1.3%, p = 0.02). The outbreaks were seasonal with most cases occurring during the months of April-May. Male children under age of 5 years, and 5-9 years had increased risk. Cholera was endemic in some villages with well-defined \"hotspots\". Practices predisposing communities to cholera outbreaks included: the use of contaminated lake water, poor sanitation and hygiene. Additional factors were: ignorance, illiteracy, and poverty. CONCLUSIONS/SIGNIFICANCE: Cholera outbreaks were a major cause of morbidity and mortality among the fishing communities in Uganda. In addition to improvements in water, sanitation, and hygiene, oral cholera vaccines could play an important role in the prevention and control of these outbreaks, particularly when targeted to high-risk areas and populations. Promotion and facilitation of access to social services including education and reduction in poverty should contribute to cholera prevention, control and elimination in these communities.","container-title":"PLOS Neglected Tropical Diseases","DOI":"10.1371/journal.pntd.0005407","issue":"3","language":"eng","page":"e0005407","title":"Epidemiology of cholera outbreaks and socio-economic characteristics of the communities in the fishing villages of Uganda: 2011-2015","volume":"11","author":[{"family":"Bwire","given":"Godfrey"},{"family":"Munier","given":"Aline"},{"family":"Ouedraogo","given":"Issaka"},{"family":"Heyerdahl","given":"Leonard"},{"family":"Komakech","given":"Henry"},{"family":"Kagirita","given":"Atek"},{"family":"Wood","given":"Richard"},{"family":"Mhlanga","given":"Raymond"},{"family":"Njanpop-Lafourcade","given":"Berthe"},{"family":"Malimbo","given":"Mugagga"},{"family":"Makumbi","given":"Issa"},{"family":"Wandawa","given":"Jennifer"},{"family":"Gessner","given":"Bradford D."},{"family":"Orach","given":"Christopher Garimoi"},{"family":"Mengel","given":"Martin A."}],"editor":[{"family":"Ryan","given":"Edward T."}],"issued":{"date-parts":[["2017"]]},"citation-key":"bwireEpidemiologyCholeraOutbreaks2017"}},{"id":5856,"uris":["http://zotero.org/users/7663102/items/NT67TLFI"],"itemData":{"id":5856,"type":"article-journal","abstract":"INTRODUCTION: In 2010, the World Health Organization released a new cholera vaccine position paper, which recommended the use of cholera vaccines in high-risk endemic areas. However, there is a paucity of data on the burden of cholera in endemic countries. This article reviewed available cholera surveillance data from Uganda and assessed the sufficiency of these data to inform country-specific strategies for cholera vaccination. METHODS: The Uganda Ministry of Health conducts cholera surveillance to guide cholera outbreak control activities. This includes reporting the number of cases based on a standardized clinical definition plus systematic laboratory testing of stool samples from suspected cases at the outset and conclusion of outbreaks. This retrospective study analyzes available data by district and by age to estimate incidence rates. Since surveillance activities focus on more severe hospitalized cases and deaths, a sensitivity analysis was conducted to estimate the number of non-severe cases and unrecognized deaths that may not have been captured. RESULTS: Cholera affected all ages, but the geographic distribution of the disease was very heterogeneous in Uganda. We estimated that an average of about 11,000 cholera cases occurred in Uganda each year, which led to approximately 61-182 deaths. The majority of these cases (81%) occurred in a relatively small number of districts comprising just 24% of Uganda's total population. These districts included rural areas bordering the Democratic Republic of Congo, South Sudan, and Kenya as well as the slums of Kampala city. When outbreaks occurred, the average duration was about 15 weeks with a range of 4-44 weeks. DISCUSSION: There is a clear subdivision between high-risk and low-risk districts in Uganda. Vaccination efforts should be focused on the high-risk population. However, enhanced or sentinel surveillance activities should be undertaken to better quantify the endemic disease burden and high-risk populations prior to introducing the vaccine.","container-title":"PLoS Neglected Tropical Diseases","DOI":"10.1371/journal.pntd.0002545","issue":"12","language":"eng","page":"e2545","title":"The Burden of Cholera in Uganda","volume":"7","author":[{"family":"Bwire","given":"Godfrey"},{"family":"Malimbo","given":"Mugagga"},{"family":"Maskery","given":"Brian"},{"family":"Kim","given":"Young Eun"},{"family":"Mogasale","given":"Vittal"},{"family":"Levin","given":"Ann"}],"editor":[{"family":"Ryan","given":"Edward T."}],"issued":{"date-parts":[["2013"]]},"citation-key":"bwireBurdenCholeraUganda2013"}}],"schema":"https://github.com/citation-style-language/schema/raw/master/csl-citation.json"} </w:instrText>
      </w:r>
      <w:r w:rsidR="00CF4F91">
        <w:fldChar w:fldCharType="separate"/>
      </w:r>
      <w:r w:rsidR="00E56F41" w:rsidRPr="00E56F41">
        <w:rPr>
          <w:rFonts w:ascii="Aptos" w:hAnsi="Aptos" w:cs="Times New Roman"/>
          <w:kern w:val="0"/>
          <w:vertAlign w:val="superscript"/>
        </w:rPr>
        <w:t>28,29</w:t>
      </w:r>
      <w:r w:rsidR="00CF4F91">
        <w:fldChar w:fldCharType="end"/>
      </w:r>
      <w:r w:rsidR="00FB3FB0">
        <w:rPr>
          <w:rFonts w:hint="eastAsia"/>
        </w:rPr>
        <w:t>. In</w:t>
      </w:r>
      <w:r w:rsidR="00A12017">
        <w:rPr>
          <w:rFonts w:hint="eastAsia"/>
        </w:rPr>
        <w:t xml:space="preserve"> </w:t>
      </w:r>
      <w:r w:rsidR="00A12017">
        <w:t>the</w:t>
      </w:r>
      <w:r w:rsidR="00A12017">
        <w:rPr>
          <w:rFonts w:hint="eastAsia"/>
        </w:rPr>
        <w:t xml:space="preserve"> Nigeria</w:t>
      </w:r>
      <w:r>
        <w:rPr>
          <w:rFonts w:hint="eastAsia"/>
        </w:rPr>
        <w:t xml:space="preserve"> study</w:t>
      </w:r>
      <w:r w:rsidR="00A12017">
        <w:fldChar w:fldCharType="begin"/>
      </w:r>
      <w:r w:rsidR="00E56F41">
        <w:instrText xml:space="preserve"> ADDIN ZOTERO_ITEM CSL_CITATION {"citationID":"grVupCFZ","properties":{"formattedCitation":"\\super 26\\nosupersub{}","plainCitation":"26","noteIndex":0},"citationItems":[{"id":5760,"uris":["http://zotero.org/users/7663102/items/88NZJNEI"],"itemData":{"id":5760,"type":"article-journal","abstract":"BACKGROUND: In 2010, 18 States of Nigeria reported cholera outbreaks with a total of 41,787 cases including 1,716 deaths (case-fatality rate [CFR]: 4.1%). This exceeded the mean overall CFR of 2.4% reported in Africa from 2000-2005 and the WHO acceptable rate of 1%. We conducted a descriptive analysis of the 2010 cholera outbreak to determine its epidemiological and spatio-temporal characteristics. METHODS: We conducted retrospective analysis of line lists obtained from 10 of the 18 states that submitted line lists to the Federal Ministry of Health (FMOH). We described the outbreak by time, place and person and calculated the attack rates by state as well as the age- and sex-specific CFR from cholera cases for whom information on age, sex, place of residence, onset of symptoms and outcome were available. RESULTS: A total of 21,111 cases were reported with an overall attack rate and CFR of 47.8 cases /100,000 population and 5.1%, respectively. The CFR ranged in the states between 3.8% and 8.9%. The age-specific CFR was highest among individuals 65 years and above (14.6%). The epidemiological curve showed three peaks with increasing number of weekly reported cases. A geographical clustering of LGAs reporting cholera cases could be seen in all ten states. During the third peak which coincided with flooding in five states the majority of newly affected LGAs were situated next to LGAs with previously reported cholera cases, only few isolated outbreaks were seen. CONCLUSION: Our study showed a cholera outbreak that grew in magnitude and spread to involve the whole northern part of the country. It also highlights challenges of suboptimal surveillance and response in developing countries as well as potential endemicity of cholera in the northern part of Nigeria. There is the need for a harmonized, coordinated approach to cholera outbreaks through effective surveillance and response with emphasis on training and motivating front line health workers towards timely detection, reporting and response. Findings from the report should be interpreted with caution due to the high number of cases with incomplete information, and lack of data from eight states.","container-title":"BMC Public Health","DOI":"10.1186/1471-2458-14-1167","issue":"1","language":"eng","page":"1167","title":"Descriptive characterization of the 2010 cholera outbreak in Nigeria","volume":"14","author":[{"family":"Dalhat","given":"Mahmood Muazu"},{"family":"Isa","given":"Aisha Nasiru"},{"family":"Nguku","given":"Patrick"},{"family":"Nasir","given":"Sani-Gwarzo"},{"family":"Urban","given":"Katharina"},{"family":"Abdulaziz","given":"Mohammed"},{"family":"Dankoli","given":"Raymond Salanga"},{"family":"Nsubuga","given":"Peter"},{"family":"Poggensee","given":"Gabriele"}],"issued":{"date-parts":[["2014"]]},"citation-key":"dalhatDescriptiveCharacterization20102014"}}],"schema":"https://github.com/citation-style-language/schema/raw/master/csl-citation.json"} </w:instrText>
      </w:r>
      <w:r w:rsidR="00A12017">
        <w:fldChar w:fldCharType="separate"/>
      </w:r>
      <w:r w:rsidR="00E56F41" w:rsidRPr="00E56F41">
        <w:rPr>
          <w:rFonts w:ascii="Aptos" w:hAnsi="Aptos" w:cs="Times New Roman"/>
          <w:kern w:val="0"/>
          <w:vertAlign w:val="superscript"/>
        </w:rPr>
        <w:t>26</w:t>
      </w:r>
      <w:r w:rsidR="00A12017">
        <w:fldChar w:fldCharType="end"/>
      </w:r>
      <w:r w:rsidR="00A12017">
        <w:rPr>
          <w:rFonts w:hint="eastAsia"/>
        </w:rPr>
        <w:t xml:space="preserve">, </w:t>
      </w:r>
      <w:r w:rsidRPr="002D464F">
        <w:t>the mean age was approximated using the formula</w:t>
      </w:r>
      <w:r>
        <w:rPr>
          <w:rFonts w:hint="eastAsia"/>
        </w:rPr>
        <w:t>,</w:t>
      </w:r>
      <w:r w:rsidR="00A12017">
        <w:rPr>
          <w:rFonts w:hint="eastAsia"/>
        </w:rPr>
        <w:t xml:space="preserve"> (Q1 + 2*median + Q3) /4</w:t>
      </w:r>
      <w:r>
        <w:rPr>
          <w:rFonts w:hint="eastAsia"/>
        </w:rPr>
        <w:t xml:space="preserve">, which closely matched the actual mean </w:t>
      </w:r>
      <w:r w:rsidR="009B57E4">
        <w:rPr>
          <w:rFonts w:hint="eastAsia"/>
        </w:rPr>
        <w:t xml:space="preserve">in </w:t>
      </w:r>
      <w:r>
        <w:rPr>
          <w:rFonts w:hint="eastAsia"/>
        </w:rPr>
        <w:t xml:space="preserve">a </w:t>
      </w:r>
      <w:r w:rsidR="009B57E4">
        <w:rPr>
          <w:rFonts w:hint="eastAsia"/>
        </w:rPr>
        <w:t>Uganda</w:t>
      </w:r>
      <w:r>
        <w:rPr>
          <w:rFonts w:hint="eastAsia"/>
        </w:rPr>
        <w:t>n outbreak</w:t>
      </w:r>
      <w:r w:rsidR="009B57E4">
        <w:fldChar w:fldCharType="begin"/>
      </w:r>
      <w:r w:rsidR="00E56F41">
        <w:instrText xml:space="preserve"> ADDIN ZOTERO_ITEM CSL_CITATION {"citationID":"c3App6xj","properties":{"formattedCitation":"\\super 30\\nosupersub{}","plainCitation":"30","noteIndex":0},"citationItems":[{"id":15472,"uris":["http://zotero.org/users/7663102/items/KI3W3Z9N"],"itemData":{"id":15472,"type":"article-journal","abstract":"Cholera, though a preventable and treatable disease, remains a major cause of morbidity and mortality in the Great Lakes Region of Africa, including Uganda. The communities in the fishing villages constitute 5–10% of the total Ugandan population. Most fishing villages are located along Lakes Victoria, Albert and Edward and the River Nile. During the study period, 2011–2015 these villages were responsible for over 50% of the reported annual cholera cases and deaths in Uganda. The CFR was significantly higher among males than females (3.2% vs. 1.3%, p = 0.02). Our study is the first to systematically describe the epidemiology of these outbreaks and socioeconomic characteristics of communities in the fishing villages in Uganda. Our study found that persons in the fishing villages were at increased risk of cholera outbreaks due to poor access to safe water, sanitation, and hygiene. Furthermore, the villages had similar population characteristics such as illiteracy, ignorance regarding cholera transmission, poverty and constant population migration. In addition to improvements in water, sanitation, and hygiene, complementary use of oral cholera vaccines could play an important role, particularly when targeted to high-risk areas and populations. As a long term strategy, improvements in education and reduction in poverty should contribute to cholera prevention, control and elimination in the fishing villages and Uganda as whole.","container-title":"PLoS Neglected Tropical Diseases","DOI":"10.1371/journal.pntd.0005407","ISSN":"1935-2727","issue":"3","journalAbbreviation":"PLoS Negl Trop Dis","note":"PMID: 28288154\nPMCID: PMC5370135","page":"e0005407","source":"PubMed Central","title":"Epidemiology of cholera outbreaks and socio-economic characteristics of the communities in the fishing villages of Uganda: 2011-2015","title-short":"Epidemiology of cholera outbreaks and socio-economic characteristics of the communities in the fishing villages of Uganda","volume":"11","author":[{"family":"Bwire","given":"Godfrey"},{"family":"Munier","given":"Aline"},{"family":"Ouedraogo","given":"Issaka"},{"family":"Heyerdahl","given":"Leonard"},{"family":"Komakech","given":"Henry"},{"family":"Kagirita","given":"Atek"},{"family":"Wood","given":"Richard"},{"family":"Mhlanga","given":"Raymond"},{"family":"Njanpop-Lafourcade","given":"Berthe"},{"family":"Malimbo","given":"Mugagga"},{"family":"Makumbi","given":"Issa"},{"family":"Wandawa","given":"Jennifer"},{"family":"Gessner","given":"Bradford D."},{"family":"Orach","given":"Christopher Garimoi"},{"family":"Mengel","given":"Martin A."}],"issued":{"date-parts":[["2017",3,13]]},"citation-key":"bwire2017"}}],"schema":"https://github.com/citation-style-language/schema/raw/master/csl-citation.json"} </w:instrText>
      </w:r>
      <w:r w:rsidR="009B57E4">
        <w:fldChar w:fldCharType="separate"/>
      </w:r>
      <w:r w:rsidR="00E56F41" w:rsidRPr="00E56F41">
        <w:rPr>
          <w:rFonts w:ascii="Aptos" w:hAnsi="Aptos" w:cs="Times New Roman"/>
          <w:kern w:val="0"/>
          <w:vertAlign w:val="superscript"/>
        </w:rPr>
        <w:t>30</w:t>
      </w:r>
      <w:r w:rsidR="009B57E4">
        <w:fldChar w:fldCharType="end"/>
      </w:r>
      <w:r w:rsidR="009B57E4">
        <w:rPr>
          <w:rFonts w:hint="eastAsia"/>
        </w:rPr>
        <w:t xml:space="preserve">, where median, Q1, Q3, and mean were </w:t>
      </w:r>
      <w:r>
        <w:rPr>
          <w:rFonts w:hint="eastAsia"/>
        </w:rPr>
        <w:t xml:space="preserve">all reported. </w:t>
      </w:r>
      <w:r w:rsidR="00A12017">
        <w:rPr>
          <w:rFonts w:hint="eastAsia"/>
        </w:rPr>
        <w:t xml:space="preserve">In </w:t>
      </w:r>
      <w:r w:rsidR="00A12017">
        <w:t xml:space="preserve">the </w:t>
      </w:r>
      <w:r w:rsidR="00A12017">
        <w:rPr>
          <w:rFonts w:hint="eastAsia"/>
        </w:rPr>
        <w:t>Ethiopia</w:t>
      </w:r>
      <w:r>
        <w:rPr>
          <w:rFonts w:hint="eastAsia"/>
        </w:rPr>
        <w:t xml:space="preserve"> study</w:t>
      </w:r>
      <w:r w:rsidR="00A12017">
        <w:fldChar w:fldCharType="begin"/>
      </w:r>
      <w:r w:rsidR="00E56F41">
        <w:instrText xml:space="preserve"> ADDIN ZOTERO_ITEM CSL_CITATION {"citationID":"i2NK8uAU","properties":{"formattedCitation":"\\super 27\\nosupersub{}","plainCitation":"27","noteIndex":0},"citationItems":[{"id":15462,"uris":["http://zotero.org/users/7663102/items/VLQJ8YQ2"],"itemData":{"id":15462,"type":"article-journal","abstract":"Background\nThe Ethiopian government has developed the multisectoral cholera elimination plan (NCP) with an aim of reducing cholera incidence and case fatality rate (CFR). To better understand and monitor the progress of this plan, a comprehensive review of national cholera epidemiology is needed.\n\nMethods\nReported data on cholera/acute watery diarrhea (AWD) cases in the past 20 years were extracted from the Ethiopian Public Health Institute and World Health Organization databases. Descriptive statistics, Pearson χ2, and logistic regression analyses were conducted.\n\nResults\nFrom January 2001 to November 2023, a total of 215 205 cholera/AWD cases, 2355 deaths with a cumulative CFR of 1.10% (95% confidence interval [CI], 1.092–1.095), and a mean annual incidence rate of 8.9/100 000 (95% CI, 6.5–11.3) were reported. Two major upsurges of cholera epidemics were found in the last two decades with mean attack rate (AR) of 20.57/100 000 in 2006–2010 and 14.83/100 000 in 2016–2020. Another resurgence of outbreaks occured in 2021–2023 (mean AR, 8.63/100 000). In 2015–2023, 54.0% (53 990/99 945) of cases were aged 15–44 years. National cholera CFR (3.13% [95% CI: 2.1–4.5]) was the highest in 2022. The 2015–2023 cu</w:instrText>
      </w:r>
      <w:r w:rsidR="00E56F41">
        <w:rPr>
          <w:rFonts w:hint="eastAsia"/>
        </w:rPr>
        <w:instrText>mulative cholera CFR was different across regions: Benishangul Gumuz (6.07%), Gambela (1.89%), Sidama (1.42%), Southern Nation, Nationalities, and Peoples</w:instrText>
      </w:r>
      <w:r w:rsidR="00E56F41">
        <w:rPr>
          <w:rFonts w:hint="eastAsia"/>
        </w:rPr>
        <w:instrText>’</w:instrText>
      </w:r>
      <w:r w:rsidR="00E56F41">
        <w:rPr>
          <w:rFonts w:hint="eastAsia"/>
        </w:rPr>
        <w:instrText xml:space="preserve"> (1.34%), Oromia (1.10%), and Amhara (1.09%). Cholera/AWD patients in older adults (</w:instrText>
      </w:r>
      <w:r w:rsidR="00E56F41">
        <w:rPr>
          <w:rFonts w:hint="eastAsia"/>
        </w:rPr>
        <w:instrText>≥</w:instrText>
      </w:r>
      <w:r w:rsidR="00E56F41">
        <w:rPr>
          <w:rFonts w:hint="eastAsia"/>
        </w:rPr>
        <w:instrText>45 years), seve</w:instrText>
      </w:r>
      <w:r w:rsidR="00E56F41">
        <w:instrText xml:space="preserve">re dehydration, peak rainy season (June–August), and outpatients were associated with higher risk of death.\n\nConclusions\nCholera has been a public health problem in Ethiopia with case fatalities still above the global target. Case management needs to be improved particularly in outpatients and older populations. Outbreak preparedness should be rolled out well in advance of the typical rainy seasons. Significant investments are essential to advance the cholera surveillance system at healthcare setting and community level. Underlying factors of cholera deaths per areas should be further investigated to guide appropriate interventions to meet the NCP target by 2028.","container-title":"Clinical Infectious Diseases: An Official Publication of the Infectious Diseases Society of America","DOI":"10.1093/cid/ciae236","ISSN":"1058-4838","issue":"Suppl 1","journalAbbreviation":"Clin Infect Dis","note":"PMID: 38996039\nPMCID: PMC11244192","page":"S8-S19","source":"PubMed Central","title":"Retrospective Analysis of Cholera/Acute Watery Diarrhea Outbreaks in Ethiopia From 2001 To 2023: Incidence, Case Fatality Rate, and Seasonal and Multiyear Epidemic Patterns","title-short":"Retrospective Analysis of Cholera/Acute Watery Diarrhea Outbreaks in Ethiopia From 2001 To 2023","volume":"79","author":[{"family":"Worku Demlie","given":"Yeshambel"},{"family":"Gedefaw","given":"Abel"},{"family":"Jeon","given":"Yeonji"},{"family":"Hailu","given":"Dejene"},{"family":"Getahun","given":"Tomas"},{"family":"Mogeni","given":"Ondari D"},{"family":"Mukasa","given":"David"},{"family":"Jang","given":"Geun Hyeog"},{"family":"Pak","given":"Gi Deok"},{"family":"Kim","given":"Deok Ryun"},{"family":"Getachew","given":"Edlawit Mesfin"},{"family":"Yeshitela","given":"Biruk"},{"family":"Ayele Abebe","given":"Samuyel"},{"family":"Edosa","given":"Moti"},{"family":"Wossen","given":"Mesfin"},{"family":"Teferi","given":"Mekonnen"},{"family":"Park","given":"Se Eun"}],"issued":{"date-parts":[["2024",7,12]]},"citation-key":"workudemlie2024"}}],"schema":"https://github.com/citation-style-language/schema/raw/master/csl-citation.json"} </w:instrText>
      </w:r>
      <w:r w:rsidR="00A12017">
        <w:fldChar w:fldCharType="separate"/>
      </w:r>
      <w:r w:rsidR="00E56F41" w:rsidRPr="00E56F41">
        <w:rPr>
          <w:rFonts w:ascii="Aptos" w:hAnsi="Aptos" w:cs="Times New Roman"/>
          <w:kern w:val="0"/>
          <w:vertAlign w:val="superscript"/>
        </w:rPr>
        <w:t>27</w:t>
      </w:r>
      <w:r w:rsidR="00A12017">
        <w:fldChar w:fldCharType="end"/>
      </w:r>
      <w:r w:rsidR="00A12017">
        <w:rPr>
          <w:rFonts w:hint="eastAsia"/>
        </w:rPr>
        <w:t>,</w:t>
      </w:r>
      <w:r w:rsidRPr="002D464F">
        <w:t xml:space="preserve"> age-specific case counts were provided; </w:t>
      </w:r>
      <w:r w:rsidRPr="002D464F">
        <w:rPr>
          <w:rFonts w:hint="eastAsia"/>
        </w:rPr>
        <w:t>the midpoint of each age group was used as the representative age. For the oldest age group (</w:t>
      </w:r>
      <w:r>
        <w:rPr>
          <w:rFonts w:hint="eastAsia"/>
        </w:rPr>
        <w:t>&gt;=</w:t>
      </w:r>
      <w:r w:rsidRPr="002D464F">
        <w:rPr>
          <w:rFonts w:hint="eastAsia"/>
        </w:rPr>
        <w:t>45 years), we assumed a midpoint of 60 years. Similarly, for the</w:t>
      </w:r>
      <w:r>
        <w:rPr>
          <w:rFonts w:hint="eastAsia"/>
        </w:rPr>
        <w:t xml:space="preserve"> &gt;= </w:t>
      </w:r>
      <w:r w:rsidRPr="002D464F">
        <w:rPr>
          <w:rFonts w:hint="eastAsia"/>
        </w:rPr>
        <w:t xml:space="preserve">60 age group in </w:t>
      </w:r>
      <w:r w:rsidR="00D653B6">
        <w:rPr>
          <w:rFonts w:hint="eastAsia"/>
        </w:rPr>
        <w:t xml:space="preserve">the Uganda </w:t>
      </w:r>
      <w:r w:rsidRPr="002D464F">
        <w:rPr>
          <w:rFonts w:hint="eastAsia"/>
        </w:rPr>
        <w:t>study</w:t>
      </w:r>
      <w:r w:rsidR="00D653B6">
        <w:fldChar w:fldCharType="begin"/>
      </w:r>
      <w:r w:rsidR="00E56F41">
        <w:instrText xml:space="preserve"> ADDIN ZOTERO_ITEM CSL_CITATION {"citationID":"lNrs7qaK","properties":{"formattedCitation":"\\super 29\\nosupersub{}","plainCitation":"29","noteIndex":0},"citationItems":[{"id":5856,"uris":["http://zotero.org/users/7663102/items/NT67TLFI"],"itemData":{"id":5856,"type":"article-journal","abstract":"INTRODUCTION: In 2010, the World Health Organization released a new cholera vaccine position paper, which recommended the use of cholera vaccines in high-risk endemic areas. However, there is a paucity of data on the burden of cholera in endemic countries. This article reviewed available cholera surveillance data from Uganda and assessed the sufficiency of these data to inform country-specific strategies for cholera vaccination. METHODS: The Uganda Ministry of Health conducts cholera surveillance to guide cholera outbreak control activities. This includes reporting the number of cases based on a standardized clinical definition plus systematic laboratory testing of stool samples from suspected cases at the outset and conclusion of outbreaks. This retrospective study analyzes available data by district and by age to estimate incidence rates. Since surveillance activities focus on more severe hospitalized cases and deaths, a sensitivity analysis was conducted to estimate the number of non-severe cases and unrecognized deaths that may not have been captured. RESULTS: Cholera affected all ages, but the geographic distribution of the disease was very heterogeneous in Uganda. We estimated that an average of about 11,000 cholera cases occurred in Uganda each year, which led to approximately 61-182 deaths. The majority of these cases (81%) occurred in a relatively small number of districts comprising just 24% of Uganda's total population. These districts included rural areas bordering the Democratic Republic of Congo, South Sudan, and Kenya as well as the slums of Kampala city. When outbreaks occurred, the average duration was about 15 weeks with a range of 4-44 weeks. DISCUSSION: There is a clear subdivision between high-risk and low-risk districts in Uganda. Vaccination efforts should be focused on the high-risk population. However, enhanced or sentinel surveillance activities should be undertaken to better quantify the endemic disease burden and high-risk populations prior to introducing the vaccine.","container-title":"PLoS Neglected Tropical Diseases","DOI":"10.1371/journal.pntd.0002545","issue":"12","language":"eng","page":"e2545","title":"The Burden of Cholera in Uganda","volume":"7","author":[{"family":"Bwire","given":"Godfrey"},{"family":"Malimbo","given":"Mugagga"},{"family":"Maskery","given":"Brian"},{"family":"Kim","given":"Young Eun"},{"family":"Mogasale","given":"Vittal"},{"family":"Levin","given":"Ann"}],"editor":[{"family":"Ryan","given":"Edward T."}],"issued":{"date-parts":[["2013"]]},"citation-key":"bwireBurdenCholeraUganda2013"}}],"schema":"https://github.com/citation-style-language/schema/raw/master/csl-citation.json"} </w:instrText>
      </w:r>
      <w:r w:rsidR="00D653B6">
        <w:fldChar w:fldCharType="separate"/>
      </w:r>
      <w:r w:rsidR="00E56F41" w:rsidRPr="00E56F41">
        <w:rPr>
          <w:rFonts w:ascii="Aptos" w:hAnsi="Aptos" w:cs="Times New Roman"/>
          <w:kern w:val="0"/>
          <w:vertAlign w:val="superscript"/>
        </w:rPr>
        <w:t>29</w:t>
      </w:r>
      <w:r w:rsidR="00D653B6">
        <w:fldChar w:fldCharType="end"/>
      </w:r>
      <w:r w:rsidRPr="002D464F">
        <w:rPr>
          <w:rFonts w:hint="eastAsia"/>
        </w:rPr>
        <w:t>, the midpoint was assumed to be 67.5 years</w:t>
      </w:r>
      <w:r w:rsidR="00D653B6">
        <w:rPr>
          <w:rFonts w:hint="eastAsia"/>
        </w:rPr>
        <w:t xml:space="preserve">. These choices were both based on </w:t>
      </w:r>
      <w:r w:rsidR="00D653B6" w:rsidRPr="00D653B6">
        <w:t>an estimated upper age bound of 75 years.</w:t>
      </w:r>
    </w:p>
    <w:p w14:paraId="3665FA98" w14:textId="11EF33B2" w:rsidR="00E0151C" w:rsidRPr="00A436ED" w:rsidRDefault="00E0151C" w:rsidP="00E0151C">
      <w:pPr>
        <w:pStyle w:val="Heading3"/>
        <w:rPr>
          <w:rFonts w:cs="Arial"/>
          <w:color w:val="auto"/>
        </w:rPr>
      </w:pPr>
      <w:bookmarkStart w:id="18" w:name="_Toc208578229"/>
      <w:r w:rsidRPr="00A436ED">
        <w:rPr>
          <w:rFonts w:cs="Arial"/>
          <w:color w:val="auto"/>
        </w:rPr>
        <w:lastRenderedPageBreak/>
        <w:t>S</w:t>
      </w:r>
      <w:r w:rsidR="00850C40">
        <w:rPr>
          <w:rFonts w:cs="Arial" w:hint="eastAsia"/>
          <w:color w:val="auto"/>
        </w:rPr>
        <w:t>7</w:t>
      </w:r>
      <w:r w:rsidRPr="00A436ED">
        <w:rPr>
          <w:rFonts w:cs="Arial"/>
          <w:color w:val="auto"/>
        </w:rPr>
        <w:t xml:space="preserve">. </w:t>
      </w:r>
      <w:r>
        <w:rPr>
          <w:rFonts w:cs="Arial" w:hint="eastAsia"/>
          <w:color w:val="auto"/>
        </w:rPr>
        <w:t xml:space="preserve">Vaccine </w:t>
      </w:r>
      <w:r>
        <w:rPr>
          <w:rFonts w:cs="Arial"/>
          <w:color w:val="auto"/>
        </w:rPr>
        <w:t>coverage</w:t>
      </w:r>
      <w:r>
        <w:rPr>
          <w:rFonts w:cs="Arial" w:hint="eastAsia"/>
          <w:color w:val="auto"/>
        </w:rPr>
        <w:t xml:space="preserve"> proportion</w:t>
      </w:r>
      <w:bookmarkEnd w:id="18"/>
    </w:p>
    <w:p w14:paraId="114A8612" w14:textId="7F4A7022" w:rsidR="006C2E03" w:rsidRPr="00A436ED" w:rsidRDefault="006C2E03" w:rsidP="006C2E03">
      <w:r w:rsidRPr="00A436ED">
        <w:t>We explored the vaccine coverage rates ranging from 60 to 95 percent of the population. Vaccine coverage rates were chosen to account for observations from OCV campaigns during 2013-2018</w:t>
      </w:r>
      <w:r w:rsidRPr="00A436ED">
        <w:fldChar w:fldCharType="begin"/>
      </w:r>
      <w:r w:rsidR="00E56F41">
        <w:instrText xml:space="preserve"> ADDIN ZOTERO_ITEM CSL_CITATION {"citationID":"8h4CB7zL","properties":{"formattedCitation":"\\super 31\\nosupersub{}","plainCitation":"31","noteIndex":0},"citationItems":[{"id":8304,"uris":["http://zotero.org/users/7663102/items/NWQS89FX"],"itemData":{"id":8304,"type":"article-journal","abstract":"Vaccination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E56F41">
        <w:rPr>
          <w:rFonts w:ascii="Arial" w:hAnsi="Arial" w:cs="Arial"/>
        </w:rPr>
        <w:instrText> </w:instrText>
      </w:r>
      <w:r w:rsidR="00E56F41">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settings.","collection-title":"Cholera Control in Three Continents: Vaccines, Antibiotics and WASH","container-title":"Vaccine","DOI":"10.1016/j.vaccine.2019.08.086","ISSN":"0264-410X","journalAbbreviation":"Vaccine","language":"en","page":"A132-A140","source":"ScienceDirect","title":"Global oral cholera vaccine use, 2013–2018","volume":"38","author":[{"family":"Pezzoli","given":"Lorenzo"}],"issued":{"date-parts":[["2020",2,29]]},"citation-key":"pezzoliGlobalOralCholera2020"}}],"schema":"https://github.com/citation-style-language/schema/raw/master/csl-citation.json"} </w:instrText>
      </w:r>
      <w:r w:rsidRPr="00A436ED">
        <w:fldChar w:fldCharType="separate"/>
      </w:r>
      <w:r w:rsidR="00E56F41" w:rsidRPr="00E56F41">
        <w:rPr>
          <w:rFonts w:ascii="Aptos" w:hAnsi="Aptos" w:cs="Times New Roman"/>
          <w:kern w:val="0"/>
          <w:vertAlign w:val="superscript"/>
        </w:rPr>
        <w:t>31</w:t>
      </w:r>
      <w:r w:rsidRPr="00A436ED">
        <w:fldChar w:fldCharType="end"/>
      </w:r>
      <w:r w:rsidRPr="00A436ED">
        <w:t xml:space="preserve"> and a recent OCV campaigns in Ethiopia.</w:t>
      </w:r>
      <w:r w:rsidRPr="00A436ED">
        <w:fldChar w:fldCharType="begin"/>
      </w:r>
      <w:r w:rsidR="00E56F41">
        <w:instrText xml:space="preserve"> ADDIN ZOTERO_ITEM CSL_CITATION {"citationID":"Nq5OZ2ET","properties":{"formattedCitation":"\\super 32\\nosupersub{}","plainCitation":"32","noteIndex":0},"citationItems":[{"id":14931,"uris":["http://zotero.org/users/7663102/items/W7FJQA5W"],"itemData":{"id":14931,"type":"article-journal","abstract":"Background\nCholera outbreaks in Ethiopia necessitate frequent mass oral cholera vaccine (OCV) campaigns. Despite this, there is a notable absence of a comprehensive summary of these campaigns. Understanding national OCV vaccination history is essential to design appropriate and effective cholera control strategies. Here, we aimed to retrospectively review all OCV vaccination campaigns conducted across Ethiopia between 2019 and 2023.\n\nMethods\nThe OCV request records from 2019 to October 2023 and vaccination campaign reports for the period from 2019 to December 2023 were retrospectively accessed from the Ethiopia Public Health Institute (EPHI) database. Descriptive analysis was conducted using the retrospective data collected.\n\nResults\nFrom 2019 to October 2023, Ethiopian government requested 32 044 576 OCV doses (31 899 576 doses to global stockpile; 145 000 doses to outside of stockpile). Around 66.3% of requested doses were approved; of which 90.4% were received. Fifteen OCV campaigns (12 reactive and 3 pre-emptive) were conducted, including five two-dose campaigns with varying dose intervals and single-dose campaigns partially in 2019 and entirely in 2021, 2022 and 2023. Overall vaccine administrative coverage was high; except for Tigray region (41.8% in the 1st round; 2nd round didn't occur). The vaccine administrative coverage records were documented, but no OCV coverage survey data was available.\n\nConclusions\nThis study represents the first comprehensive review of OCV campaigns in Ethiopia spanning the last five years. Its findings offer valuable insights into informing future cholera control strategies, underscoring the importance of monitoring and evaluation despite resource constraints. Addressing the limitations in coverage survey data availability is crucial for enhancing the efficacy of future campaigns.","container-title":"Clinical Infectious Diseases: An Official Publication of the Infectious Diseases Society of America","DOI":"10.1093/cid/ciae194","ISSN":"1058-4838","issue":"Suppl 1","journalAbbreviation":"Clin Infect Dis","note":"PMID: 38996040\nPMCID: PMC11244176","page":"S20-S32","source":"PubMed Central","title":"Comprehensive Review on the Use of Oral Cholera Vaccine (OCV) in Ethiopia: 2019 to 2023","title-short":"Comprehensive Review on the Use of Oral Cholera Vaccine (OCV) in Ethiopia","volume":"79","author":[{"family":"Edosa","given":"Moti"},{"family":"Jeon","given":"Yeonji"},{"family":"Gedefaw","given":"Abel"},{"family":"Hailu","given":"Dejene"},{"family":"Mesfin Getachew","given":"Edlawit"},{"family":"Mogeni","given":"Ondari D"},{"family":"Jang","given":"Geun Hyeog"},{"family":"Mukasa","given":"David"},{"family":"Yeshitela","given":"Biruk"},{"family":"Getahun","given":"Tomas"},{"family":"Lynch","given":"Julia"},{"family":"Bouhenia","given":"Malika"},{"family":"Worku Demlie","given":"Yeshambel"},{"family":"Hussen","given":"Mukemil"},{"family":"Wossen","given":"Mesfin"},{"family":"Teferi","given":"Mekonnen"},{"family":"Park","given":"Se Eun"}],"issued":{"date-parts":[["2024",7,12]]},"citation-key":"edosaComprehensiveReviewUse2024"}}],"schema":"https://github.com/citation-style-language/schema/raw/master/csl-citation.json"} </w:instrText>
      </w:r>
      <w:r w:rsidRPr="00A436ED">
        <w:fldChar w:fldCharType="separate"/>
      </w:r>
      <w:r w:rsidR="00E56F41" w:rsidRPr="00E56F41">
        <w:rPr>
          <w:rFonts w:ascii="Aptos" w:hAnsi="Aptos" w:cs="Times New Roman"/>
          <w:kern w:val="0"/>
          <w:vertAlign w:val="superscript"/>
        </w:rPr>
        <w:t>32</w:t>
      </w:r>
      <w:r w:rsidRPr="00A436ED">
        <w:fldChar w:fldCharType="end"/>
      </w:r>
      <w:r w:rsidRPr="00A436ED">
        <w:t xml:space="preserve"> In particular, we chose 75% as the most representative value for a single-dose regimen. This value was obtained by first computing the ratio of estimated coverage to the administrative coverage, </w:t>
      </w:r>
      <m:oMath>
        <m:r>
          <w:rPr>
            <w:rFonts w:ascii="Cambria Math" w:hAnsi="Cambria Math"/>
          </w:rPr>
          <m:t>r</m:t>
        </m:r>
      </m:oMath>
      <w:r w:rsidRPr="00A436ED">
        <w:t xml:space="preserve">, and then multiplying r with the observed administrative coverage rates during the first dose,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xml:space="preserve">.  </w:t>
      </w:r>
      <m:oMath>
        <m:r>
          <w:rPr>
            <w:rFonts w:ascii="Cambria Math" w:hAnsi="Cambria Math"/>
          </w:rPr>
          <m:t>r</m:t>
        </m:r>
      </m:oMath>
      <w:r w:rsidRPr="00A436ED">
        <w:t xml:space="preserve"> was computed the estimated by taking the ratio of estimates to administrative coverage for the at least one dose from the OCV campaigns.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and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respectively).</w:t>
      </w:r>
      <w:r w:rsidRPr="00A436ED">
        <w:rPr>
          <w:i/>
        </w:rPr>
        <w:t xml:space="preserve">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 were available in the study and were derived assuming random allocation during vaccination during the first and the second dose. Let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xml:space="preserve">and </w:t>
      </w:r>
      <m:oMath>
        <m:sSub>
          <m:sSubPr>
            <m:ctrlPr>
              <w:rPr>
                <w:rFonts w:ascii="Cambria Math" w:hAnsi="Cambria Math"/>
                <w:i/>
              </w:rPr>
            </m:ctrlPr>
          </m:sSubPr>
          <m:e>
            <m:r>
              <w:rPr>
                <w:rFonts w:ascii="Cambria Math" w:hAnsi="Cambria Math"/>
              </w:rPr>
              <m:t>AC</m:t>
            </m:r>
          </m:e>
          <m:sub>
            <m:r>
              <w:rPr>
                <w:rFonts w:ascii="Cambria Math" w:hAnsi="Cambria Math"/>
              </w:rPr>
              <m:t>2</m:t>
            </m:r>
          </m:sub>
        </m:sSub>
      </m:oMath>
      <w:r w:rsidRPr="00A436ED">
        <w:t xml:space="preserve"> be administrative vaccine coverage rates for the first and the second dose, respectively. Then, </w:t>
      </w:r>
    </w:p>
    <w:p w14:paraId="730624A5" w14:textId="77777777" w:rsidR="006C2E03" w:rsidRPr="00A436ED" w:rsidRDefault="006C2E03" w:rsidP="006C2E03">
      <w:pPr>
        <w:rPr>
          <w:rFonts w:ascii="Arial" w:hAnsi="Arial" w:cs="Arial"/>
        </w:rPr>
      </w:pPr>
    </w:p>
    <w:p w14:paraId="4DB8D26A" w14:textId="77777777" w:rsidR="006C2E03" w:rsidRPr="00A436ED" w:rsidRDefault="00000000" w:rsidP="006C2E03">
      <w:pPr>
        <w:rPr>
          <w:rFonts w:ascii="Arial" w:hAnsi="Arial" w:cs="Arial"/>
        </w:rPr>
      </w:pPr>
      <m:oMathPara>
        <m:oMath>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r>
            <m:rPr>
              <m:sty m:val="p"/>
            </m:rPr>
            <w:rPr>
              <w:rFonts w:ascii="Cambria Math" w:hAnsi="Cambria Math" w:cs="Arial"/>
            </w:rPr>
            <m:t>=1-</m:t>
          </m:r>
          <m:d>
            <m:dPr>
              <m:ctrlPr>
                <w:rPr>
                  <w:rFonts w:ascii="Cambria Math" w:hAnsi="Cambria Math" w:cs="Arial"/>
                </w:rPr>
              </m:ctrlPr>
            </m:dPr>
            <m:e>
              <m:r>
                <m:rPr>
                  <m:sty m:val="p"/>
                </m:rPr>
                <w:rPr>
                  <w:rFonts w:ascii="Cambria Math" w:hAnsi="Cambria Math" w:cs="Arial"/>
                </w:rPr>
                <m:t>1-</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e>
          </m:d>
          <m:d>
            <m:dPr>
              <m:ctrlPr>
                <w:rPr>
                  <w:rFonts w:ascii="Cambria Math" w:hAnsi="Cambria Math" w:cs="Arial"/>
                </w:rPr>
              </m:ctrlPr>
            </m:dPr>
            <m:e>
              <m:r>
                <m:rPr>
                  <m:sty m:val="p"/>
                </m:rPr>
                <w:rPr>
                  <w:rFonts w:ascii="Cambria Math" w:hAnsi="Cambria Math" w:cs="Arial"/>
                </w:rPr>
                <m:t>1-</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2</m:t>
                  </m:r>
                </m:sub>
              </m:sSub>
            </m:e>
          </m:d>
        </m:oMath>
      </m:oMathPara>
    </w:p>
    <w:p w14:paraId="466D0BBE" w14:textId="77777777" w:rsidR="006C2E03" w:rsidRPr="00A436ED" w:rsidRDefault="006C2E03" w:rsidP="006C2E03">
      <w:pPr>
        <w:rPr>
          <w:rFonts w:ascii="Arial" w:hAnsi="Arial" w:cs="Arial"/>
        </w:rPr>
      </w:pPr>
      <m:oMathPara>
        <m:oMath>
          <m:r>
            <w:rPr>
              <w:rFonts w:ascii="Cambria Math" w:hAnsi="Cambria Math" w:cs="Arial"/>
            </w:rPr>
            <m:t>r</m:t>
          </m:r>
          <m:r>
            <m:rPr>
              <m:sty m:val="p"/>
            </m:rP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EC</m:t>
                  </m:r>
                </m:e>
                <m:sub>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den>
          </m:f>
        </m:oMath>
      </m:oMathPara>
    </w:p>
    <w:p w14:paraId="60684CB1" w14:textId="77777777" w:rsidR="006C2E03" w:rsidRPr="00A436ED" w:rsidRDefault="006C2E03" w:rsidP="006C2E03">
      <w:proofErr w:type="gramStart"/>
      <w:r w:rsidRPr="00A436ED">
        <w:t>In particular, we</w:t>
      </w:r>
      <w:proofErr w:type="gramEnd"/>
      <w:r w:rsidRPr="00A436ED">
        <w:t xml:space="preserve"> used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 during humanitarian crises or outbreaks (73.2%, and 86.3%, respectively). Finally, we computed the estimated coverage rates for the first dose during humanitarian crises or outbreaks (62.6% and 85.3%) using the following relationship.</w:t>
      </w:r>
    </w:p>
    <w:p w14:paraId="1C5305E2" w14:textId="77777777" w:rsidR="006C2E03" w:rsidRPr="00A436ED" w:rsidRDefault="00000000" w:rsidP="006C2E03">
      <w:pPr>
        <w:rPr>
          <w:rFonts w:ascii="Arial" w:hAnsi="Arial" w:cs="Arial"/>
        </w:rPr>
      </w:pPr>
      <m:oMathPara>
        <m:oMath>
          <m:sSub>
            <m:sSubPr>
              <m:ctrlPr>
                <w:rPr>
                  <w:rFonts w:ascii="Cambria Math" w:hAnsi="Cambria Math" w:cs="Arial"/>
                </w:rPr>
              </m:ctrlPr>
            </m:sSubPr>
            <m:e>
              <m:r>
                <w:rPr>
                  <w:rFonts w:ascii="Cambria Math" w:hAnsi="Cambria Math" w:cs="Arial"/>
                </w:rPr>
                <m:t>EC</m:t>
              </m:r>
            </m:e>
            <m:sub>
              <m:r>
                <m:rPr>
                  <m:sty m:val="p"/>
                </m:rPr>
                <w:rPr>
                  <w:rFonts w:ascii="Cambria Math" w:hAnsi="Cambria Math" w:cs="Arial"/>
                </w:rPr>
                <m:t>1</m:t>
              </m:r>
            </m:sub>
          </m:sSub>
          <m:r>
            <m:rPr>
              <m:sty m:val="p"/>
            </m:rPr>
            <w:rPr>
              <w:rFonts w:ascii="Cambria Math" w:hAnsi="Cambria Math" w:cs="Arial"/>
            </w:rPr>
            <m:t>=</m:t>
          </m:r>
          <m:r>
            <w:rPr>
              <w:rFonts w:ascii="Cambria Math" w:hAnsi="Cambria Math" w:cs="Arial"/>
            </w:rPr>
            <m:t>r</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oMath>
      </m:oMathPara>
    </w:p>
    <w:p w14:paraId="65ADC09C" w14:textId="7ABF0C9B" w:rsidR="001E51C4" w:rsidRDefault="006C2E03" w:rsidP="00A12017">
      <w:r w:rsidRPr="00A436ED">
        <w:t xml:space="preserve">Arithmetic average of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during humanitarian crises or outbreaks </w:t>
      </w:r>
      <w:proofErr w:type="gramStart"/>
      <w:r w:rsidRPr="00A436ED">
        <w:t>is</w:t>
      </w:r>
      <w:proofErr w:type="gramEnd"/>
      <w:r w:rsidRPr="00A436ED">
        <w:t xml:space="preserve"> 74% and used 75% as a convenient proxy value.</w:t>
      </w:r>
    </w:p>
    <w:p w14:paraId="38490B56" w14:textId="77777777" w:rsidR="00124059" w:rsidRDefault="00124059" w:rsidP="00A12017"/>
    <w:p w14:paraId="168DDE6E" w14:textId="0CBF8E9D" w:rsidR="00314A91" w:rsidRPr="00A436ED" w:rsidRDefault="00907900" w:rsidP="003C2C3D">
      <w:pPr>
        <w:pStyle w:val="Heading3"/>
        <w:rPr>
          <w:rFonts w:cs="Arial"/>
          <w:color w:val="auto"/>
        </w:rPr>
      </w:pPr>
      <w:bookmarkStart w:id="19" w:name="_Toc184911572"/>
      <w:bookmarkStart w:id="20" w:name="_Toc184920100"/>
      <w:bookmarkStart w:id="21" w:name="_Toc208578230"/>
      <w:r w:rsidRPr="00A436ED">
        <w:rPr>
          <w:rFonts w:cs="Arial"/>
          <w:color w:val="auto"/>
        </w:rPr>
        <w:t>S</w:t>
      </w:r>
      <w:r w:rsidR="00850C40">
        <w:rPr>
          <w:rFonts w:cs="Arial" w:hint="eastAsia"/>
          <w:color w:val="auto"/>
        </w:rPr>
        <w:t>8</w:t>
      </w:r>
      <w:r w:rsidRPr="00A436ED">
        <w:rPr>
          <w:rFonts w:cs="Arial"/>
          <w:color w:val="auto"/>
        </w:rPr>
        <w:t xml:space="preserve">. </w:t>
      </w:r>
      <w:r w:rsidR="00314A91" w:rsidRPr="00A436ED">
        <w:rPr>
          <w:rFonts w:cs="Arial"/>
          <w:color w:val="auto"/>
        </w:rPr>
        <w:t>Cost-effective analyses</w:t>
      </w:r>
      <w:r w:rsidR="005F5B72" w:rsidRPr="00A436ED">
        <w:rPr>
          <w:rFonts w:cs="Arial"/>
          <w:color w:val="auto"/>
        </w:rPr>
        <w:t xml:space="preserve"> (CEA)</w:t>
      </w:r>
      <w:bookmarkEnd w:id="19"/>
      <w:bookmarkEnd w:id="20"/>
      <w:bookmarkEnd w:id="21"/>
    </w:p>
    <w:p w14:paraId="1BECEEC0" w14:textId="62B786BB" w:rsidR="00023727" w:rsidRPr="00A436ED" w:rsidRDefault="005F5B72" w:rsidP="007365B1">
      <w:r w:rsidRPr="00A436ED">
        <w:t>Disability-adjusted life years (</w:t>
      </w:r>
      <w:r w:rsidR="00023727" w:rsidRPr="00A436ED">
        <w:t>DALYs</w:t>
      </w:r>
      <w:r w:rsidRPr="00A436ED">
        <w:t>)</w:t>
      </w:r>
      <w:r w:rsidR="00023727" w:rsidRPr="00A436ED">
        <w:t xml:space="preserve"> were computed </w:t>
      </w:r>
      <w:r w:rsidRPr="00A436ED">
        <w:t>as</w:t>
      </w:r>
      <w:r w:rsidR="00023727" w:rsidRPr="00A436ED">
        <w:t>:</w:t>
      </w:r>
    </w:p>
    <w:p w14:paraId="0FF84648" w14:textId="41A2E325" w:rsidR="00023727" w:rsidRPr="00A436ED" w:rsidRDefault="0082389F" w:rsidP="003C2C3D">
      <w:pPr>
        <w:rPr>
          <w:rFonts w:ascii="Arial" w:hAnsi="Arial" w:cs="Arial"/>
          <w:iCs/>
        </w:rPr>
      </w:pPr>
      <m:oMathPara>
        <m:oMath>
          <m:r>
            <m:rPr>
              <m:sty m:val="p"/>
            </m:rPr>
            <w:rPr>
              <w:rFonts w:ascii="Cambria Math" w:hAnsi="Cambria Math" w:cs="Arial"/>
            </w:rPr>
            <w:lastRenderedPageBreak/>
            <m:t>DALYs=Years of life lost from mortality (YLLs) + Years of life lost to due to disability (YLDs)</m:t>
          </m:r>
        </m:oMath>
      </m:oMathPara>
    </w:p>
    <w:p w14:paraId="3D321D5D" w14:textId="5B35F5C9" w:rsidR="00023727" w:rsidRPr="00A436ED" w:rsidRDefault="005F5B72" w:rsidP="007365B1">
      <m:oMath>
        <m:r>
          <m:rPr>
            <m:sty m:val="p"/>
          </m:rPr>
          <w:rPr>
            <w:rFonts w:ascii="Cambria Math" w:hAnsi="Cambria Math"/>
          </w:rPr>
          <m:t>YLLs</m:t>
        </m:r>
      </m:oMath>
      <w:r w:rsidRPr="00A436ED">
        <w:t xml:space="preserve"> </w:t>
      </w:r>
      <w:r w:rsidR="00023727" w:rsidRPr="00A436ED">
        <w:t xml:space="preserve">were computed </w:t>
      </w:r>
      <w:r w:rsidR="0082389F" w:rsidRPr="00A436ED">
        <w:t xml:space="preserve">by multiplying the number of deaths with </w:t>
      </w:r>
      <w:r w:rsidR="00023727" w:rsidRPr="00A436ED">
        <w:t>life-expectancy at the average age</w:t>
      </w:r>
      <w:r w:rsidR="0082389F" w:rsidRPr="00A436ED">
        <w:t xml:space="preserve"> of death</w:t>
      </w:r>
      <w:r w:rsidR="00023727" w:rsidRPr="00A436ED">
        <w:t>. Average age of death w</w:t>
      </w:r>
      <w:r w:rsidR="0082389F" w:rsidRPr="00A436ED">
        <w:t>as</w:t>
      </w:r>
      <w:r w:rsidR="00023727" w:rsidRPr="00A436ED">
        <w:t xml:space="preserve"> derived from the average of infections observed during outbreaks and clinical trials</w:t>
      </w:r>
      <w:r w:rsidR="001A5309">
        <w:rPr>
          <w:rFonts w:hint="eastAsia"/>
        </w:rPr>
        <w:t xml:space="preserve"> as explained in </w:t>
      </w:r>
      <w:r w:rsidR="001A5309" w:rsidRPr="001A5309">
        <w:rPr>
          <w:rFonts w:hint="eastAsia"/>
          <w:b/>
          <w:bCs/>
        </w:rPr>
        <w:t>S6</w:t>
      </w:r>
      <w:r w:rsidR="00023727" w:rsidRPr="00A436ED">
        <w:t>. Life expectancy at a given age, mean remaining years of life expected by an individual at that age, was derived from United Nations Life Expectancy at Exact Age for both sexes.</w:t>
      </w:r>
      <w:r w:rsidR="00023727" w:rsidRPr="00A436ED">
        <w:fldChar w:fldCharType="begin"/>
      </w:r>
      <w:r w:rsidR="00A16B1B">
        <w:instrText xml:space="preserve"> ADDIN ZOTERO_ITEM CSL_CITATION {"citationID":"6gWCSslv","properties":{"formattedCitation":"\\super 44\\nosupersub{}","plainCitation":"44","noteIndex":0},"citationItems":[{"id":"xs3HqAE9/IXEogk9U","uris":["http://zotero.org/users/local/xDVOxgbN/items/J3D2A7NT"],"itemData":{"id":159,"type":"dataset","genre":"Online Edition","title":"World Population Prospects 2022","URL":"https://population.un.org/wpp/Download/Standard/Mortality/","author":[{"literal":"United Nations, Department of Economic and Social Affairs, Population Division"}],"issued":{"date-parts":[["2022"]]}}}],"schema":"https://github.com/citation-style-language/schema/raw/master/csl-citation.json"} </w:instrText>
      </w:r>
      <w:r w:rsidR="00023727" w:rsidRPr="00A436ED">
        <w:fldChar w:fldCharType="separate"/>
      </w:r>
      <w:r w:rsidR="00E56F41" w:rsidRPr="00E56F41">
        <w:rPr>
          <w:rFonts w:ascii="Aptos" w:hAnsi="Aptos" w:cs="Times New Roman"/>
          <w:kern w:val="0"/>
          <w:vertAlign w:val="superscript"/>
        </w:rPr>
        <w:t>44</w:t>
      </w:r>
      <w:r w:rsidR="00023727" w:rsidRPr="00A436ED">
        <w:fldChar w:fldCharType="end"/>
      </w:r>
      <w:r w:rsidR="006D730F" w:rsidRPr="00A436ED">
        <w:t xml:space="preserve"> </w:t>
      </w:r>
      <m:oMath>
        <m:r>
          <m:rPr>
            <m:sty m:val="p"/>
          </m:rPr>
          <w:rPr>
            <w:rFonts w:ascii="Cambria Math" w:hAnsi="Cambria Math"/>
          </w:rPr>
          <m:t>YLDs</m:t>
        </m:r>
      </m:oMath>
      <w:r w:rsidRPr="00A436ED">
        <w:t xml:space="preserve"> </w:t>
      </w:r>
      <w:r w:rsidR="00023727" w:rsidRPr="00A436ED">
        <w:t xml:space="preserve">were computed by multiplying the number of cases with the duration of the disease in years and the disability weight. The duration of disease was assumed to be </w:t>
      </w:r>
      <w:r w:rsidR="003C4847" w:rsidRPr="00A436ED">
        <w:t>2</w:t>
      </w:r>
      <w:r w:rsidR="00023727" w:rsidRPr="00A436ED">
        <w:t xml:space="preserve"> days and the disability weight was assumed to be </w:t>
      </w:r>
      <w:r w:rsidR="001A5309" w:rsidRPr="001A5309">
        <w:t>0.188</w:t>
      </w:r>
      <w:r w:rsidR="001A5309">
        <w:rPr>
          <w:rFonts w:hint="eastAsia"/>
        </w:rPr>
        <w:t xml:space="preserve"> and</w:t>
      </w:r>
      <w:r w:rsidR="001A5309" w:rsidRPr="001A5309">
        <w:t xml:space="preserve"> 0.247</w:t>
      </w:r>
      <w:r w:rsidR="001A5309">
        <w:rPr>
          <w:rFonts w:hint="eastAsia"/>
        </w:rPr>
        <w:t xml:space="preserve"> </w:t>
      </w:r>
      <w:r w:rsidR="003C4847" w:rsidRPr="00A436ED">
        <w:t>to account for the moderate and severe cases a</w:t>
      </w:r>
      <w:r w:rsidR="00023727" w:rsidRPr="00A436ED">
        <w:t xml:space="preserve"> based on the disability weight</w:t>
      </w:r>
      <w:r w:rsidR="003C4847" w:rsidRPr="00A436ED">
        <w:t>s</w:t>
      </w:r>
      <w:r w:rsidR="001A5309">
        <w:rPr>
          <w:rFonts w:hint="eastAsia"/>
        </w:rPr>
        <w:t xml:space="preserve"> of diarrhea</w:t>
      </w:r>
      <w:r w:rsidR="00023727" w:rsidRPr="00A436ED">
        <w:t xml:space="preserve"> from the 201</w:t>
      </w:r>
      <w:r w:rsidR="00A570C4" w:rsidRPr="00A436ED">
        <w:t>9</w:t>
      </w:r>
      <w:r w:rsidR="00023727" w:rsidRPr="00A436ED">
        <w:t xml:space="preserve"> Global Burden of Disease</w:t>
      </w:r>
      <w:r w:rsidR="003C4847" w:rsidRPr="00A436ED">
        <w:t xml:space="preserve"> </w:t>
      </w:r>
      <w:r w:rsidR="00023727" w:rsidRPr="00A436ED">
        <w:t>Study</w:t>
      </w:r>
      <w:r w:rsidR="003C4847" w:rsidRPr="00A436ED">
        <w:t>,</w:t>
      </w:r>
      <w:r w:rsidR="00023727" w:rsidRPr="00A436ED">
        <w:fldChar w:fldCharType="begin"/>
      </w:r>
      <w:r w:rsidR="00A16B1B">
        <w:instrText xml:space="preserve"> ADDIN ZOTERO_ITEM CSL_CITATION {"citationID":"LSYAyWmA","properties":{"formattedCitation":"\\super 42\\nosupersub{}","plainCitation":"42","noteIndex":0},"citationItems":[{"id":"xs3HqAE9/psVfR6ct","uris":["http://zotero.org/users/local/xDVOxgbN/items/R6VATLF7"],"itemData":{"id":60,"type":"article-journal","abstract":"BACKGROUND: The Global Burden of Diseases, Injuries, and Risk Factors Study 2017 (GBD 2017) includes a comprehensive assessment of incidence, prevalence, and years lived with disability (YLDs) for 354 causes in 195 countries and territories from 1990 to 2017. Previous GBD studies have shown how the decline of mortality rates from 1990 to 2016 has led to an increase in life expectancy, an ageing global population, and an expansion of the non-fatal burden of disease and injury. These studies have also shown how a substantial portion of the world's population experiences non-fatal health loss with considerable heterogeneity among different causes, locations, ages, and sexes. Ongoing objectives of the GBD study include increasing the level of estimation detail, improving analytical strategies, and increasing the amount of high-quality data.\nMETHODS: We estimated incidence and prevalence for 354 diseases and injuries and 3484 sequelae. We used an updated and extensive body of literature studies, survey data, surveillance data, inpatient admission records, outpatient visit records, and health insurance claims, and additionally used results from cause of death models to inform estimates using a total of 68</w:instrText>
      </w:r>
      <w:r w:rsidR="00A16B1B">
        <w:rPr>
          <w:rFonts w:ascii="Arial" w:hAnsi="Arial" w:cs="Arial"/>
        </w:rPr>
        <w:instrText> </w:instrText>
      </w:r>
      <w:r w:rsidR="00A16B1B">
        <w:instrText>781 data sources. Newly available clinical data from India, Iran, Japan, Jordan, Nepal, China, Brazil, Norway, and Italy were incorporated, as well as updated claims data from the USA and new claims data from Taiwan (province of China) and Singapore. We used DisMod-MR 2.1, a Bayesian meta-regression tool, as the main method of estimation, ensuring consistency between rates of incidence, prevalence, remission, and cause of death for each condition. YLDs were estimated as the product of a prevalence estimate and a disability weight for health states of each mutually exclusive sequela, adjusted for comorbidity. We updated the Socio-demographic Index (SDI), a summary development indicator of income per capita, years of schooling, and total fertility rate. Additionally, we calculated differences between male and female YLDs to identify divergent trends across sexes. GBD 2017 complies with the Guidelines for Accurate and Transparent Health Estimates Reporting.\nFINDINGS: Globally, for females, the causes with the greatest age-standardised prevalence were oral disorders, headache disorders, and haemoglobinopathies and haemolytic anaemias in both 1990 and 2017. For males, the causes with the greatest age-standardised prevalence were oral disorders, headache disorders, and tuberculosis including latent tuberculosis infection in both 1990 and 2017. In terms of YLDs, low back pain, headache disorders, and dietary iron deficiency were the leading Level 3 causes of YLD counts in 1990, whereas low back pain, headache disorders, and depressive disorders were the leading causes in 2017 for both sexes combined. All-cause age-standardised YLD rates decreased by 3·9% (95% uncertainty interval [UI] 3·1-4·6) from 1990 to 2017; however, the all-age YLD rate increased by 7·2% (6·0-8·4) while the total sum of global YLDs increased from 562 million (421-723) to 853 million (642-1100). The increases for males and females were similar, with increases in all-age YLD rates of 7·9% (6·6-9·2) for males and 6·5% (5·4-7·7) for females. We found significant differences between males and females in terms of age-standardised prevalence estimates for multiple causes. The causes with the greatest relative differences between sexes in 2017 included substance use disorders (3018 cases [95% UI 2782-3252] per 100</w:instrText>
      </w:r>
      <w:r w:rsidR="00A16B1B">
        <w:rPr>
          <w:rFonts w:ascii="Arial" w:hAnsi="Arial" w:cs="Arial"/>
        </w:rPr>
        <w:instrText> </w:instrText>
      </w:r>
      <w:r w:rsidR="00A16B1B">
        <w:instrText>000 in males vs s1400 [1279-1524] per 100</w:instrText>
      </w:r>
      <w:r w:rsidR="00A16B1B">
        <w:rPr>
          <w:rFonts w:ascii="Arial" w:hAnsi="Arial" w:cs="Arial"/>
        </w:rPr>
        <w:instrText> </w:instrText>
      </w:r>
      <w:r w:rsidR="00A16B1B">
        <w:instrText xml:space="preserve">000 in females), transport injuries (3322 [3082-3583] vs 2336 [2154-2535]), and self-harm and interpersonal violence (3265 [2943-3630] vs 5643 [5057-6302]).\nINTERPRETATION: Global all-cause age-standardised YLD rates have improved only slightly over a period spanning nearly three decades. However, the magnitude of the non-fatal disease burden has expanded globally, with increasing numbers of people who have a wide spectrum of conditions. A subset of conditions has remained globally pervasive since 1990, whereas other conditions have displayed more dynamic trends, with different ages, sexes, and geographies across the globe experiencing varying burdens and trends of health loss. This study emphasises how global improvements in premature mortality for select conditions have led to older populations with complex and potentially expensive diseases, yet also highlights global achievements in certain domains of disease and injury.\nFUNDING: Bill &amp; Melinda Gates Foundation.","container-title":"Lancet (London, England)","DOI":"10.1016/S0140-6736(18)32279-7","ISSN":"1474-547X","issue":"10159","journalAbbreviation":"Lancet","language":"eng","note":"PMID: 30496104\nPMCID: PMC6227754","page":"1789-1858","source":"PubMed","title":"Global, regional, and national incidence, prevalence, and years lived with disability for 354 diseases and injuries for 195 countries and territories, 1990-2017: a systematic analysis for the Global Burden of Disease Study 2017","title-short":"Global, regional, and national incidence, prevalence, and years lived with disability for 354 diseases and injuries for 195 countries and territories, 1990-2017","volume":"392","author":[{"literal":"GBD 2017 Disease and Injury Incidence and Prevalence Collaborators"}],"issued":{"date-parts":[["2018",11,10]]}}}],"schema":"https://github.com/citation-style-language/schema/raw/master/csl-citation.json"} </w:instrText>
      </w:r>
      <w:r w:rsidR="00023727" w:rsidRPr="00A436ED">
        <w:fldChar w:fldCharType="separate"/>
      </w:r>
      <w:r w:rsidR="00E56F41" w:rsidRPr="00E56F41">
        <w:rPr>
          <w:rFonts w:ascii="Aptos" w:hAnsi="Aptos" w:cs="Times New Roman"/>
          <w:kern w:val="0"/>
          <w:vertAlign w:val="superscript"/>
        </w:rPr>
        <w:t>42</w:t>
      </w:r>
      <w:r w:rsidR="00023727" w:rsidRPr="00A436ED">
        <w:fldChar w:fldCharType="end"/>
      </w:r>
      <w:r w:rsidR="003C4847" w:rsidRPr="00A436ED">
        <w:t xml:space="preserve"> assuming that reported cases in our data set were moderate or severe cases.</w:t>
      </w:r>
    </w:p>
    <w:p w14:paraId="3C166611" w14:textId="6556F2ED" w:rsidR="00260715" w:rsidRPr="00A436ED" w:rsidRDefault="00260715" w:rsidP="007365B1">
      <w:bookmarkStart w:id="22" w:name="_Hlk183595319"/>
      <w:r w:rsidRPr="00A436ED">
        <w:t>We evaluated cost-effectiveness by calculating the cost per case, death, and DALY averted. Costs related to the cholera vaccine and illness were selected based on recency, generalizability to our modeling data, and quality after a literature review. Prices were adjusted to 2023 USD$ cost-equivalents by converting the costs from the reporting year and inflating them based on the sub-Saharan African average annual consumer price index percent change for each year up until 2023.</w:t>
      </w:r>
      <w:r w:rsidRPr="00A436ED">
        <w:fldChar w:fldCharType="begin"/>
      </w:r>
      <w:r w:rsidR="00A16B1B">
        <w:instrText xml:space="preserve"> ADDIN ZOTERO_ITEM CSL_CITATION {"citationID":"MJcbYW5h","properties":{"formattedCitation":"\\super 45\\uc0\\u8211{}47\\nosupersub{}","plainCitation":"45–47","noteIndex":0},"citationItems":[{"id":"xs3HqAE9/bNh2MnqJ","uris":["http://zotero.org/users/local/xDVOxgbN/items/YGY5ASJX"],"itemData":{"id":186,"type":"article-journal","container-title":"PLOS Neglected Tropical Diseases","DOI":"10.1371/journal.pntd.0005124","ISSN":"1935-2735","issue":"12","journalAbbreviation":"PLoS Negl Trop Dis","language":"en","page":"e0005124","source":"DOI.org (Crossref)","title":"Oral Cholera Vaccination Delivery Cost in Low- and Middle-Income Countries: An Analysis Based on Systematic Review","title-short":"Oral Cholera Vaccination Delivery Cost in Low- and Middle-Income Countries","volume":"10","author":[{"family":"Mogasale","given":"Vittal"},{"family":"Ramani","given":"Enusa"},{"family":"Wee","given":"Hyeseung"},{"family":"Kim","given":"Jerome H."}],"editor":[{"family":"Ryan","given":"Edward T."}],"issued":{"date-parts":[["2016",12,8]]}}},{"id":"xs3HqAE9/iQbMhiSC","uris":["http://zotero.org/users/local/xDVOxgbN/items/NR3RX8QH"],"itemData":{"id":188,"type":"article-journal","container-title":"Value in Health","DOI":"10.1016/j.jval.2019.03.021","ISSN":"10983015","issue":"9","journalAbbreviation":"Value in Health","language":"en","page":"1026-1032","source":"DOI.org (Crossref)","title":"Adjusting for Inflation and Currency Changes Within Health Economic Studies","volume":"22","author":[{"family":"Turner","given":"Hugo C."},{"family":"Lauer","given":"Jeremy A."},{"family":"Tran","given":"Bach Xuan"},{"family":"Teerawattananon","given":"Yot"},{"family":"Jit","given":"Mark"}],"issued":{"date-parts":[["2019",9]]}}},{"id":"xs3HqAE9/XmLIFPzn","uris":["http://zotero.org/users/local/xDVOxgbN/items/VRNK5YWM"],"itemData":{"id":185,"type":"report","publisher":"Bureau of Labor Statistics","title":"Math calculations to better utilize CPI data","URL":"https://www.bls.gov/cpi/factsheets/cpi-math-calculations.pdf","author":[{"literal":"Bureau of Labor Statistics"}]}}],"schema":"https://github.com/citation-style-language/schema/raw/master/csl-citation.json"} </w:instrText>
      </w:r>
      <w:r w:rsidRPr="00A436ED">
        <w:fldChar w:fldCharType="separate"/>
      </w:r>
      <w:r w:rsidR="00E56F41" w:rsidRPr="00E56F41">
        <w:rPr>
          <w:rFonts w:ascii="Aptos" w:hAnsi="Aptos" w:cs="Times New Roman"/>
          <w:kern w:val="0"/>
          <w:vertAlign w:val="superscript"/>
        </w:rPr>
        <w:t>45–47</w:t>
      </w:r>
      <w:r w:rsidRPr="00A436ED">
        <w:fldChar w:fldCharType="end"/>
      </w:r>
      <w:r w:rsidRPr="00A436ED">
        <w:t xml:space="preserve"> </w:t>
      </w:r>
      <w:bookmarkEnd w:id="22"/>
      <w:r w:rsidRPr="00A436ED">
        <w:t>Consumer prices were obtained from the publicly available International Monetary Fund database.</w:t>
      </w:r>
      <w:r w:rsidRPr="00A436ED">
        <w:fldChar w:fldCharType="begin"/>
      </w:r>
      <w:r w:rsidR="00A16B1B">
        <w:instrText xml:space="preserve"> ADDIN ZOTERO_ITEM CSL_CITATION {"citationID":"bykxwYAx","properties":{"formattedCitation":"\\super 48\\nosupersub{}","plainCitation":"48","noteIndex":0},"citationItems":[{"id":"xs3HqAE9/LMP1XfqJ","uris":["http://zotero.org/users/local/xDVOxgbN/items/2DSUTCEE"],"itemData":{"id":190,"type":"dataset","title":"Inflation rate, average consumer prices","URL":"https://www.imf.org/external/datamapper/PCPIPCH@WEO/OEMDC/ADVEC/WEOWORLD","author":[{"literal":"International Monetary Fund"}]}}],"schema":"https://github.com/citation-style-language/schema/raw/master/csl-citation.json"} </w:instrText>
      </w:r>
      <w:r w:rsidRPr="00A436ED">
        <w:fldChar w:fldCharType="separate"/>
      </w:r>
      <w:r w:rsidR="00E56F41" w:rsidRPr="00E56F41">
        <w:rPr>
          <w:rFonts w:ascii="Aptos" w:hAnsi="Aptos" w:cs="Times New Roman"/>
          <w:kern w:val="0"/>
          <w:vertAlign w:val="superscript"/>
        </w:rPr>
        <w:t>48</w:t>
      </w:r>
      <w:r w:rsidRPr="00A436ED">
        <w:fldChar w:fldCharType="end"/>
      </w:r>
      <w:r w:rsidRPr="00A436ED">
        <w:t xml:space="preserve"> This was performed using the following equation: </w:t>
      </w:r>
    </w:p>
    <w:p w14:paraId="42567C55" w14:textId="77777777" w:rsidR="00260715" w:rsidRPr="00A436ED" w:rsidRDefault="00260715" w:rsidP="003C2C3D">
      <w:pPr>
        <w:rPr>
          <w:rFonts w:ascii="Arial" w:hAnsi="Arial" w:cs="Arial"/>
        </w:rPr>
      </w:pPr>
    </w:p>
    <w:p w14:paraId="0AECA0C6" w14:textId="77777777" w:rsidR="00260715" w:rsidRPr="00A436ED" w:rsidRDefault="00000000" w:rsidP="003C2C3D">
      <w:pPr>
        <w:rPr>
          <w:rFonts w:ascii="Arial" w:hAnsi="Arial" w:cs="Arial"/>
        </w:rPr>
      </w:pPr>
      <m:oMathPara>
        <m:oMath>
          <m:sSub>
            <m:sSubPr>
              <m:ctrlPr>
                <w:rPr>
                  <w:rFonts w:ascii="Cambria Math" w:hAnsi="Cambria Math" w:cs="Arial"/>
                </w:rPr>
              </m:ctrlPr>
            </m:sSubPr>
            <m:e>
              <m:r>
                <m:rPr>
                  <m:sty m:val="p"/>
                </m:rPr>
                <w:rPr>
                  <w:rFonts w:ascii="Cambria Math" w:hAnsi="Cambria Math" w:cs="Arial"/>
                </w:rPr>
                <m:t>Cost</m:t>
              </m:r>
            </m:e>
            <m:sub>
              <m:r>
                <m:rPr>
                  <m:sty m:val="p"/>
                </m:rPr>
                <w:rPr>
                  <w:rFonts w:ascii="Cambria Math" w:hAnsi="Cambria Math" w:cs="Arial"/>
                </w:rPr>
                <m:t>2023</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Cost</m:t>
              </m:r>
            </m:e>
            <m:sub>
              <m:r>
                <w:rPr>
                  <w:rFonts w:ascii="Cambria Math" w:hAnsi="Cambria Math" w:cs="Arial"/>
                </w:rPr>
                <m:t>t</m:t>
              </m:r>
            </m:sub>
          </m:sSub>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t</m:t>
              </m:r>
              <m:r>
                <m:rPr>
                  <m:sty m:val="p"/>
                </m:rPr>
                <w:rPr>
                  <w:rFonts w:ascii="Cambria Math" w:hAnsi="Cambria Math" w:cs="Arial"/>
                </w:rPr>
                <m:t>+1</m:t>
              </m:r>
            </m:sub>
            <m:sup>
              <m:r>
                <m:rPr>
                  <m:sty m:val="p"/>
                </m:rPr>
                <w:rPr>
                  <w:rFonts w:ascii="Cambria Math" w:hAnsi="Cambria Math" w:cs="Arial"/>
                </w:rPr>
                <m:t>2023</m:t>
              </m:r>
            </m:sup>
            <m:e>
              <m:d>
                <m:dPr>
                  <m:ctrlPr>
                    <w:rPr>
                      <w:rFonts w:ascii="Cambria Math" w:hAnsi="Cambria Math" w:cs="Arial"/>
                    </w:rPr>
                  </m:ctrlPr>
                </m:dPr>
                <m:e>
                  <m:r>
                    <m:rPr>
                      <m:sty m:val="p"/>
                    </m:rPr>
                    <w:rPr>
                      <w:rFonts w:ascii="Cambria Math" w:hAnsi="Cambria Math" w:cs="Arial"/>
                    </w:rPr>
                    <m:t>1+</m:t>
                  </m:r>
                  <m:f>
                    <m:fPr>
                      <m:ctrlPr>
                        <w:rPr>
                          <w:rFonts w:ascii="Cambria Math" w:hAnsi="Cambria Math" w:cs="Arial"/>
                        </w:rPr>
                      </m:ctrlPr>
                    </m:fPr>
                    <m:num>
                      <m:r>
                        <m:rPr>
                          <m:sty m:val="p"/>
                        </m:rPr>
                        <w:rPr>
                          <w:rFonts w:ascii="Cambria Math" w:hAnsi="Cambria Math" w:cs="Arial"/>
                        </w:rPr>
                        <m:t>C</m:t>
                      </m:r>
                      <m:sSub>
                        <m:sSubPr>
                          <m:ctrlPr>
                            <w:rPr>
                              <w:rFonts w:ascii="Cambria Math" w:hAnsi="Cambria Math" w:cs="Arial"/>
                              <w:iCs/>
                            </w:rPr>
                          </m:ctrlPr>
                        </m:sSubPr>
                        <m:e>
                          <m:r>
                            <m:rPr>
                              <m:sty m:val="p"/>
                            </m:rPr>
                            <w:rPr>
                              <w:rFonts w:ascii="Cambria Math" w:hAnsi="Cambria Math" w:cs="Arial"/>
                            </w:rPr>
                            <m:t>PI change</m:t>
                          </m:r>
                        </m:e>
                        <m:sub>
                          <m:r>
                            <w:rPr>
                              <w:rFonts w:ascii="Cambria Math" w:hAnsi="Cambria Math" w:cs="Arial"/>
                            </w:rPr>
                            <m:t>t</m:t>
                          </m:r>
                        </m:sub>
                      </m:sSub>
                    </m:num>
                    <m:den>
                      <m:r>
                        <m:rPr>
                          <m:sty m:val="p"/>
                        </m:rPr>
                        <w:rPr>
                          <w:rFonts w:ascii="Cambria Math" w:hAnsi="Cambria Math" w:cs="Arial"/>
                        </w:rPr>
                        <m:t>100</m:t>
                      </m:r>
                    </m:den>
                  </m:f>
                </m:e>
              </m:d>
              <m:r>
                <m:rPr>
                  <m:sty m:val="p"/>
                </m:rPr>
                <w:rPr>
                  <w:rFonts w:ascii="Cambria Math" w:hAnsi="Cambria Math" w:cs="Arial"/>
                </w:rPr>
                <m:t>,</m:t>
              </m:r>
            </m:e>
          </m:nary>
        </m:oMath>
      </m:oMathPara>
    </w:p>
    <w:p w14:paraId="32E081E1" w14:textId="77777777" w:rsidR="00260715" w:rsidRPr="00A436ED" w:rsidRDefault="00260715" w:rsidP="003C2C3D">
      <w:pPr>
        <w:rPr>
          <w:rFonts w:ascii="Arial" w:hAnsi="Arial" w:cs="Arial"/>
        </w:rPr>
      </w:pPr>
    </w:p>
    <w:p w14:paraId="69E3662F" w14:textId="77777777" w:rsidR="00260715" w:rsidRPr="00A436ED" w:rsidRDefault="00260715" w:rsidP="007365B1">
      <w:r w:rsidRPr="00A436ED">
        <w:t xml:space="preserve">where </w:t>
      </w:r>
      <m:oMath>
        <m:r>
          <w:rPr>
            <w:rFonts w:ascii="Cambria Math" w:hAnsi="Cambria Math"/>
          </w:rPr>
          <m:t>t</m:t>
        </m:r>
      </m:oMath>
      <w:r w:rsidRPr="00A436ED">
        <w:t xml:space="preserve"> is the year that the original cost was reported, and </w:t>
      </w:r>
      <m:oMath>
        <m:r>
          <m:rPr>
            <m:sty m:val="p"/>
          </m:rPr>
          <w:rPr>
            <w:rFonts w:ascii="Cambria Math" w:hAnsi="Cambria Math"/>
          </w:rPr>
          <m:t>C</m:t>
        </m:r>
        <m:sSub>
          <m:sSubPr>
            <m:ctrlPr>
              <w:rPr>
                <w:rFonts w:ascii="Cambria Math" w:hAnsi="Cambria Math"/>
                <w:iCs/>
              </w:rPr>
            </m:ctrlPr>
          </m:sSubPr>
          <m:e>
            <m:r>
              <m:rPr>
                <m:sty m:val="p"/>
              </m:rPr>
              <w:rPr>
                <w:rFonts w:ascii="Cambria Math" w:hAnsi="Cambria Math"/>
              </w:rPr>
              <m:t>PI change</m:t>
            </m:r>
          </m:e>
          <m:sub>
            <m:r>
              <w:rPr>
                <w:rFonts w:ascii="Cambria Math" w:hAnsi="Cambria Math"/>
              </w:rPr>
              <m:t>t</m:t>
            </m:r>
          </m:sub>
        </m:sSub>
      </m:oMath>
      <w:r w:rsidRPr="00A436ED">
        <w:rPr>
          <w:iCs/>
        </w:rPr>
        <w:t xml:space="preserve"> </w:t>
      </w:r>
      <w:r w:rsidRPr="00A436ED">
        <w:t xml:space="preserve">is the consumer price index annual percent change for each year </w:t>
      </w:r>
      <m:oMath>
        <m:r>
          <w:rPr>
            <w:rFonts w:ascii="Cambria Math" w:hAnsi="Cambria Math"/>
          </w:rPr>
          <m:t>t</m:t>
        </m:r>
      </m:oMath>
      <w:r w:rsidRPr="00A436ED">
        <w:t xml:space="preserve">. </w:t>
      </w:r>
    </w:p>
    <w:p w14:paraId="53D403EC" w14:textId="77777777" w:rsidR="00260715" w:rsidRPr="00A436ED" w:rsidRDefault="00260715" w:rsidP="003C2C3D">
      <w:pPr>
        <w:rPr>
          <w:rFonts w:ascii="Arial" w:hAnsi="Arial" w:cs="Arial"/>
        </w:rPr>
      </w:pPr>
    </w:p>
    <w:p w14:paraId="07A74F54" w14:textId="4A932CFB" w:rsidR="00260715" w:rsidRPr="00A436ED" w:rsidRDefault="00260715" w:rsidP="007365B1">
      <w:r w:rsidRPr="00A436ED">
        <w:lastRenderedPageBreak/>
        <w:t>The vaccine procurement cost ($1.65) and shipping cost ($0.06) were sourced from UNICEF reports published in 2024, which did not specify the USD year.</w:t>
      </w:r>
      <w:r w:rsidRPr="00A436ED">
        <w:fldChar w:fldCharType="begin"/>
      </w:r>
      <w:r w:rsidR="00A16B1B">
        <w:instrText xml:space="preserve"> ADDIN ZOTERO_ITEM CSL_CITATION {"citationID":"xkrsFsNG","properties":{"formattedCitation":"\\super 49,50\\nosupersub{}","plainCitation":"49,50","noteIndex":0},"citationItems":[{"id":"xs3HqAE9/bh0BOTjb","uris":["http://zotero.org/users/local/xDVOxgbN/items/PLH872SC"],"itemData":{"id":177,"type":"report","title":"Oral cholera vaccine (OCV) price data","URL":"https://www.unicef.org/supply/media/22781/file/OCV-vaccines-prices-29102024.pdf","author":[{"literal":"UNICEF"}],"issued":{"date-parts":[["2024",10,24]]}}},{"id":"xs3HqAE9/it6wulzK","uris":["http://zotero.org/users/local/xDVOxgbN/items/97GK8G7I"],"itemData":{"id":180,"type":"report","title":"Emergency stockpile availability - oral cholera vaccine","URL":"https://www.unicef.org/supply/media/22091/file/EmergencyStockpileAvailabilityReportOCV11112024.pdf","author":[{"literal":"UNICEF"}],"issued":{"date-parts":[["2024",11,11]]}}}],"schema":"https://github.com/citation-style-language/schema/raw/master/csl-citation.json"} </w:instrText>
      </w:r>
      <w:r w:rsidRPr="00A436ED">
        <w:fldChar w:fldCharType="separate"/>
      </w:r>
      <w:r w:rsidR="00E56F41" w:rsidRPr="00E56F41">
        <w:rPr>
          <w:rFonts w:ascii="Aptos" w:hAnsi="Aptos" w:cs="Times New Roman"/>
          <w:kern w:val="0"/>
          <w:vertAlign w:val="superscript"/>
        </w:rPr>
        <w:t>49,50</w:t>
      </w:r>
      <w:r w:rsidRPr="00A436ED">
        <w:fldChar w:fldCharType="end"/>
      </w:r>
      <w:r w:rsidRPr="00A436ED">
        <w:t xml:space="preserve"> We assumed these costs were comparable to 2023 and, therefore, left them unadjusted. After adjusting for inflation, cost of vaccine delivery was set to $2.32. Out-of-pocket costs for those hospitalized </w:t>
      </w:r>
      <w:proofErr w:type="gramStart"/>
      <w:r w:rsidRPr="00A436ED">
        <w:t>was</w:t>
      </w:r>
      <w:proofErr w:type="gramEnd"/>
      <w:r w:rsidRPr="00A436ED">
        <w:t xml:space="preserve"> set to $109.32 and out-of-pocket costs for outpatient cases </w:t>
      </w:r>
      <w:proofErr w:type="gramStart"/>
      <w:r w:rsidRPr="00A436ED">
        <w:t>was</w:t>
      </w:r>
      <w:proofErr w:type="gramEnd"/>
      <w:r w:rsidRPr="00A436ED">
        <w:t xml:space="preserve"> set to $16.06. Costs on the public health system for those hospitalized and outpatient cases </w:t>
      </w:r>
      <w:proofErr w:type="gramStart"/>
      <w:r w:rsidRPr="00A436ED">
        <w:t>was</w:t>
      </w:r>
      <w:proofErr w:type="gramEnd"/>
      <w:r w:rsidRPr="00A436ED">
        <w:t xml:space="preserve"> set to $184.97 and $7.99, respectively. </w:t>
      </w:r>
    </w:p>
    <w:p w14:paraId="158AAB73" w14:textId="77777777" w:rsidR="00847A82" w:rsidRPr="00A436ED" w:rsidRDefault="00847A82" w:rsidP="003C2C3D">
      <w:pPr>
        <w:rPr>
          <w:rFonts w:ascii="Arial" w:hAnsi="Arial" w:cs="Arial"/>
        </w:rPr>
      </w:pPr>
    </w:p>
    <w:p w14:paraId="5132B57E" w14:textId="174A9188" w:rsidR="00296381" w:rsidRDefault="00296381" w:rsidP="00296381">
      <w:pPr>
        <w:pStyle w:val="Heading3"/>
        <w:rPr>
          <w:color w:val="auto"/>
        </w:rPr>
      </w:pPr>
      <w:bookmarkStart w:id="23" w:name="_Toc208578231"/>
      <w:r w:rsidRPr="00A436ED">
        <w:rPr>
          <w:color w:val="auto"/>
        </w:rPr>
        <w:t>Figure S</w:t>
      </w:r>
      <w:r w:rsidR="00AC6D9F">
        <w:rPr>
          <w:rFonts w:hint="eastAsia"/>
          <w:color w:val="auto"/>
        </w:rPr>
        <w:t>2</w:t>
      </w:r>
      <w:bookmarkEnd w:id="23"/>
      <w:r w:rsidRPr="00A436ED">
        <w:rPr>
          <w:color w:val="auto"/>
        </w:rPr>
        <w:t xml:space="preserve"> </w:t>
      </w:r>
    </w:p>
    <w:p w14:paraId="04BA15B2" w14:textId="3564CC47" w:rsidR="00296381" w:rsidRPr="00460197" w:rsidRDefault="00296381" w:rsidP="00296381">
      <w:pPr>
        <w:rPr>
          <w:rFonts w:ascii="Arial" w:hAnsi="Arial" w:cs="Arial"/>
          <w:sz w:val="28"/>
          <w:szCs w:val="28"/>
        </w:rPr>
      </w:pPr>
      <w:r w:rsidRPr="00BE6658">
        <w:t xml:space="preserve">Outbreak data set in the study. Yellow, blue and red </w:t>
      </w:r>
      <w:r>
        <w:rPr>
          <w:rFonts w:hint="eastAsia"/>
        </w:rPr>
        <w:t xml:space="preserve">colors </w:t>
      </w:r>
      <w:r w:rsidRPr="00BE6658">
        <w:t xml:space="preserve">represent </w:t>
      </w:r>
      <w:r>
        <w:rPr>
          <w:rFonts w:hint="eastAsia"/>
        </w:rPr>
        <w:t>excluded</w:t>
      </w:r>
      <w:r w:rsidRPr="00BE6658">
        <w:t xml:space="preserve">, </w:t>
      </w:r>
      <w:r>
        <w:rPr>
          <w:rFonts w:hint="eastAsia"/>
        </w:rPr>
        <w:t xml:space="preserve">suspected, and confirmed cholera </w:t>
      </w:r>
      <w:r w:rsidRPr="00BE6658">
        <w:t xml:space="preserve">outbreaks, </w:t>
      </w:r>
      <w:r>
        <w:rPr>
          <w:rFonts w:hint="eastAsia"/>
        </w:rPr>
        <w:t>respectively</w:t>
      </w:r>
      <w:r w:rsidRPr="00BE6658">
        <w:t>. (A)</w:t>
      </w:r>
      <w:r>
        <w:rPr>
          <w:rFonts w:hint="eastAsia"/>
        </w:rPr>
        <w:t xml:space="preserve"> w</w:t>
      </w:r>
      <w:r w:rsidRPr="00BE6658">
        <w:t>eekly suspected cases</w:t>
      </w:r>
      <w:r>
        <w:rPr>
          <w:rFonts w:hint="eastAsia"/>
        </w:rPr>
        <w:t xml:space="preserve"> across time</w:t>
      </w:r>
      <w:r w:rsidRPr="00BE6658">
        <w:t xml:space="preserve">. </w:t>
      </w:r>
      <w:r>
        <w:rPr>
          <w:rFonts w:hint="eastAsia"/>
        </w:rPr>
        <w:t xml:space="preserve">(B) displays the </w:t>
      </w:r>
      <w:r w:rsidRPr="00BE6658">
        <w:t xml:space="preserve">total </w:t>
      </w:r>
      <w:r>
        <w:rPr>
          <w:rFonts w:hint="eastAsia"/>
        </w:rPr>
        <w:t xml:space="preserve">number of </w:t>
      </w:r>
      <w:r w:rsidRPr="00BE6658">
        <w:t xml:space="preserve">suspected cases </w:t>
      </w:r>
      <w:r>
        <w:rPr>
          <w:rFonts w:hint="eastAsia"/>
        </w:rPr>
        <w:t xml:space="preserve">throughout the outbreak against the duration of </w:t>
      </w:r>
      <w:r w:rsidRPr="00BE6658">
        <w:t>the outbreak</w:t>
      </w:r>
      <w:r>
        <w:rPr>
          <w:rFonts w:hint="eastAsia"/>
        </w:rPr>
        <w:t xml:space="preserve"> on a log scale for both X and Y axes</w:t>
      </w:r>
      <w:r w:rsidRPr="00BE6658">
        <w:t>. (</w:t>
      </w:r>
      <w:r>
        <w:rPr>
          <w:rFonts w:hint="eastAsia"/>
        </w:rPr>
        <w:t>C</w:t>
      </w:r>
      <w:r w:rsidRPr="00BE6658">
        <w:t xml:space="preserve">) </w:t>
      </w:r>
      <w:r>
        <w:rPr>
          <w:rFonts w:hint="eastAsia"/>
        </w:rPr>
        <w:t xml:space="preserve">shows the geographical location of </w:t>
      </w:r>
      <w:r>
        <w:t>the</w:t>
      </w:r>
      <w:r>
        <w:rPr>
          <w:rFonts w:hint="eastAsia"/>
        </w:rPr>
        <w:t xml:space="preserve"> outbreak at the administrative unit levels 0,1, and 2. </w:t>
      </w:r>
    </w:p>
    <w:p w14:paraId="71DF0A81" w14:textId="77777777" w:rsidR="00296381" w:rsidRDefault="00296381" w:rsidP="00296381">
      <w:pPr>
        <w:rPr>
          <w:rFonts w:ascii="Aptos" w:hAnsi="Aptos" w:cs="Cambria Math"/>
          <w:b/>
          <w:bCs/>
        </w:rPr>
      </w:pPr>
      <w:r w:rsidRPr="00915AE1">
        <w:rPr>
          <w:rFonts w:ascii="Aptos" w:hAnsi="Aptos" w:cs="Cambria Math"/>
          <w:noProof/>
        </w:rPr>
        <mc:AlternateContent>
          <mc:Choice Requires="wps">
            <w:drawing>
              <wp:anchor distT="45720" distB="45720" distL="114300" distR="114300" simplePos="0" relativeHeight="251665408" behindDoc="0" locked="0" layoutInCell="1" allowOverlap="1" wp14:anchorId="55596ED7" wp14:editId="62FE0F6F">
                <wp:simplePos x="0" y="0"/>
                <wp:positionH relativeFrom="column">
                  <wp:posOffset>93769</wp:posOffset>
                </wp:positionH>
                <wp:positionV relativeFrom="paragraph">
                  <wp:posOffset>12911</wp:posOffset>
                </wp:positionV>
                <wp:extent cx="396240" cy="350520"/>
                <wp:effectExtent l="0" t="0" r="3810" b="0"/>
                <wp:wrapNone/>
                <wp:docPr id="1660501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76F9B3F6" w14:textId="77777777" w:rsidR="00296381" w:rsidRDefault="00296381" w:rsidP="00296381">
                            <w:r>
                              <w:rPr>
                                <w:rFonts w:hint="eastAsia"/>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596ED7" id="_x0000_t202" coordsize="21600,21600" o:spt="202" path="m,l,21600r21600,l21600,xe">
                <v:stroke joinstyle="miter"/>
                <v:path gradientshapeok="t" o:connecttype="rect"/>
              </v:shapetype>
              <v:shape id="Text Box 2" o:spid="_x0000_s1026" type="#_x0000_t202" style="position:absolute;margin-left:7.4pt;margin-top:1pt;width:31.2pt;height:27.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" stroked="f">
                <v:textbox>
                  <w:txbxContent>
                    <w:p w14:paraId="76F9B3F6" w14:textId="77777777" w:rsidR="00296381" w:rsidRDefault="00296381" w:rsidP="00296381">
                      <w:r>
                        <w:rPr>
                          <w:rFonts w:hint="eastAsia"/>
                        </w:rPr>
                        <w:t>A</w:t>
                      </w:r>
                    </w:p>
                  </w:txbxContent>
                </v:textbox>
              </v:shape>
            </w:pict>
          </mc:Fallback>
        </mc:AlternateContent>
      </w:r>
      <w:r w:rsidRPr="00BB5B04">
        <w:rPr>
          <w:rFonts w:ascii="Cambria Math" w:hAnsi="Cambria Math" w:cs="Cambria Math"/>
          <w:noProof/>
        </w:rPr>
        <w:drawing>
          <wp:anchor distT="0" distB="0" distL="114300" distR="114300" simplePos="0" relativeHeight="251664384" behindDoc="0" locked="0" layoutInCell="1" allowOverlap="1" wp14:anchorId="47A313A7" wp14:editId="5635D0F2">
            <wp:simplePos x="0" y="0"/>
            <wp:positionH relativeFrom="column">
              <wp:posOffset>8818245</wp:posOffset>
            </wp:positionH>
            <wp:positionV relativeFrom="paragraph">
              <wp:posOffset>3399155</wp:posOffset>
            </wp:positionV>
            <wp:extent cx="2926080" cy="3110835"/>
            <wp:effectExtent l="0" t="0" r="7620" b="0"/>
            <wp:wrapNone/>
            <wp:docPr id="1619144776" name="Picture 4" descr="A map of africa with different colored areas&#10;&#10;Description automatically generated">
              <a:extLst xmlns:a="http://schemas.openxmlformats.org/drawingml/2006/main">
                <a:ext uri="{FF2B5EF4-FFF2-40B4-BE49-F238E27FC236}">
                  <a16:creationId xmlns:a16="http://schemas.microsoft.com/office/drawing/2014/main" id="{888EA2A7-CFDB-6107-1E79-7E889148AC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map of africa with different colored areas&#10;&#10;Description automatically generated">
                      <a:extLst>
                        <a:ext uri="{FF2B5EF4-FFF2-40B4-BE49-F238E27FC236}">
                          <a16:creationId xmlns:a16="http://schemas.microsoft.com/office/drawing/2014/main" id="{888EA2A7-CFDB-6107-1E79-7E889148ACFD}"/>
                        </a:ext>
                      </a:extLst>
                    </pic:cNvPr>
                    <pic:cNvPicPr>
                      <a:picLocks noChangeAspect="1"/>
                    </pic:cNvPicPr>
                  </pic:nvPicPr>
                  <pic:blipFill>
                    <a:blip r:embed="rId9"/>
                    <a:stretch>
                      <a:fillRect/>
                    </a:stretch>
                  </pic:blipFill>
                  <pic:spPr>
                    <a:xfrm>
                      <a:off x="0" y="0"/>
                      <a:ext cx="2926080" cy="3110835"/>
                    </a:xfrm>
                    <a:prstGeom prst="rect">
                      <a:avLst/>
                    </a:prstGeom>
                  </pic:spPr>
                </pic:pic>
              </a:graphicData>
            </a:graphic>
          </wp:anchor>
        </w:drawing>
      </w:r>
      <w:r w:rsidRPr="0093012A">
        <w:rPr>
          <w:noProof/>
        </w:rPr>
        <w:drawing>
          <wp:inline distT="0" distB="0" distL="0" distR="0" wp14:anchorId="699DC79A" wp14:editId="64FF4A2A">
            <wp:extent cx="6000750" cy="2829560"/>
            <wp:effectExtent l="0" t="0" r="0" b="8890"/>
            <wp:docPr id="1851404114" name="Picture 1" descr="A graph showing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9907" name="Picture 1" descr="A graph showing a number of people&#10;&#10;Description automatically generated"/>
                    <pic:cNvPicPr/>
                  </pic:nvPicPr>
                  <pic:blipFill>
                    <a:blip r:embed="rId10"/>
                    <a:stretch>
                      <a:fillRect/>
                    </a:stretch>
                  </pic:blipFill>
                  <pic:spPr>
                    <a:xfrm>
                      <a:off x="0" y="0"/>
                      <a:ext cx="6000750" cy="2829560"/>
                    </a:xfrm>
                    <a:prstGeom prst="rect">
                      <a:avLst/>
                    </a:prstGeom>
                  </pic:spPr>
                </pic:pic>
              </a:graphicData>
            </a:graphic>
          </wp:inline>
        </w:drawing>
      </w:r>
    </w:p>
    <w:p w14:paraId="14A2E396" w14:textId="77777777" w:rsidR="00296381" w:rsidRDefault="00296381" w:rsidP="00296381">
      <w:pPr>
        <w:rPr>
          <w:rFonts w:ascii="Aptos" w:hAnsi="Aptos" w:cs="Cambria Math"/>
          <w:b/>
          <w:bCs/>
        </w:rPr>
      </w:pPr>
      <w:r w:rsidRPr="00915AE1">
        <w:rPr>
          <w:rFonts w:ascii="Aptos" w:hAnsi="Aptos" w:cs="Cambria Math"/>
          <w:noProof/>
        </w:rPr>
        <mc:AlternateContent>
          <mc:Choice Requires="wps">
            <w:drawing>
              <wp:anchor distT="45720" distB="45720" distL="114300" distR="114300" simplePos="0" relativeHeight="251666432" behindDoc="0" locked="0" layoutInCell="1" allowOverlap="1" wp14:anchorId="30CD2AB0" wp14:editId="49EB7E53">
                <wp:simplePos x="0" y="0"/>
                <wp:positionH relativeFrom="margin">
                  <wp:posOffset>21167</wp:posOffset>
                </wp:positionH>
                <wp:positionV relativeFrom="paragraph">
                  <wp:posOffset>183939</wp:posOffset>
                </wp:positionV>
                <wp:extent cx="396240" cy="350520"/>
                <wp:effectExtent l="0" t="0" r="3810" b="0"/>
                <wp:wrapNone/>
                <wp:docPr id="20842339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31FAD588" w14:textId="77777777" w:rsidR="00296381" w:rsidRDefault="00296381" w:rsidP="00296381">
                            <w:r>
                              <w:rPr>
                                <w:rFonts w:hint="eastAsia"/>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D2AB0" id="_x0000_s1027" type="#_x0000_t202" style="position:absolute;margin-left:1.65pt;margin-top:14.5pt;width:31.2pt;height:27.6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" stroked="f">
                <v:textbox>
                  <w:txbxContent>
                    <w:p w14:paraId="31FAD588" w14:textId="77777777" w:rsidR="00296381" w:rsidRDefault="00296381" w:rsidP="00296381">
                      <w:r>
                        <w:rPr>
                          <w:rFonts w:hint="eastAsia"/>
                        </w:rPr>
                        <w:t>B</w:t>
                      </w:r>
                    </w:p>
                  </w:txbxContent>
                </v:textbox>
                <w10:wrap anchorx="margin"/>
              </v:shape>
            </w:pict>
          </mc:Fallback>
        </mc:AlternateContent>
      </w:r>
    </w:p>
    <w:p w14:paraId="4801BA8C" w14:textId="77777777" w:rsidR="00296381" w:rsidRDefault="00296381" w:rsidP="00296381">
      <w:pPr>
        <w:rPr>
          <w:rFonts w:ascii="Aptos" w:hAnsi="Aptos" w:cs="Cambria Math"/>
          <w:b/>
          <w:bCs/>
        </w:rPr>
      </w:pPr>
      <w:r w:rsidRPr="00915AE1">
        <w:rPr>
          <w:rFonts w:ascii="Aptos" w:hAnsi="Aptos" w:cs="Cambria Math"/>
          <w:noProof/>
        </w:rPr>
        <w:lastRenderedPageBreak/>
        <mc:AlternateContent>
          <mc:Choice Requires="wps">
            <w:drawing>
              <wp:anchor distT="45720" distB="45720" distL="114300" distR="114300" simplePos="0" relativeHeight="251667456" behindDoc="0" locked="0" layoutInCell="1" allowOverlap="1" wp14:anchorId="6A5A0E91" wp14:editId="1BEDB768">
                <wp:simplePos x="0" y="0"/>
                <wp:positionH relativeFrom="margin">
                  <wp:posOffset>3002280</wp:posOffset>
                </wp:positionH>
                <wp:positionV relativeFrom="paragraph">
                  <wp:posOffset>7620</wp:posOffset>
                </wp:positionV>
                <wp:extent cx="396240" cy="350520"/>
                <wp:effectExtent l="0" t="0" r="3810" b="0"/>
                <wp:wrapNone/>
                <wp:docPr id="383105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39C1753A" w14:textId="77777777" w:rsidR="00296381" w:rsidRDefault="00296381" w:rsidP="00296381">
                            <w:r>
                              <w:rPr>
                                <w:rFonts w:hint="eastAsia"/>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A0E91" id="_x0000_s1028" type="#_x0000_t202" style="position:absolute;margin-left:236.4pt;margin-top:.6pt;width:31.2pt;height:27.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" stroked="f">
                <v:textbox>
                  <w:txbxContent>
                    <w:p w14:paraId="39C1753A" w14:textId="77777777" w:rsidR="00296381" w:rsidRDefault="00296381" w:rsidP="00296381">
                      <w:r>
                        <w:rPr>
                          <w:rFonts w:hint="eastAsia"/>
                        </w:rPr>
                        <w:t>C</w:t>
                      </w:r>
                    </w:p>
                  </w:txbxContent>
                </v:textbox>
                <w10:wrap anchorx="margin"/>
              </v:shape>
            </w:pict>
          </mc:Fallback>
        </mc:AlternateContent>
      </w:r>
      <w:r>
        <w:rPr>
          <w:noProof/>
        </w:rPr>
        <w:drawing>
          <wp:inline distT="0" distB="0" distL="0" distR="0" wp14:anchorId="09A1C562" wp14:editId="1E1E07B6">
            <wp:extent cx="2926080" cy="2783025"/>
            <wp:effectExtent l="0" t="0" r="7620" b="0"/>
            <wp:docPr id="445293169" name="Picture 1" descr="A graph with numbers and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96796" name="Picture 1" descr="A graph with numbers and a number of dots&#10;&#10;Description automatically generated with medium confidence"/>
                    <pic:cNvPicPr/>
                  </pic:nvPicPr>
                  <pic:blipFill>
                    <a:blip r:embed="rId11"/>
                    <a:stretch>
                      <a:fillRect/>
                    </a:stretch>
                  </pic:blipFill>
                  <pic:spPr>
                    <a:xfrm>
                      <a:off x="0" y="0"/>
                      <a:ext cx="2926080" cy="2783025"/>
                    </a:xfrm>
                    <a:prstGeom prst="rect">
                      <a:avLst/>
                    </a:prstGeom>
                  </pic:spPr>
                </pic:pic>
              </a:graphicData>
            </a:graphic>
          </wp:inline>
        </w:drawing>
      </w:r>
      <w:r>
        <w:rPr>
          <w:rFonts w:ascii="Aptos" w:hAnsi="Aptos" w:cs="Cambria Math" w:hint="eastAsia"/>
          <w:b/>
          <w:bCs/>
        </w:rPr>
        <w:t xml:space="preserve">      </w:t>
      </w:r>
      <w:r>
        <w:rPr>
          <w:noProof/>
        </w:rPr>
        <w:drawing>
          <wp:inline distT="0" distB="0" distL="0" distR="0" wp14:anchorId="011A930F" wp14:editId="738853EE">
            <wp:extent cx="2560320" cy="2737684"/>
            <wp:effectExtent l="0" t="0" r="0" b="5715"/>
            <wp:docPr id="787562351" name="Picture 1" descr="A map of africa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95832" name="Picture 1" descr="A map of africa with different colored areas&#10;&#10;Description automatically generated"/>
                    <pic:cNvPicPr/>
                  </pic:nvPicPr>
                  <pic:blipFill>
                    <a:blip r:embed="rId12"/>
                    <a:stretch>
                      <a:fillRect/>
                    </a:stretch>
                  </pic:blipFill>
                  <pic:spPr>
                    <a:xfrm>
                      <a:off x="0" y="0"/>
                      <a:ext cx="2560320" cy="2737684"/>
                    </a:xfrm>
                    <a:prstGeom prst="rect">
                      <a:avLst/>
                    </a:prstGeom>
                  </pic:spPr>
                </pic:pic>
              </a:graphicData>
            </a:graphic>
          </wp:inline>
        </w:drawing>
      </w:r>
    </w:p>
    <w:p w14:paraId="1E7FF0C1" w14:textId="77777777" w:rsidR="00391D71" w:rsidRDefault="00391D71" w:rsidP="00296381">
      <w:pPr>
        <w:rPr>
          <w:rFonts w:ascii="Aptos" w:hAnsi="Aptos" w:cs="Cambria Math"/>
          <w:b/>
          <w:bCs/>
        </w:rPr>
      </w:pPr>
    </w:p>
    <w:p w14:paraId="26FD8ABF" w14:textId="58672267" w:rsidR="00247233" w:rsidRDefault="00247233" w:rsidP="00247233">
      <w:pPr>
        <w:pStyle w:val="Heading3"/>
        <w:rPr>
          <w:color w:val="auto"/>
        </w:rPr>
      </w:pPr>
      <w:bookmarkStart w:id="24" w:name="_Toc208578232"/>
      <w:r w:rsidRPr="00A436ED">
        <w:rPr>
          <w:color w:val="auto"/>
        </w:rPr>
        <w:t>Figure S</w:t>
      </w:r>
      <w:r w:rsidR="00AB2CB0">
        <w:rPr>
          <w:rFonts w:hint="eastAsia"/>
          <w:color w:val="auto"/>
        </w:rPr>
        <w:t>3</w:t>
      </w:r>
      <w:bookmarkEnd w:id="24"/>
    </w:p>
    <w:p w14:paraId="48EC8500" w14:textId="622CBBF5" w:rsidR="00247233" w:rsidRPr="00AF0162" w:rsidRDefault="00247233" w:rsidP="00247233">
      <w:pPr>
        <w:rPr>
          <w:rFonts w:ascii="Aptos" w:hAnsi="Aptos" w:cs="Cambria Math"/>
        </w:rPr>
      </w:pPr>
      <w:r w:rsidRPr="00247233">
        <w:rPr>
          <w:rFonts w:ascii="Aptos" w:hAnsi="Aptos" w:cs="Cambria Math"/>
        </w:rPr>
        <w:t>Percentage of cholera cases averted and its decline with increasing delay for case-triggered outbreak response immunization (ORI) strategies.</w:t>
      </w:r>
      <w:r w:rsidRPr="002A707D">
        <w:rPr>
          <w:rFonts w:ascii="Aptos" w:hAnsi="Aptos" w:cs="Cambria Math"/>
        </w:rPr>
        <w:t xml:space="preserve"> Results are shown for ORIs implemented with delays of 1 to 15 weeks after reaching cumulative case thresholds of 1, 10, or 100, assuming 75% vaccine coverage. (A) Percentage of cases averted as a function of delay across the three case thresholds. (B) Proportion of outbreaks in which ORI was implemented and therefore included in the analysis. (C) Weekly percentage decline in cases averted and (D) estimated time for cases averted to decrease by half, stratified by case thresholds and outbreak subsets. “Top AR,” “Top duration,” and “Top size” indicate the top quartiles of outbreaks ranked by attack rate, epidemic duration, and cumulative cases, respectively.</w:t>
      </w:r>
    </w:p>
    <w:p w14:paraId="34B73871" w14:textId="77777777" w:rsidR="00247233" w:rsidRDefault="00247233" w:rsidP="00247233">
      <w:pPr>
        <w:rPr>
          <w:rFonts w:ascii="Aptos" w:hAnsi="Aptos" w:cs="Cambria Math"/>
          <w:b/>
          <w:bCs/>
        </w:rPr>
      </w:pPr>
    </w:p>
    <w:p w14:paraId="73FD0457" w14:textId="77777777" w:rsidR="00247233" w:rsidRDefault="00247233" w:rsidP="00247233">
      <w:pPr>
        <w:rPr>
          <w:rFonts w:ascii="Aptos" w:hAnsi="Aptos" w:cs="Cambria Math"/>
          <w:b/>
          <w:bCs/>
        </w:rPr>
      </w:pPr>
      <w:r>
        <w:rPr>
          <w:noProof/>
        </w:rPr>
        <w:lastRenderedPageBreak/>
        <w:drawing>
          <wp:inline distT="0" distB="0" distL="0" distR="0" wp14:anchorId="4C9C6DC6" wp14:editId="282C1BA0">
            <wp:extent cx="5852160" cy="5852160"/>
            <wp:effectExtent l="0" t="0" r="0" b="0"/>
            <wp:docPr id="1703719121"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19121" name="Picture 1" descr="A collage of graphs&#10;&#10;AI-generated content may be incorrect."/>
                    <pic:cNvPicPr/>
                  </pic:nvPicPr>
                  <pic:blipFill>
                    <a:blip r:embed="rId13"/>
                    <a:stretch>
                      <a:fillRect/>
                    </a:stretch>
                  </pic:blipFill>
                  <pic:spPr>
                    <a:xfrm>
                      <a:off x="0" y="0"/>
                      <a:ext cx="5852160" cy="5852160"/>
                    </a:xfrm>
                    <a:prstGeom prst="rect">
                      <a:avLst/>
                    </a:prstGeom>
                  </pic:spPr>
                </pic:pic>
              </a:graphicData>
            </a:graphic>
          </wp:inline>
        </w:drawing>
      </w:r>
    </w:p>
    <w:p w14:paraId="22790C3D" w14:textId="77777777" w:rsidR="00391D71" w:rsidRDefault="00391D71" w:rsidP="00296381">
      <w:pPr>
        <w:rPr>
          <w:rFonts w:ascii="Aptos" w:hAnsi="Aptos" w:cs="Cambria Math"/>
          <w:b/>
          <w:bCs/>
        </w:rPr>
      </w:pPr>
    </w:p>
    <w:p w14:paraId="6D1EA3A7" w14:textId="77777777" w:rsidR="003C1304" w:rsidRDefault="003C1304" w:rsidP="008F5109">
      <w:pPr>
        <w:rPr>
          <w:rFonts w:ascii="Aptos" w:hAnsi="Aptos" w:cs="Cambria Math"/>
          <w:b/>
          <w:bCs/>
        </w:rPr>
      </w:pPr>
    </w:p>
    <w:p w14:paraId="54F8B5D5" w14:textId="77777777" w:rsidR="003C1304" w:rsidRDefault="003C1304" w:rsidP="00DE39B5">
      <w:pPr>
        <w:pStyle w:val="Heading3"/>
        <w:rPr>
          <w:color w:val="auto"/>
        </w:rPr>
        <w:sectPr w:rsidR="003C1304" w:rsidSect="00030153">
          <w:pgSz w:w="12240" w:h="15840"/>
          <w:pgMar w:top="1440" w:right="1440" w:bottom="1440" w:left="1440" w:header="720" w:footer="720" w:gutter="0"/>
          <w:cols w:space="720"/>
          <w:docGrid w:linePitch="360"/>
        </w:sectPr>
      </w:pPr>
    </w:p>
    <w:p w14:paraId="272CDA03" w14:textId="1434EE24" w:rsidR="00DE39B5" w:rsidRPr="00A436ED" w:rsidRDefault="00DE39B5" w:rsidP="00DE39B5">
      <w:pPr>
        <w:pStyle w:val="Heading3"/>
        <w:rPr>
          <w:color w:val="auto"/>
        </w:rPr>
      </w:pPr>
      <w:bookmarkStart w:id="25" w:name="_Toc208578233"/>
      <w:r w:rsidRPr="00A436ED">
        <w:rPr>
          <w:color w:val="auto"/>
        </w:rPr>
        <w:lastRenderedPageBreak/>
        <w:t>Table S</w:t>
      </w:r>
      <w:r w:rsidR="0023299B">
        <w:rPr>
          <w:rFonts w:hint="eastAsia"/>
          <w:color w:val="auto"/>
        </w:rPr>
        <w:t>1</w:t>
      </w:r>
      <w:bookmarkEnd w:id="25"/>
    </w:p>
    <w:p w14:paraId="7EB4757C" w14:textId="4DA09320" w:rsidR="00DE39B5" w:rsidRPr="007F0AB9" w:rsidRDefault="001C047C" w:rsidP="00DE39B5">
      <w:pPr>
        <w:rPr>
          <w:sz w:val="22"/>
          <w:szCs w:val="22"/>
        </w:rPr>
      </w:pPr>
      <w:r w:rsidRPr="0092473E">
        <w:rPr>
          <w:rFonts w:ascii="Aptos" w:hAnsi="Aptos" w:cs="Aptos"/>
        </w:rPr>
        <w:t>Impact of ORI under the outbreak onset-triggered scenario. Values represent medians with interquartile ranges</w:t>
      </w:r>
      <w:r>
        <w:rPr>
          <w:rFonts w:ascii="Aptos" w:hAnsi="Aptos" w:cs="Aptos" w:hint="eastAsia"/>
        </w:rPr>
        <w:t xml:space="preserve"> (IQRs).</w:t>
      </w:r>
    </w:p>
    <w:tbl>
      <w:tblPr>
        <w:tblStyle w:val="TableGrid"/>
        <w:tblW w:w="12870" w:type="dxa"/>
        <w:tblInd w:w="-5" w:type="dxa"/>
        <w:tblLayout w:type="fixed"/>
        <w:tblLook w:val="04A0" w:firstRow="1" w:lastRow="0" w:firstColumn="1" w:lastColumn="0" w:noHBand="0" w:noVBand="1"/>
      </w:tblPr>
      <w:tblGrid>
        <w:gridCol w:w="990"/>
        <w:gridCol w:w="990"/>
        <w:gridCol w:w="990"/>
        <w:gridCol w:w="1260"/>
        <w:gridCol w:w="1080"/>
        <w:gridCol w:w="1260"/>
        <w:gridCol w:w="1170"/>
        <w:gridCol w:w="1710"/>
        <w:gridCol w:w="1710"/>
        <w:gridCol w:w="1710"/>
      </w:tblGrid>
      <w:tr w:rsidR="00DE39B5" w:rsidRPr="007F0AB9" w14:paraId="73D3FDBD" w14:textId="77777777" w:rsidTr="007C3198">
        <w:trPr>
          <w:trHeight w:val="300"/>
        </w:trPr>
        <w:tc>
          <w:tcPr>
            <w:tcW w:w="990" w:type="dxa"/>
            <w:vAlign w:val="center"/>
          </w:tcPr>
          <w:p w14:paraId="6C0C126D" w14:textId="77777777" w:rsidR="00DE39B5" w:rsidRPr="007C3198" w:rsidRDefault="00DE39B5" w:rsidP="003C1304">
            <w:pPr>
              <w:spacing w:line="240" w:lineRule="auto"/>
              <w:jc w:val="center"/>
              <w:rPr>
                <w:rFonts w:ascii="Aptos" w:hAnsi="Aptos" w:cs="Arial"/>
                <w:sz w:val="18"/>
                <w:szCs w:val="18"/>
              </w:rPr>
            </w:pPr>
            <w:bookmarkStart w:id="26" w:name="_Hlk184811241"/>
            <w:r w:rsidRPr="007C3198">
              <w:rPr>
                <w:rFonts w:ascii="Aptos" w:hAnsi="Aptos" w:cs="Arial"/>
                <w:sz w:val="18"/>
                <w:szCs w:val="18"/>
              </w:rPr>
              <w:t>Camp-</w:t>
            </w:r>
            <w:proofErr w:type="spellStart"/>
            <w:r w:rsidRPr="007C3198">
              <w:rPr>
                <w:rFonts w:ascii="Aptos" w:hAnsi="Aptos" w:cs="Arial"/>
                <w:sz w:val="18"/>
                <w:szCs w:val="18"/>
              </w:rPr>
              <w:t>aign</w:t>
            </w:r>
            <w:proofErr w:type="spellEnd"/>
            <w:r w:rsidRPr="007C3198">
              <w:rPr>
                <w:rFonts w:ascii="Aptos" w:hAnsi="Aptos" w:cs="Arial"/>
                <w:sz w:val="18"/>
                <w:szCs w:val="18"/>
              </w:rPr>
              <w:t xml:space="preserve"> week</w:t>
            </w:r>
          </w:p>
        </w:tc>
        <w:tc>
          <w:tcPr>
            <w:tcW w:w="990" w:type="dxa"/>
            <w:vAlign w:val="center"/>
          </w:tcPr>
          <w:p w14:paraId="262BCD85"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Vaccine coverage</w:t>
            </w:r>
          </w:p>
        </w:tc>
        <w:tc>
          <w:tcPr>
            <w:tcW w:w="990" w:type="dxa"/>
            <w:tcBorders>
              <w:bottom w:val="single" w:sz="4" w:space="0" w:color="auto"/>
            </w:tcBorders>
            <w:vAlign w:val="center"/>
          </w:tcPr>
          <w:p w14:paraId="79782CC6"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 case reduction</w:t>
            </w:r>
          </w:p>
        </w:tc>
        <w:tc>
          <w:tcPr>
            <w:tcW w:w="1260" w:type="dxa"/>
            <w:tcBorders>
              <w:bottom w:val="single" w:sz="4" w:space="0" w:color="auto"/>
            </w:tcBorders>
            <w:noWrap/>
            <w:vAlign w:val="center"/>
            <w:hideMark/>
          </w:tcPr>
          <w:p w14:paraId="125A9062"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Case averted</w:t>
            </w:r>
          </w:p>
        </w:tc>
        <w:tc>
          <w:tcPr>
            <w:tcW w:w="1080" w:type="dxa"/>
            <w:tcBorders>
              <w:bottom w:val="single" w:sz="4" w:space="0" w:color="auto"/>
            </w:tcBorders>
            <w:noWrap/>
            <w:vAlign w:val="center"/>
            <w:hideMark/>
          </w:tcPr>
          <w:p w14:paraId="3761BB2C"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Death averted</w:t>
            </w:r>
          </w:p>
        </w:tc>
        <w:tc>
          <w:tcPr>
            <w:tcW w:w="1260" w:type="dxa"/>
            <w:tcBorders>
              <w:bottom w:val="single" w:sz="4" w:space="0" w:color="auto"/>
            </w:tcBorders>
            <w:noWrap/>
            <w:vAlign w:val="center"/>
            <w:hideMark/>
          </w:tcPr>
          <w:p w14:paraId="3B5649F9"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Case averted per</w:t>
            </w:r>
          </w:p>
          <w:p w14:paraId="786097C4"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1,000 OCVs</w:t>
            </w:r>
          </w:p>
        </w:tc>
        <w:tc>
          <w:tcPr>
            <w:tcW w:w="1170" w:type="dxa"/>
            <w:tcBorders>
              <w:bottom w:val="single" w:sz="4" w:space="0" w:color="auto"/>
            </w:tcBorders>
            <w:noWrap/>
            <w:vAlign w:val="center"/>
            <w:hideMark/>
          </w:tcPr>
          <w:p w14:paraId="2CAB30E4"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Death averted per 1,000 OCVs</w:t>
            </w:r>
          </w:p>
        </w:tc>
        <w:tc>
          <w:tcPr>
            <w:tcW w:w="1710" w:type="dxa"/>
            <w:tcBorders>
              <w:bottom w:val="single" w:sz="4" w:space="0" w:color="auto"/>
            </w:tcBorders>
            <w:noWrap/>
            <w:vAlign w:val="center"/>
            <w:hideMark/>
          </w:tcPr>
          <w:p w14:paraId="3E7F69E1"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Cost per case averted</w:t>
            </w:r>
          </w:p>
        </w:tc>
        <w:tc>
          <w:tcPr>
            <w:tcW w:w="1710" w:type="dxa"/>
            <w:tcBorders>
              <w:bottom w:val="single" w:sz="4" w:space="0" w:color="auto"/>
            </w:tcBorders>
            <w:noWrap/>
            <w:vAlign w:val="center"/>
            <w:hideMark/>
          </w:tcPr>
          <w:p w14:paraId="390DA86B"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Cost per death averted</w:t>
            </w:r>
          </w:p>
        </w:tc>
        <w:tc>
          <w:tcPr>
            <w:tcW w:w="1710" w:type="dxa"/>
            <w:tcBorders>
              <w:bottom w:val="single" w:sz="4" w:space="0" w:color="auto"/>
            </w:tcBorders>
            <w:noWrap/>
            <w:vAlign w:val="center"/>
            <w:hideMark/>
          </w:tcPr>
          <w:p w14:paraId="5C02D5E1"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Cost per DALY averted</w:t>
            </w:r>
          </w:p>
        </w:tc>
      </w:tr>
      <w:bookmarkEnd w:id="26"/>
      <w:tr w:rsidR="001C047C" w:rsidRPr="007F0AB9" w14:paraId="07C2BFA6" w14:textId="77777777" w:rsidTr="007C3198">
        <w:trPr>
          <w:trHeight w:val="773"/>
        </w:trPr>
        <w:tc>
          <w:tcPr>
            <w:tcW w:w="990" w:type="dxa"/>
            <w:vAlign w:val="center"/>
          </w:tcPr>
          <w:p w14:paraId="26BA362B"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w:t>
            </w:r>
          </w:p>
        </w:tc>
        <w:tc>
          <w:tcPr>
            <w:tcW w:w="990" w:type="dxa"/>
            <w:vAlign w:val="center"/>
          </w:tcPr>
          <w:p w14:paraId="50BCE8DC"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7A3E2692" w14:textId="58EBD4C9"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63.1 (44.3 - 76.1)</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3D5AA966" w14:textId="744FC9B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118 (37 - 342)</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A21795B" w14:textId="0804DEA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 (0 - 5)</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13986F4" w14:textId="76BC11F5"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0.784 (0.211 - 2.728)</w:t>
            </w:r>
          </w:p>
        </w:tc>
        <w:tc>
          <w:tcPr>
            <w:tcW w:w="1170" w:type="dxa"/>
            <w:tcBorders>
              <w:top w:val="single" w:sz="4" w:space="0" w:color="auto"/>
              <w:left w:val="single" w:sz="4" w:space="0" w:color="auto"/>
              <w:bottom w:val="single" w:sz="4" w:space="0" w:color="auto"/>
              <w:right w:val="single" w:sz="4" w:space="0" w:color="auto"/>
            </w:tcBorders>
            <w:noWrap/>
            <w:vAlign w:val="center"/>
          </w:tcPr>
          <w:p w14:paraId="26FB11E3" w14:textId="1CB5CBE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0.006 (0 - 0.032)</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8EA03BD" w14:textId="35E57BC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3,984.9 (807.5 - 15,717.8)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49E2E13" w14:textId="4812C0D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141,086.7 (25,018.5 - 433,077.8)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35A3C29" w14:textId="08FA007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21,686.7 (3,352.9 - 4,066,840)</w:t>
            </w:r>
          </w:p>
        </w:tc>
      </w:tr>
      <w:tr w:rsidR="001C047C" w:rsidRPr="007F0AB9" w14:paraId="15A25192" w14:textId="77777777" w:rsidTr="007C3198">
        <w:trPr>
          <w:trHeight w:val="300"/>
        </w:trPr>
        <w:tc>
          <w:tcPr>
            <w:tcW w:w="990" w:type="dxa"/>
            <w:vAlign w:val="center"/>
          </w:tcPr>
          <w:p w14:paraId="553EF31C"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5</w:t>
            </w:r>
          </w:p>
        </w:tc>
        <w:tc>
          <w:tcPr>
            <w:tcW w:w="990" w:type="dxa"/>
            <w:vAlign w:val="center"/>
          </w:tcPr>
          <w:p w14:paraId="6B014EAA"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2C33B344" w14:textId="00F76D9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23.6 (5.8 - 45.8)</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670F392" w14:textId="18809BD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45 (6 - 196)</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63D06E6" w14:textId="5A922ED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2E3E7DBF" w14:textId="3818ED9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0.286 (0.042 - 1.427)</w:t>
            </w:r>
          </w:p>
        </w:tc>
        <w:tc>
          <w:tcPr>
            <w:tcW w:w="1170" w:type="dxa"/>
            <w:tcBorders>
              <w:top w:val="single" w:sz="4" w:space="0" w:color="auto"/>
              <w:left w:val="single" w:sz="4" w:space="0" w:color="auto"/>
              <w:bottom w:val="single" w:sz="4" w:space="0" w:color="auto"/>
              <w:right w:val="single" w:sz="4" w:space="0" w:color="auto"/>
            </w:tcBorders>
            <w:noWrap/>
            <w:vAlign w:val="center"/>
          </w:tcPr>
          <w:p w14:paraId="2E6ADA36" w14:textId="5EC32C2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(0 - 0.013)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54420A94" w14:textId="1349695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8,283.1 (1,541.1 - 35,561.4)</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49CBC1E" w14:textId="5720A50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173,932.8 (40,389.2 - 580,727.8)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BE9710A" w14:textId="2288809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306,163.2 (7,175.9 - 21,604,384)</w:t>
            </w:r>
          </w:p>
        </w:tc>
      </w:tr>
      <w:tr w:rsidR="001C047C" w:rsidRPr="007F0AB9" w14:paraId="47CFAE52" w14:textId="77777777" w:rsidTr="007C3198">
        <w:trPr>
          <w:trHeight w:val="701"/>
        </w:trPr>
        <w:tc>
          <w:tcPr>
            <w:tcW w:w="990" w:type="dxa"/>
            <w:vAlign w:val="center"/>
          </w:tcPr>
          <w:p w14:paraId="0F2005B7"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9</w:t>
            </w:r>
          </w:p>
        </w:tc>
        <w:tc>
          <w:tcPr>
            <w:tcW w:w="990" w:type="dxa"/>
            <w:vAlign w:val="center"/>
          </w:tcPr>
          <w:p w14:paraId="5A87EF62"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2BF75B65" w14:textId="03B8488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11.1 (1.5 - 30.9)</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B79EE88" w14:textId="11C3E79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26 (2 - 133)</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FC0C421" w14:textId="3554DBA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130EEF8" w14:textId="77BE0FA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0.17 (0.014 - 1.008)</w:t>
            </w:r>
          </w:p>
        </w:tc>
        <w:tc>
          <w:tcPr>
            <w:tcW w:w="1170" w:type="dxa"/>
            <w:tcBorders>
              <w:top w:val="single" w:sz="4" w:space="0" w:color="auto"/>
              <w:left w:val="single" w:sz="4" w:space="0" w:color="auto"/>
              <w:bottom w:val="single" w:sz="4" w:space="0" w:color="auto"/>
              <w:right w:val="single" w:sz="4" w:space="0" w:color="auto"/>
            </w:tcBorders>
            <w:noWrap/>
            <w:vAlign w:val="center"/>
          </w:tcPr>
          <w:p w14:paraId="0D4C76CA" w14:textId="054B4A0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(0 - 0.009)</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975DCED" w14:textId="6E06431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11,429.1 (2,167.6 - 52,794.5)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9A95D1E" w14:textId="4F32AB0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204,037.2 (54,504 - 597,872.5)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1662CC2" w14:textId="2B7E7BC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1,538,217 (9,987.3 - 35,459,148)</w:t>
            </w:r>
          </w:p>
        </w:tc>
      </w:tr>
      <w:tr w:rsidR="001C047C" w:rsidRPr="007F0AB9" w14:paraId="3D33B3B0" w14:textId="77777777" w:rsidTr="007C3198">
        <w:trPr>
          <w:trHeight w:val="701"/>
        </w:trPr>
        <w:tc>
          <w:tcPr>
            <w:tcW w:w="990" w:type="dxa"/>
            <w:vAlign w:val="center"/>
          </w:tcPr>
          <w:p w14:paraId="055F6133"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13</w:t>
            </w:r>
          </w:p>
        </w:tc>
        <w:tc>
          <w:tcPr>
            <w:tcW w:w="990" w:type="dxa"/>
            <w:vAlign w:val="center"/>
          </w:tcPr>
          <w:p w14:paraId="3720A590"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7A7C5C73" w14:textId="38EDE2D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7.4 (0.6 - 23.8)</w:t>
            </w:r>
          </w:p>
        </w:tc>
        <w:tc>
          <w:tcPr>
            <w:tcW w:w="1260" w:type="dxa"/>
            <w:tcBorders>
              <w:top w:val="single" w:sz="4" w:space="0" w:color="auto"/>
              <w:left w:val="single" w:sz="4" w:space="0" w:color="auto"/>
              <w:bottom w:val="single" w:sz="4" w:space="0" w:color="auto"/>
              <w:right w:val="single" w:sz="4" w:space="0" w:color="auto"/>
            </w:tcBorders>
            <w:noWrap/>
            <w:vAlign w:val="center"/>
          </w:tcPr>
          <w:p w14:paraId="0FF3B180" w14:textId="09078BC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21 (2 - 122)</w:t>
            </w:r>
          </w:p>
        </w:tc>
        <w:tc>
          <w:tcPr>
            <w:tcW w:w="1080" w:type="dxa"/>
            <w:tcBorders>
              <w:top w:val="single" w:sz="4" w:space="0" w:color="auto"/>
              <w:left w:val="single" w:sz="4" w:space="0" w:color="auto"/>
              <w:bottom w:val="single" w:sz="4" w:space="0" w:color="auto"/>
              <w:right w:val="single" w:sz="4" w:space="0" w:color="auto"/>
            </w:tcBorders>
            <w:noWrap/>
            <w:vAlign w:val="center"/>
          </w:tcPr>
          <w:p w14:paraId="12ED2995" w14:textId="36A3D5E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2F6107CE" w14:textId="6BE78330"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0.133 (0.009 - 0.842)</w:t>
            </w:r>
          </w:p>
        </w:tc>
        <w:tc>
          <w:tcPr>
            <w:tcW w:w="1170" w:type="dxa"/>
            <w:tcBorders>
              <w:top w:val="single" w:sz="4" w:space="0" w:color="auto"/>
              <w:left w:val="single" w:sz="4" w:space="0" w:color="auto"/>
              <w:bottom w:val="single" w:sz="4" w:space="0" w:color="auto"/>
              <w:right w:val="single" w:sz="4" w:space="0" w:color="auto"/>
            </w:tcBorders>
            <w:noWrap/>
            <w:vAlign w:val="center"/>
          </w:tcPr>
          <w:p w14:paraId="38753909" w14:textId="50A8BFA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(0 - 0.007)</w:t>
            </w:r>
          </w:p>
        </w:tc>
        <w:tc>
          <w:tcPr>
            <w:tcW w:w="1710" w:type="dxa"/>
            <w:tcBorders>
              <w:top w:val="single" w:sz="4" w:space="0" w:color="auto"/>
              <w:left w:val="single" w:sz="4" w:space="0" w:color="auto"/>
              <w:bottom w:val="single" w:sz="4" w:space="0" w:color="auto"/>
              <w:right w:val="single" w:sz="4" w:space="0" w:color="auto"/>
            </w:tcBorders>
            <w:noWrap/>
            <w:vAlign w:val="center"/>
          </w:tcPr>
          <w:p w14:paraId="0419E7E3" w14:textId="67C1EDF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13,635.6 (2,470.9 - 66,541.3)</w:t>
            </w:r>
          </w:p>
        </w:tc>
        <w:tc>
          <w:tcPr>
            <w:tcW w:w="1710" w:type="dxa"/>
            <w:tcBorders>
              <w:top w:val="single" w:sz="4" w:space="0" w:color="auto"/>
              <w:left w:val="single" w:sz="4" w:space="0" w:color="auto"/>
              <w:bottom w:val="single" w:sz="4" w:space="0" w:color="auto"/>
              <w:right w:val="single" w:sz="4" w:space="0" w:color="auto"/>
            </w:tcBorders>
            <w:noWrap/>
            <w:vAlign w:val="center"/>
          </w:tcPr>
          <w:p w14:paraId="70E1AC3B" w14:textId="04F7D9A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213,025.5 (55,950.5 - 575,848.1)</w:t>
            </w:r>
          </w:p>
        </w:tc>
        <w:tc>
          <w:tcPr>
            <w:tcW w:w="1710" w:type="dxa"/>
            <w:tcBorders>
              <w:top w:val="single" w:sz="4" w:space="0" w:color="auto"/>
              <w:left w:val="single" w:sz="4" w:space="0" w:color="auto"/>
              <w:bottom w:val="single" w:sz="4" w:space="0" w:color="auto"/>
              <w:right w:val="single" w:sz="4" w:space="0" w:color="auto"/>
            </w:tcBorders>
            <w:noWrap/>
            <w:vAlign w:val="center"/>
          </w:tcPr>
          <w:p w14:paraId="1C993930" w14:textId="43DED13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2,792,191 (11,464.5 - 45,103,576)</w:t>
            </w:r>
          </w:p>
        </w:tc>
      </w:tr>
      <w:tr w:rsidR="001C047C" w:rsidRPr="007F0AB9" w14:paraId="7D2D154F" w14:textId="77777777" w:rsidTr="007C3198">
        <w:trPr>
          <w:trHeight w:val="701"/>
        </w:trPr>
        <w:tc>
          <w:tcPr>
            <w:tcW w:w="990" w:type="dxa"/>
            <w:vAlign w:val="center"/>
          </w:tcPr>
          <w:p w14:paraId="03814B32" w14:textId="0949038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w:t>
            </w:r>
          </w:p>
        </w:tc>
        <w:tc>
          <w:tcPr>
            <w:tcW w:w="990" w:type="dxa"/>
            <w:vAlign w:val="center"/>
          </w:tcPr>
          <w:p w14:paraId="122E71FE" w14:textId="4ACFB024"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1AD7D2ED" w14:textId="49DE1C39"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70.5 (49.5 - 83.6)</w:t>
            </w:r>
          </w:p>
        </w:tc>
        <w:tc>
          <w:tcPr>
            <w:tcW w:w="1260" w:type="dxa"/>
            <w:tcBorders>
              <w:top w:val="single" w:sz="4" w:space="0" w:color="auto"/>
              <w:left w:val="single" w:sz="4" w:space="0" w:color="auto"/>
              <w:bottom w:val="single" w:sz="4" w:space="0" w:color="auto"/>
              <w:right w:val="single" w:sz="4" w:space="0" w:color="auto"/>
            </w:tcBorders>
            <w:noWrap/>
            <w:vAlign w:val="center"/>
          </w:tcPr>
          <w:p w14:paraId="64C383AB" w14:textId="7D871440"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130 (41 - 377)</w:t>
            </w:r>
          </w:p>
        </w:tc>
        <w:tc>
          <w:tcPr>
            <w:tcW w:w="1080" w:type="dxa"/>
            <w:tcBorders>
              <w:top w:val="single" w:sz="4" w:space="0" w:color="auto"/>
              <w:left w:val="single" w:sz="4" w:space="0" w:color="auto"/>
              <w:bottom w:val="single" w:sz="4" w:space="0" w:color="auto"/>
              <w:right w:val="single" w:sz="4" w:space="0" w:color="auto"/>
            </w:tcBorders>
            <w:noWrap/>
            <w:vAlign w:val="center"/>
          </w:tcPr>
          <w:p w14:paraId="3B9F3274" w14:textId="02367B6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 (0 - 5)</w:t>
            </w:r>
          </w:p>
        </w:tc>
        <w:tc>
          <w:tcPr>
            <w:tcW w:w="1260" w:type="dxa"/>
            <w:tcBorders>
              <w:top w:val="single" w:sz="4" w:space="0" w:color="auto"/>
              <w:left w:val="single" w:sz="4" w:space="0" w:color="auto"/>
              <w:bottom w:val="single" w:sz="4" w:space="0" w:color="auto"/>
              <w:right w:val="single" w:sz="4" w:space="0" w:color="auto"/>
            </w:tcBorders>
            <w:noWrap/>
            <w:vAlign w:val="center"/>
          </w:tcPr>
          <w:p w14:paraId="655F653A" w14:textId="4A70BA85"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0.695 (0.188 - 2.411)</w:t>
            </w:r>
          </w:p>
        </w:tc>
        <w:tc>
          <w:tcPr>
            <w:tcW w:w="1170" w:type="dxa"/>
            <w:tcBorders>
              <w:top w:val="single" w:sz="4" w:space="0" w:color="auto"/>
              <w:left w:val="single" w:sz="4" w:space="0" w:color="auto"/>
              <w:bottom w:val="single" w:sz="4" w:space="0" w:color="auto"/>
              <w:right w:val="single" w:sz="4" w:space="0" w:color="auto"/>
            </w:tcBorders>
            <w:noWrap/>
            <w:vAlign w:val="center"/>
          </w:tcPr>
          <w:p w14:paraId="17BB6127" w14:textId="4506C7A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0.005 (0 - 0.029)</w:t>
            </w:r>
          </w:p>
        </w:tc>
        <w:tc>
          <w:tcPr>
            <w:tcW w:w="1710" w:type="dxa"/>
            <w:tcBorders>
              <w:top w:val="single" w:sz="4" w:space="0" w:color="auto"/>
              <w:left w:val="single" w:sz="4" w:space="0" w:color="auto"/>
              <w:bottom w:val="single" w:sz="4" w:space="0" w:color="auto"/>
              <w:right w:val="single" w:sz="4" w:space="0" w:color="auto"/>
            </w:tcBorders>
            <w:noWrap/>
            <w:vAlign w:val="center"/>
          </w:tcPr>
          <w:p w14:paraId="0A8ACB0C" w14:textId="298115D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4,622.9 (972 - 17,852.8)</w:t>
            </w:r>
          </w:p>
        </w:tc>
        <w:tc>
          <w:tcPr>
            <w:tcW w:w="1710" w:type="dxa"/>
            <w:tcBorders>
              <w:top w:val="single" w:sz="4" w:space="0" w:color="auto"/>
              <w:left w:val="single" w:sz="4" w:space="0" w:color="auto"/>
              <w:bottom w:val="single" w:sz="4" w:space="0" w:color="auto"/>
              <w:right w:val="single" w:sz="4" w:space="0" w:color="auto"/>
            </w:tcBorders>
            <w:noWrap/>
            <w:vAlign w:val="center"/>
          </w:tcPr>
          <w:p w14:paraId="099C2F7A" w14:textId="5E3DD1F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164,823.4 (32,907.4 - 496,528.4)</w:t>
            </w:r>
          </w:p>
        </w:tc>
        <w:tc>
          <w:tcPr>
            <w:tcW w:w="1710" w:type="dxa"/>
            <w:tcBorders>
              <w:top w:val="single" w:sz="4" w:space="0" w:color="auto"/>
              <w:left w:val="single" w:sz="4" w:space="0" w:color="auto"/>
              <w:bottom w:val="single" w:sz="4" w:space="0" w:color="auto"/>
              <w:right w:val="single" w:sz="4" w:space="0" w:color="auto"/>
            </w:tcBorders>
            <w:noWrap/>
            <w:vAlign w:val="center"/>
          </w:tcPr>
          <w:p w14:paraId="47D623ED" w14:textId="74A78BE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24,687.2 (4,000.6 - 4,622,038)</w:t>
            </w:r>
          </w:p>
        </w:tc>
      </w:tr>
      <w:tr w:rsidR="001C047C" w:rsidRPr="007F0AB9" w14:paraId="47F10457" w14:textId="77777777" w:rsidTr="007C3198">
        <w:trPr>
          <w:trHeight w:val="701"/>
        </w:trPr>
        <w:tc>
          <w:tcPr>
            <w:tcW w:w="990" w:type="dxa"/>
            <w:vAlign w:val="center"/>
          </w:tcPr>
          <w:p w14:paraId="45976C36" w14:textId="0650D2B4"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5</w:t>
            </w:r>
          </w:p>
        </w:tc>
        <w:tc>
          <w:tcPr>
            <w:tcW w:w="990" w:type="dxa"/>
            <w:vAlign w:val="center"/>
          </w:tcPr>
          <w:p w14:paraId="5D1F3ED7" w14:textId="2C701F5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12BA952D" w14:textId="1A6A8E5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26.1 (6.5 - 50.7)</w:t>
            </w:r>
          </w:p>
        </w:tc>
        <w:tc>
          <w:tcPr>
            <w:tcW w:w="1260" w:type="dxa"/>
            <w:tcBorders>
              <w:top w:val="single" w:sz="4" w:space="0" w:color="auto"/>
              <w:left w:val="single" w:sz="4" w:space="0" w:color="auto"/>
              <w:bottom w:val="single" w:sz="4" w:space="0" w:color="auto"/>
              <w:right w:val="single" w:sz="4" w:space="0" w:color="auto"/>
            </w:tcBorders>
            <w:noWrap/>
            <w:vAlign w:val="center"/>
          </w:tcPr>
          <w:p w14:paraId="1AF99560" w14:textId="00C2E5B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49 (7 - 218)</w:t>
            </w:r>
          </w:p>
        </w:tc>
        <w:tc>
          <w:tcPr>
            <w:tcW w:w="1080" w:type="dxa"/>
            <w:tcBorders>
              <w:top w:val="single" w:sz="4" w:space="0" w:color="auto"/>
              <w:left w:val="single" w:sz="4" w:space="0" w:color="auto"/>
              <w:bottom w:val="single" w:sz="4" w:space="0" w:color="auto"/>
              <w:right w:val="single" w:sz="4" w:space="0" w:color="auto"/>
            </w:tcBorders>
            <w:noWrap/>
            <w:vAlign w:val="center"/>
          </w:tcPr>
          <w:p w14:paraId="73E435ED" w14:textId="306A9F8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14F5ABD4" w14:textId="35B8CAA9"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0.251 (0.037 - 1.252)</w:t>
            </w:r>
          </w:p>
        </w:tc>
        <w:tc>
          <w:tcPr>
            <w:tcW w:w="1170" w:type="dxa"/>
            <w:tcBorders>
              <w:top w:val="single" w:sz="4" w:space="0" w:color="auto"/>
              <w:left w:val="single" w:sz="4" w:space="0" w:color="auto"/>
              <w:bottom w:val="single" w:sz="4" w:space="0" w:color="auto"/>
              <w:right w:val="single" w:sz="4" w:space="0" w:color="auto"/>
            </w:tcBorders>
            <w:noWrap/>
            <w:vAlign w:val="center"/>
          </w:tcPr>
          <w:p w14:paraId="2FCD98B1" w14:textId="742B3ED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(0 - 0.012)</w:t>
            </w:r>
          </w:p>
        </w:tc>
        <w:tc>
          <w:tcPr>
            <w:tcW w:w="1710" w:type="dxa"/>
            <w:tcBorders>
              <w:top w:val="single" w:sz="4" w:space="0" w:color="auto"/>
              <w:left w:val="single" w:sz="4" w:space="0" w:color="auto"/>
              <w:bottom w:val="single" w:sz="4" w:space="0" w:color="auto"/>
              <w:right w:val="single" w:sz="4" w:space="0" w:color="auto"/>
            </w:tcBorders>
            <w:noWrap/>
            <w:vAlign w:val="center"/>
          </w:tcPr>
          <w:p w14:paraId="7D678C5F" w14:textId="1B32AD8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9,432 (1,821 - 40,336.4)</w:t>
            </w:r>
          </w:p>
        </w:tc>
        <w:tc>
          <w:tcPr>
            <w:tcW w:w="1710" w:type="dxa"/>
            <w:tcBorders>
              <w:top w:val="single" w:sz="4" w:space="0" w:color="auto"/>
              <w:left w:val="single" w:sz="4" w:space="0" w:color="auto"/>
              <w:bottom w:val="single" w:sz="4" w:space="0" w:color="auto"/>
              <w:right w:val="single" w:sz="4" w:space="0" w:color="auto"/>
            </w:tcBorders>
            <w:noWrap/>
            <w:vAlign w:val="center"/>
          </w:tcPr>
          <w:p w14:paraId="0881230F" w14:textId="32555AD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199,978.4 (51,164.2 - 659,115.2)</w:t>
            </w:r>
          </w:p>
        </w:tc>
        <w:tc>
          <w:tcPr>
            <w:tcW w:w="1710" w:type="dxa"/>
            <w:tcBorders>
              <w:top w:val="single" w:sz="4" w:space="0" w:color="auto"/>
              <w:left w:val="single" w:sz="4" w:space="0" w:color="auto"/>
              <w:bottom w:val="single" w:sz="4" w:space="0" w:color="auto"/>
              <w:right w:val="single" w:sz="4" w:space="0" w:color="auto"/>
            </w:tcBorders>
            <w:noWrap/>
            <w:vAlign w:val="center"/>
          </w:tcPr>
          <w:p w14:paraId="5D2AA461" w14:textId="4006498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351,903.3 (8,259.4 - 24,543,184)</w:t>
            </w:r>
          </w:p>
        </w:tc>
      </w:tr>
      <w:tr w:rsidR="001C047C" w:rsidRPr="007F0AB9" w14:paraId="3E8EED23" w14:textId="77777777" w:rsidTr="007C3198">
        <w:trPr>
          <w:trHeight w:val="701"/>
        </w:trPr>
        <w:tc>
          <w:tcPr>
            <w:tcW w:w="990" w:type="dxa"/>
            <w:vAlign w:val="center"/>
          </w:tcPr>
          <w:p w14:paraId="0440550D" w14:textId="42BF3EC9"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9</w:t>
            </w:r>
          </w:p>
        </w:tc>
        <w:tc>
          <w:tcPr>
            <w:tcW w:w="990" w:type="dxa"/>
            <w:vAlign w:val="center"/>
          </w:tcPr>
          <w:p w14:paraId="330B863A" w14:textId="3428DF5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5C2922E1" w14:textId="5B4AFED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12.3 (1.7 - 34.2)</w:t>
            </w:r>
          </w:p>
        </w:tc>
        <w:tc>
          <w:tcPr>
            <w:tcW w:w="1260" w:type="dxa"/>
            <w:tcBorders>
              <w:top w:val="single" w:sz="4" w:space="0" w:color="auto"/>
              <w:left w:val="single" w:sz="4" w:space="0" w:color="auto"/>
              <w:bottom w:val="single" w:sz="4" w:space="0" w:color="auto"/>
              <w:right w:val="single" w:sz="4" w:space="0" w:color="auto"/>
            </w:tcBorders>
            <w:noWrap/>
            <w:vAlign w:val="center"/>
          </w:tcPr>
          <w:p w14:paraId="312BFA57" w14:textId="681F4BF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28 (2 - 147)</w:t>
            </w:r>
          </w:p>
        </w:tc>
        <w:tc>
          <w:tcPr>
            <w:tcW w:w="1080" w:type="dxa"/>
            <w:tcBorders>
              <w:top w:val="single" w:sz="4" w:space="0" w:color="auto"/>
              <w:left w:val="single" w:sz="4" w:space="0" w:color="auto"/>
              <w:bottom w:val="single" w:sz="4" w:space="0" w:color="auto"/>
              <w:right w:val="single" w:sz="4" w:space="0" w:color="auto"/>
            </w:tcBorders>
            <w:noWrap/>
            <w:vAlign w:val="center"/>
          </w:tcPr>
          <w:p w14:paraId="7F2FA4F5" w14:textId="517DFF7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1D84489" w14:textId="40F2C12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0.151 (0.013 - 0.892)</w:t>
            </w:r>
          </w:p>
        </w:tc>
        <w:tc>
          <w:tcPr>
            <w:tcW w:w="1170" w:type="dxa"/>
            <w:tcBorders>
              <w:top w:val="single" w:sz="4" w:space="0" w:color="auto"/>
              <w:left w:val="single" w:sz="4" w:space="0" w:color="auto"/>
              <w:bottom w:val="single" w:sz="4" w:space="0" w:color="auto"/>
              <w:right w:val="single" w:sz="4" w:space="0" w:color="auto"/>
            </w:tcBorders>
            <w:noWrap/>
            <w:vAlign w:val="center"/>
          </w:tcPr>
          <w:p w14:paraId="40CA2D96" w14:textId="0065761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(0 - 0.008)</w:t>
            </w:r>
          </w:p>
        </w:tc>
        <w:tc>
          <w:tcPr>
            <w:tcW w:w="1710" w:type="dxa"/>
            <w:tcBorders>
              <w:top w:val="single" w:sz="4" w:space="0" w:color="auto"/>
              <w:left w:val="single" w:sz="4" w:space="0" w:color="auto"/>
              <w:bottom w:val="single" w:sz="4" w:space="0" w:color="auto"/>
              <w:right w:val="single" w:sz="4" w:space="0" w:color="auto"/>
            </w:tcBorders>
            <w:noWrap/>
            <w:vAlign w:val="center"/>
          </w:tcPr>
          <w:p w14:paraId="2743A9F6" w14:textId="73AC2E8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13,045.1 (2,545.9 - 59,533)</w:t>
            </w:r>
          </w:p>
        </w:tc>
        <w:tc>
          <w:tcPr>
            <w:tcW w:w="1710" w:type="dxa"/>
            <w:tcBorders>
              <w:top w:val="single" w:sz="4" w:space="0" w:color="auto"/>
              <w:left w:val="single" w:sz="4" w:space="0" w:color="auto"/>
              <w:bottom w:val="single" w:sz="4" w:space="0" w:color="auto"/>
              <w:right w:val="single" w:sz="4" w:space="0" w:color="auto"/>
            </w:tcBorders>
            <w:noWrap/>
            <w:vAlign w:val="center"/>
          </w:tcPr>
          <w:p w14:paraId="69DC0D5E" w14:textId="28E83A6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232,706.3 (65,488.2 - 677,330.6)</w:t>
            </w:r>
          </w:p>
        </w:tc>
        <w:tc>
          <w:tcPr>
            <w:tcW w:w="1710" w:type="dxa"/>
            <w:tcBorders>
              <w:top w:val="single" w:sz="4" w:space="0" w:color="auto"/>
              <w:left w:val="single" w:sz="4" w:space="0" w:color="auto"/>
              <w:bottom w:val="single" w:sz="4" w:space="0" w:color="auto"/>
              <w:right w:val="single" w:sz="4" w:space="0" w:color="auto"/>
            </w:tcBorders>
            <w:noWrap/>
            <w:vAlign w:val="center"/>
          </w:tcPr>
          <w:p w14:paraId="39F9C888" w14:textId="1E46F4F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1,744,390 (11,649.6 - 40,068,122)</w:t>
            </w:r>
          </w:p>
        </w:tc>
      </w:tr>
      <w:tr w:rsidR="001C047C" w:rsidRPr="007F0AB9" w14:paraId="3B792DB5" w14:textId="77777777" w:rsidTr="007C3198">
        <w:trPr>
          <w:trHeight w:val="701"/>
        </w:trPr>
        <w:tc>
          <w:tcPr>
            <w:tcW w:w="990" w:type="dxa"/>
            <w:vAlign w:val="center"/>
          </w:tcPr>
          <w:p w14:paraId="0C2C287E" w14:textId="7B795D28"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13</w:t>
            </w:r>
          </w:p>
        </w:tc>
        <w:tc>
          <w:tcPr>
            <w:tcW w:w="990" w:type="dxa"/>
            <w:vAlign w:val="center"/>
          </w:tcPr>
          <w:p w14:paraId="151A15E9" w14:textId="30BF142B"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24C73E99" w14:textId="25CB243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8.2 (0.7 - 26.3)</w:t>
            </w:r>
          </w:p>
        </w:tc>
        <w:tc>
          <w:tcPr>
            <w:tcW w:w="1260" w:type="dxa"/>
            <w:tcBorders>
              <w:top w:val="single" w:sz="4" w:space="0" w:color="auto"/>
              <w:left w:val="single" w:sz="4" w:space="0" w:color="auto"/>
              <w:bottom w:val="single" w:sz="4" w:space="0" w:color="auto"/>
              <w:right w:val="single" w:sz="4" w:space="0" w:color="auto"/>
            </w:tcBorders>
            <w:noWrap/>
            <w:vAlign w:val="center"/>
          </w:tcPr>
          <w:p w14:paraId="0AB93AD8" w14:textId="23F7405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 (2 - 135)</w:t>
            </w:r>
          </w:p>
        </w:tc>
        <w:tc>
          <w:tcPr>
            <w:tcW w:w="1080" w:type="dxa"/>
            <w:tcBorders>
              <w:top w:val="single" w:sz="4" w:space="0" w:color="auto"/>
              <w:left w:val="single" w:sz="4" w:space="0" w:color="auto"/>
              <w:bottom w:val="single" w:sz="4" w:space="0" w:color="auto"/>
              <w:right w:val="single" w:sz="4" w:space="0" w:color="auto"/>
            </w:tcBorders>
            <w:noWrap/>
            <w:vAlign w:val="center"/>
          </w:tcPr>
          <w:p w14:paraId="7F1319FA" w14:textId="355B6ED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1AD87DCA" w14:textId="31B12CD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0.118 (0.008 - 0.744)</w:t>
            </w:r>
          </w:p>
        </w:tc>
        <w:tc>
          <w:tcPr>
            <w:tcW w:w="1170" w:type="dxa"/>
            <w:tcBorders>
              <w:top w:val="single" w:sz="4" w:space="0" w:color="auto"/>
              <w:left w:val="single" w:sz="4" w:space="0" w:color="auto"/>
              <w:bottom w:val="single" w:sz="4" w:space="0" w:color="auto"/>
              <w:right w:val="single" w:sz="4" w:space="0" w:color="auto"/>
            </w:tcBorders>
            <w:noWrap/>
            <w:vAlign w:val="center"/>
          </w:tcPr>
          <w:p w14:paraId="7E5E6C7F" w14:textId="37CBED2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(0 - 0.006)</w:t>
            </w:r>
          </w:p>
        </w:tc>
        <w:tc>
          <w:tcPr>
            <w:tcW w:w="1710" w:type="dxa"/>
            <w:tcBorders>
              <w:top w:val="single" w:sz="4" w:space="0" w:color="auto"/>
              <w:left w:val="single" w:sz="4" w:space="0" w:color="auto"/>
              <w:bottom w:val="single" w:sz="4" w:space="0" w:color="auto"/>
              <w:right w:val="single" w:sz="4" w:space="0" w:color="auto"/>
            </w:tcBorders>
            <w:noWrap/>
            <w:vAlign w:val="center"/>
          </w:tcPr>
          <w:p w14:paraId="0775343C" w14:textId="04520FB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15,530 (2,885.4 - 75,590)</w:t>
            </w:r>
          </w:p>
        </w:tc>
        <w:tc>
          <w:tcPr>
            <w:tcW w:w="1710" w:type="dxa"/>
            <w:tcBorders>
              <w:top w:val="single" w:sz="4" w:space="0" w:color="auto"/>
              <w:left w:val="single" w:sz="4" w:space="0" w:color="auto"/>
              <w:bottom w:val="single" w:sz="4" w:space="0" w:color="auto"/>
              <w:right w:val="single" w:sz="4" w:space="0" w:color="auto"/>
            </w:tcBorders>
            <w:noWrap/>
            <w:vAlign w:val="center"/>
          </w:tcPr>
          <w:p w14:paraId="36618B15" w14:textId="3F320DC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243,244.8 (67,561.4 - 648,790.6)</w:t>
            </w:r>
          </w:p>
        </w:tc>
        <w:tc>
          <w:tcPr>
            <w:tcW w:w="1710" w:type="dxa"/>
            <w:tcBorders>
              <w:top w:val="single" w:sz="4" w:space="0" w:color="auto"/>
              <w:left w:val="single" w:sz="4" w:space="0" w:color="auto"/>
              <w:bottom w:val="single" w:sz="4" w:space="0" w:color="auto"/>
              <w:right w:val="single" w:sz="4" w:space="0" w:color="auto"/>
            </w:tcBorders>
            <w:noWrap/>
            <w:vAlign w:val="center"/>
          </w:tcPr>
          <w:p w14:paraId="572181B0" w14:textId="12D4A87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3,160,131 (13,228 - 51,190,632)</w:t>
            </w:r>
          </w:p>
        </w:tc>
      </w:tr>
      <w:tr w:rsidR="001C047C" w:rsidRPr="007F0AB9" w14:paraId="24752633" w14:textId="77777777" w:rsidTr="007C3198">
        <w:trPr>
          <w:trHeight w:val="701"/>
        </w:trPr>
        <w:tc>
          <w:tcPr>
            <w:tcW w:w="990" w:type="dxa"/>
            <w:vAlign w:val="center"/>
          </w:tcPr>
          <w:p w14:paraId="32DB3A64" w14:textId="29CCA65D"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w:t>
            </w:r>
          </w:p>
        </w:tc>
        <w:tc>
          <w:tcPr>
            <w:tcW w:w="990" w:type="dxa"/>
            <w:vAlign w:val="center"/>
          </w:tcPr>
          <w:p w14:paraId="1F5BECAA" w14:textId="2F682D01"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24930389" w14:textId="309FEFEB"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73.7 (52.4 - 86.7)</w:t>
            </w:r>
          </w:p>
        </w:tc>
        <w:tc>
          <w:tcPr>
            <w:tcW w:w="1260" w:type="dxa"/>
            <w:tcBorders>
              <w:top w:val="single" w:sz="4" w:space="0" w:color="auto"/>
              <w:left w:val="single" w:sz="4" w:space="0" w:color="auto"/>
              <w:bottom w:val="single" w:sz="4" w:space="0" w:color="auto"/>
              <w:right w:val="single" w:sz="4" w:space="0" w:color="auto"/>
            </w:tcBorders>
            <w:noWrap/>
            <w:vAlign w:val="center"/>
          </w:tcPr>
          <w:p w14:paraId="36FB6714" w14:textId="2FE3169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136 (44 - 394)</w:t>
            </w:r>
          </w:p>
        </w:tc>
        <w:tc>
          <w:tcPr>
            <w:tcW w:w="1080" w:type="dxa"/>
            <w:tcBorders>
              <w:top w:val="single" w:sz="4" w:space="0" w:color="auto"/>
              <w:left w:val="single" w:sz="4" w:space="0" w:color="auto"/>
              <w:bottom w:val="single" w:sz="4" w:space="0" w:color="auto"/>
              <w:right w:val="single" w:sz="4" w:space="0" w:color="auto"/>
            </w:tcBorders>
            <w:noWrap/>
            <w:vAlign w:val="center"/>
          </w:tcPr>
          <w:p w14:paraId="65AE289B" w14:textId="11E0507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 (0 - 6)</w:t>
            </w:r>
          </w:p>
        </w:tc>
        <w:tc>
          <w:tcPr>
            <w:tcW w:w="1260" w:type="dxa"/>
            <w:tcBorders>
              <w:top w:val="single" w:sz="4" w:space="0" w:color="auto"/>
              <w:left w:val="single" w:sz="4" w:space="0" w:color="auto"/>
              <w:bottom w:val="single" w:sz="4" w:space="0" w:color="auto"/>
              <w:right w:val="single" w:sz="4" w:space="0" w:color="auto"/>
            </w:tcBorders>
            <w:noWrap/>
            <w:vAlign w:val="center"/>
          </w:tcPr>
          <w:p w14:paraId="6558A0F1" w14:textId="3524716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0.608 (0.165 - 2.101)</w:t>
            </w:r>
          </w:p>
        </w:tc>
        <w:tc>
          <w:tcPr>
            <w:tcW w:w="1170" w:type="dxa"/>
            <w:tcBorders>
              <w:top w:val="single" w:sz="4" w:space="0" w:color="auto"/>
              <w:left w:val="single" w:sz="4" w:space="0" w:color="auto"/>
              <w:bottom w:val="single" w:sz="4" w:space="0" w:color="auto"/>
              <w:right w:val="single" w:sz="4" w:space="0" w:color="auto"/>
            </w:tcBorders>
            <w:noWrap/>
            <w:vAlign w:val="center"/>
          </w:tcPr>
          <w:p w14:paraId="14232734" w14:textId="0E191CE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0.005 (0 - 0.025)</w:t>
            </w:r>
          </w:p>
        </w:tc>
        <w:tc>
          <w:tcPr>
            <w:tcW w:w="1710" w:type="dxa"/>
            <w:tcBorders>
              <w:top w:val="single" w:sz="4" w:space="0" w:color="auto"/>
              <w:left w:val="single" w:sz="4" w:space="0" w:color="auto"/>
              <w:bottom w:val="single" w:sz="4" w:space="0" w:color="auto"/>
              <w:right w:val="single" w:sz="4" w:space="0" w:color="auto"/>
            </w:tcBorders>
            <w:noWrap/>
            <w:vAlign w:val="center"/>
          </w:tcPr>
          <w:p w14:paraId="23A3ADB7" w14:textId="1FEC75D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5,421.3 (1,183.8 - 20,550.9)</w:t>
            </w:r>
          </w:p>
        </w:tc>
        <w:tc>
          <w:tcPr>
            <w:tcW w:w="1710" w:type="dxa"/>
            <w:tcBorders>
              <w:top w:val="single" w:sz="4" w:space="0" w:color="auto"/>
              <w:left w:val="single" w:sz="4" w:space="0" w:color="auto"/>
              <w:bottom w:val="single" w:sz="4" w:space="0" w:color="auto"/>
              <w:right w:val="single" w:sz="4" w:space="0" w:color="auto"/>
            </w:tcBorders>
            <w:noWrap/>
            <w:vAlign w:val="center"/>
          </w:tcPr>
          <w:p w14:paraId="594C0551" w14:textId="15704A0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195,638.1 (43,140.1 - 576,405.7)</w:t>
            </w:r>
          </w:p>
        </w:tc>
        <w:tc>
          <w:tcPr>
            <w:tcW w:w="1710" w:type="dxa"/>
            <w:tcBorders>
              <w:top w:val="single" w:sz="4" w:space="0" w:color="auto"/>
              <w:left w:val="single" w:sz="4" w:space="0" w:color="auto"/>
              <w:bottom w:val="single" w:sz="4" w:space="0" w:color="auto"/>
              <w:right w:val="single" w:sz="4" w:space="0" w:color="auto"/>
            </w:tcBorders>
            <w:noWrap/>
            <w:vAlign w:val="center"/>
          </w:tcPr>
          <w:p w14:paraId="5474EB56" w14:textId="4FE167D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28,580.1 (4,848.8 - 5,360,807)</w:t>
            </w:r>
          </w:p>
        </w:tc>
      </w:tr>
      <w:tr w:rsidR="001C047C" w:rsidRPr="007F0AB9" w14:paraId="3A83DA08" w14:textId="77777777" w:rsidTr="007C3198">
        <w:trPr>
          <w:trHeight w:val="701"/>
        </w:trPr>
        <w:tc>
          <w:tcPr>
            <w:tcW w:w="990" w:type="dxa"/>
            <w:vAlign w:val="center"/>
          </w:tcPr>
          <w:p w14:paraId="3D4731D8" w14:textId="12A6A7F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5</w:t>
            </w:r>
          </w:p>
        </w:tc>
        <w:tc>
          <w:tcPr>
            <w:tcW w:w="990" w:type="dxa"/>
            <w:vAlign w:val="center"/>
          </w:tcPr>
          <w:p w14:paraId="6F4FF199" w14:textId="52A9C89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68F47B62" w14:textId="06E0FDB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27.4 (6.8 - 52.9)</w:t>
            </w:r>
          </w:p>
        </w:tc>
        <w:tc>
          <w:tcPr>
            <w:tcW w:w="1260" w:type="dxa"/>
            <w:tcBorders>
              <w:top w:val="single" w:sz="4" w:space="0" w:color="auto"/>
              <w:left w:val="single" w:sz="4" w:space="0" w:color="auto"/>
              <w:bottom w:val="single" w:sz="4" w:space="0" w:color="auto"/>
              <w:right w:val="single" w:sz="4" w:space="0" w:color="auto"/>
            </w:tcBorders>
            <w:noWrap/>
            <w:vAlign w:val="center"/>
          </w:tcPr>
          <w:p w14:paraId="062E41BC" w14:textId="4F845A7B"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52 (7 - 227)</w:t>
            </w:r>
          </w:p>
        </w:tc>
        <w:tc>
          <w:tcPr>
            <w:tcW w:w="1080" w:type="dxa"/>
            <w:tcBorders>
              <w:top w:val="single" w:sz="4" w:space="0" w:color="auto"/>
              <w:left w:val="single" w:sz="4" w:space="0" w:color="auto"/>
              <w:bottom w:val="single" w:sz="4" w:space="0" w:color="auto"/>
              <w:right w:val="single" w:sz="4" w:space="0" w:color="auto"/>
            </w:tcBorders>
            <w:noWrap/>
            <w:vAlign w:val="center"/>
          </w:tcPr>
          <w:p w14:paraId="379C88B0" w14:textId="641AD45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0B34950B" w14:textId="0A14FF8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0.217 (0.032 - 1.093)</w:t>
            </w:r>
          </w:p>
        </w:tc>
        <w:tc>
          <w:tcPr>
            <w:tcW w:w="1170" w:type="dxa"/>
            <w:tcBorders>
              <w:top w:val="single" w:sz="4" w:space="0" w:color="auto"/>
              <w:left w:val="single" w:sz="4" w:space="0" w:color="auto"/>
              <w:bottom w:val="single" w:sz="4" w:space="0" w:color="auto"/>
              <w:right w:val="single" w:sz="4" w:space="0" w:color="auto"/>
            </w:tcBorders>
            <w:noWrap/>
            <w:vAlign w:val="center"/>
          </w:tcPr>
          <w:p w14:paraId="7B4676F2" w14:textId="15B76E5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(0 - 0.01)</w:t>
            </w:r>
          </w:p>
        </w:tc>
        <w:tc>
          <w:tcPr>
            <w:tcW w:w="1710" w:type="dxa"/>
            <w:tcBorders>
              <w:top w:val="single" w:sz="4" w:space="0" w:color="auto"/>
              <w:left w:val="single" w:sz="4" w:space="0" w:color="auto"/>
              <w:bottom w:val="single" w:sz="4" w:space="0" w:color="auto"/>
              <w:right w:val="single" w:sz="4" w:space="0" w:color="auto"/>
            </w:tcBorders>
            <w:noWrap/>
            <w:vAlign w:val="center"/>
          </w:tcPr>
          <w:p w14:paraId="594E2BB5" w14:textId="76EBC61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10,892.7 (2,175.2 - 46,261.7)</w:t>
            </w:r>
          </w:p>
        </w:tc>
        <w:tc>
          <w:tcPr>
            <w:tcW w:w="1710" w:type="dxa"/>
            <w:tcBorders>
              <w:top w:val="single" w:sz="4" w:space="0" w:color="auto"/>
              <w:left w:val="single" w:sz="4" w:space="0" w:color="auto"/>
              <w:bottom w:val="single" w:sz="4" w:space="0" w:color="auto"/>
              <w:right w:val="single" w:sz="4" w:space="0" w:color="auto"/>
            </w:tcBorders>
            <w:noWrap/>
            <w:vAlign w:val="center"/>
          </w:tcPr>
          <w:p w14:paraId="26EF9A18" w14:textId="7072954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235,687.5 (65,270.6 - 763,607.5)</w:t>
            </w:r>
          </w:p>
        </w:tc>
        <w:tc>
          <w:tcPr>
            <w:tcW w:w="1710" w:type="dxa"/>
            <w:tcBorders>
              <w:top w:val="single" w:sz="4" w:space="0" w:color="auto"/>
              <w:left w:val="single" w:sz="4" w:space="0" w:color="auto"/>
              <w:bottom w:val="single" w:sz="4" w:space="0" w:color="auto"/>
              <w:right w:val="single" w:sz="4" w:space="0" w:color="auto"/>
            </w:tcBorders>
            <w:noWrap/>
            <w:vAlign w:val="center"/>
          </w:tcPr>
          <w:p w14:paraId="50F74E4E" w14:textId="20A33AD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406,408.5 (9,760.2 - 28,197,665)</w:t>
            </w:r>
          </w:p>
        </w:tc>
      </w:tr>
      <w:tr w:rsidR="001C047C" w:rsidRPr="007F0AB9" w14:paraId="78899EED" w14:textId="77777777" w:rsidTr="007C3198">
        <w:trPr>
          <w:trHeight w:val="701"/>
        </w:trPr>
        <w:tc>
          <w:tcPr>
            <w:tcW w:w="990" w:type="dxa"/>
            <w:vAlign w:val="center"/>
          </w:tcPr>
          <w:p w14:paraId="6F503A9F" w14:textId="602F1138"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lastRenderedPageBreak/>
              <w:t>9</w:t>
            </w:r>
          </w:p>
        </w:tc>
        <w:tc>
          <w:tcPr>
            <w:tcW w:w="990" w:type="dxa"/>
            <w:vAlign w:val="center"/>
          </w:tcPr>
          <w:p w14:paraId="73E5DE2B" w14:textId="111586FC"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548913ED" w14:textId="3225669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 (1.8 - 35.7)</w:t>
            </w:r>
          </w:p>
        </w:tc>
        <w:tc>
          <w:tcPr>
            <w:tcW w:w="1260" w:type="dxa"/>
            <w:tcBorders>
              <w:top w:val="single" w:sz="4" w:space="0" w:color="auto"/>
              <w:left w:val="single" w:sz="4" w:space="0" w:color="auto"/>
              <w:bottom w:val="single" w:sz="4" w:space="0" w:color="auto"/>
              <w:right w:val="single" w:sz="4" w:space="0" w:color="auto"/>
            </w:tcBorders>
            <w:noWrap/>
            <w:vAlign w:val="center"/>
          </w:tcPr>
          <w:p w14:paraId="29CE5220" w14:textId="71453095"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30 (3 - 152)</w:t>
            </w:r>
          </w:p>
        </w:tc>
        <w:tc>
          <w:tcPr>
            <w:tcW w:w="1080" w:type="dxa"/>
            <w:tcBorders>
              <w:top w:val="single" w:sz="4" w:space="0" w:color="auto"/>
              <w:left w:val="single" w:sz="4" w:space="0" w:color="auto"/>
              <w:bottom w:val="single" w:sz="4" w:space="0" w:color="auto"/>
              <w:right w:val="single" w:sz="4" w:space="0" w:color="auto"/>
            </w:tcBorders>
            <w:noWrap/>
            <w:vAlign w:val="center"/>
          </w:tcPr>
          <w:p w14:paraId="6B316618" w14:textId="0683612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126AA11" w14:textId="2987F34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0.132 (0.011 - 0.774)</w:t>
            </w:r>
          </w:p>
        </w:tc>
        <w:tc>
          <w:tcPr>
            <w:tcW w:w="1170" w:type="dxa"/>
            <w:tcBorders>
              <w:top w:val="single" w:sz="4" w:space="0" w:color="auto"/>
              <w:left w:val="single" w:sz="4" w:space="0" w:color="auto"/>
              <w:bottom w:val="single" w:sz="4" w:space="0" w:color="auto"/>
              <w:right w:val="single" w:sz="4" w:space="0" w:color="auto"/>
            </w:tcBorders>
            <w:noWrap/>
            <w:vAlign w:val="center"/>
          </w:tcPr>
          <w:p w14:paraId="2357380D" w14:textId="54E52D0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(0 - 0.007)</w:t>
            </w:r>
          </w:p>
        </w:tc>
        <w:tc>
          <w:tcPr>
            <w:tcW w:w="1710" w:type="dxa"/>
            <w:tcBorders>
              <w:top w:val="single" w:sz="4" w:space="0" w:color="auto"/>
              <w:left w:val="single" w:sz="4" w:space="0" w:color="auto"/>
              <w:bottom w:val="single" w:sz="4" w:space="0" w:color="auto"/>
              <w:right w:val="single" w:sz="4" w:space="0" w:color="auto"/>
            </w:tcBorders>
            <w:noWrap/>
            <w:vAlign w:val="center"/>
          </w:tcPr>
          <w:p w14:paraId="640E1773" w14:textId="5B4D29E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14,966.6 (3,018.8 - 68,490.2)</w:t>
            </w:r>
          </w:p>
        </w:tc>
        <w:tc>
          <w:tcPr>
            <w:tcW w:w="1710" w:type="dxa"/>
            <w:tcBorders>
              <w:top w:val="single" w:sz="4" w:space="0" w:color="auto"/>
              <w:left w:val="single" w:sz="4" w:space="0" w:color="auto"/>
              <w:bottom w:val="single" w:sz="4" w:space="0" w:color="auto"/>
              <w:right w:val="single" w:sz="4" w:space="0" w:color="auto"/>
            </w:tcBorders>
            <w:noWrap/>
            <w:vAlign w:val="center"/>
          </w:tcPr>
          <w:p w14:paraId="0BA6709F" w14:textId="28F1126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265,753.6 (80,156.2 - 779,719.1)</w:t>
            </w:r>
          </w:p>
        </w:tc>
        <w:tc>
          <w:tcPr>
            <w:tcW w:w="1710" w:type="dxa"/>
            <w:tcBorders>
              <w:top w:val="single" w:sz="4" w:space="0" w:color="auto"/>
              <w:left w:val="single" w:sz="4" w:space="0" w:color="auto"/>
              <w:bottom w:val="single" w:sz="4" w:space="0" w:color="auto"/>
              <w:right w:val="single" w:sz="4" w:space="0" w:color="auto"/>
            </w:tcBorders>
            <w:noWrap/>
            <w:vAlign w:val="center"/>
          </w:tcPr>
          <w:p w14:paraId="0B3B2F13" w14:textId="5B30E21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1,984,909 (13,776.3 - 46,237,563)</w:t>
            </w:r>
          </w:p>
        </w:tc>
      </w:tr>
      <w:tr w:rsidR="001C047C" w:rsidRPr="007F0AB9" w14:paraId="591BF79D" w14:textId="77777777" w:rsidTr="007C3198">
        <w:trPr>
          <w:trHeight w:val="701"/>
        </w:trPr>
        <w:tc>
          <w:tcPr>
            <w:tcW w:w="990" w:type="dxa"/>
            <w:vAlign w:val="center"/>
          </w:tcPr>
          <w:p w14:paraId="52A2DEAF" w14:textId="42CCDE3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13</w:t>
            </w:r>
          </w:p>
        </w:tc>
        <w:tc>
          <w:tcPr>
            <w:tcW w:w="990" w:type="dxa"/>
            <w:vAlign w:val="center"/>
          </w:tcPr>
          <w:p w14:paraId="4D45D1B1" w14:textId="17066C5A"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0A8A3F48" w14:textId="318201C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8.6 (0.7 - 27.5)</w:t>
            </w:r>
          </w:p>
        </w:tc>
        <w:tc>
          <w:tcPr>
            <w:tcW w:w="1260" w:type="dxa"/>
            <w:tcBorders>
              <w:top w:val="single" w:sz="4" w:space="0" w:color="auto"/>
              <w:left w:val="single" w:sz="4" w:space="0" w:color="auto"/>
              <w:bottom w:val="single" w:sz="4" w:space="0" w:color="auto"/>
              <w:right w:val="single" w:sz="4" w:space="0" w:color="auto"/>
            </w:tcBorders>
            <w:noWrap/>
            <w:vAlign w:val="center"/>
          </w:tcPr>
          <w:p w14:paraId="74AA67AC" w14:textId="48571AB0"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24 (2 - 141)</w:t>
            </w:r>
          </w:p>
        </w:tc>
        <w:tc>
          <w:tcPr>
            <w:tcW w:w="1080" w:type="dxa"/>
            <w:tcBorders>
              <w:top w:val="single" w:sz="4" w:space="0" w:color="auto"/>
              <w:left w:val="single" w:sz="4" w:space="0" w:color="auto"/>
              <w:bottom w:val="single" w:sz="4" w:space="0" w:color="auto"/>
              <w:right w:val="single" w:sz="4" w:space="0" w:color="auto"/>
            </w:tcBorders>
            <w:noWrap/>
            <w:vAlign w:val="center"/>
          </w:tcPr>
          <w:p w14:paraId="48582C5E" w14:textId="4BCBFF1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79AAE7CA" w14:textId="339D749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0.102 (0.007 - 0.651)</w:t>
            </w:r>
          </w:p>
        </w:tc>
        <w:tc>
          <w:tcPr>
            <w:tcW w:w="1170" w:type="dxa"/>
            <w:tcBorders>
              <w:top w:val="single" w:sz="4" w:space="0" w:color="auto"/>
              <w:left w:val="single" w:sz="4" w:space="0" w:color="auto"/>
              <w:bottom w:val="single" w:sz="4" w:space="0" w:color="auto"/>
              <w:right w:val="single" w:sz="4" w:space="0" w:color="auto"/>
            </w:tcBorders>
            <w:noWrap/>
            <w:vAlign w:val="center"/>
          </w:tcPr>
          <w:p w14:paraId="2C8B21D3" w14:textId="6EFFB72B"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(0 - 0.006)</w:t>
            </w:r>
          </w:p>
        </w:tc>
        <w:tc>
          <w:tcPr>
            <w:tcW w:w="1710" w:type="dxa"/>
            <w:tcBorders>
              <w:top w:val="single" w:sz="4" w:space="0" w:color="auto"/>
              <w:left w:val="single" w:sz="4" w:space="0" w:color="auto"/>
              <w:bottom w:val="single" w:sz="4" w:space="0" w:color="auto"/>
              <w:right w:val="single" w:sz="4" w:space="0" w:color="auto"/>
            </w:tcBorders>
            <w:noWrap/>
            <w:vAlign w:val="center"/>
          </w:tcPr>
          <w:p w14:paraId="709D75CA" w14:textId="4AA291E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18,174.1 (3,404.2 - 86,699.8)</w:t>
            </w:r>
          </w:p>
        </w:tc>
        <w:tc>
          <w:tcPr>
            <w:tcW w:w="1710" w:type="dxa"/>
            <w:tcBorders>
              <w:top w:val="single" w:sz="4" w:space="0" w:color="auto"/>
              <w:left w:val="single" w:sz="4" w:space="0" w:color="auto"/>
              <w:bottom w:val="single" w:sz="4" w:space="0" w:color="auto"/>
              <w:right w:val="single" w:sz="4" w:space="0" w:color="auto"/>
            </w:tcBorders>
            <w:noWrap/>
            <w:vAlign w:val="center"/>
          </w:tcPr>
          <w:p w14:paraId="63BCB3ED" w14:textId="569D42C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283,068 (82,789.7 - 746,144.7)</w:t>
            </w:r>
          </w:p>
        </w:tc>
        <w:tc>
          <w:tcPr>
            <w:tcW w:w="1710" w:type="dxa"/>
            <w:tcBorders>
              <w:top w:val="single" w:sz="4" w:space="0" w:color="auto"/>
              <w:left w:val="single" w:sz="4" w:space="0" w:color="auto"/>
              <w:bottom w:val="single" w:sz="4" w:space="0" w:color="auto"/>
              <w:right w:val="single" w:sz="4" w:space="0" w:color="auto"/>
            </w:tcBorders>
            <w:noWrap/>
            <w:vAlign w:val="center"/>
          </w:tcPr>
          <w:p w14:paraId="594F7A84" w14:textId="57CF34D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3,649,575 (15,184.7 - 58,746,738)</w:t>
            </w:r>
          </w:p>
        </w:tc>
      </w:tr>
    </w:tbl>
    <w:p w14:paraId="505BE6ED" w14:textId="77777777" w:rsidR="00DE39B5" w:rsidRPr="00A436ED" w:rsidRDefault="00DE39B5" w:rsidP="00DE39B5">
      <w:pPr>
        <w:rPr>
          <w:rFonts w:ascii="Arial" w:hAnsi="Arial" w:cs="Arial"/>
        </w:rPr>
      </w:pPr>
    </w:p>
    <w:p w14:paraId="70B6F6A7" w14:textId="77777777" w:rsidR="00DE39B5" w:rsidRDefault="00DE39B5" w:rsidP="00DE39B5">
      <w:pPr>
        <w:rPr>
          <w:rFonts w:ascii="Arial" w:hAnsi="Arial" w:cs="Arial"/>
        </w:rPr>
      </w:pPr>
    </w:p>
    <w:p w14:paraId="5B325FE2" w14:textId="77777777" w:rsidR="00236B22" w:rsidRDefault="00236B22" w:rsidP="00DE39B5">
      <w:pPr>
        <w:rPr>
          <w:rFonts w:ascii="Arial" w:hAnsi="Arial" w:cs="Arial"/>
        </w:rPr>
      </w:pPr>
    </w:p>
    <w:p w14:paraId="00FDB675" w14:textId="77777777" w:rsidR="00236B22" w:rsidRDefault="00236B22" w:rsidP="00DE39B5">
      <w:pPr>
        <w:rPr>
          <w:rFonts w:ascii="Arial" w:hAnsi="Arial" w:cs="Arial"/>
        </w:rPr>
      </w:pPr>
    </w:p>
    <w:p w14:paraId="26DE7F68" w14:textId="77777777" w:rsidR="00236B22" w:rsidRDefault="00236B22" w:rsidP="00DE39B5">
      <w:pPr>
        <w:rPr>
          <w:rFonts w:ascii="Arial" w:hAnsi="Arial" w:cs="Arial"/>
        </w:rPr>
      </w:pPr>
    </w:p>
    <w:p w14:paraId="675D547F" w14:textId="77777777" w:rsidR="00236B22" w:rsidRDefault="00236B22" w:rsidP="00DE39B5">
      <w:pPr>
        <w:rPr>
          <w:rFonts w:ascii="Arial" w:hAnsi="Arial" w:cs="Arial"/>
        </w:rPr>
      </w:pPr>
    </w:p>
    <w:p w14:paraId="592E87A4" w14:textId="77777777" w:rsidR="00236B22" w:rsidRDefault="00236B22" w:rsidP="00DE39B5">
      <w:pPr>
        <w:rPr>
          <w:rFonts w:ascii="Arial" w:hAnsi="Arial" w:cs="Arial"/>
        </w:rPr>
      </w:pPr>
    </w:p>
    <w:p w14:paraId="166CF912" w14:textId="77777777" w:rsidR="00236B22" w:rsidRDefault="00236B22" w:rsidP="00DE39B5">
      <w:pPr>
        <w:rPr>
          <w:rFonts w:ascii="Arial" w:hAnsi="Arial" w:cs="Arial"/>
        </w:rPr>
      </w:pPr>
    </w:p>
    <w:p w14:paraId="19A3108C" w14:textId="77777777" w:rsidR="001575D5" w:rsidRDefault="001575D5" w:rsidP="008C7930"/>
    <w:p w14:paraId="182CDEE5" w14:textId="77777777" w:rsidR="00AC6D9F" w:rsidRDefault="00AC6D9F" w:rsidP="008C7930"/>
    <w:p w14:paraId="4FA2000C" w14:textId="77777777" w:rsidR="00AC6D9F" w:rsidRDefault="00AC6D9F" w:rsidP="008C7930"/>
    <w:p w14:paraId="439BC9DE" w14:textId="77777777" w:rsidR="00AC6D9F" w:rsidRDefault="00AC6D9F" w:rsidP="008C7930"/>
    <w:p w14:paraId="6798D253" w14:textId="77777777" w:rsidR="00AC6D9F" w:rsidRDefault="00AC6D9F" w:rsidP="008C7930"/>
    <w:p w14:paraId="46A5C682" w14:textId="77777777" w:rsidR="00AC6D9F" w:rsidRDefault="00AC6D9F" w:rsidP="008C7930"/>
    <w:p w14:paraId="48FD84C8" w14:textId="480DD2BA" w:rsidR="00AC6D9F" w:rsidRPr="00A436ED" w:rsidRDefault="00AC6D9F" w:rsidP="00AC6D9F">
      <w:pPr>
        <w:pStyle w:val="Heading3"/>
        <w:rPr>
          <w:color w:val="auto"/>
        </w:rPr>
      </w:pPr>
      <w:bookmarkStart w:id="27" w:name="_Hlk201136398"/>
      <w:bookmarkStart w:id="28" w:name="_Toc208578234"/>
      <w:r w:rsidRPr="00A436ED">
        <w:rPr>
          <w:color w:val="auto"/>
        </w:rPr>
        <w:lastRenderedPageBreak/>
        <w:t>Table S</w:t>
      </w:r>
      <w:r>
        <w:rPr>
          <w:rFonts w:hint="eastAsia"/>
          <w:color w:val="auto"/>
        </w:rPr>
        <w:t>2</w:t>
      </w:r>
      <w:bookmarkEnd w:id="28"/>
    </w:p>
    <w:p w14:paraId="264D6273" w14:textId="269820CA" w:rsidR="00AC6D9F" w:rsidRDefault="00AC6D9F" w:rsidP="00AC6D9F">
      <w:pPr>
        <w:rPr>
          <w:rFonts w:ascii="Aptos" w:hAnsi="Aptos" w:cs="Cambria Math"/>
        </w:rPr>
      </w:pPr>
      <w:r>
        <w:rPr>
          <w:rFonts w:ascii="Aptos" w:hAnsi="Aptos" w:cs="Aptos" w:hint="eastAsia"/>
        </w:rPr>
        <w:t xml:space="preserve">Impact of ORI with vaccine coverage 75% under </w:t>
      </w:r>
      <w:r>
        <w:rPr>
          <w:rFonts w:ascii="Aptos" w:hAnsi="Aptos" w:cs="Aptos"/>
        </w:rPr>
        <w:t>the</w:t>
      </w:r>
      <w:r>
        <w:rPr>
          <w:rFonts w:ascii="Aptos" w:hAnsi="Aptos" w:cs="Aptos" w:hint="eastAsia"/>
        </w:rPr>
        <w:t xml:space="preserve"> case-triggered scenario. </w:t>
      </w:r>
      <w:r w:rsidRPr="0091006A">
        <w:rPr>
          <w:rFonts w:ascii="Aptos" w:hAnsi="Aptos" w:cs="Cambria Math"/>
        </w:rPr>
        <w:t xml:space="preserve">Values indicate the median with </w:t>
      </w:r>
      <w:r>
        <w:rPr>
          <w:rFonts w:ascii="Aptos" w:hAnsi="Aptos" w:cs="Cambria Math" w:hint="eastAsia"/>
        </w:rPr>
        <w:t>interquartile range</w:t>
      </w:r>
      <w:r w:rsidRPr="0091006A">
        <w:rPr>
          <w:rFonts w:ascii="Aptos" w:hAnsi="Aptos" w:cs="Cambria Math"/>
        </w:rPr>
        <w:t>.</w:t>
      </w:r>
      <w:r w:rsidRPr="0091006A">
        <w:rPr>
          <w:rFonts w:ascii="Aptos" w:hAnsi="Aptos" w:cs="Aptos" w:hint="eastAsia"/>
        </w:rPr>
        <w:t xml:space="preserve"> </w:t>
      </w:r>
    </w:p>
    <w:tbl>
      <w:tblPr>
        <w:tblStyle w:val="TableGrid"/>
        <w:tblW w:w="12870" w:type="dxa"/>
        <w:tblInd w:w="-5" w:type="dxa"/>
        <w:tblLayout w:type="fixed"/>
        <w:tblLook w:val="04A0" w:firstRow="1" w:lastRow="0" w:firstColumn="1" w:lastColumn="0" w:noHBand="0" w:noVBand="1"/>
      </w:tblPr>
      <w:tblGrid>
        <w:gridCol w:w="1020"/>
        <w:gridCol w:w="1020"/>
        <w:gridCol w:w="1020"/>
        <w:gridCol w:w="1050"/>
        <w:gridCol w:w="1050"/>
        <w:gridCol w:w="1050"/>
        <w:gridCol w:w="1332"/>
        <w:gridCol w:w="1332"/>
        <w:gridCol w:w="1332"/>
        <w:gridCol w:w="1332"/>
        <w:gridCol w:w="1332"/>
      </w:tblGrid>
      <w:tr w:rsidR="00AC6D9F" w:rsidRPr="00026A18" w14:paraId="3EAB453E" w14:textId="77777777" w:rsidTr="00661152">
        <w:trPr>
          <w:trHeight w:val="1295"/>
        </w:trPr>
        <w:tc>
          <w:tcPr>
            <w:tcW w:w="1020" w:type="dxa"/>
            <w:vAlign w:val="center"/>
          </w:tcPr>
          <w:p w14:paraId="01C69EFD" w14:textId="77777777" w:rsidR="00AC6D9F" w:rsidRPr="000D06BD" w:rsidRDefault="00AC6D9F" w:rsidP="00661152">
            <w:pPr>
              <w:spacing w:line="240" w:lineRule="auto"/>
              <w:jc w:val="center"/>
              <w:rPr>
                <w:sz w:val="18"/>
                <w:szCs w:val="18"/>
              </w:rPr>
            </w:pPr>
            <w:r w:rsidRPr="000D06BD">
              <w:rPr>
                <w:sz w:val="18"/>
                <w:szCs w:val="18"/>
              </w:rPr>
              <w:t>Delay in ORI implementation (weeks)</w:t>
            </w:r>
          </w:p>
        </w:tc>
        <w:tc>
          <w:tcPr>
            <w:tcW w:w="1020" w:type="dxa"/>
            <w:vAlign w:val="center"/>
          </w:tcPr>
          <w:p w14:paraId="3BCDEEC8" w14:textId="77777777" w:rsidR="00AC6D9F" w:rsidRPr="000D06BD" w:rsidRDefault="00AC6D9F" w:rsidP="00661152">
            <w:pPr>
              <w:spacing w:line="240" w:lineRule="auto"/>
              <w:jc w:val="center"/>
              <w:rPr>
                <w:sz w:val="18"/>
                <w:szCs w:val="18"/>
              </w:rPr>
            </w:pPr>
            <w:r w:rsidRPr="000D06BD">
              <w:rPr>
                <w:sz w:val="18"/>
                <w:szCs w:val="18"/>
              </w:rPr>
              <w:t>Case trigger thresholds (cumulative case)</w:t>
            </w:r>
          </w:p>
        </w:tc>
        <w:tc>
          <w:tcPr>
            <w:tcW w:w="1020" w:type="dxa"/>
            <w:tcBorders>
              <w:bottom w:val="single" w:sz="4" w:space="0" w:color="auto"/>
            </w:tcBorders>
            <w:vAlign w:val="center"/>
          </w:tcPr>
          <w:p w14:paraId="664E4234" w14:textId="77777777" w:rsidR="00AC6D9F" w:rsidRPr="000D06BD" w:rsidRDefault="00AC6D9F" w:rsidP="00661152">
            <w:pPr>
              <w:spacing w:line="240" w:lineRule="auto"/>
              <w:jc w:val="center"/>
              <w:rPr>
                <w:sz w:val="18"/>
                <w:szCs w:val="18"/>
              </w:rPr>
            </w:pPr>
            <w:r w:rsidRPr="000D06BD">
              <w:rPr>
                <w:sz w:val="18"/>
                <w:szCs w:val="18"/>
              </w:rPr>
              <w:t>Number of outbreaks included</w:t>
            </w:r>
          </w:p>
        </w:tc>
        <w:tc>
          <w:tcPr>
            <w:tcW w:w="1050" w:type="dxa"/>
            <w:tcBorders>
              <w:bottom w:val="single" w:sz="4" w:space="0" w:color="auto"/>
            </w:tcBorders>
            <w:vAlign w:val="center"/>
          </w:tcPr>
          <w:p w14:paraId="634EA3AC" w14:textId="77777777" w:rsidR="00AC6D9F" w:rsidRPr="000D06BD" w:rsidRDefault="00AC6D9F" w:rsidP="00661152">
            <w:pPr>
              <w:spacing w:line="240" w:lineRule="auto"/>
              <w:jc w:val="center"/>
              <w:rPr>
                <w:sz w:val="18"/>
                <w:szCs w:val="18"/>
              </w:rPr>
            </w:pPr>
            <w:r w:rsidRPr="000D06BD">
              <w:rPr>
                <w:sz w:val="18"/>
                <w:szCs w:val="18"/>
              </w:rPr>
              <w:t>% case reduction</w:t>
            </w:r>
          </w:p>
        </w:tc>
        <w:tc>
          <w:tcPr>
            <w:tcW w:w="1050" w:type="dxa"/>
            <w:tcBorders>
              <w:bottom w:val="single" w:sz="4" w:space="0" w:color="auto"/>
            </w:tcBorders>
            <w:noWrap/>
            <w:vAlign w:val="center"/>
            <w:hideMark/>
          </w:tcPr>
          <w:p w14:paraId="5AE9F512" w14:textId="77777777" w:rsidR="00AC6D9F" w:rsidRPr="000D06BD" w:rsidRDefault="00AC6D9F" w:rsidP="00661152">
            <w:pPr>
              <w:spacing w:line="240" w:lineRule="auto"/>
              <w:jc w:val="center"/>
              <w:rPr>
                <w:sz w:val="18"/>
                <w:szCs w:val="18"/>
              </w:rPr>
            </w:pPr>
            <w:r w:rsidRPr="000D06BD">
              <w:rPr>
                <w:sz w:val="18"/>
                <w:szCs w:val="18"/>
              </w:rPr>
              <w:t>Case averted</w:t>
            </w:r>
          </w:p>
        </w:tc>
        <w:tc>
          <w:tcPr>
            <w:tcW w:w="1050" w:type="dxa"/>
            <w:tcBorders>
              <w:bottom w:val="single" w:sz="4" w:space="0" w:color="auto"/>
            </w:tcBorders>
            <w:noWrap/>
            <w:vAlign w:val="center"/>
            <w:hideMark/>
          </w:tcPr>
          <w:p w14:paraId="5C6B897B" w14:textId="77777777" w:rsidR="00AC6D9F" w:rsidRPr="000D06BD" w:rsidRDefault="00AC6D9F" w:rsidP="00661152">
            <w:pPr>
              <w:spacing w:line="240" w:lineRule="auto"/>
              <w:jc w:val="center"/>
              <w:rPr>
                <w:sz w:val="18"/>
                <w:szCs w:val="18"/>
              </w:rPr>
            </w:pPr>
            <w:r w:rsidRPr="000D06BD">
              <w:rPr>
                <w:sz w:val="18"/>
                <w:szCs w:val="18"/>
              </w:rPr>
              <w:t>Death averted</w:t>
            </w:r>
          </w:p>
        </w:tc>
        <w:tc>
          <w:tcPr>
            <w:tcW w:w="1332" w:type="dxa"/>
            <w:tcBorders>
              <w:bottom w:val="single" w:sz="4" w:space="0" w:color="auto"/>
            </w:tcBorders>
            <w:noWrap/>
            <w:vAlign w:val="center"/>
            <w:hideMark/>
          </w:tcPr>
          <w:p w14:paraId="24861AA3" w14:textId="77777777" w:rsidR="00AC6D9F" w:rsidRPr="000D06BD" w:rsidRDefault="00AC6D9F" w:rsidP="00661152">
            <w:pPr>
              <w:spacing w:line="240" w:lineRule="auto"/>
              <w:jc w:val="center"/>
              <w:rPr>
                <w:sz w:val="18"/>
                <w:szCs w:val="18"/>
              </w:rPr>
            </w:pPr>
            <w:r w:rsidRPr="000D06BD">
              <w:rPr>
                <w:sz w:val="18"/>
                <w:szCs w:val="18"/>
              </w:rPr>
              <w:t>Case averted per</w:t>
            </w:r>
          </w:p>
          <w:p w14:paraId="47B8A8B8" w14:textId="77777777" w:rsidR="00AC6D9F" w:rsidRPr="000D06BD" w:rsidRDefault="00AC6D9F" w:rsidP="00661152">
            <w:pPr>
              <w:spacing w:line="240" w:lineRule="auto"/>
              <w:jc w:val="center"/>
              <w:rPr>
                <w:sz w:val="18"/>
                <w:szCs w:val="18"/>
              </w:rPr>
            </w:pPr>
            <w:r w:rsidRPr="000D06BD">
              <w:rPr>
                <w:sz w:val="18"/>
                <w:szCs w:val="18"/>
              </w:rPr>
              <w:t>1,000 OCVs</w:t>
            </w:r>
          </w:p>
        </w:tc>
        <w:tc>
          <w:tcPr>
            <w:tcW w:w="1332" w:type="dxa"/>
            <w:tcBorders>
              <w:bottom w:val="single" w:sz="4" w:space="0" w:color="auto"/>
            </w:tcBorders>
            <w:noWrap/>
            <w:vAlign w:val="center"/>
            <w:hideMark/>
          </w:tcPr>
          <w:p w14:paraId="122D7BF4" w14:textId="77777777" w:rsidR="00AC6D9F" w:rsidRPr="000D06BD" w:rsidRDefault="00AC6D9F" w:rsidP="00661152">
            <w:pPr>
              <w:spacing w:line="240" w:lineRule="auto"/>
              <w:jc w:val="center"/>
              <w:rPr>
                <w:sz w:val="18"/>
                <w:szCs w:val="18"/>
              </w:rPr>
            </w:pPr>
            <w:r w:rsidRPr="000D06BD">
              <w:rPr>
                <w:sz w:val="18"/>
                <w:szCs w:val="18"/>
              </w:rPr>
              <w:t>Death averted per 1,000 OCVs</w:t>
            </w:r>
          </w:p>
        </w:tc>
        <w:tc>
          <w:tcPr>
            <w:tcW w:w="1332" w:type="dxa"/>
            <w:tcBorders>
              <w:bottom w:val="single" w:sz="4" w:space="0" w:color="auto"/>
            </w:tcBorders>
            <w:noWrap/>
            <w:vAlign w:val="center"/>
            <w:hideMark/>
          </w:tcPr>
          <w:p w14:paraId="75F902B3" w14:textId="77777777" w:rsidR="00AC6D9F" w:rsidRPr="000D06BD" w:rsidRDefault="00AC6D9F" w:rsidP="00661152">
            <w:pPr>
              <w:spacing w:line="240" w:lineRule="auto"/>
              <w:jc w:val="center"/>
              <w:rPr>
                <w:sz w:val="18"/>
                <w:szCs w:val="18"/>
              </w:rPr>
            </w:pPr>
            <w:r w:rsidRPr="000D06BD">
              <w:rPr>
                <w:sz w:val="18"/>
                <w:szCs w:val="18"/>
              </w:rPr>
              <w:t>Cost</w:t>
            </w:r>
          </w:p>
          <w:p w14:paraId="6CE97CAB" w14:textId="77777777" w:rsidR="00AC6D9F" w:rsidRPr="000D06BD" w:rsidRDefault="00AC6D9F" w:rsidP="00661152">
            <w:pPr>
              <w:spacing w:line="240" w:lineRule="auto"/>
              <w:jc w:val="center"/>
              <w:rPr>
                <w:sz w:val="18"/>
                <w:szCs w:val="18"/>
              </w:rPr>
            </w:pPr>
            <w:r w:rsidRPr="000D06BD">
              <w:rPr>
                <w:sz w:val="18"/>
                <w:szCs w:val="18"/>
              </w:rPr>
              <w:t>per case averted</w:t>
            </w:r>
          </w:p>
        </w:tc>
        <w:tc>
          <w:tcPr>
            <w:tcW w:w="1332" w:type="dxa"/>
            <w:tcBorders>
              <w:bottom w:val="single" w:sz="4" w:space="0" w:color="auto"/>
            </w:tcBorders>
            <w:noWrap/>
            <w:vAlign w:val="center"/>
            <w:hideMark/>
          </w:tcPr>
          <w:p w14:paraId="54609ED6" w14:textId="77777777" w:rsidR="00AC6D9F" w:rsidRPr="000D06BD" w:rsidRDefault="00AC6D9F" w:rsidP="00661152">
            <w:pPr>
              <w:spacing w:line="240" w:lineRule="auto"/>
              <w:jc w:val="center"/>
              <w:rPr>
                <w:sz w:val="18"/>
                <w:szCs w:val="18"/>
              </w:rPr>
            </w:pPr>
            <w:r w:rsidRPr="000D06BD">
              <w:rPr>
                <w:sz w:val="18"/>
                <w:szCs w:val="18"/>
              </w:rPr>
              <w:t>Cost</w:t>
            </w:r>
          </w:p>
          <w:p w14:paraId="19BA552E" w14:textId="77777777" w:rsidR="00AC6D9F" w:rsidRPr="000D06BD" w:rsidRDefault="00AC6D9F" w:rsidP="00661152">
            <w:pPr>
              <w:spacing w:line="240" w:lineRule="auto"/>
              <w:jc w:val="center"/>
              <w:rPr>
                <w:sz w:val="18"/>
                <w:szCs w:val="18"/>
              </w:rPr>
            </w:pPr>
            <w:r w:rsidRPr="000D06BD">
              <w:rPr>
                <w:sz w:val="18"/>
                <w:szCs w:val="18"/>
              </w:rPr>
              <w:t>per death averted</w:t>
            </w:r>
          </w:p>
        </w:tc>
        <w:tc>
          <w:tcPr>
            <w:tcW w:w="1332" w:type="dxa"/>
            <w:tcBorders>
              <w:bottom w:val="single" w:sz="4" w:space="0" w:color="auto"/>
            </w:tcBorders>
            <w:noWrap/>
            <w:vAlign w:val="center"/>
            <w:hideMark/>
          </w:tcPr>
          <w:p w14:paraId="1C628C98" w14:textId="77777777" w:rsidR="00AC6D9F" w:rsidRPr="000D06BD" w:rsidRDefault="00AC6D9F" w:rsidP="00661152">
            <w:pPr>
              <w:spacing w:line="240" w:lineRule="auto"/>
              <w:jc w:val="center"/>
              <w:rPr>
                <w:sz w:val="18"/>
                <w:szCs w:val="18"/>
              </w:rPr>
            </w:pPr>
            <w:r w:rsidRPr="000D06BD">
              <w:rPr>
                <w:sz w:val="18"/>
                <w:szCs w:val="18"/>
              </w:rPr>
              <w:t>Cost</w:t>
            </w:r>
          </w:p>
          <w:p w14:paraId="0BB8769E" w14:textId="77777777" w:rsidR="00AC6D9F" w:rsidRPr="000D06BD" w:rsidRDefault="00AC6D9F" w:rsidP="00661152">
            <w:pPr>
              <w:spacing w:line="240" w:lineRule="auto"/>
              <w:jc w:val="center"/>
              <w:rPr>
                <w:sz w:val="18"/>
                <w:szCs w:val="18"/>
              </w:rPr>
            </w:pPr>
            <w:r w:rsidRPr="000D06BD">
              <w:rPr>
                <w:sz w:val="18"/>
                <w:szCs w:val="18"/>
              </w:rPr>
              <w:t>per DALY averted</w:t>
            </w:r>
          </w:p>
        </w:tc>
      </w:tr>
      <w:tr w:rsidR="00AC6D9F" w:rsidRPr="00026A18" w14:paraId="530F50F7" w14:textId="77777777" w:rsidTr="00661152">
        <w:trPr>
          <w:trHeight w:val="746"/>
        </w:trPr>
        <w:tc>
          <w:tcPr>
            <w:tcW w:w="1020" w:type="dxa"/>
            <w:vAlign w:val="center"/>
          </w:tcPr>
          <w:p w14:paraId="4B8C3E0E" w14:textId="77777777" w:rsidR="00AC6D9F" w:rsidRPr="009949E8" w:rsidRDefault="00AC6D9F" w:rsidP="00661152">
            <w:pPr>
              <w:spacing w:line="240" w:lineRule="auto"/>
              <w:jc w:val="center"/>
              <w:rPr>
                <w:color w:val="000000"/>
                <w:sz w:val="18"/>
                <w:szCs w:val="18"/>
              </w:rPr>
            </w:pPr>
            <w:bookmarkStart w:id="29" w:name="_Hlk207111109"/>
            <w:r w:rsidRPr="009949E8">
              <w:rPr>
                <w:color w:val="000000"/>
                <w:sz w:val="18"/>
                <w:szCs w:val="18"/>
              </w:rPr>
              <w:t>1</w:t>
            </w:r>
          </w:p>
        </w:tc>
        <w:tc>
          <w:tcPr>
            <w:tcW w:w="1020" w:type="dxa"/>
            <w:vAlign w:val="center"/>
          </w:tcPr>
          <w:p w14:paraId="5E357374"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439B1736"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2FD645F0" w14:textId="77777777" w:rsidR="00AC6D9F" w:rsidRPr="009949E8" w:rsidRDefault="00AC6D9F" w:rsidP="00661152">
            <w:pPr>
              <w:spacing w:line="240" w:lineRule="auto"/>
              <w:jc w:val="center"/>
              <w:rPr>
                <w:rFonts w:cs="Cambria Math"/>
                <w:sz w:val="18"/>
                <w:szCs w:val="18"/>
              </w:rPr>
            </w:pPr>
            <w:r w:rsidRPr="009949E8">
              <w:rPr>
                <w:color w:val="000000"/>
                <w:sz w:val="18"/>
                <w:szCs w:val="18"/>
              </w:rPr>
              <w:t>75.6 (59.5 - 85.8)</w:t>
            </w:r>
          </w:p>
        </w:tc>
        <w:tc>
          <w:tcPr>
            <w:tcW w:w="1050" w:type="dxa"/>
            <w:tcBorders>
              <w:top w:val="single" w:sz="4" w:space="0" w:color="auto"/>
              <w:left w:val="single" w:sz="4" w:space="0" w:color="auto"/>
              <w:bottom w:val="single" w:sz="4" w:space="0" w:color="auto"/>
              <w:right w:val="single" w:sz="4" w:space="0" w:color="auto"/>
            </w:tcBorders>
            <w:noWrap/>
            <w:vAlign w:val="center"/>
            <w:hideMark/>
          </w:tcPr>
          <w:p w14:paraId="4A45E16D" w14:textId="77777777" w:rsidR="00AC6D9F" w:rsidRPr="009949E8" w:rsidRDefault="00AC6D9F" w:rsidP="00661152">
            <w:pPr>
              <w:spacing w:line="240" w:lineRule="auto"/>
              <w:jc w:val="center"/>
              <w:rPr>
                <w:rFonts w:cs="Cambria Math"/>
                <w:sz w:val="18"/>
                <w:szCs w:val="18"/>
              </w:rPr>
            </w:pPr>
            <w:r w:rsidRPr="009949E8">
              <w:rPr>
                <w:color w:val="000000"/>
                <w:sz w:val="18"/>
                <w:szCs w:val="18"/>
              </w:rPr>
              <w:t>246 (119 - 539)</w:t>
            </w:r>
          </w:p>
        </w:tc>
        <w:tc>
          <w:tcPr>
            <w:tcW w:w="1050" w:type="dxa"/>
            <w:tcBorders>
              <w:top w:val="single" w:sz="4" w:space="0" w:color="auto"/>
              <w:left w:val="single" w:sz="4" w:space="0" w:color="auto"/>
              <w:bottom w:val="single" w:sz="4" w:space="0" w:color="auto"/>
              <w:right w:val="single" w:sz="4" w:space="0" w:color="auto"/>
            </w:tcBorders>
            <w:noWrap/>
            <w:vAlign w:val="center"/>
            <w:hideMark/>
          </w:tcPr>
          <w:p w14:paraId="75E5F93F" w14:textId="77777777" w:rsidR="00AC6D9F" w:rsidRPr="009949E8" w:rsidRDefault="00AC6D9F" w:rsidP="00661152">
            <w:pPr>
              <w:spacing w:line="240" w:lineRule="auto"/>
              <w:jc w:val="center"/>
              <w:rPr>
                <w:rFonts w:cs="Cambria Math"/>
                <w:sz w:val="18"/>
                <w:szCs w:val="18"/>
              </w:rPr>
            </w:pPr>
            <w:r w:rsidRPr="009949E8">
              <w:rPr>
                <w:color w:val="000000"/>
                <w:sz w:val="18"/>
                <w:szCs w:val="18"/>
              </w:rPr>
              <w:t>3 (0 - 9)</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1297E03F" w14:textId="77777777" w:rsidR="00AC6D9F" w:rsidRPr="009949E8" w:rsidRDefault="00AC6D9F" w:rsidP="00661152">
            <w:pPr>
              <w:spacing w:line="240" w:lineRule="auto"/>
              <w:jc w:val="center"/>
              <w:rPr>
                <w:rFonts w:cs="Cambria Math"/>
                <w:sz w:val="18"/>
                <w:szCs w:val="18"/>
              </w:rPr>
            </w:pPr>
            <w:r w:rsidRPr="009949E8">
              <w:rPr>
                <w:color w:val="000000"/>
                <w:sz w:val="18"/>
                <w:szCs w:val="18"/>
              </w:rPr>
              <w:t>1.34 (0.482 - 3.586)</w:t>
            </w:r>
          </w:p>
        </w:tc>
        <w:tc>
          <w:tcPr>
            <w:tcW w:w="1332" w:type="dxa"/>
            <w:tcBorders>
              <w:top w:val="single" w:sz="4" w:space="0" w:color="auto"/>
              <w:left w:val="single" w:sz="4" w:space="0" w:color="auto"/>
              <w:bottom w:val="single" w:sz="4" w:space="0" w:color="auto"/>
              <w:right w:val="single" w:sz="4" w:space="0" w:color="auto"/>
            </w:tcBorders>
            <w:noWrap/>
            <w:vAlign w:val="center"/>
          </w:tcPr>
          <w:p w14:paraId="67829C30" w14:textId="77777777" w:rsidR="00AC6D9F" w:rsidRPr="009949E8" w:rsidRDefault="00AC6D9F" w:rsidP="00661152">
            <w:pPr>
              <w:spacing w:line="240" w:lineRule="auto"/>
              <w:jc w:val="center"/>
              <w:rPr>
                <w:rFonts w:cs="Cambria Math"/>
                <w:sz w:val="18"/>
                <w:szCs w:val="18"/>
              </w:rPr>
            </w:pPr>
            <w:r w:rsidRPr="009949E8">
              <w:rPr>
                <w:color w:val="000000"/>
                <w:sz w:val="18"/>
                <w:szCs w:val="18"/>
              </w:rPr>
              <w:t>0.011 (0 - 0.043)</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18AECC56" w14:textId="77777777" w:rsidR="00AC6D9F" w:rsidRPr="009949E8" w:rsidRDefault="00AC6D9F" w:rsidP="00661152">
            <w:pPr>
              <w:spacing w:line="240" w:lineRule="auto"/>
              <w:jc w:val="center"/>
              <w:rPr>
                <w:rFonts w:cs="Cambria Math"/>
                <w:sz w:val="18"/>
                <w:szCs w:val="18"/>
              </w:rPr>
            </w:pPr>
            <w:r w:rsidRPr="009949E8">
              <w:rPr>
                <w:color w:val="000000"/>
                <w:sz w:val="18"/>
                <w:szCs w:val="18"/>
              </w:rPr>
              <w:t>2,258 (541.9 - 7,273.8)</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04E1AC21" w14:textId="77777777" w:rsidR="00AC6D9F" w:rsidRPr="009949E8" w:rsidRDefault="00AC6D9F" w:rsidP="00661152">
            <w:pPr>
              <w:spacing w:line="240" w:lineRule="auto"/>
              <w:jc w:val="center"/>
              <w:rPr>
                <w:rFonts w:cs="Cambria Math"/>
                <w:sz w:val="18"/>
                <w:szCs w:val="18"/>
              </w:rPr>
            </w:pPr>
            <w:r w:rsidRPr="009949E8">
              <w:rPr>
                <w:color w:val="000000"/>
                <w:sz w:val="18"/>
                <w:szCs w:val="18"/>
              </w:rPr>
              <w:t>136,146.4 (22,255.3 - 438,636.4)</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609519E5" w14:textId="77777777" w:rsidR="00AC6D9F" w:rsidRPr="009949E8" w:rsidRDefault="00AC6D9F" w:rsidP="00661152">
            <w:pPr>
              <w:spacing w:line="240" w:lineRule="auto"/>
              <w:jc w:val="center"/>
              <w:rPr>
                <w:rFonts w:cs="Cambria Math"/>
                <w:sz w:val="18"/>
                <w:szCs w:val="18"/>
              </w:rPr>
            </w:pPr>
            <w:r w:rsidRPr="009949E8">
              <w:rPr>
                <w:color w:val="000000"/>
                <w:sz w:val="18"/>
                <w:szCs w:val="18"/>
              </w:rPr>
              <w:t>12,448.6 (2,134.5 - 313,157.4)</w:t>
            </w:r>
          </w:p>
        </w:tc>
      </w:tr>
      <w:tr w:rsidR="00AC6D9F" w:rsidRPr="00026A18" w14:paraId="6F094669" w14:textId="77777777" w:rsidTr="00661152">
        <w:trPr>
          <w:trHeight w:val="773"/>
        </w:trPr>
        <w:tc>
          <w:tcPr>
            <w:tcW w:w="1020" w:type="dxa"/>
            <w:vAlign w:val="center"/>
          </w:tcPr>
          <w:p w14:paraId="0DA1E75B"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vAlign w:val="center"/>
          </w:tcPr>
          <w:p w14:paraId="17353673"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6F768994"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3188EEA0" w14:textId="77777777" w:rsidR="00AC6D9F" w:rsidRPr="009949E8" w:rsidRDefault="00AC6D9F" w:rsidP="00661152">
            <w:pPr>
              <w:spacing w:line="240" w:lineRule="auto"/>
              <w:jc w:val="center"/>
              <w:rPr>
                <w:sz w:val="18"/>
                <w:szCs w:val="18"/>
              </w:rPr>
            </w:pPr>
            <w:r w:rsidRPr="009949E8">
              <w:rPr>
                <w:color w:val="000000"/>
                <w:sz w:val="18"/>
                <w:szCs w:val="18"/>
              </w:rPr>
              <w:t>69.7 (51.4 - 81.7)</w:t>
            </w:r>
          </w:p>
        </w:tc>
        <w:tc>
          <w:tcPr>
            <w:tcW w:w="1050" w:type="dxa"/>
            <w:tcBorders>
              <w:top w:val="single" w:sz="4" w:space="0" w:color="auto"/>
              <w:left w:val="single" w:sz="4" w:space="0" w:color="auto"/>
              <w:bottom w:val="single" w:sz="4" w:space="0" w:color="auto"/>
              <w:right w:val="single" w:sz="4" w:space="0" w:color="auto"/>
            </w:tcBorders>
            <w:noWrap/>
            <w:vAlign w:val="center"/>
          </w:tcPr>
          <w:p w14:paraId="6D372D57" w14:textId="77777777" w:rsidR="00AC6D9F" w:rsidRPr="009949E8" w:rsidRDefault="00AC6D9F" w:rsidP="00661152">
            <w:pPr>
              <w:spacing w:line="240" w:lineRule="auto"/>
              <w:jc w:val="center"/>
              <w:rPr>
                <w:sz w:val="18"/>
                <w:szCs w:val="18"/>
              </w:rPr>
            </w:pPr>
            <w:r w:rsidRPr="009949E8">
              <w:rPr>
                <w:color w:val="000000"/>
                <w:sz w:val="18"/>
                <w:szCs w:val="18"/>
              </w:rPr>
              <w:t>227 (102 - 528)</w:t>
            </w:r>
          </w:p>
        </w:tc>
        <w:tc>
          <w:tcPr>
            <w:tcW w:w="1050" w:type="dxa"/>
            <w:tcBorders>
              <w:top w:val="single" w:sz="4" w:space="0" w:color="auto"/>
              <w:left w:val="single" w:sz="4" w:space="0" w:color="auto"/>
              <w:bottom w:val="single" w:sz="4" w:space="0" w:color="auto"/>
              <w:right w:val="single" w:sz="4" w:space="0" w:color="auto"/>
            </w:tcBorders>
            <w:noWrap/>
            <w:vAlign w:val="center"/>
          </w:tcPr>
          <w:p w14:paraId="78D34BCD" w14:textId="77777777" w:rsidR="00AC6D9F" w:rsidRPr="009949E8" w:rsidRDefault="00AC6D9F" w:rsidP="00661152">
            <w:pPr>
              <w:spacing w:line="240" w:lineRule="auto"/>
              <w:jc w:val="center"/>
              <w:rPr>
                <w:sz w:val="18"/>
                <w:szCs w:val="18"/>
              </w:rPr>
            </w:pPr>
            <w:r w:rsidRPr="009949E8">
              <w:rPr>
                <w:color w:val="000000"/>
                <w:sz w:val="18"/>
                <w:szCs w:val="18"/>
              </w:rPr>
              <w:t>2 (0 - 8)</w:t>
            </w:r>
          </w:p>
        </w:tc>
        <w:tc>
          <w:tcPr>
            <w:tcW w:w="1332" w:type="dxa"/>
            <w:tcBorders>
              <w:top w:val="single" w:sz="4" w:space="0" w:color="auto"/>
              <w:left w:val="single" w:sz="4" w:space="0" w:color="auto"/>
              <w:bottom w:val="single" w:sz="4" w:space="0" w:color="auto"/>
              <w:right w:val="single" w:sz="4" w:space="0" w:color="auto"/>
            </w:tcBorders>
            <w:noWrap/>
            <w:vAlign w:val="center"/>
          </w:tcPr>
          <w:p w14:paraId="5D0FF893" w14:textId="77777777" w:rsidR="00AC6D9F" w:rsidRPr="009949E8" w:rsidRDefault="00AC6D9F" w:rsidP="00661152">
            <w:pPr>
              <w:spacing w:line="240" w:lineRule="auto"/>
              <w:jc w:val="center"/>
              <w:rPr>
                <w:sz w:val="18"/>
                <w:szCs w:val="18"/>
              </w:rPr>
            </w:pPr>
            <w:r w:rsidRPr="009949E8">
              <w:rPr>
                <w:color w:val="000000"/>
                <w:sz w:val="18"/>
                <w:szCs w:val="18"/>
              </w:rPr>
              <w:t>1.22 (0.41 - 3.432)</w:t>
            </w:r>
          </w:p>
        </w:tc>
        <w:tc>
          <w:tcPr>
            <w:tcW w:w="1332" w:type="dxa"/>
            <w:tcBorders>
              <w:top w:val="single" w:sz="4" w:space="0" w:color="auto"/>
              <w:left w:val="single" w:sz="4" w:space="0" w:color="auto"/>
              <w:bottom w:val="single" w:sz="4" w:space="0" w:color="auto"/>
              <w:right w:val="single" w:sz="4" w:space="0" w:color="auto"/>
            </w:tcBorders>
            <w:noWrap/>
            <w:vAlign w:val="center"/>
          </w:tcPr>
          <w:p w14:paraId="48BFF80B" w14:textId="77777777" w:rsidR="00AC6D9F" w:rsidRPr="009949E8" w:rsidRDefault="00AC6D9F" w:rsidP="00661152">
            <w:pPr>
              <w:spacing w:line="240" w:lineRule="auto"/>
              <w:jc w:val="center"/>
              <w:rPr>
                <w:sz w:val="18"/>
                <w:szCs w:val="18"/>
              </w:rPr>
            </w:pPr>
            <w:r w:rsidRPr="009949E8">
              <w:rPr>
                <w:color w:val="000000"/>
                <w:sz w:val="18"/>
                <w:szCs w:val="18"/>
              </w:rPr>
              <w:t>0.009 (0 - 0.039)</w:t>
            </w:r>
          </w:p>
        </w:tc>
        <w:tc>
          <w:tcPr>
            <w:tcW w:w="1332" w:type="dxa"/>
            <w:tcBorders>
              <w:top w:val="single" w:sz="4" w:space="0" w:color="auto"/>
              <w:left w:val="single" w:sz="4" w:space="0" w:color="auto"/>
              <w:bottom w:val="single" w:sz="4" w:space="0" w:color="auto"/>
              <w:right w:val="single" w:sz="4" w:space="0" w:color="auto"/>
            </w:tcBorders>
            <w:noWrap/>
            <w:vAlign w:val="center"/>
          </w:tcPr>
          <w:p w14:paraId="079B9345" w14:textId="77777777" w:rsidR="00AC6D9F" w:rsidRPr="009949E8" w:rsidRDefault="00AC6D9F" w:rsidP="00661152">
            <w:pPr>
              <w:spacing w:line="240" w:lineRule="auto"/>
              <w:jc w:val="center"/>
              <w:rPr>
                <w:sz w:val="18"/>
                <w:szCs w:val="18"/>
              </w:rPr>
            </w:pPr>
            <w:r w:rsidRPr="009949E8">
              <w:rPr>
                <w:color w:val="000000"/>
                <w:sz w:val="18"/>
                <w:szCs w:val="18"/>
              </w:rPr>
              <w:t>2,527.8 (608.3 - 8,675)</w:t>
            </w:r>
          </w:p>
        </w:tc>
        <w:tc>
          <w:tcPr>
            <w:tcW w:w="1332" w:type="dxa"/>
            <w:tcBorders>
              <w:top w:val="single" w:sz="4" w:space="0" w:color="auto"/>
              <w:left w:val="single" w:sz="4" w:space="0" w:color="auto"/>
              <w:bottom w:val="single" w:sz="4" w:space="0" w:color="auto"/>
              <w:right w:val="single" w:sz="4" w:space="0" w:color="auto"/>
            </w:tcBorders>
            <w:noWrap/>
            <w:vAlign w:val="center"/>
          </w:tcPr>
          <w:p w14:paraId="766D664D" w14:textId="77777777" w:rsidR="00AC6D9F" w:rsidRPr="009949E8" w:rsidRDefault="00AC6D9F" w:rsidP="00661152">
            <w:pPr>
              <w:spacing w:line="240" w:lineRule="auto"/>
              <w:jc w:val="center"/>
              <w:rPr>
                <w:sz w:val="18"/>
                <w:szCs w:val="18"/>
              </w:rPr>
            </w:pPr>
            <w:r w:rsidRPr="009949E8">
              <w:rPr>
                <w:color w:val="000000"/>
                <w:sz w:val="18"/>
                <w:szCs w:val="18"/>
              </w:rPr>
              <w:t>147,379.7 (25,131.5 - 467,408.5)</w:t>
            </w:r>
          </w:p>
        </w:tc>
        <w:tc>
          <w:tcPr>
            <w:tcW w:w="1332" w:type="dxa"/>
            <w:tcBorders>
              <w:top w:val="single" w:sz="4" w:space="0" w:color="auto"/>
              <w:left w:val="single" w:sz="4" w:space="0" w:color="auto"/>
              <w:bottom w:val="single" w:sz="4" w:space="0" w:color="auto"/>
              <w:right w:val="single" w:sz="4" w:space="0" w:color="auto"/>
            </w:tcBorders>
            <w:noWrap/>
            <w:vAlign w:val="center"/>
          </w:tcPr>
          <w:p w14:paraId="5DFA8691" w14:textId="77777777" w:rsidR="00AC6D9F" w:rsidRPr="009949E8" w:rsidRDefault="00AC6D9F" w:rsidP="00661152">
            <w:pPr>
              <w:spacing w:line="240" w:lineRule="auto"/>
              <w:jc w:val="center"/>
              <w:rPr>
                <w:sz w:val="18"/>
                <w:szCs w:val="18"/>
              </w:rPr>
            </w:pPr>
            <w:r w:rsidRPr="009949E8">
              <w:rPr>
                <w:color w:val="000000"/>
                <w:sz w:val="18"/>
                <w:szCs w:val="18"/>
              </w:rPr>
              <w:t>14,749.8 (2,533.5 - 654,245.5)</w:t>
            </w:r>
          </w:p>
        </w:tc>
      </w:tr>
      <w:tr w:rsidR="00AC6D9F" w:rsidRPr="00026A18" w14:paraId="2B8E385A" w14:textId="77777777" w:rsidTr="00661152">
        <w:trPr>
          <w:trHeight w:val="773"/>
        </w:trPr>
        <w:tc>
          <w:tcPr>
            <w:tcW w:w="1020" w:type="dxa"/>
            <w:vAlign w:val="center"/>
          </w:tcPr>
          <w:p w14:paraId="51DF0CE6"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vAlign w:val="center"/>
          </w:tcPr>
          <w:p w14:paraId="74FEBCFA"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6BA4B276"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285F4B96" w14:textId="77777777" w:rsidR="00AC6D9F" w:rsidRPr="009949E8" w:rsidRDefault="00AC6D9F" w:rsidP="00661152">
            <w:pPr>
              <w:spacing w:line="240" w:lineRule="auto"/>
              <w:jc w:val="center"/>
              <w:rPr>
                <w:sz w:val="18"/>
                <w:szCs w:val="18"/>
              </w:rPr>
            </w:pPr>
            <w:r w:rsidRPr="009949E8">
              <w:rPr>
                <w:color w:val="000000"/>
                <w:sz w:val="18"/>
                <w:szCs w:val="18"/>
              </w:rPr>
              <w:t>51.9 (30.9 - 70)</w:t>
            </w:r>
          </w:p>
        </w:tc>
        <w:tc>
          <w:tcPr>
            <w:tcW w:w="1050" w:type="dxa"/>
            <w:tcBorders>
              <w:top w:val="single" w:sz="4" w:space="0" w:color="auto"/>
              <w:left w:val="single" w:sz="4" w:space="0" w:color="auto"/>
              <w:bottom w:val="single" w:sz="4" w:space="0" w:color="auto"/>
              <w:right w:val="single" w:sz="4" w:space="0" w:color="auto"/>
            </w:tcBorders>
            <w:noWrap/>
            <w:vAlign w:val="center"/>
          </w:tcPr>
          <w:p w14:paraId="6AE37090" w14:textId="77777777" w:rsidR="00AC6D9F" w:rsidRPr="009949E8" w:rsidRDefault="00AC6D9F" w:rsidP="00661152">
            <w:pPr>
              <w:spacing w:line="240" w:lineRule="auto"/>
              <w:jc w:val="center"/>
              <w:rPr>
                <w:sz w:val="18"/>
                <w:szCs w:val="18"/>
              </w:rPr>
            </w:pPr>
            <w:r w:rsidRPr="009949E8">
              <w:rPr>
                <w:color w:val="000000"/>
                <w:sz w:val="18"/>
                <w:szCs w:val="18"/>
              </w:rPr>
              <w:t>173 (60 - 461)</w:t>
            </w:r>
          </w:p>
        </w:tc>
        <w:tc>
          <w:tcPr>
            <w:tcW w:w="1050" w:type="dxa"/>
            <w:tcBorders>
              <w:top w:val="single" w:sz="4" w:space="0" w:color="auto"/>
              <w:left w:val="single" w:sz="4" w:space="0" w:color="auto"/>
              <w:bottom w:val="single" w:sz="4" w:space="0" w:color="auto"/>
              <w:right w:val="single" w:sz="4" w:space="0" w:color="auto"/>
            </w:tcBorders>
            <w:noWrap/>
            <w:vAlign w:val="center"/>
          </w:tcPr>
          <w:p w14:paraId="3262318F" w14:textId="77777777" w:rsidR="00AC6D9F" w:rsidRPr="009949E8" w:rsidRDefault="00AC6D9F" w:rsidP="00661152">
            <w:pPr>
              <w:spacing w:line="240" w:lineRule="auto"/>
              <w:jc w:val="center"/>
              <w:rPr>
                <w:sz w:val="18"/>
                <w:szCs w:val="18"/>
              </w:rPr>
            </w:pPr>
            <w:r w:rsidRPr="009949E8">
              <w:rPr>
                <w:color w:val="000000"/>
                <w:sz w:val="18"/>
                <w:szCs w:val="18"/>
              </w:rPr>
              <w:t>1 (0 - 6)</w:t>
            </w:r>
          </w:p>
        </w:tc>
        <w:tc>
          <w:tcPr>
            <w:tcW w:w="1332" w:type="dxa"/>
            <w:tcBorders>
              <w:top w:val="single" w:sz="4" w:space="0" w:color="auto"/>
              <w:left w:val="single" w:sz="4" w:space="0" w:color="auto"/>
              <w:bottom w:val="single" w:sz="4" w:space="0" w:color="auto"/>
              <w:right w:val="single" w:sz="4" w:space="0" w:color="auto"/>
            </w:tcBorders>
            <w:noWrap/>
            <w:vAlign w:val="center"/>
          </w:tcPr>
          <w:p w14:paraId="7C140E7E" w14:textId="77777777" w:rsidR="00AC6D9F" w:rsidRPr="009949E8" w:rsidRDefault="00AC6D9F" w:rsidP="00661152">
            <w:pPr>
              <w:spacing w:line="240" w:lineRule="auto"/>
              <w:jc w:val="center"/>
              <w:rPr>
                <w:sz w:val="18"/>
                <w:szCs w:val="18"/>
              </w:rPr>
            </w:pPr>
            <w:r w:rsidRPr="009949E8">
              <w:rPr>
                <w:color w:val="000000"/>
                <w:sz w:val="18"/>
                <w:szCs w:val="18"/>
              </w:rPr>
              <w:t>0.88 (0.239 - 2.969)</w:t>
            </w:r>
          </w:p>
        </w:tc>
        <w:tc>
          <w:tcPr>
            <w:tcW w:w="1332" w:type="dxa"/>
            <w:tcBorders>
              <w:top w:val="single" w:sz="4" w:space="0" w:color="auto"/>
              <w:left w:val="single" w:sz="4" w:space="0" w:color="auto"/>
              <w:bottom w:val="single" w:sz="4" w:space="0" w:color="auto"/>
              <w:right w:val="single" w:sz="4" w:space="0" w:color="auto"/>
            </w:tcBorders>
            <w:noWrap/>
            <w:vAlign w:val="center"/>
          </w:tcPr>
          <w:p w14:paraId="287CE5EB" w14:textId="77777777" w:rsidR="00AC6D9F" w:rsidRPr="009949E8" w:rsidRDefault="00AC6D9F" w:rsidP="00661152">
            <w:pPr>
              <w:spacing w:line="240" w:lineRule="auto"/>
              <w:jc w:val="center"/>
              <w:rPr>
                <w:sz w:val="18"/>
                <w:szCs w:val="18"/>
              </w:rPr>
            </w:pPr>
            <w:r w:rsidRPr="009949E8">
              <w:rPr>
                <w:color w:val="000000"/>
                <w:sz w:val="18"/>
                <w:szCs w:val="18"/>
              </w:rPr>
              <w:t>0.005 (0 - 0.029)</w:t>
            </w:r>
          </w:p>
        </w:tc>
        <w:tc>
          <w:tcPr>
            <w:tcW w:w="1332" w:type="dxa"/>
            <w:tcBorders>
              <w:top w:val="single" w:sz="4" w:space="0" w:color="auto"/>
              <w:left w:val="single" w:sz="4" w:space="0" w:color="auto"/>
              <w:bottom w:val="single" w:sz="4" w:space="0" w:color="auto"/>
              <w:right w:val="single" w:sz="4" w:space="0" w:color="auto"/>
            </w:tcBorders>
            <w:noWrap/>
            <w:vAlign w:val="center"/>
          </w:tcPr>
          <w:p w14:paraId="5A8D42CF" w14:textId="77777777" w:rsidR="00AC6D9F" w:rsidRPr="009949E8" w:rsidRDefault="00AC6D9F" w:rsidP="00661152">
            <w:pPr>
              <w:spacing w:line="240" w:lineRule="auto"/>
              <w:jc w:val="center"/>
              <w:rPr>
                <w:sz w:val="18"/>
                <w:szCs w:val="18"/>
              </w:rPr>
            </w:pPr>
            <w:r w:rsidRPr="009949E8">
              <w:rPr>
                <w:color w:val="000000"/>
                <w:sz w:val="18"/>
                <w:szCs w:val="18"/>
              </w:rPr>
              <w:t>3,648.6 (807.1 - 14,288.1)</w:t>
            </w:r>
          </w:p>
        </w:tc>
        <w:tc>
          <w:tcPr>
            <w:tcW w:w="1332" w:type="dxa"/>
            <w:tcBorders>
              <w:top w:val="single" w:sz="4" w:space="0" w:color="auto"/>
              <w:left w:val="single" w:sz="4" w:space="0" w:color="auto"/>
              <w:bottom w:val="single" w:sz="4" w:space="0" w:color="auto"/>
              <w:right w:val="single" w:sz="4" w:space="0" w:color="auto"/>
            </w:tcBorders>
            <w:noWrap/>
            <w:vAlign w:val="center"/>
          </w:tcPr>
          <w:p w14:paraId="7848E240" w14:textId="77777777" w:rsidR="00AC6D9F" w:rsidRPr="009949E8" w:rsidRDefault="00AC6D9F" w:rsidP="00661152">
            <w:pPr>
              <w:spacing w:line="240" w:lineRule="auto"/>
              <w:jc w:val="center"/>
              <w:rPr>
                <w:sz w:val="18"/>
                <w:szCs w:val="18"/>
              </w:rPr>
            </w:pPr>
            <w:r w:rsidRPr="009949E8">
              <w:rPr>
                <w:color w:val="000000"/>
                <w:sz w:val="18"/>
                <w:szCs w:val="18"/>
              </w:rPr>
              <w:t>172,881.7 (34,048.5 - 524,616.6)</w:t>
            </w:r>
          </w:p>
        </w:tc>
        <w:tc>
          <w:tcPr>
            <w:tcW w:w="1332" w:type="dxa"/>
            <w:tcBorders>
              <w:top w:val="single" w:sz="4" w:space="0" w:color="auto"/>
              <w:left w:val="single" w:sz="4" w:space="0" w:color="auto"/>
              <w:bottom w:val="single" w:sz="4" w:space="0" w:color="auto"/>
              <w:right w:val="single" w:sz="4" w:space="0" w:color="auto"/>
            </w:tcBorders>
            <w:noWrap/>
            <w:vAlign w:val="center"/>
          </w:tcPr>
          <w:p w14:paraId="1F1CB666" w14:textId="77777777" w:rsidR="00AC6D9F" w:rsidRPr="009949E8" w:rsidRDefault="00AC6D9F" w:rsidP="00661152">
            <w:pPr>
              <w:spacing w:line="240" w:lineRule="auto"/>
              <w:jc w:val="center"/>
              <w:rPr>
                <w:sz w:val="18"/>
                <w:szCs w:val="18"/>
              </w:rPr>
            </w:pPr>
            <w:r w:rsidRPr="009949E8">
              <w:rPr>
                <w:color w:val="000000"/>
                <w:sz w:val="18"/>
                <w:szCs w:val="18"/>
              </w:rPr>
              <w:t>24,472.1 (3,872.6 - 3,110,721)</w:t>
            </w:r>
          </w:p>
        </w:tc>
      </w:tr>
      <w:tr w:rsidR="00AC6D9F" w:rsidRPr="00026A18" w14:paraId="0341EE2A" w14:textId="77777777" w:rsidTr="00661152">
        <w:trPr>
          <w:trHeight w:val="773"/>
        </w:trPr>
        <w:tc>
          <w:tcPr>
            <w:tcW w:w="1020" w:type="dxa"/>
            <w:vAlign w:val="center"/>
          </w:tcPr>
          <w:p w14:paraId="0A14B19C"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vAlign w:val="center"/>
          </w:tcPr>
          <w:p w14:paraId="56EE6A23"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136AB0F6"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7F138496" w14:textId="77777777" w:rsidR="00AC6D9F" w:rsidRPr="009949E8" w:rsidRDefault="00AC6D9F" w:rsidP="00661152">
            <w:pPr>
              <w:spacing w:line="240" w:lineRule="auto"/>
              <w:jc w:val="center"/>
              <w:rPr>
                <w:sz w:val="18"/>
                <w:szCs w:val="18"/>
              </w:rPr>
            </w:pPr>
            <w:r w:rsidRPr="009949E8">
              <w:rPr>
                <w:color w:val="000000"/>
                <w:sz w:val="18"/>
                <w:szCs w:val="18"/>
              </w:rPr>
              <w:t>36.5 (13.9 - 60.7)</w:t>
            </w:r>
          </w:p>
        </w:tc>
        <w:tc>
          <w:tcPr>
            <w:tcW w:w="1050" w:type="dxa"/>
            <w:tcBorders>
              <w:top w:val="single" w:sz="4" w:space="0" w:color="auto"/>
              <w:left w:val="single" w:sz="4" w:space="0" w:color="auto"/>
              <w:bottom w:val="single" w:sz="4" w:space="0" w:color="auto"/>
              <w:right w:val="single" w:sz="4" w:space="0" w:color="auto"/>
            </w:tcBorders>
            <w:noWrap/>
            <w:vAlign w:val="center"/>
          </w:tcPr>
          <w:p w14:paraId="2AD269AD" w14:textId="77777777" w:rsidR="00AC6D9F" w:rsidRPr="009949E8" w:rsidRDefault="00AC6D9F" w:rsidP="00661152">
            <w:pPr>
              <w:spacing w:line="240" w:lineRule="auto"/>
              <w:jc w:val="center"/>
              <w:rPr>
                <w:sz w:val="18"/>
                <w:szCs w:val="18"/>
              </w:rPr>
            </w:pPr>
            <w:r w:rsidRPr="009949E8">
              <w:rPr>
                <w:color w:val="000000"/>
                <w:sz w:val="18"/>
                <w:szCs w:val="18"/>
              </w:rPr>
              <w:t>129 (28 - 403)</w:t>
            </w:r>
          </w:p>
        </w:tc>
        <w:tc>
          <w:tcPr>
            <w:tcW w:w="1050" w:type="dxa"/>
            <w:tcBorders>
              <w:top w:val="single" w:sz="4" w:space="0" w:color="auto"/>
              <w:left w:val="single" w:sz="4" w:space="0" w:color="auto"/>
              <w:bottom w:val="single" w:sz="4" w:space="0" w:color="auto"/>
              <w:right w:val="single" w:sz="4" w:space="0" w:color="auto"/>
            </w:tcBorders>
            <w:noWrap/>
            <w:vAlign w:val="center"/>
          </w:tcPr>
          <w:p w14:paraId="652CDD00" w14:textId="77777777" w:rsidR="00AC6D9F" w:rsidRPr="009949E8" w:rsidRDefault="00AC6D9F" w:rsidP="00661152">
            <w:pPr>
              <w:spacing w:line="240" w:lineRule="auto"/>
              <w:jc w:val="center"/>
              <w:rPr>
                <w:sz w:val="18"/>
                <w:szCs w:val="18"/>
              </w:rPr>
            </w:pPr>
            <w:r w:rsidRPr="009949E8">
              <w:rPr>
                <w:color w:val="000000"/>
                <w:sz w:val="18"/>
                <w:szCs w:val="18"/>
              </w:rPr>
              <w:t>1 (0 - 5)</w:t>
            </w:r>
          </w:p>
        </w:tc>
        <w:tc>
          <w:tcPr>
            <w:tcW w:w="1332" w:type="dxa"/>
            <w:tcBorders>
              <w:top w:val="single" w:sz="4" w:space="0" w:color="auto"/>
              <w:left w:val="single" w:sz="4" w:space="0" w:color="auto"/>
              <w:bottom w:val="single" w:sz="4" w:space="0" w:color="auto"/>
              <w:right w:val="single" w:sz="4" w:space="0" w:color="auto"/>
            </w:tcBorders>
            <w:noWrap/>
            <w:vAlign w:val="center"/>
          </w:tcPr>
          <w:p w14:paraId="052729F6" w14:textId="77777777" w:rsidR="00AC6D9F" w:rsidRPr="009949E8" w:rsidRDefault="00AC6D9F" w:rsidP="00661152">
            <w:pPr>
              <w:spacing w:line="240" w:lineRule="auto"/>
              <w:jc w:val="center"/>
              <w:rPr>
                <w:sz w:val="18"/>
                <w:szCs w:val="18"/>
              </w:rPr>
            </w:pPr>
            <w:r w:rsidRPr="009949E8">
              <w:rPr>
                <w:color w:val="000000"/>
                <w:sz w:val="18"/>
                <w:szCs w:val="18"/>
              </w:rPr>
              <w:t>0.597 (0.116 - 2.557)</w:t>
            </w:r>
          </w:p>
        </w:tc>
        <w:tc>
          <w:tcPr>
            <w:tcW w:w="1332" w:type="dxa"/>
            <w:tcBorders>
              <w:top w:val="single" w:sz="4" w:space="0" w:color="auto"/>
              <w:left w:val="single" w:sz="4" w:space="0" w:color="auto"/>
              <w:bottom w:val="single" w:sz="4" w:space="0" w:color="auto"/>
              <w:right w:val="single" w:sz="4" w:space="0" w:color="auto"/>
            </w:tcBorders>
            <w:noWrap/>
            <w:vAlign w:val="center"/>
          </w:tcPr>
          <w:p w14:paraId="4A81777E" w14:textId="77777777" w:rsidR="00AC6D9F" w:rsidRPr="009949E8" w:rsidRDefault="00AC6D9F" w:rsidP="00661152">
            <w:pPr>
              <w:spacing w:line="240" w:lineRule="auto"/>
              <w:jc w:val="center"/>
              <w:rPr>
                <w:sz w:val="18"/>
                <w:szCs w:val="18"/>
              </w:rPr>
            </w:pPr>
            <w:r w:rsidRPr="009949E8">
              <w:rPr>
                <w:color w:val="000000"/>
                <w:sz w:val="18"/>
                <w:szCs w:val="18"/>
              </w:rPr>
              <w:t>0.002 (0 - 0.021)</w:t>
            </w:r>
          </w:p>
        </w:tc>
        <w:tc>
          <w:tcPr>
            <w:tcW w:w="1332" w:type="dxa"/>
            <w:tcBorders>
              <w:top w:val="single" w:sz="4" w:space="0" w:color="auto"/>
              <w:left w:val="single" w:sz="4" w:space="0" w:color="auto"/>
              <w:bottom w:val="single" w:sz="4" w:space="0" w:color="auto"/>
              <w:right w:val="single" w:sz="4" w:space="0" w:color="auto"/>
            </w:tcBorders>
            <w:noWrap/>
            <w:vAlign w:val="center"/>
          </w:tcPr>
          <w:p w14:paraId="63D1EE4B" w14:textId="77777777" w:rsidR="00AC6D9F" w:rsidRPr="009949E8" w:rsidRDefault="00AC6D9F" w:rsidP="00661152">
            <w:pPr>
              <w:spacing w:line="240" w:lineRule="auto"/>
              <w:jc w:val="center"/>
              <w:rPr>
                <w:sz w:val="18"/>
                <w:szCs w:val="18"/>
              </w:rPr>
            </w:pPr>
            <w:r w:rsidRPr="009949E8">
              <w:rPr>
                <w:color w:val="000000"/>
                <w:sz w:val="18"/>
                <w:szCs w:val="18"/>
              </w:rPr>
              <w:t>4,767.6 (962.8 - 22,509.2)</w:t>
            </w:r>
          </w:p>
        </w:tc>
        <w:tc>
          <w:tcPr>
            <w:tcW w:w="1332" w:type="dxa"/>
            <w:tcBorders>
              <w:top w:val="single" w:sz="4" w:space="0" w:color="auto"/>
              <w:left w:val="single" w:sz="4" w:space="0" w:color="auto"/>
              <w:bottom w:val="single" w:sz="4" w:space="0" w:color="auto"/>
              <w:right w:val="single" w:sz="4" w:space="0" w:color="auto"/>
            </w:tcBorders>
            <w:noWrap/>
            <w:vAlign w:val="center"/>
          </w:tcPr>
          <w:p w14:paraId="07AFA511" w14:textId="77777777" w:rsidR="00AC6D9F" w:rsidRPr="009949E8" w:rsidRDefault="00AC6D9F" w:rsidP="00661152">
            <w:pPr>
              <w:spacing w:line="240" w:lineRule="auto"/>
              <w:jc w:val="center"/>
              <w:rPr>
                <w:sz w:val="18"/>
                <w:szCs w:val="18"/>
              </w:rPr>
            </w:pPr>
            <w:r w:rsidRPr="009949E8">
              <w:rPr>
                <w:color w:val="000000"/>
                <w:sz w:val="18"/>
                <w:szCs w:val="18"/>
              </w:rPr>
              <w:t>187,691.5 (39,377.2 - 572,491.3)</w:t>
            </w:r>
          </w:p>
        </w:tc>
        <w:tc>
          <w:tcPr>
            <w:tcW w:w="1332" w:type="dxa"/>
            <w:tcBorders>
              <w:top w:val="single" w:sz="4" w:space="0" w:color="auto"/>
              <w:left w:val="single" w:sz="4" w:space="0" w:color="auto"/>
              <w:bottom w:val="single" w:sz="4" w:space="0" w:color="auto"/>
              <w:right w:val="single" w:sz="4" w:space="0" w:color="auto"/>
            </w:tcBorders>
            <w:noWrap/>
            <w:vAlign w:val="center"/>
          </w:tcPr>
          <w:p w14:paraId="785C2D47" w14:textId="77777777" w:rsidR="00AC6D9F" w:rsidRPr="009949E8" w:rsidRDefault="00AC6D9F" w:rsidP="00661152">
            <w:pPr>
              <w:spacing w:line="240" w:lineRule="auto"/>
              <w:jc w:val="center"/>
              <w:rPr>
                <w:sz w:val="18"/>
                <w:szCs w:val="18"/>
              </w:rPr>
            </w:pPr>
            <w:r w:rsidRPr="009949E8">
              <w:rPr>
                <w:color w:val="000000"/>
                <w:sz w:val="18"/>
                <w:szCs w:val="18"/>
              </w:rPr>
              <w:t>40,753.2 (5,273.3 - 7,026,189)</w:t>
            </w:r>
          </w:p>
        </w:tc>
      </w:tr>
      <w:bookmarkEnd w:id="29"/>
      <w:tr w:rsidR="00AC6D9F" w:rsidRPr="00026A18" w14:paraId="485505EB" w14:textId="77777777" w:rsidTr="00661152">
        <w:trPr>
          <w:trHeight w:val="773"/>
        </w:trPr>
        <w:tc>
          <w:tcPr>
            <w:tcW w:w="1020" w:type="dxa"/>
            <w:vAlign w:val="center"/>
          </w:tcPr>
          <w:p w14:paraId="135A6DFE"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0F3A6D9D"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4F8BDD53"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43B6A952" w14:textId="77777777" w:rsidR="00AC6D9F" w:rsidRPr="009949E8" w:rsidRDefault="00AC6D9F" w:rsidP="00661152">
            <w:pPr>
              <w:spacing w:line="240" w:lineRule="auto"/>
              <w:jc w:val="center"/>
              <w:rPr>
                <w:sz w:val="18"/>
                <w:szCs w:val="18"/>
                <w:highlight w:val="yellow"/>
              </w:rPr>
            </w:pPr>
            <w:r w:rsidRPr="009949E8">
              <w:rPr>
                <w:color w:val="000000"/>
                <w:sz w:val="18"/>
                <w:szCs w:val="18"/>
              </w:rPr>
              <w:t>36.1 (15.3 - 57.9)</w:t>
            </w:r>
          </w:p>
        </w:tc>
        <w:tc>
          <w:tcPr>
            <w:tcW w:w="1050" w:type="dxa"/>
            <w:tcBorders>
              <w:top w:val="single" w:sz="4" w:space="0" w:color="auto"/>
              <w:left w:val="single" w:sz="4" w:space="0" w:color="auto"/>
              <w:bottom w:val="single" w:sz="4" w:space="0" w:color="auto"/>
              <w:right w:val="single" w:sz="4" w:space="0" w:color="auto"/>
            </w:tcBorders>
            <w:noWrap/>
            <w:vAlign w:val="center"/>
          </w:tcPr>
          <w:p w14:paraId="518A8568" w14:textId="77777777" w:rsidR="00AC6D9F" w:rsidRPr="009949E8" w:rsidRDefault="00AC6D9F" w:rsidP="00661152">
            <w:pPr>
              <w:spacing w:line="240" w:lineRule="auto"/>
              <w:jc w:val="center"/>
              <w:rPr>
                <w:sz w:val="18"/>
                <w:szCs w:val="18"/>
                <w:highlight w:val="yellow"/>
              </w:rPr>
            </w:pPr>
            <w:r w:rsidRPr="009949E8">
              <w:rPr>
                <w:color w:val="000000"/>
                <w:sz w:val="18"/>
                <w:szCs w:val="18"/>
              </w:rPr>
              <w:t>127 (42 - 341)</w:t>
            </w:r>
          </w:p>
        </w:tc>
        <w:tc>
          <w:tcPr>
            <w:tcW w:w="1050" w:type="dxa"/>
            <w:tcBorders>
              <w:top w:val="single" w:sz="4" w:space="0" w:color="auto"/>
              <w:left w:val="single" w:sz="4" w:space="0" w:color="auto"/>
              <w:bottom w:val="single" w:sz="4" w:space="0" w:color="auto"/>
              <w:right w:val="single" w:sz="4" w:space="0" w:color="auto"/>
            </w:tcBorders>
            <w:noWrap/>
            <w:vAlign w:val="center"/>
          </w:tcPr>
          <w:p w14:paraId="4A2CBFB9" w14:textId="77777777" w:rsidR="00AC6D9F" w:rsidRPr="009949E8" w:rsidRDefault="00AC6D9F" w:rsidP="00661152">
            <w:pPr>
              <w:spacing w:line="240" w:lineRule="auto"/>
              <w:jc w:val="center"/>
              <w:rPr>
                <w:sz w:val="18"/>
                <w:szCs w:val="18"/>
                <w:highlight w:val="yellow"/>
              </w:rPr>
            </w:pPr>
            <w:r w:rsidRPr="009949E8">
              <w:rPr>
                <w:color w:val="000000"/>
                <w:sz w:val="18"/>
                <w:szCs w:val="18"/>
              </w:rPr>
              <w:t>1 (0 - 4)</w:t>
            </w:r>
          </w:p>
        </w:tc>
        <w:tc>
          <w:tcPr>
            <w:tcW w:w="1332" w:type="dxa"/>
            <w:tcBorders>
              <w:top w:val="single" w:sz="4" w:space="0" w:color="auto"/>
              <w:left w:val="single" w:sz="4" w:space="0" w:color="auto"/>
              <w:bottom w:val="single" w:sz="4" w:space="0" w:color="auto"/>
              <w:right w:val="single" w:sz="4" w:space="0" w:color="auto"/>
            </w:tcBorders>
            <w:noWrap/>
            <w:vAlign w:val="center"/>
          </w:tcPr>
          <w:p w14:paraId="31C3E6FD" w14:textId="77777777" w:rsidR="00AC6D9F" w:rsidRPr="009949E8" w:rsidRDefault="00AC6D9F" w:rsidP="00661152">
            <w:pPr>
              <w:spacing w:line="240" w:lineRule="auto"/>
              <w:jc w:val="center"/>
              <w:rPr>
                <w:sz w:val="18"/>
                <w:szCs w:val="18"/>
                <w:highlight w:val="yellow"/>
              </w:rPr>
            </w:pPr>
            <w:r w:rsidRPr="009949E8">
              <w:rPr>
                <w:color w:val="000000"/>
                <w:sz w:val="18"/>
                <w:szCs w:val="18"/>
              </w:rPr>
              <w:t>0.651 (0.157 - 2.277)</w:t>
            </w:r>
          </w:p>
        </w:tc>
        <w:tc>
          <w:tcPr>
            <w:tcW w:w="1332" w:type="dxa"/>
            <w:tcBorders>
              <w:top w:val="single" w:sz="4" w:space="0" w:color="auto"/>
              <w:left w:val="single" w:sz="4" w:space="0" w:color="auto"/>
              <w:bottom w:val="single" w:sz="4" w:space="0" w:color="auto"/>
              <w:right w:val="single" w:sz="4" w:space="0" w:color="auto"/>
            </w:tcBorders>
            <w:noWrap/>
            <w:vAlign w:val="center"/>
          </w:tcPr>
          <w:p w14:paraId="43813607" w14:textId="77777777" w:rsidR="00AC6D9F" w:rsidRPr="009949E8" w:rsidRDefault="00AC6D9F" w:rsidP="00661152">
            <w:pPr>
              <w:spacing w:line="240" w:lineRule="auto"/>
              <w:jc w:val="center"/>
              <w:rPr>
                <w:sz w:val="18"/>
                <w:szCs w:val="18"/>
                <w:highlight w:val="yellow"/>
              </w:rPr>
            </w:pPr>
            <w:r w:rsidRPr="009949E8">
              <w:rPr>
                <w:color w:val="000000"/>
                <w:sz w:val="18"/>
                <w:szCs w:val="18"/>
              </w:rPr>
              <w:t>0.002 (0 - 0.021)</w:t>
            </w:r>
          </w:p>
        </w:tc>
        <w:tc>
          <w:tcPr>
            <w:tcW w:w="1332" w:type="dxa"/>
            <w:tcBorders>
              <w:top w:val="single" w:sz="4" w:space="0" w:color="auto"/>
              <w:left w:val="single" w:sz="4" w:space="0" w:color="auto"/>
              <w:bottom w:val="single" w:sz="4" w:space="0" w:color="auto"/>
              <w:right w:val="single" w:sz="4" w:space="0" w:color="auto"/>
            </w:tcBorders>
            <w:noWrap/>
            <w:vAlign w:val="center"/>
          </w:tcPr>
          <w:p w14:paraId="4F027446" w14:textId="77777777" w:rsidR="00AC6D9F" w:rsidRPr="009949E8" w:rsidRDefault="00AC6D9F" w:rsidP="00661152">
            <w:pPr>
              <w:spacing w:line="240" w:lineRule="auto"/>
              <w:jc w:val="center"/>
              <w:rPr>
                <w:sz w:val="18"/>
                <w:szCs w:val="18"/>
                <w:highlight w:val="yellow"/>
              </w:rPr>
            </w:pPr>
            <w:r w:rsidRPr="009949E8">
              <w:rPr>
                <w:color w:val="000000"/>
                <w:sz w:val="18"/>
                <w:szCs w:val="18"/>
              </w:rPr>
              <w:t>5,071.4 (1,126.2 - 20,438)</w:t>
            </w:r>
          </w:p>
        </w:tc>
        <w:tc>
          <w:tcPr>
            <w:tcW w:w="1332" w:type="dxa"/>
            <w:tcBorders>
              <w:top w:val="single" w:sz="4" w:space="0" w:color="auto"/>
              <w:left w:val="single" w:sz="4" w:space="0" w:color="auto"/>
              <w:bottom w:val="single" w:sz="4" w:space="0" w:color="auto"/>
              <w:right w:val="single" w:sz="4" w:space="0" w:color="auto"/>
            </w:tcBorders>
            <w:noWrap/>
            <w:vAlign w:val="center"/>
          </w:tcPr>
          <w:p w14:paraId="2C337114" w14:textId="77777777" w:rsidR="00AC6D9F" w:rsidRPr="009949E8" w:rsidRDefault="00AC6D9F" w:rsidP="00661152">
            <w:pPr>
              <w:spacing w:line="240" w:lineRule="auto"/>
              <w:jc w:val="center"/>
              <w:rPr>
                <w:sz w:val="18"/>
                <w:szCs w:val="18"/>
                <w:highlight w:val="yellow"/>
              </w:rPr>
            </w:pPr>
            <w:r w:rsidRPr="009949E8">
              <w:rPr>
                <w:color w:val="000000"/>
                <w:sz w:val="18"/>
                <w:szCs w:val="18"/>
              </w:rPr>
              <w:t>183,105.3 (44,934 - 653,641.9)</w:t>
            </w:r>
          </w:p>
        </w:tc>
        <w:tc>
          <w:tcPr>
            <w:tcW w:w="1332" w:type="dxa"/>
            <w:tcBorders>
              <w:top w:val="single" w:sz="4" w:space="0" w:color="auto"/>
              <w:left w:val="single" w:sz="4" w:space="0" w:color="auto"/>
              <w:bottom w:val="single" w:sz="4" w:space="0" w:color="auto"/>
              <w:right w:val="single" w:sz="4" w:space="0" w:color="auto"/>
            </w:tcBorders>
            <w:noWrap/>
            <w:vAlign w:val="center"/>
          </w:tcPr>
          <w:p w14:paraId="4C85E953" w14:textId="77777777" w:rsidR="00AC6D9F" w:rsidRPr="009949E8" w:rsidRDefault="00AC6D9F" w:rsidP="00661152">
            <w:pPr>
              <w:spacing w:line="240" w:lineRule="auto"/>
              <w:jc w:val="center"/>
              <w:rPr>
                <w:sz w:val="18"/>
                <w:szCs w:val="18"/>
                <w:highlight w:val="yellow"/>
              </w:rPr>
            </w:pPr>
            <w:r w:rsidRPr="009949E8">
              <w:rPr>
                <w:color w:val="000000"/>
                <w:sz w:val="18"/>
                <w:szCs w:val="18"/>
              </w:rPr>
              <w:t>49,177.5 (5,721.7 - 7,353,949)</w:t>
            </w:r>
          </w:p>
        </w:tc>
      </w:tr>
      <w:tr w:rsidR="00AC6D9F" w:rsidRPr="00026A18" w14:paraId="0E2BE131" w14:textId="77777777" w:rsidTr="00661152">
        <w:trPr>
          <w:trHeight w:val="773"/>
        </w:trPr>
        <w:tc>
          <w:tcPr>
            <w:tcW w:w="1020" w:type="dxa"/>
            <w:vAlign w:val="center"/>
          </w:tcPr>
          <w:p w14:paraId="00D0F060"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6AA24AD8"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6F1E349B"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74D51870" w14:textId="77777777" w:rsidR="00AC6D9F" w:rsidRPr="009949E8" w:rsidRDefault="00AC6D9F" w:rsidP="00661152">
            <w:pPr>
              <w:spacing w:line="240" w:lineRule="auto"/>
              <w:jc w:val="center"/>
              <w:rPr>
                <w:sz w:val="18"/>
                <w:szCs w:val="18"/>
                <w:highlight w:val="yellow"/>
              </w:rPr>
            </w:pPr>
            <w:r w:rsidRPr="009949E8">
              <w:rPr>
                <w:color w:val="000000"/>
                <w:sz w:val="18"/>
                <w:szCs w:val="18"/>
              </w:rPr>
              <w:t>32 (11.8 - 54.5)</w:t>
            </w:r>
          </w:p>
        </w:tc>
        <w:tc>
          <w:tcPr>
            <w:tcW w:w="1050" w:type="dxa"/>
            <w:tcBorders>
              <w:top w:val="single" w:sz="4" w:space="0" w:color="auto"/>
              <w:left w:val="single" w:sz="4" w:space="0" w:color="auto"/>
              <w:bottom w:val="single" w:sz="4" w:space="0" w:color="auto"/>
              <w:right w:val="single" w:sz="4" w:space="0" w:color="auto"/>
            </w:tcBorders>
            <w:noWrap/>
            <w:vAlign w:val="center"/>
          </w:tcPr>
          <w:p w14:paraId="2E1783E3" w14:textId="77777777" w:rsidR="00AC6D9F" w:rsidRPr="009949E8" w:rsidRDefault="00AC6D9F" w:rsidP="00661152">
            <w:pPr>
              <w:spacing w:line="240" w:lineRule="auto"/>
              <w:jc w:val="center"/>
              <w:rPr>
                <w:sz w:val="18"/>
                <w:szCs w:val="18"/>
                <w:highlight w:val="yellow"/>
              </w:rPr>
            </w:pPr>
            <w:r w:rsidRPr="009949E8">
              <w:rPr>
                <w:color w:val="000000"/>
                <w:sz w:val="18"/>
                <w:szCs w:val="18"/>
              </w:rPr>
              <w:t>114 (33 - 329)</w:t>
            </w:r>
          </w:p>
        </w:tc>
        <w:tc>
          <w:tcPr>
            <w:tcW w:w="1050" w:type="dxa"/>
            <w:tcBorders>
              <w:top w:val="single" w:sz="4" w:space="0" w:color="auto"/>
              <w:left w:val="single" w:sz="4" w:space="0" w:color="auto"/>
              <w:bottom w:val="single" w:sz="4" w:space="0" w:color="auto"/>
              <w:right w:val="single" w:sz="4" w:space="0" w:color="auto"/>
            </w:tcBorders>
            <w:noWrap/>
            <w:vAlign w:val="center"/>
          </w:tcPr>
          <w:p w14:paraId="572B7767" w14:textId="77777777" w:rsidR="00AC6D9F" w:rsidRPr="009949E8" w:rsidRDefault="00AC6D9F" w:rsidP="00661152">
            <w:pPr>
              <w:spacing w:line="240" w:lineRule="auto"/>
              <w:jc w:val="center"/>
              <w:rPr>
                <w:sz w:val="18"/>
                <w:szCs w:val="18"/>
                <w:highlight w:val="yellow"/>
              </w:rPr>
            </w:pPr>
            <w:r w:rsidRPr="009949E8">
              <w:rPr>
                <w:color w:val="000000"/>
                <w:sz w:val="18"/>
                <w:szCs w:val="18"/>
              </w:rPr>
              <w:t>1 (0 - 4)</w:t>
            </w:r>
          </w:p>
        </w:tc>
        <w:tc>
          <w:tcPr>
            <w:tcW w:w="1332" w:type="dxa"/>
            <w:tcBorders>
              <w:top w:val="single" w:sz="4" w:space="0" w:color="auto"/>
              <w:left w:val="single" w:sz="4" w:space="0" w:color="auto"/>
              <w:bottom w:val="single" w:sz="4" w:space="0" w:color="auto"/>
              <w:right w:val="single" w:sz="4" w:space="0" w:color="auto"/>
            </w:tcBorders>
            <w:noWrap/>
            <w:vAlign w:val="center"/>
          </w:tcPr>
          <w:p w14:paraId="39907F63" w14:textId="77777777" w:rsidR="00AC6D9F" w:rsidRPr="009949E8" w:rsidRDefault="00AC6D9F" w:rsidP="00661152">
            <w:pPr>
              <w:spacing w:line="240" w:lineRule="auto"/>
              <w:jc w:val="center"/>
              <w:rPr>
                <w:sz w:val="18"/>
                <w:szCs w:val="18"/>
                <w:highlight w:val="yellow"/>
              </w:rPr>
            </w:pPr>
            <w:r w:rsidRPr="009949E8">
              <w:rPr>
                <w:color w:val="000000"/>
                <w:sz w:val="18"/>
                <w:szCs w:val="18"/>
              </w:rPr>
              <w:t>0.584 (0.125 - 2.178)</w:t>
            </w:r>
          </w:p>
        </w:tc>
        <w:tc>
          <w:tcPr>
            <w:tcW w:w="1332" w:type="dxa"/>
            <w:tcBorders>
              <w:top w:val="single" w:sz="4" w:space="0" w:color="auto"/>
              <w:left w:val="single" w:sz="4" w:space="0" w:color="auto"/>
              <w:bottom w:val="single" w:sz="4" w:space="0" w:color="auto"/>
              <w:right w:val="single" w:sz="4" w:space="0" w:color="auto"/>
            </w:tcBorders>
            <w:noWrap/>
            <w:vAlign w:val="center"/>
          </w:tcPr>
          <w:p w14:paraId="7773D20D" w14:textId="77777777" w:rsidR="00AC6D9F" w:rsidRPr="009949E8" w:rsidRDefault="00AC6D9F" w:rsidP="00661152">
            <w:pPr>
              <w:spacing w:line="240" w:lineRule="auto"/>
              <w:jc w:val="center"/>
              <w:rPr>
                <w:sz w:val="18"/>
                <w:szCs w:val="18"/>
                <w:highlight w:val="yellow"/>
              </w:rPr>
            </w:pPr>
            <w:r w:rsidRPr="009949E8">
              <w:rPr>
                <w:color w:val="000000"/>
                <w:sz w:val="18"/>
                <w:szCs w:val="18"/>
              </w:rPr>
              <w:t>0.001 (0 - 0.02)</w:t>
            </w:r>
          </w:p>
        </w:tc>
        <w:tc>
          <w:tcPr>
            <w:tcW w:w="1332" w:type="dxa"/>
            <w:tcBorders>
              <w:top w:val="single" w:sz="4" w:space="0" w:color="auto"/>
              <w:left w:val="single" w:sz="4" w:space="0" w:color="auto"/>
              <w:bottom w:val="single" w:sz="4" w:space="0" w:color="auto"/>
              <w:right w:val="single" w:sz="4" w:space="0" w:color="auto"/>
            </w:tcBorders>
            <w:noWrap/>
            <w:vAlign w:val="center"/>
          </w:tcPr>
          <w:p w14:paraId="314E3BCD" w14:textId="77777777" w:rsidR="00AC6D9F" w:rsidRPr="009949E8" w:rsidRDefault="00AC6D9F" w:rsidP="00661152">
            <w:pPr>
              <w:spacing w:line="240" w:lineRule="auto"/>
              <w:jc w:val="center"/>
              <w:rPr>
                <w:sz w:val="18"/>
                <w:szCs w:val="18"/>
                <w:highlight w:val="yellow"/>
              </w:rPr>
            </w:pPr>
            <w:r w:rsidRPr="009949E8">
              <w:rPr>
                <w:color w:val="000000"/>
                <w:sz w:val="18"/>
                <w:szCs w:val="18"/>
              </w:rPr>
              <w:t>5,545.4 (1,190.1 - 24,210.3)</w:t>
            </w:r>
          </w:p>
        </w:tc>
        <w:tc>
          <w:tcPr>
            <w:tcW w:w="1332" w:type="dxa"/>
            <w:tcBorders>
              <w:top w:val="single" w:sz="4" w:space="0" w:color="auto"/>
              <w:left w:val="single" w:sz="4" w:space="0" w:color="auto"/>
              <w:bottom w:val="single" w:sz="4" w:space="0" w:color="auto"/>
              <w:right w:val="single" w:sz="4" w:space="0" w:color="auto"/>
            </w:tcBorders>
            <w:noWrap/>
            <w:vAlign w:val="center"/>
          </w:tcPr>
          <w:p w14:paraId="215903B6" w14:textId="77777777" w:rsidR="00AC6D9F" w:rsidRPr="009949E8" w:rsidRDefault="00AC6D9F" w:rsidP="00661152">
            <w:pPr>
              <w:spacing w:line="240" w:lineRule="auto"/>
              <w:jc w:val="center"/>
              <w:rPr>
                <w:sz w:val="18"/>
                <w:szCs w:val="18"/>
                <w:highlight w:val="yellow"/>
              </w:rPr>
            </w:pPr>
            <w:r w:rsidRPr="009949E8">
              <w:rPr>
                <w:color w:val="000000"/>
                <w:sz w:val="18"/>
                <w:szCs w:val="18"/>
              </w:rPr>
              <w:t>180,256.1 (46,870.6 - 680,208.6)</w:t>
            </w:r>
          </w:p>
        </w:tc>
        <w:tc>
          <w:tcPr>
            <w:tcW w:w="1332" w:type="dxa"/>
            <w:tcBorders>
              <w:top w:val="single" w:sz="4" w:space="0" w:color="auto"/>
              <w:left w:val="single" w:sz="4" w:space="0" w:color="auto"/>
              <w:bottom w:val="single" w:sz="4" w:space="0" w:color="auto"/>
              <w:right w:val="single" w:sz="4" w:space="0" w:color="auto"/>
            </w:tcBorders>
            <w:noWrap/>
            <w:vAlign w:val="center"/>
          </w:tcPr>
          <w:p w14:paraId="6EF02798" w14:textId="77777777" w:rsidR="00AC6D9F" w:rsidRPr="009949E8" w:rsidRDefault="00AC6D9F" w:rsidP="00661152">
            <w:pPr>
              <w:spacing w:line="240" w:lineRule="auto"/>
              <w:jc w:val="center"/>
              <w:rPr>
                <w:sz w:val="18"/>
                <w:szCs w:val="18"/>
                <w:highlight w:val="yellow"/>
              </w:rPr>
            </w:pPr>
            <w:r w:rsidRPr="009949E8">
              <w:rPr>
                <w:color w:val="000000"/>
                <w:sz w:val="18"/>
                <w:szCs w:val="18"/>
              </w:rPr>
              <w:t>72,055.6 (6,171 - 10,363,554)</w:t>
            </w:r>
          </w:p>
        </w:tc>
      </w:tr>
      <w:tr w:rsidR="00AC6D9F" w:rsidRPr="00026A18" w14:paraId="6272D9E2" w14:textId="77777777" w:rsidTr="00661152">
        <w:trPr>
          <w:trHeight w:val="773"/>
        </w:trPr>
        <w:tc>
          <w:tcPr>
            <w:tcW w:w="1020" w:type="dxa"/>
            <w:vAlign w:val="center"/>
          </w:tcPr>
          <w:p w14:paraId="446AC8BA"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4FA35CB0"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4927B2F7"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13097E35" w14:textId="77777777" w:rsidR="00AC6D9F" w:rsidRPr="009949E8" w:rsidRDefault="00AC6D9F" w:rsidP="00661152">
            <w:pPr>
              <w:spacing w:line="240" w:lineRule="auto"/>
              <w:jc w:val="center"/>
              <w:rPr>
                <w:sz w:val="18"/>
                <w:szCs w:val="18"/>
                <w:highlight w:val="yellow"/>
              </w:rPr>
            </w:pPr>
            <w:r w:rsidRPr="009949E8">
              <w:rPr>
                <w:color w:val="000000"/>
                <w:sz w:val="18"/>
                <w:szCs w:val="18"/>
              </w:rPr>
              <w:t>21.6 (5.6 - 45.2)</w:t>
            </w:r>
          </w:p>
        </w:tc>
        <w:tc>
          <w:tcPr>
            <w:tcW w:w="1050" w:type="dxa"/>
            <w:tcBorders>
              <w:top w:val="single" w:sz="4" w:space="0" w:color="auto"/>
              <w:left w:val="single" w:sz="4" w:space="0" w:color="auto"/>
              <w:bottom w:val="single" w:sz="4" w:space="0" w:color="auto"/>
              <w:right w:val="single" w:sz="4" w:space="0" w:color="auto"/>
            </w:tcBorders>
            <w:noWrap/>
            <w:vAlign w:val="center"/>
          </w:tcPr>
          <w:p w14:paraId="6E3B6DE0" w14:textId="77777777" w:rsidR="00AC6D9F" w:rsidRPr="009949E8" w:rsidRDefault="00AC6D9F" w:rsidP="00661152">
            <w:pPr>
              <w:spacing w:line="240" w:lineRule="auto"/>
              <w:jc w:val="center"/>
              <w:rPr>
                <w:sz w:val="18"/>
                <w:szCs w:val="18"/>
                <w:highlight w:val="yellow"/>
              </w:rPr>
            </w:pPr>
            <w:r w:rsidRPr="009949E8">
              <w:rPr>
                <w:color w:val="000000"/>
                <w:sz w:val="18"/>
                <w:szCs w:val="18"/>
              </w:rPr>
              <w:t>79 (16 - 281)</w:t>
            </w:r>
          </w:p>
        </w:tc>
        <w:tc>
          <w:tcPr>
            <w:tcW w:w="1050" w:type="dxa"/>
            <w:tcBorders>
              <w:top w:val="single" w:sz="4" w:space="0" w:color="auto"/>
              <w:left w:val="single" w:sz="4" w:space="0" w:color="auto"/>
              <w:bottom w:val="single" w:sz="4" w:space="0" w:color="auto"/>
              <w:right w:val="single" w:sz="4" w:space="0" w:color="auto"/>
            </w:tcBorders>
            <w:noWrap/>
            <w:vAlign w:val="center"/>
          </w:tcPr>
          <w:p w14:paraId="78F3142C"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2059C81C" w14:textId="77777777" w:rsidR="00AC6D9F" w:rsidRPr="009949E8" w:rsidRDefault="00AC6D9F" w:rsidP="00661152">
            <w:pPr>
              <w:spacing w:line="240" w:lineRule="auto"/>
              <w:jc w:val="center"/>
              <w:rPr>
                <w:sz w:val="18"/>
                <w:szCs w:val="18"/>
                <w:highlight w:val="yellow"/>
              </w:rPr>
            </w:pPr>
            <w:r w:rsidRPr="009949E8">
              <w:rPr>
                <w:color w:val="000000"/>
                <w:sz w:val="18"/>
                <w:szCs w:val="18"/>
              </w:rPr>
              <w:t>0.398 (0.064 - 1.704)</w:t>
            </w:r>
          </w:p>
        </w:tc>
        <w:tc>
          <w:tcPr>
            <w:tcW w:w="1332" w:type="dxa"/>
            <w:tcBorders>
              <w:top w:val="single" w:sz="4" w:space="0" w:color="auto"/>
              <w:left w:val="single" w:sz="4" w:space="0" w:color="auto"/>
              <w:bottom w:val="single" w:sz="4" w:space="0" w:color="auto"/>
              <w:right w:val="single" w:sz="4" w:space="0" w:color="auto"/>
            </w:tcBorders>
            <w:noWrap/>
            <w:vAlign w:val="center"/>
          </w:tcPr>
          <w:p w14:paraId="2F5E91D8"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(0 - 0.015)</w:t>
            </w:r>
          </w:p>
        </w:tc>
        <w:tc>
          <w:tcPr>
            <w:tcW w:w="1332" w:type="dxa"/>
            <w:tcBorders>
              <w:top w:val="single" w:sz="4" w:space="0" w:color="auto"/>
              <w:left w:val="single" w:sz="4" w:space="0" w:color="auto"/>
              <w:bottom w:val="single" w:sz="4" w:space="0" w:color="auto"/>
              <w:right w:val="single" w:sz="4" w:space="0" w:color="auto"/>
            </w:tcBorders>
            <w:noWrap/>
            <w:vAlign w:val="center"/>
          </w:tcPr>
          <w:p w14:paraId="5A0DE3BC" w14:textId="77777777" w:rsidR="00AC6D9F" w:rsidRPr="009949E8" w:rsidRDefault="00AC6D9F" w:rsidP="00661152">
            <w:pPr>
              <w:spacing w:line="240" w:lineRule="auto"/>
              <w:jc w:val="center"/>
              <w:rPr>
                <w:sz w:val="18"/>
                <w:szCs w:val="18"/>
                <w:highlight w:val="yellow"/>
              </w:rPr>
            </w:pPr>
            <w:r w:rsidRPr="009949E8">
              <w:rPr>
                <w:color w:val="000000"/>
                <w:sz w:val="18"/>
                <w:szCs w:val="18"/>
              </w:rPr>
              <w:t>7,176.9 (1,442.2 - 34,418.1)</w:t>
            </w:r>
          </w:p>
        </w:tc>
        <w:tc>
          <w:tcPr>
            <w:tcW w:w="1332" w:type="dxa"/>
            <w:tcBorders>
              <w:top w:val="single" w:sz="4" w:space="0" w:color="auto"/>
              <w:left w:val="single" w:sz="4" w:space="0" w:color="auto"/>
              <w:bottom w:val="single" w:sz="4" w:space="0" w:color="auto"/>
              <w:right w:val="single" w:sz="4" w:space="0" w:color="auto"/>
            </w:tcBorders>
            <w:noWrap/>
            <w:vAlign w:val="center"/>
          </w:tcPr>
          <w:p w14:paraId="61E67C16" w14:textId="77777777" w:rsidR="00AC6D9F" w:rsidRPr="009949E8" w:rsidRDefault="00AC6D9F" w:rsidP="00661152">
            <w:pPr>
              <w:spacing w:line="240" w:lineRule="auto"/>
              <w:jc w:val="center"/>
              <w:rPr>
                <w:sz w:val="18"/>
                <w:szCs w:val="18"/>
                <w:highlight w:val="yellow"/>
              </w:rPr>
            </w:pPr>
            <w:r w:rsidRPr="009949E8">
              <w:rPr>
                <w:color w:val="000000"/>
                <w:sz w:val="18"/>
                <w:szCs w:val="18"/>
              </w:rPr>
              <w:t>197,544.7 (52,449.3 - 668,963.1)</w:t>
            </w:r>
          </w:p>
        </w:tc>
        <w:tc>
          <w:tcPr>
            <w:tcW w:w="1332" w:type="dxa"/>
            <w:tcBorders>
              <w:top w:val="single" w:sz="4" w:space="0" w:color="auto"/>
              <w:left w:val="single" w:sz="4" w:space="0" w:color="auto"/>
              <w:bottom w:val="single" w:sz="4" w:space="0" w:color="auto"/>
              <w:right w:val="single" w:sz="4" w:space="0" w:color="auto"/>
            </w:tcBorders>
            <w:noWrap/>
            <w:vAlign w:val="center"/>
          </w:tcPr>
          <w:p w14:paraId="62333B32" w14:textId="77777777" w:rsidR="00AC6D9F" w:rsidRPr="009949E8" w:rsidRDefault="00AC6D9F" w:rsidP="00661152">
            <w:pPr>
              <w:spacing w:line="240" w:lineRule="auto"/>
              <w:jc w:val="center"/>
              <w:rPr>
                <w:sz w:val="18"/>
                <w:szCs w:val="18"/>
                <w:highlight w:val="yellow"/>
              </w:rPr>
            </w:pPr>
            <w:r w:rsidRPr="009949E8">
              <w:rPr>
                <w:color w:val="000000"/>
                <w:sz w:val="18"/>
                <w:szCs w:val="18"/>
              </w:rPr>
              <w:t>218,156.6 (7,937.2 - 18,950,132)</w:t>
            </w:r>
          </w:p>
        </w:tc>
      </w:tr>
      <w:tr w:rsidR="00AC6D9F" w:rsidRPr="00026A18" w14:paraId="2479F62F" w14:textId="77777777" w:rsidTr="00661152">
        <w:trPr>
          <w:trHeight w:val="638"/>
        </w:trPr>
        <w:tc>
          <w:tcPr>
            <w:tcW w:w="1020" w:type="dxa"/>
            <w:vAlign w:val="center"/>
          </w:tcPr>
          <w:p w14:paraId="6B1DA271"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6AEDC61B"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3ED5D9CB"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2D110E73" w14:textId="77777777" w:rsidR="00AC6D9F" w:rsidRPr="009949E8" w:rsidRDefault="00AC6D9F" w:rsidP="00661152">
            <w:pPr>
              <w:spacing w:line="240" w:lineRule="auto"/>
              <w:jc w:val="center"/>
              <w:rPr>
                <w:sz w:val="18"/>
                <w:szCs w:val="18"/>
                <w:highlight w:val="yellow"/>
              </w:rPr>
            </w:pPr>
            <w:r w:rsidRPr="009949E8">
              <w:rPr>
                <w:color w:val="000000"/>
                <w:sz w:val="18"/>
                <w:szCs w:val="18"/>
              </w:rPr>
              <w:t>14.3 (2.3 - 36.5)</w:t>
            </w:r>
          </w:p>
        </w:tc>
        <w:tc>
          <w:tcPr>
            <w:tcW w:w="1050" w:type="dxa"/>
            <w:tcBorders>
              <w:top w:val="single" w:sz="4" w:space="0" w:color="auto"/>
              <w:left w:val="single" w:sz="4" w:space="0" w:color="auto"/>
              <w:bottom w:val="single" w:sz="4" w:space="0" w:color="auto"/>
              <w:right w:val="single" w:sz="4" w:space="0" w:color="auto"/>
            </w:tcBorders>
            <w:noWrap/>
            <w:vAlign w:val="center"/>
          </w:tcPr>
          <w:p w14:paraId="0264131E" w14:textId="77777777" w:rsidR="00AC6D9F" w:rsidRPr="009949E8" w:rsidRDefault="00AC6D9F" w:rsidP="00661152">
            <w:pPr>
              <w:spacing w:line="240" w:lineRule="auto"/>
              <w:jc w:val="center"/>
              <w:rPr>
                <w:sz w:val="18"/>
                <w:szCs w:val="18"/>
                <w:highlight w:val="yellow"/>
              </w:rPr>
            </w:pPr>
            <w:bookmarkStart w:id="30" w:name="_Hlk207111585"/>
            <w:r w:rsidRPr="009949E8">
              <w:rPr>
                <w:color w:val="000000"/>
                <w:sz w:val="18"/>
                <w:szCs w:val="18"/>
              </w:rPr>
              <w:t>57 (6 - 252)</w:t>
            </w:r>
            <w:bookmarkEnd w:id="30"/>
          </w:p>
        </w:tc>
        <w:tc>
          <w:tcPr>
            <w:tcW w:w="1050" w:type="dxa"/>
            <w:tcBorders>
              <w:top w:val="single" w:sz="4" w:space="0" w:color="auto"/>
              <w:left w:val="single" w:sz="4" w:space="0" w:color="auto"/>
              <w:bottom w:val="single" w:sz="4" w:space="0" w:color="auto"/>
              <w:right w:val="single" w:sz="4" w:space="0" w:color="auto"/>
            </w:tcBorders>
            <w:noWrap/>
            <w:vAlign w:val="center"/>
          </w:tcPr>
          <w:p w14:paraId="543E285C"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6F9F2FAE" w14:textId="77777777" w:rsidR="00AC6D9F" w:rsidRPr="009949E8" w:rsidRDefault="00AC6D9F" w:rsidP="00661152">
            <w:pPr>
              <w:spacing w:line="240" w:lineRule="auto"/>
              <w:jc w:val="center"/>
              <w:rPr>
                <w:sz w:val="18"/>
                <w:szCs w:val="18"/>
                <w:highlight w:val="yellow"/>
              </w:rPr>
            </w:pPr>
            <w:r w:rsidRPr="009949E8">
              <w:rPr>
                <w:color w:val="000000"/>
                <w:sz w:val="18"/>
                <w:szCs w:val="18"/>
              </w:rPr>
              <w:t>0.264 (0.026 - 1.452)</w:t>
            </w:r>
          </w:p>
        </w:tc>
        <w:tc>
          <w:tcPr>
            <w:tcW w:w="1332" w:type="dxa"/>
            <w:tcBorders>
              <w:top w:val="single" w:sz="4" w:space="0" w:color="auto"/>
              <w:left w:val="single" w:sz="4" w:space="0" w:color="auto"/>
              <w:bottom w:val="single" w:sz="4" w:space="0" w:color="auto"/>
              <w:right w:val="single" w:sz="4" w:space="0" w:color="auto"/>
            </w:tcBorders>
            <w:noWrap/>
            <w:vAlign w:val="center"/>
          </w:tcPr>
          <w:p w14:paraId="48F52A62"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(0 - 0.01)</w:t>
            </w:r>
          </w:p>
        </w:tc>
        <w:tc>
          <w:tcPr>
            <w:tcW w:w="1332" w:type="dxa"/>
            <w:tcBorders>
              <w:top w:val="single" w:sz="4" w:space="0" w:color="auto"/>
              <w:left w:val="single" w:sz="4" w:space="0" w:color="auto"/>
              <w:bottom w:val="single" w:sz="4" w:space="0" w:color="auto"/>
              <w:right w:val="single" w:sz="4" w:space="0" w:color="auto"/>
            </w:tcBorders>
            <w:noWrap/>
            <w:vAlign w:val="center"/>
          </w:tcPr>
          <w:p w14:paraId="0067DB54" w14:textId="77777777" w:rsidR="00AC6D9F" w:rsidRPr="009949E8" w:rsidRDefault="00AC6D9F" w:rsidP="00661152">
            <w:pPr>
              <w:spacing w:line="240" w:lineRule="auto"/>
              <w:jc w:val="center"/>
              <w:rPr>
                <w:sz w:val="18"/>
                <w:szCs w:val="18"/>
                <w:highlight w:val="yellow"/>
              </w:rPr>
            </w:pPr>
            <w:r w:rsidRPr="009949E8">
              <w:rPr>
                <w:color w:val="000000"/>
                <w:sz w:val="18"/>
                <w:szCs w:val="18"/>
              </w:rPr>
              <w:t>7,880.6 (1,594.9 - 41,302.5)</w:t>
            </w:r>
          </w:p>
        </w:tc>
        <w:tc>
          <w:tcPr>
            <w:tcW w:w="1332" w:type="dxa"/>
            <w:tcBorders>
              <w:top w:val="single" w:sz="4" w:space="0" w:color="auto"/>
              <w:left w:val="single" w:sz="4" w:space="0" w:color="auto"/>
              <w:bottom w:val="single" w:sz="4" w:space="0" w:color="auto"/>
              <w:right w:val="single" w:sz="4" w:space="0" w:color="auto"/>
            </w:tcBorders>
            <w:noWrap/>
            <w:vAlign w:val="center"/>
          </w:tcPr>
          <w:p w14:paraId="2B55E44F" w14:textId="77777777" w:rsidR="00AC6D9F" w:rsidRPr="009949E8" w:rsidRDefault="00AC6D9F" w:rsidP="00661152">
            <w:pPr>
              <w:spacing w:line="240" w:lineRule="auto"/>
              <w:jc w:val="center"/>
              <w:rPr>
                <w:sz w:val="18"/>
                <w:szCs w:val="18"/>
                <w:highlight w:val="yellow"/>
              </w:rPr>
            </w:pPr>
            <w:r w:rsidRPr="009949E8">
              <w:rPr>
                <w:color w:val="000000"/>
                <w:sz w:val="18"/>
                <w:szCs w:val="18"/>
              </w:rPr>
              <w:t>217,940.3 (52,643.4 - 738,154.6)</w:t>
            </w:r>
          </w:p>
        </w:tc>
        <w:tc>
          <w:tcPr>
            <w:tcW w:w="1332" w:type="dxa"/>
            <w:tcBorders>
              <w:top w:val="single" w:sz="4" w:space="0" w:color="auto"/>
              <w:left w:val="single" w:sz="4" w:space="0" w:color="auto"/>
              <w:bottom w:val="single" w:sz="4" w:space="0" w:color="auto"/>
              <w:right w:val="single" w:sz="4" w:space="0" w:color="auto"/>
            </w:tcBorders>
            <w:noWrap/>
            <w:vAlign w:val="center"/>
          </w:tcPr>
          <w:p w14:paraId="1924666C" w14:textId="77777777" w:rsidR="00AC6D9F" w:rsidRPr="009949E8" w:rsidRDefault="00AC6D9F" w:rsidP="00661152">
            <w:pPr>
              <w:spacing w:line="240" w:lineRule="auto"/>
              <w:jc w:val="center"/>
              <w:rPr>
                <w:sz w:val="18"/>
                <w:szCs w:val="18"/>
                <w:highlight w:val="yellow"/>
              </w:rPr>
            </w:pPr>
            <w:r w:rsidRPr="009949E8">
              <w:rPr>
                <w:color w:val="000000"/>
                <w:sz w:val="18"/>
                <w:szCs w:val="18"/>
              </w:rPr>
              <w:t>440,970.3 (9,367.4 - 24,893,426)</w:t>
            </w:r>
          </w:p>
        </w:tc>
      </w:tr>
      <w:tr w:rsidR="00AC6D9F" w:rsidRPr="00026A18" w14:paraId="5300FA8B" w14:textId="77777777" w:rsidTr="00661152">
        <w:trPr>
          <w:trHeight w:val="638"/>
        </w:trPr>
        <w:tc>
          <w:tcPr>
            <w:tcW w:w="1020" w:type="dxa"/>
            <w:vAlign w:val="center"/>
          </w:tcPr>
          <w:p w14:paraId="75E61E58" w14:textId="77777777" w:rsidR="00AC6D9F" w:rsidRPr="009949E8" w:rsidRDefault="00AC6D9F" w:rsidP="00661152">
            <w:pPr>
              <w:spacing w:line="240" w:lineRule="auto"/>
              <w:jc w:val="center"/>
              <w:rPr>
                <w:color w:val="000000"/>
                <w:sz w:val="18"/>
                <w:szCs w:val="18"/>
              </w:rPr>
            </w:pPr>
            <w:r w:rsidRPr="009949E8">
              <w:rPr>
                <w:color w:val="000000"/>
                <w:sz w:val="18"/>
                <w:szCs w:val="18"/>
              </w:rPr>
              <w:lastRenderedPageBreak/>
              <w:t>9</w:t>
            </w:r>
          </w:p>
        </w:tc>
        <w:tc>
          <w:tcPr>
            <w:tcW w:w="1020" w:type="dxa"/>
            <w:vAlign w:val="center"/>
          </w:tcPr>
          <w:p w14:paraId="18271BCB"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2F61FE1C"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5D5E36F6" w14:textId="77777777" w:rsidR="00AC6D9F" w:rsidRPr="009949E8" w:rsidRDefault="00AC6D9F" w:rsidP="00661152">
            <w:pPr>
              <w:spacing w:line="240" w:lineRule="auto"/>
              <w:jc w:val="center"/>
              <w:rPr>
                <w:color w:val="000000"/>
                <w:sz w:val="18"/>
                <w:szCs w:val="18"/>
              </w:rPr>
            </w:pPr>
            <w:r w:rsidRPr="009949E8">
              <w:rPr>
                <w:color w:val="000000"/>
                <w:sz w:val="18"/>
                <w:szCs w:val="18"/>
              </w:rPr>
              <w:t>19.8 (5.5 - 42.9)</w:t>
            </w:r>
          </w:p>
        </w:tc>
        <w:tc>
          <w:tcPr>
            <w:tcW w:w="1050" w:type="dxa"/>
            <w:tcBorders>
              <w:top w:val="single" w:sz="4" w:space="0" w:color="auto"/>
              <w:left w:val="single" w:sz="4" w:space="0" w:color="auto"/>
              <w:bottom w:val="single" w:sz="4" w:space="0" w:color="auto"/>
              <w:right w:val="single" w:sz="4" w:space="0" w:color="auto"/>
            </w:tcBorders>
            <w:noWrap/>
            <w:vAlign w:val="center"/>
          </w:tcPr>
          <w:p w14:paraId="026F5D74" w14:textId="77777777" w:rsidR="00AC6D9F" w:rsidRPr="009949E8" w:rsidRDefault="00AC6D9F" w:rsidP="00661152">
            <w:pPr>
              <w:spacing w:line="240" w:lineRule="auto"/>
              <w:jc w:val="center"/>
              <w:rPr>
                <w:color w:val="000000"/>
                <w:sz w:val="18"/>
                <w:szCs w:val="18"/>
              </w:rPr>
            </w:pPr>
            <w:r w:rsidRPr="009949E8">
              <w:rPr>
                <w:color w:val="000000"/>
                <w:sz w:val="18"/>
                <w:szCs w:val="18"/>
              </w:rPr>
              <w:t>90 (23 - 274)</w:t>
            </w:r>
          </w:p>
        </w:tc>
        <w:tc>
          <w:tcPr>
            <w:tcW w:w="1050" w:type="dxa"/>
            <w:tcBorders>
              <w:top w:val="single" w:sz="4" w:space="0" w:color="auto"/>
              <w:left w:val="single" w:sz="4" w:space="0" w:color="auto"/>
              <w:bottom w:val="single" w:sz="4" w:space="0" w:color="auto"/>
              <w:right w:val="single" w:sz="4" w:space="0" w:color="auto"/>
            </w:tcBorders>
            <w:noWrap/>
            <w:vAlign w:val="center"/>
          </w:tcPr>
          <w:p w14:paraId="0560D5B4"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6EF31476" w14:textId="77777777" w:rsidR="00AC6D9F" w:rsidRPr="009949E8" w:rsidRDefault="00AC6D9F" w:rsidP="00661152">
            <w:pPr>
              <w:spacing w:line="240" w:lineRule="auto"/>
              <w:jc w:val="center"/>
              <w:rPr>
                <w:color w:val="000000"/>
                <w:sz w:val="18"/>
                <w:szCs w:val="18"/>
              </w:rPr>
            </w:pPr>
            <w:r w:rsidRPr="009949E8">
              <w:rPr>
                <w:color w:val="000000"/>
                <w:sz w:val="18"/>
                <w:szCs w:val="18"/>
              </w:rPr>
              <w:t>0.443 (0.09 - 1.781)</w:t>
            </w:r>
          </w:p>
        </w:tc>
        <w:tc>
          <w:tcPr>
            <w:tcW w:w="1332" w:type="dxa"/>
            <w:tcBorders>
              <w:top w:val="single" w:sz="4" w:space="0" w:color="auto"/>
              <w:left w:val="single" w:sz="4" w:space="0" w:color="auto"/>
              <w:bottom w:val="single" w:sz="4" w:space="0" w:color="auto"/>
              <w:right w:val="single" w:sz="4" w:space="0" w:color="auto"/>
            </w:tcBorders>
            <w:noWrap/>
            <w:vAlign w:val="center"/>
          </w:tcPr>
          <w:p w14:paraId="7E64DAEE" w14:textId="77777777" w:rsidR="00AC6D9F" w:rsidRPr="009949E8" w:rsidRDefault="00AC6D9F" w:rsidP="00661152">
            <w:pPr>
              <w:spacing w:line="240" w:lineRule="auto"/>
              <w:jc w:val="center"/>
              <w:rPr>
                <w:color w:val="000000"/>
                <w:sz w:val="18"/>
                <w:szCs w:val="18"/>
              </w:rPr>
            </w:pPr>
            <w:r w:rsidRPr="009949E8">
              <w:rPr>
                <w:color w:val="000000"/>
                <w:sz w:val="18"/>
                <w:szCs w:val="18"/>
              </w:rPr>
              <w:t>0 (0 - 0.016)</w:t>
            </w:r>
          </w:p>
        </w:tc>
        <w:tc>
          <w:tcPr>
            <w:tcW w:w="1332" w:type="dxa"/>
            <w:tcBorders>
              <w:top w:val="single" w:sz="4" w:space="0" w:color="auto"/>
              <w:left w:val="single" w:sz="4" w:space="0" w:color="auto"/>
              <w:bottom w:val="single" w:sz="4" w:space="0" w:color="auto"/>
              <w:right w:val="single" w:sz="4" w:space="0" w:color="auto"/>
            </w:tcBorders>
            <w:noWrap/>
            <w:vAlign w:val="center"/>
          </w:tcPr>
          <w:p w14:paraId="7E2FD8EA" w14:textId="77777777" w:rsidR="00AC6D9F" w:rsidRPr="009949E8" w:rsidRDefault="00AC6D9F" w:rsidP="00661152">
            <w:pPr>
              <w:spacing w:line="240" w:lineRule="auto"/>
              <w:jc w:val="center"/>
              <w:rPr>
                <w:color w:val="000000"/>
                <w:sz w:val="18"/>
                <w:szCs w:val="18"/>
              </w:rPr>
            </w:pPr>
            <w:r w:rsidRPr="009949E8">
              <w:rPr>
                <w:color w:val="000000"/>
                <w:sz w:val="18"/>
                <w:szCs w:val="18"/>
              </w:rPr>
              <w:t>6,587.6 (1,494.4 - 30,714.7)</w:t>
            </w:r>
          </w:p>
        </w:tc>
        <w:tc>
          <w:tcPr>
            <w:tcW w:w="1332" w:type="dxa"/>
            <w:tcBorders>
              <w:top w:val="single" w:sz="4" w:space="0" w:color="auto"/>
              <w:left w:val="single" w:sz="4" w:space="0" w:color="auto"/>
              <w:bottom w:val="single" w:sz="4" w:space="0" w:color="auto"/>
              <w:right w:val="single" w:sz="4" w:space="0" w:color="auto"/>
            </w:tcBorders>
            <w:noWrap/>
            <w:vAlign w:val="center"/>
          </w:tcPr>
          <w:p w14:paraId="0CA17DF9" w14:textId="77777777" w:rsidR="00AC6D9F" w:rsidRPr="009949E8" w:rsidRDefault="00AC6D9F" w:rsidP="00661152">
            <w:pPr>
              <w:spacing w:line="240" w:lineRule="auto"/>
              <w:jc w:val="center"/>
              <w:rPr>
                <w:color w:val="000000"/>
                <w:sz w:val="18"/>
                <w:szCs w:val="18"/>
              </w:rPr>
            </w:pPr>
            <w:r w:rsidRPr="009949E8">
              <w:rPr>
                <w:color w:val="000000"/>
                <w:sz w:val="18"/>
                <w:szCs w:val="18"/>
              </w:rPr>
              <w:t>213,598.8 (58,084.2 - 658,595.3)</w:t>
            </w:r>
          </w:p>
        </w:tc>
        <w:tc>
          <w:tcPr>
            <w:tcW w:w="1332" w:type="dxa"/>
            <w:tcBorders>
              <w:top w:val="single" w:sz="4" w:space="0" w:color="auto"/>
              <w:left w:val="single" w:sz="4" w:space="0" w:color="auto"/>
              <w:bottom w:val="single" w:sz="4" w:space="0" w:color="auto"/>
              <w:right w:val="single" w:sz="4" w:space="0" w:color="auto"/>
            </w:tcBorders>
            <w:noWrap/>
            <w:vAlign w:val="center"/>
          </w:tcPr>
          <w:p w14:paraId="2A6A81C4" w14:textId="77777777" w:rsidR="00AC6D9F" w:rsidRPr="009949E8" w:rsidRDefault="00AC6D9F" w:rsidP="00661152">
            <w:pPr>
              <w:spacing w:line="240" w:lineRule="auto"/>
              <w:jc w:val="center"/>
              <w:rPr>
                <w:color w:val="000000"/>
                <w:sz w:val="18"/>
                <w:szCs w:val="18"/>
              </w:rPr>
            </w:pPr>
            <w:r w:rsidRPr="009949E8">
              <w:rPr>
                <w:color w:val="000000"/>
                <w:sz w:val="18"/>
                <w:szCs w:val="18"/>
              </w:rPr>
              <w:t>108,150 (7,846.3 - 15,770,545)</w:t>
            </w:r>
          </w:p>
        </w:tc>
      </w:tr>
      <w:tr w:rsidR="00AC6D9F" w:rsidRPr="00026A18" w14:paraId="10A41345" w14:textId="77777777" w:rsidTr="00661152">
        <w:trPr>
          <w:trHeight w:val="638"/>
        </w:trPr>
        <w:tc>
          <w:tcPr>
            <w:tcW w:w="1020" w:type="dxa"/>
            <w:vAlign w:val="center"/>
          </w:tcPr>
          <w:p w14:paraId="67988521" w14:textId="77777777" w:rsidR="00AC6D9F" w:rsidRPr="009949E8" w:rsidRDefault="00AC6D9F" w:rsidP="00661152">
            <w:pPr>
              <w:spacing w:line="240" w:lineRule="auto"/>
              <w:jc w:val="center"/>
              <w:rPr>
                <w:color w:val="000000"/>
                <w:sz w:val="18"/>
                <w:szCs w:val="18"/>
              </w:rPr>
            </w:pPr>
            <w:r w:rsidRPr="009949E8">
              <w:rPr>
                <w:color w:val="000000"/>
                <w:sz w:val="18"/>
                <w:szCs w:val="18"/>
              </w:rPr>
              <w:t>9</w:t>
            </w:r>
          </w:p>
        </w:tc>
        <w:tc>
          <w:tcPr>
            <w:tcW w:w="1020" w:type="dxa"/>
            <w:vAlign w:val="center"/>
          </w:tcPr>
          <w:p w14:paraId="61382CA3"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43154766"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2260FA42" w14:textId="77777777" w:rsidR="00AC6D9F" w:rsidRPr="009949E8" w:rsidRDefault="00AC6D9F" w:rsidP="00661152">
            <w:pPr>
              <w:spacing w:line="240" w:lineRule="auto"/>
              <w:jc w:val="center"/>
              <w:rPr>
                <w:color w:val="000000"/>
                <w:sz w:val="18"/>
                <w:szCs w:val="18"/>
              </w:rPr>
            </w:pPr>
            <w:r w:rsidRPr="009949E8">
              <w:rPr>
                <w:color w:val="000000"/>
                <w:sz w:val="18"/>
                <w:szCs w:val="18"/>
              </w:rPr>
              <w:t>17.7 (4.7 - 41)</w:t>
            </w:r>
          </w:p>
        </w:tc>
        <w:tc>
          <w:tcPr>
            <w:tcW w:w="1050" w:type="dxa"/>
            <w:tcBorders>
              <w:top w:val="single" w:sz="4" w:space="0" w:color="auto"/>
              <w:left w:val="single" w:sz="4" w:space="0" w:color="auto"/>
              <w:bottom w:val="single" w:sz="4" w:space="0" w:color="auto"/>
              <w:right w:val="single" w:sz="4" w:space="0" w:color="auto"/>
            </w:tcBorders>
            <w:noWrap/>
            <w:vAlign w:val="center"/>
          </w:tcPr>
          <w:p w14:paraId="7D6D8685" w14:textId="77777777" w:rsidR="00AC6D9F" w:rsidRPr="009949E8" w:rsidRDefault="00AC6D9F" w:rsidP="00661152">
            <w:pPr>
              <w:spacing w:line="240" w:lineRule="auto"/>
              <w:jc w:val="center"/>
              <w:rPr>
                <w:color w:val="000000"/>
                <w:sz w:val="18"/>
                <w:szCs w:val="18"/>
              </w:rPr>
            </w:pPr>
            <w:r w:rsidRPr="009949E8">
              <w:rPr>
                <w:color w:val="000000"/>
                <w:sz w:val="18"/>
                <w:szCs w:val="18"/>
              </w:rPr>
              <w:t>82 (19 - 268)</w:t>
            </w:r>
          </w:p>
        </w:tc>
        <w:tc>
          <w:tcPr>
            <w:tcW w:w="1050" w:type="dxa"/>
            <w:tcBorders>
              <w:top w:val="single" w:sz="4" w:space="0" w:color="auto"/>
              <w:left w:val="single" w:sz="4" w:space="0" w:color="auto"/>
              <w:bottom w:val="single" w:sz="4" w:space="0" w:color="auto"/>
              <w:right w:val="single" w:sz="4" w:space="0" w:color="auto"/>
            </w:tcBorders>
            <w:noWrap/>
            <w:vAlign w:val="center"/>
          </w:tcPr>
          <w:p w14:paraId="6DCEA6A2"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2BDB7AAE" w14:textId="77777777" w:rsidR="00AC6D9F" w:rsidRPr="009949E8" w:rsidRDefault="00AC6D9F" w:rsidP="00661152">
            <w:pPr>
              <w:spacing w:line="240" w:lineRule="auto"/>
              <w:jc w:val="center"/>
              <w:rPr>
                <w:color w:val="000000"/>
                <w:sz w:val="18"/>
                <w:szCs w:val="18"/>
              </w:rPr>
            </w:pPr>
            <w:r w:rsidRPr="009949E8">
              <w:rPr>
                <w:color w:val="000000"/>
                <w:sz w:val="18"/>
                <w:szCs w:val="18"/>
              </w:rPr>
              <w:t>0.407 (0.073 - 1.665)</w:t>
            </w:r>
          </w:p>
        </w:tc>
        <w:tc>
          <w:tcPr>
            <w:tcW w:w="1332" w:type="dxa"/>
            <w:tcBorders>
              <w:top w:val="single" w:sz="4" w:space="0" w:color="auto"/>
              <w:left w:val="single" w:sz="4" w:space="0" w:color="auto"/>
              <w:bottom w:val="single" w:sz="4" w:space="0" w:color="auto"/>
              <w:right w:val="single" w:sz="4" w:space="0" w:color="auto"/>
            </w:tcBorders>
            <w:noWrap/>
            <w:vAlign w:val="center"/>
          </w:tcPr>
          <w:p w14:paraId="1DFE395C" w14:textId="77777777" w:rsidR="00AC6D9F" w:rsidRPr="009949E8" w:rsidRDefault="00AC6D9F" w:rsidP="00661152">
            <w:pPr>
              <w:spacing w:line="240" w:lineRule="auto"/>
              <w:jc w:val="center"/>
              <w:rPr>
                <w:color w:val="000000"/>
                <w:sz w:val="18"/>
                <w:szCs w:val="18"/>
              </w:rPr>
            </w:pPr>
            <w:r w:rsidRPr="009949E8">
              <w:rPr>
                <w:color w:val="000000"/>
                <w:sz w:val="18"/>
                <w:szCs w:val="18"/>
              </w:rPr>
              <w:t>0 (0 - 0.014)</w:t>
            </w:r>
          </w:p>
        </w:tc>
        <w:tc>
          <w:tcPr>
            <w:tcW w:w="1332" w:type="dxa"/>
            <w:tcBorders>
              <w:top w:val="single" w:sz="4" w:space="0" w:color="auto"/>
              <w:left w:val="single" w:sz="4" w:space="0" w:color="auto"/>
              <w:bottom w:val="single" w:sz="4" w:space="0" w:color="auto"/>
              <w:right w:val="single" w:sz="4" w:space="0" w:color="auto"/>
            </w:tcBorders>
            <w:noWrap/>
            <w:vAlign w:val="center"/>
          </w:tcPr>
          <w:p w14:paraId="3CEB3139" w14:textId="77777777" w:rsidR="00AC6D9F" w:rsidRPr="009949E8" w:rsidRDefault="00AC6D9F" w:rsidP="00661152">
            <w:pPr>
              <w:spacing w:line="240" w:lineRule="auto"/>
              <w:jc w:val="center"/>
              <w:rPr>
                <w:color w:val="000000"/>
                <w:sz w:val="18"/>
                <w:szCs w:val="18"/>
              </w:rPr>
            </w:pPr>
            <w:r w:rsidRPr="009949E8">
              <w:rPr>
                <w:color w:val="000000"/>
                <w:sz w:val="18"/>
                <w:szCs w:val="18"/>
              </w:rPr>
              <w:t>7,223.4 (1,589.2 - 35,080.6)</w:t>
            </w:r>
          </w:p>
        </w:tc>
        <w:tc>
          <w:tcPr>
            <w:tcW w:w="1332" w:type="dxa"/>
            <w:tcBorders>
              <w:top w:val="single" w:sz="4" w:space="0" w:color="auto"/>
              <w:left w:val="single" w:sz="4" w:space="0" w:color="auto"/>
              <w:bottom w:val="single" w:sz="4" w:space="0" w:color="auto"/>
              <w:right w:val="single" w:sz="4" w:space="0" w:color="auto"/>
            </w:tcBorders>
            <w:noWrap/>
            <w:vAlign w:val="center"/>
          </w:tcPr>
          <w:p w14:paraId="25CC3764" w14:textId="77777777" w:rsidR="00AC6D9F" w:rsidRPr="009949E8" w:rsidRDefault="00AC6D9F" w:rsidP="00661152">
            <w:pPr>
              <w:spacing w:line="240" w:lineRule="auto"/>
              <w:jc w:val="center"/>
              <w:rPr>
                <w:color w:val="000000"/>
                <w:sz w:val="18"/>
                <w:szCs w:val="18"/>
              </w:rPr>
            </w:pPr>
            <w:r w:rsidRPr="009949E8">
              <w:rPr>
                <w:color w:val="000000"/>
                <w:sz w:val="18"/>
                <w:szCs w:val="18"/>
              </w:rPr>
              <w:t>230,157.3 (61,484 - 681,465.2)</w:t>
            </w:r>
          </w:p>
        </w:tc>
        <w:tc>
          <w:tcPr>
            <w:tcW w:w="1332" w:type="dxa"/>
            <w:tcBorders>
              <w:top w:val="single" w:sz="4" w:space="0" w:color="auto"/>
              <w:left w:val="single" w:sz="4" w:space="0" w:color="auto"/>
              <w:bottom w:val="single" w:sz="4" w:space="0" w:color="auto"/>
              <w:right w:val="single" w:sz="4" w:space="0" w:color="auto"/>
            </w:tcBorders>
            <w:noWrap/>
            <w:vAlign w:val="center"/>
          </w:tcPr>
          <w:p w14:paraId="2675CF72" w14:textId="77777777" w:rsidR="00AC6D9F" w:rsidRPr="009949E8" w:rsidRDefault="00AC6D9F" w:rsidP="00661152">
            <w:pPr>
              <w:spacing w:line="240" w:lineRule="auto"/>
              <w:jc w:val="center"/>
              <w:rPr>
                <w:color w:val="000000"/>
                <w:sz w:val="18"/>
                <w:szCs w:val="18"/>
              </w:rPr>
            </w:pPr>
            <w:r w:rsidRPr="009949E8">
              <w:rPr>
                <w:color w:val="000000"/>
                <w:sz w:val="18"/>
                <w:szCs w:val="18"/>
              </w:rPr>
              <w:t>135,778.2 (8,489.9 - 16,981,124)</w:t>
            </w:r>
          </w:p>
        </w:tc>
      </w:tr>
      <w:tr w:rsidR="00AC6D9F" w:rsidRPr="00026A18" w14:paraId="6D91F16F" w14:textId="77777777" w:rsidTr="00661152">
        <w:trPr>
          <w:trHeight w:val="638"/>
        </w:trPr>
        <w:tc>
          <w:tcPr>
            <w:tcW w:w="1020" w:type="dxa"/>
            <w:vAlign w:val="center"/>
          </w:tcPr>
          <w:p w14:paraId="01840328" w14:textId="77777777" w:rsidR="00AC6D9F" w:rsidRPr="009949E8" w:rsidRDefault="00AC6D9F" w:rsidP="00661152">
            <w:pPr>
              <w:spacing w:line="240" w:lineRule="auto"/>
              <w:jc w:val="center"/>
              <w:rPr>
                <w:color w:val="000000"/>
                <w:sz w:val="18"/>
                <w:szCs w:val="18"/>
              </w:rPr>
            </w:pPr>
            <w:r w:rsidRPr="009949E8">
              <w:rPr>
                <w:color w:val="000000"/>
                <w:sz w:val="18"/>
                <w:szCs w:val="18"/>
              </w:rPr>
              <w:t>9</w:t>
            </w:r>
          </w:p>
        </w:tc>
        <w:tc>
          <w:tcPr>
            <w:tcW w:w="1020" w:type="dxa"/>
            <w:vAlign w:val="center"/>
          </w:tcPr>
          <w:p w14:paraId="4079B4C7"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18190652"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1314366F" w14:textId="77777777" w:rsidR="00AC6D9F" w:rsidRPr="009949E8" w:rsidRDefault="00AC6D9F" w:rsidP="00661152">
            <w:pPr>
              <w:spacing w:line="240" w:lineRule="auto"/>
              <w:jc w:val="center"/>
              <w:rPr>
                <w:color w:val="000000"/>
                <w:sz w:val="18"/>
                <w:szCs w:val="18"/>
              </w:rPr>
            </w:pPr>
            <w:r w:rsidRPr="009949E8">
              <w:rPr>
                <w:color w:val="000000"/>
                <w:sz w:val="18"/>
                <w:szCs w:val="18"/>
              </w:rPr>
              <w:t>11.9 (2.1 - 33.1)</w:t>
            </w:r>
          </w:p>
        </w:tc>
        <w:tc>
          <w:tcPr>
            <w:tcW w:w="1050" w:type="dxa"/>
            <w:tcBorders>
              <w:top w:val="single" w:sz="4" w:space="0" w:color="auto"/>
              <w:left w:val="single" w:sz="4" w:space="0" w:color="auto"/>
              <w:bottom w:val="single" w:sz="4" w:space="0" w:color="auto"/>
              <w:right w:val="single" w:sz="4" w:space="0" w:color="auto"/>
            </w:tcBorders>
            <w:noWrap/>
            <w:vAlign w:val="center"/>
          </w:tcPr>
          <w:p w14:paraId="0978EE1C" w14:textId="77777777" w:rsidR="00AC6D9F" w:rsidRPr="009949E8" w:rsidRDefault="00AC6D9F" w:rsidP="00661152">
            <w:pPr>
              <w:spacing w:line="240" w:lineRule="auto"/>
              <w:jc w:val="center"/>
              <w:rPr>
                <w:color w:val="000000"/>
                <w:sz w:val="18"/>
                <w:szCs w:val="18"/>
              </w:rPr>
            </w:pPr>
            <w:r w:rsidRPr="009949E8">
              <w:rPr>
                <w:color w:val="000000"/>
                <w:sz w:val="18"/>
                <w:szCs w:val="18"/>
              </w:rPr>
              <w:t>58 (8 - 231)</w:t>
            </w:r>
          </w:p>
        </w:tc>
        <w:tc>
          <w:tcPr>
            <w:tcW w:w="1050" w:type="dxa"/>
            <w:tcBorders>
              <w:top w:val="single" w:sz="4" w:space="0" w:color="auto"/>
              <w:left w:val="single" w:sz="4" w:space="0" w:color="auto"/>
              <w:bottom w:val="single" w:sz="4" w:space="0" w:color="auto"/>
              <w:right w:val="single" w:sz="4" w:space="0" w:color="auto"/>
            </w:tcBorders>
            <w:noWrap/>
            <w:vAlign w:val="center"/>
          </w:tcPr>
          <w:p w14:paraId="7F535AF8" w14:textId="77777777" w:rsidR="00AC6D9F" w:rsidRPr="009949E8" w:rsidRDefault="00AC6D9F" w:rsidP="00661152">
            <w:pPr>
              <w:spacing w:line="240" w:lineRule="auto"/>
              <w:jc w:val="center"/>
              <w:rPr>
                <w:color w:val="000000"/>
                <w:sz w:val="18"/>
                <w:szCs w:val="18"/>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3BD5E224" w14:textId="77777777" w:rsidR="00AC6D9F" w:rsidRPr="009949E8" w:rsidRDefault="00AC6D9F" w:rsidP="00661152">
            <w:pPr>
              <w:spacing w:line="240" w:lineRule="auto"/>
              <w:jc w:val="center"/>
              <w:rPr>
                <w:color w:val="000000"/>
                <w:sz w:val="18"/>
                <w:szCs w:val="18"/>
              </w:rPr>
            </w:pPr>
            <w:r w:rsidRPr="009949E8">
              <w:rPr>
                <w:color w:val="000000"/>
                <w:sz w:val="18"/>
                <w:szCs w:val="18"/>
              </w:rPr>
              <w:t>0.272 (0.029 - 1.304)</w:t>
            </w:r>
          </w:p>
        </w:tc>
        <w:tc>
          <w:tcPr>
            <w:tcW w:w="1332" w:type="dxa"/>
            <w:tcBorders>
              <w:top w:val="single" w:sz="4" w:space="0" w:color="auto"/>
              <w:left w:val="single" w:sz="4" w:space="0" w:color="auto"/>
              <w:bottom w:val="single" w:sz="4" w:space="0" w:color="auto"/>
              <w:right w:val="single" w:sz="4" w:space="0" w:color="auto"/>
            </w:tcBorders>
            <w:noWrap/>
            <w:vAlign w:val="center"/>
          </w:tcPr>
          <w:p w14:paraId="17515746" w14:textId="77777777" w:rsidR="00AC6D9F" w:rsidRPr="009949E8" w:rsidRDefault="00AC6D9F" w:rsidP="00661152">
            <w:pPr>
              <w:spacing w:line="240" w:lineRule="auto"/>
              <w:jc w:val="center"/>
              <w:rPr>
                <w:color w:val="000000"/>
                <w:sz w:val="18"/>
                <w:szCs w:val="18"/>
              </w:rPr>
            </w:pPr>
            <w:r w:rsidRPr="009949E8">
              <w:rPr>
                <w:color w:val="000000"/>
                <w:sz w:val="18"/>
                <w:szCs w:val="18"/>
              </w:rPr>
              <w:t>0 (0 - 0.011)</w:t>
            </w:r>
          </w:p>
        </w:tc>
        <w:tc>
          <w:tcPr>
            <w:tcW w:w="1332" w:type="dxa"/>
            <w:tcBorders>
              <w:top w:val="single" w:sz="4" w:space="0" w:color="auto"/>
              <w:left w:val="single" w:sz="4" w:space="0" w:color="auto"/>
              <w:bottom w:val="single" w:sz="4" w:space="0" w:color="auto"/>
              <w:right w:val="single" w:sz="4" w:space="0" w:color="auto"/>
            </w:tcBorders>
            <w:noWrap/>
            <w:vAlign w:val="center"/>
          </w:tcPr>
          <w:p w14:paraId="268DC3E4" w14:textId="77777777" w:rsidR="00AC6D9F" w:rsidRPr="009949E8" w:rsidRDefault="00AC6D9F" w:rsidP="00661152">
            <w:pPr>
              <w:spacing w:line="240" w:lineRule="auto"/>
              <w:jc w:val="center"/>
              <w:rPr>
                <w:color w:val="000000"/>
                <w:sz w:val="18"/>
                <w:szCs w:val="18"/>
              </w:rPr>
            </w:pPr>
            <w:r w:rsidRPr="009949E8">
              <w:rPr>
                <w:color w:val="000000"/>
                <w:sz w:val="18"/>
                <w:szCs w:val="18"/>
              </w:rPr>
              <w:t>9,351.6 (1,863.3 - 50,525.7)</w:t>
            </w:r>
          </w:p>
        </w:tc>
        <w:tc>
          <w:tcPr>
            <w:tcW w:w="1332" w:type="dxa"/>
            <w:tcBorders>
              <w:top w:val="single" w:sz="4" w:space="0" w:color="auto"/>
              <w:left w:val="single" w:sz="4" w:space="0" w:color="auto"/>
              <w:bottom w:val="single" w:sz="4" w:space="0" w:color="auto"/>
              <w:right w:val="single" w:sz="4" w:space="0" w:color="auto"/>
            </w:tcBorders>
            <w:noWrap/>
            <w:vAlign w:val="center"/>
          </w:tcPr>
          <w:p w14:paraId="27A0C2CB" w14:textId="77777777" w:rsidR="00AC6D9F" w:rsidRPr="009949E8" w:rsidRDefault="00AC6D9F" w:rsidP="00661152">
            <w:pPr>
              <w:spacing w:line="240" w:lineRule="auto"/>
              <w:jc w:val="center"/>
              <w:rPr>
                <w:color w:val="000000"/>
                <w:sz w:val="18"/>
                <w:szCs w:val="18"/>
              </w:rPr>
            </w:pPr>
            <w:r w:rsidRPr="009949E8">
              <w:rPr>
                <w:color w:val="000000"/>
                <w:sz w:val="18"/>
                <w:szCs w:val="18"/>
              </w:rPr>
              <w:t>235,417.9 (61,600 - 765,206.3)</w:t>
            </w:r>
          </w:p>
        </w:tc>
        <w:tc>
          <w:tcPr>
            <w:tcW w:w="1332" w:type="dxa"/>
            <w:tcBorders>
              <w:top w:val="single" w:sz="4" w:space="0" w:color="auto"/>
              <w:left w:val="single" w:sz="4" w:space="0" w:color="auto"/>
              <w:bottom w:val="single" w:sz="4" w:space="0" w:color="auto"/>
              <w:right w:val="single" w:sz="4" w:space="0" w:color="auto"/>
            </w:tcBorders>
            <w:noWrap/>
            <w:vAlign w:val="center"/>
          </w:tcPr>
          <w:p w14:paraId="5D5DABBA" w14:textId="77777777" w:rsidR="00AC6D9F" w:rsidRPr="009949E8" w:rsidRDefault="00AC6D9F" w:rsidP="00661152">
            <w:pPr>
              <w:spacing w:line="240" w:lineRule="auto"/>
              <w:jc w:val="center"/>
              <w:rPr>
                <w:color w:val="000000"/>
                <w:sz w:val="18"/>
                <w:szCs w:val="18"/>
              </w:rPr>
            </w:pPr>
            <w:r w:rsidRPr="009949E8">
              <w:rPr>
                <w:color w:val="000000"/>
                <w:sz w:val="18"/>
                <w:szCs w:val="18"/>
              </w:rPr>
              <w:t>559,527.9 (10,050.3 - 27,349,781)</w:t>
            </w:r>
          </w:p>
        </w:tc>
      </w:tr>
      <w:tr w:rsidR="00AC6D9F" w:rsidRPr="00026A18" w14:paraId="3FF5812C" w14:textId="77777777" w:rsidTr="00661152">
        <w:trPr>
          <w:trHeight w:val="638"/>
        </w:trPr>
        <w:tc>
          <w:tcPr>
            <w:tcW w:w="1020" w:type="dxa"/>
            <w:vAlign w:val="center"/>
          </w:tcPr>
          <w:p w14:paraId="12E81AA0" w14:textId="77777777" w:rsidR="00AC6D9F" w:rsidRPr="009949E8" w:rsidRDefault="00AC6D9F" w:rsidP="00661152">
            <w:pPr>
              <w:spacing w:line="240" w:lineRule="auto"/>
              <w:jc w:val="center"/>
              <w:rPr>
                <w:color w:val="000000"/>
                <w:sz w:val="18"/>
                <w:szCs w:val="18"/>
              </w:rPr>
            </w:pPr>
            <w:r w:rsidRPr="009949E8">
              <w:rPr>
                <w:color w:val="000000"/>
                <w:sz w:val="18"/>
                <w:szCs w:val="18"/>
              </w:rPr>
              <w:t>9</w:t>
            </w:r>
          </w:p>
        </w:tc>
        <w:tc>
          <w:tcPr>
            <w:tcW w:w="1020" w:type="dxa"/>
            <w:vAlign w:val="center"/>
          </w:tcPr>
          <w:p w14:paraId="6D5223CB"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03342161"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01F138D2" w14:textId="77777777" w:rsidR="00AC6D9F" w:rsidRPr="009949E8" w:rsidRDefault="00AC6D9F" w:rsidP="00661152">
            <w:pPr>
              <w:spacing w:line="240" w:lineRule="auto"/>
              <w:jc w:val="center"/>
              <w:rPr>
                <w:color w:val="000000"/>
                <w:sz w:val="18"/>
                <w:szCs w:val="18"/>
              </w:rPr>
            </w:pPr>
            <w:r w:rsidRPr="009949E8">
              <w:rPr>
                <w:color w:val="000000"/>
                <w:sz w:val="18"/>
                <w:szCs w:val="18"/>
              </w:rPr>
              <w:t>7.9 (0.8 - 24.8)</w:t>
            </w:r>
          </w:p>
        </w:tc>
        <w:tc>
          <w:tcPr>
            <w:tcW w:w="1050" w:type="dxa"/>
            <w:tcBorders>
              <w:top w:val="single" w:sz="4" w:space="0" w:color="auto"/>
              <w:left w:val="single" w:sz="4" w:space="0" w:color="auto"/>
              <w:bottom w:val="single" w:sz="4" w:space="0" w:color="auto"/>
              <w:right w:val="single" w:sz="4" w:space="0" w:color="auto"/>
            </w:tcBorders>
            <w:noWrap/>
            <w:vAlign w:val="center"/>
          </w:tcPr>
          <w:p w14:paraId="1E1D74B5" w14:textId="77777777" w:rsidR="00AC6D9F" w:rsidRPr="009949E8" w:rsidRDefault="00AC6D9F" w:rsidP="00661152">
            <w:pPr>
              <w:spacing w:line="240" w:lineRule="auto"/>
              <w:jc w:val="center"/>
              <w:rPr>
                <w:color w:val="000000"/>
                <w:sz w:val="18"/>
                <w:szCs w:val="18"/>
              </w:rPr>
            </w:pPr>
            <w:bookmarkStart w:id="31" w:name="_Hlk207111596"/>
            <w:r w:rsidRPr="009949E8">
              <w:rPr>
                <w:color w:val="000000"/>
                <w:sz w:val="18"/>
                <w:szCs w:val="18"/>
              </w:rPr>
              <w:t>42 (3 - 199)</w:t>
            </w:r>
            <w:bookmarkEnd w:id="31"/>
          </w:p>
        </w:tc>
        <w:tc>
          <w:tcPr>
            <w:tcW w:w="1050" w:type="dxa"/>
            <w:tcBorders>
              <w:top w:val="single" w:sz="4" w:space="0" w:color="auto"/>
              <w:left w:val="single" w:sz="4" w:space="0" w:color="auto"/>
              <w:bottom w:val="single" w:sz="4" w:space="0" w:color="auto"/>
              <w:right w:val="single" w:sz="4" w:space="0" w:color="auto"/>
            </w:tcBorders>
            <w:noWrap/>
            <w:vAlign w:val="center"/>
          </w:tcPr>
          <w:p w14:paraId="6B1318DE" w14:textId="77777777" w:rsidR="00AC6D9F" w:rsidRPr="009949E8" w:rsidRDefault="00AC6D9F" w:rsidP="00661152">
            <w:pPr>
              <w:spacing w:line="240" w:lineRule="auto"/>
              <w:jc w:val="center"/>
              <w:rPr>
                <w:color w:val="000000"/>
                <w:sz w:val="18"/>
                <w:szCs w:val="18"/>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56ADDC08" w14:textId="77777777" w:rsidR="00AC6D9F" w:rsidRPr="009949E8" w:rsidRDefault="00AC6D9F" w:rsidP="00661152">
            <w:pPr>
              <w:spacing w:line="240" w:lineRule="auto"/>
              <w:jc w:val="center"/>
              <w:rPr>
                <w:color w:val="000000"/>
                <w:sz w:val="18"/>
                <w:szCs w:val="18"/>
              </w:rPr>
            </w:pPr>
            <w:r w:rsidRPr="009949E8">
              <w:rPr>
                <w:color w:val="000000"/>
                <w:sz w:val="18"/>
                <w:szCs w:val="18"/>
              </w:rPr>
              <w:t>0.188 (0.011 - 1.053)</w:t>
            </w:r>
          </w:p>
        </w:tc>
        <w:tc>
          <w:tcPr>
            <w:tcW w:w="1332" w:type="dxa"/>
            <w:tcBorders>
              <w:top w:val="single" w:sz="4" w:space="0" w:color="auto"/>
              <w:left w:val="single" w:sz="4" w:space="0" w:color="auto"/>
              <w:bottom w:val="single" w:sz="4" w:space="0" w:color="auto"/>
              <w:right w:val="single" w:sz="4" w:space="0" w:color="auto"/>
            </w:tcBorders>
            <w:noWrap/>
            <w:vAlign w:val="center"/>
          </w:tcPr>
          <w:p w14:paraId="66DF0196" w14:textId="77777777" w:rsidR="00AC6D9F" w:rsidRPr="009949E8" w:rsidRDefault="00AC6D9F" w:rsidP="00661152">
            <w:pPr>
              <w:spacing w:line="240" w:lineRule="auto"/>
              <w:jc w:val="center"/>
              <w:rPr>
                <w:color w:val="000000"/>
                <w:sz w:val="18"/>
                <w:szCs w:val="18"/>
              </w:rPr>
            </w:pPr>
            <w:r w:rsidRPr="009949E8">
              <w:rPr>
                <w:color w:val="000000"/>
                <w:sz w:val="18"/>
                <w:szCs w:val="18"/>
              </w:rPr>
              <w:t>0 (0 - 0.008)</w:t>
            </w:r>
          </w:p>
        </w:tc>
        <w:tc>
          <w:tcPr>
            <w:tcW w:w="1332" w:type="dxa"/>
            <w:tcBorders>
              <w:top w:val="single" w:sz="4" w:space="0" w:color="auto"/>
              <w:left w:val="single" w:sz="4" w:space="0" w:color="auto"/>
              <w:bottom w:val="single" w:sz="4" w:space="0" w:color="auto"/>
              <w:right w:val="single" w:sz="4" w:space="0" w:color="auto"/>
            </w:tcBorders>
            <w:noWrap/>
            <w:vAlign w:val="center"/>
          </w:tcPr>
          <w:p w14:paraId="144CB9CD" w14:textId="77777777" w:rsidR="00AC6D9F" w:rsidRPr="009949E8" w:rsidRDefault="00AC6D9F" w:rsidP="00661152">
            <w:pPr>
              <w:spacing w:line="240" w:lineRule="auto"/>
              <w:jc w:val="center"/>
              <w:rPr>
                <w:color w:val="000000"/>
                <w:sz w:val="18"/>
                <w:szCs w:val="18"/>
              </w:rPr>
            </w:pPr>
            <w:r w:rsidRPr="009949E8">
              <w:rPr>
                <w:color w:val="000000"/>
                <w:sz w:val="18"/>
                <w:szCs w:val="18"/>
              </w:rPr>
              <w:t>10,068.6 (1,985.9 - 57,916.7)</w:t>
            </w:r>
          </w:p>
        </w:tc>
        <w:tc>
          <w:tcPr>
            <w:tcW w:w="1332" w:type="dxa"/>
            <w:tcBorders>
              <w:top w:val="single" w:sz="4" w:space="0" w:color="auto"/>
              <w:left w:val="single" w:sz="4" w:space="0" w:color="auto"/>
              <w:bottom w:val="single" w:sz="4" w:space="0" w:color="auto"/>
              <w:right w:val="single" w:sz="4" w:space="0" w:color="auto"/>
            </w:tcBorders>
            <w:noWrap/>
            <w:vAlign w:val="center"/>
          </w:tcPr>
          <w:p w14:paraId="5E80ACEF" w14:textId="77777777" w:rsidR="00AC6D9F" w:rsidRPr="009949E8" w:rsidRDefault="00AC6D9F" w:rsidP="00661152">
            <w:pPr>
              <w:spacing w:line="240" w:lineRule="auto"/>
              <w:jc w:val="center"/>
              <w:rPr>
                <w:color w:val="000000"/>
                <w:sz w:val="18"/>
                <w:szCs w:val="18"/>
              </w:rPr>
            </w:pPr>
            <w:r w:rsidRPr="009949E8">
              <w:rPr>
                <w:color w:val="000000"/>
                <w:sz w:val="18"/>
                <w:szCs w:val="18"/>
              </w:rPr>
              <w:t>242,241.8 (62,587.6 - 764,682.5)</w:t>
            </w:r>
          </w:p>
        </w:tc>
        <w:tc>
          <w:tcPr>
            <w:tcW w:w="1332" w:type="dxa"/>
            <w:tcBorders>
              <w:top w:val="single" w:sz="4" w:space="0" w:color="auto"/>
              <w:left w:val="single" w:sz="4" w:space="0" w:color="auto"/>
              <w:bottom w:val="single" w:sz="4" w:space="0" w:color="auto"/>
              <w:right w:val="single" w:sz="4" w:space="0" w:color="auto"/>
            </w:tcBorders>
            <w:noWrap/>
            <w:vAlign w:val="center"/>
          </w:tcPr>
          <w:p w14:paraId="09774743" w14:textId="77777777" w:rsidR="00AC6D9F" w:rsidRPr="009949E8" w:rsidRDefault="00AC6D9F" w:rsidP="00661152">
            <w:pPr>
              <w:spacing w:line="240" w:lineRule="auto"/>
              <w:jc w:val="center"/>
              <w:rPr>
                <w:color w:val="000000"/>
                <w:sz w:val="18"/>
                <w:szCs w:val="18"/>
              </w:rPr>
            </w:pPr>
            <w:r w:rsidRPr="009949E8">
              <w:rPr>
                <w:color w:val="000000"/>
                <w:sz w:val="18"/>
                <w:szCs w:val="18"/>
              </w:rPr>
              <w:t>894,314 (11,322.4 - 30,393,437)</w:t>
            </w:r>
          </w:p>
        </w:tc>
      </w:tr>
      <w:tr w:rsidR="00AC6D9F" w:rsidRPr="00026A18" w14:paraId="4BB136D8" w14:textId="77777777" w:rsidTr="00661152">
        <w:trPr>
          <w:trHeight w:val="638"/>
        </w:trPr>
        <w:tc>
          <w:tcPr>
            <w:tcW w:w="1020" w:type="dxa"/>
            <w:vAlign w:val="center"/>
          </w:tcPr>
          <w:p w14:paraId="486958CA"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0C801521"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28B73B00"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185F48B1" w14:textId="77777777" w:rsidR="00AC6D9F" w:rsidRPr="009949E8" w:rsidRDefault="00AC6D9F" w:rsidP="00661152">
            <w:pPr>
              <w:spacing w:line="240" w:lineRule="auto"/>
              <w:jc w:val="center"/>
              <w:rPr>
                <w:color w:val="000000"/>
                <w:sz w:val="18"/>
                <w:szCs w:val="18"/>
              </w:rPr>
            </w:pPr>
            <w:r w:rsidRPr="009949E8">
              <w:rPr>
                <w:color w:val="000000"/>
                <w:sz w:val="18"/>
                <w:szCs w:val="18"/>
              </w:rPr>
              <w:t>15.5 (4.5 - 36.3)</w:t>
            </w:r>
          </w:p>
        </w:tc>
        <w:tc>
          <w:tcPr>
            <w:tcW w:w="1050" w:type="dxa"/>
            <w:tcBorders>
              <w:top w:val="single" w:sz="4" w:space="0" w:color="auto"/>
              <w:left w:val="single" w:sz="4" w:space="0" w:color="auto"/>
              <w:bottom w:val="single" w:sz="4" w:space="0" w:color="auto"/>
              <w:right w:val="single" w:sz="4" w:space="0" w:color="auto"/>
            </w:tcBorders>
            <w:noWrap/>
            <w:vAlign w:val="center"/>
          </w:tcPr>
          <w:p w14:paraId="1A74720A" w14:textId="77777777" w:rsidR="00AC6D9F" w:rsidRPr="009949E8" w:rsidRDefault="00AC6D9F" w:rsidP="00661152">
            <w:pPr>
              <w:spacing w:line="240" w:lineRule="auto"/>
              <w:jc w:val="center"/>
              <w:rPr>
                <w:color w:val="000000"/>
                <w:sz w:val="18"/>
                <w:szCs w:val="18"/>
              </w:rPr>
            </w:pPr>
            <w:r w:rsidRPr="009949E8">
              <w:rPr>
                <w:color w:val="000000"/>
                <w:sz w:val="18"/>
                <w:szCs w:val="18"/>
              </w:rPr>
              <w:t>83 (24 - 274)</w:t>
            </w:r>
          </w:p>
        </w:tc>
        <w:tc>
          <w:tcPr>
            <w:tcW w:w="1050" w:type="dxa"/>
            <w:tcBorders>
              <w:top w:val="single" w:sz="4" w:space="0" w:color="auto"/>
              <w:left w:val="single" w:sz="4" w:space="0" w:color="auto"/>
              <w:bottom w:val="single" w:sz="4" w:space="0" w:color="auto"/>
              <w:right w:val="single" w:sz="4" w:space="0" w:color="auto"/>
            </w:tcBorders>
            <w:noWrap/>
            <w:vAlign w:val="center"/>
          </w:tcPr>
          <w:p w14:paraId="0047A4E8"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578DFF65" w14:textId="77777777" w:rsidR="00AC6D9F" w:rsidRPr="009949E8" w:rsidRDefault="00AC6D9F" w:rsidP="00661152">
            <w:pPr>
              <w:spacing w:line="240" w:lineRule="auto"/>
              <w:jc w:val="center"/>
              <w:rPr>
                <w:color w:val="000000"/>
                <w:sz w:val="18"/>
                <w:szCs w:val="18"/>
              </w:rPr>
            </w:pPr>
            <w:r w:rsidRPr="009949E8">
              <w:rPr>
                <w:color w:val="000000"/>
                <w:sz w:val="18"/>
                <w:szCs w:val="18"/>
              </w:rPr>
              <w:t>0.414 (0.092 - 1.649)</w:t>
            </w:r>
          </w:p>
        </w:tc>
        <w:tc>
          <w:tcPr>
            <w:tcW w:w="1332" w:type="dxa"/>
            <w:tcBorders>
              <w:top w:val="single" w:sz="4" w:space="0" w:color="auto"/>
              <w:left w:val="single" w:sz="4" w:space="0" w:color="auto"/>
              <w:bottom w:val="single" w:sz="4" w:space="0" w:color="auto"/>
              <w:right w:val="single" w:sz="4" w:space="0" w:color="auto"/>
            </w:tcBorders>
            <w:noWrap/>
            <w:vAlign w:val="center"/>
          </w:tcPr>
          <w:p w14:paraId="7D8B987C" w14:textId="77777777" w:rsidR="00AC6D9F" w:rsidRPr="009949E8" w:rsidRDefault="00AC6D9F" w:rsidP="00661152">
            <w:pPr>
              <w:spacing w:line="240" w:lineRule="auto"/>
              <w:jc w:val="center"/>
              <w:rPr>
                <w:color w:val="000000"/>
                <w:sz w:val="18"/>
                <w:szCs w:val="18"/>
              </w:rPr>
            </w:pPr>
            <w:r w:rsidRPr="009949E8">
              <w:rPr>
                <w:color w:val="000000"/>
                <w:sz w:val="18"/>
                <w:szCs w:val="18"/>
              </w:rPr>
              <w:t>0 (0 - 0.016)</w:t>
            </w:r>
          </w:p>
        </w:tc>
        <w:tc>
          <w:tcPr>
            <w:tcW w:w="1332" w:type="dxa"/>
            <w:tcBorders>
              <w:top w:val="single" w:sz="4" w:space="0" w:color="auto"/>
              <w:left w:val="single" w:sz="4" w:space="0" w:color="auto"/>
              <w:bottom w:val="single" w:sz="4" w:space="0" w:color="auto"/>
              <w:right w:val="single" w:sz="4" w:space="0" w:color="auto"/>
            </w:tcBorders>
            <w:noWrap/>
            <w:vAlign w:val="center"/>
          </w:tcPr>
          <w:p w14:paraId="6F65D09E" w14:textId="77777777" w:rsidR="00AC6D9F" w:rsidRPr="009949E8" w:rsidRDefault="00AC6D9F" w:rsidP="00661152">
            <w:pPr>
              <w:spacing w:line="240" w:lineRule="auto"/>
              <w:jc w:val="center"/>
              <w:rPr>
                <w:color w:val="000000"/>
                <w:sz w:val="18"/>
                <w:szCs w:val="18"/>
              </w:rPr>
            </w:pPr>
            <w:r w:rsidRPr="009949E8">
              <w:rPr>
                <w:color w:val="000000"/>
                <w:sz w:val="18"/>
                <w:szCs w:val="18"/>
              </w:rPr>
              <w:t>7,511.7 (1,683.9 - 31,661.4)</w:t>
            </w:r>
          </w:p>
        </w:tc>
        <w:tc>
          <w:tcPr>
            <w:tcW w:w="1332" w:type="dxa"/>
            <w:tcBorders>
              <w:top w:val="single" w:sz="4" w:space="0" w:color="auto"/>
              <w:left w:val="single" w:sz="4" w:space="0" w:color="auto"/>
              <w:bottom w:val="single" w:sz="4" w:space="0" w:color="auto"/>
              <w:right w:val="single" w:sz="4" w:space="0" w:color="auto"/>
            </w:tcBorders>
            <w:noWrap/>
            <w:vAlign w:val="center"/>
          </w:tcPr>
          <w:p w14:paraId="30013C1A" w14:textId="77777777" w:rsidR="00AC6D9F" w:rsidRPr="009949E8" w:rsidRDefault="00AC6D9F" w:rsidP="00661152">
            <w:pPr>
              <w:spacing w:line="240" w:lineRule="auto"/>
              <w:jc w:val="center"/>
              <w:rPr>
                <w:color w:val="000000"/>
                <w:sz w:val="18"/>
                <w:szCs w:val="18"/>
              </w:rPr>
            </w:pPr>
            <w:r w:rsidRPr="009949E8">
              <w:rPr>
                <w:color w:val="000000"/>
                <w:sz w:val="18"/>
                <w:szCs w:val="18"/>
              </w:rPr>
              <w:t>216,295.2 (62,940.9 - 629,324.7)</w:t>
            </w:r>
          </w:p>
        </w:tc>
        <w:tc>
          <w:tcPr>
            <w:tcW w:w="1332" w:type="dxa"/>
            <w:tcBorders>
              <w:top w:val="single" w:sz="4" w:space="0" w:color="auto"/>
              <w:left w:val="single" w:sz="4" w:space="0" w:color="auto"/>
              <w:bottom w:val="single" w:sz="4" w:space="0" w:color="auto"/>
              <w:right w:val="single" w:sz="4" w:space="0" w:color="auto"/>
            </w:tcBorders>
            <w:noWrap/>
            <w:vAlign w:val="center"/>
          </w:tcPr>
          <w:p w14:paraId="3A6B9147" w14:textId="77777777" w:rsidR="00AC6D9F" w:rsidRPr="009949E8" w:rsidRDefault="00AC6D9F" w:rsidP="00661152">
            <w:pPr>
              <w:spacing w:line="240" w:lineRule="auto"/>
              <w:jc w:val="center"/>
              <w:rPr>
                <w:color w:val="000000"/>
                <w:sz w:val="18"/>
                <w:szCs w:val="18"/>
              </w:rPr>
            </w:pPr>
            <w:r w:rsidRPr="009949E8">
              <w:rPr>
                <w:color w:val="000000"/>
                <w:sz w:val="18"/>
                <w:szCs w:val="18"/>
              </w:rPr>
              <w:t>144,407 (7,988.6 - 14,573,057)</w:t>
            </w:r>
          </w:p>
        </w:tc>
      </w:tr>
      <w:tr w:rsidR="00AC6D9F" w:rsidRPr="00026A18" w14:paraId="041ACDC0" w14:textId="77777777" w:rsidTr="00661152">
        <w:trPr>
          <w:trHeight w:val="638"/>
        </w:trPr>
        <w:tc>
          <w:tcPr>
            <w:tcW w:w="1020" w:type="dxa"/>
            <w:vAlign w:val="center"/>
          </w:tcPr>
          <w:p w14:paraId="6891E571"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401C0C3F"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0F0EB1D2"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41C86C1A" w14:textId="77777777" w:rsidR="00AC6D9F" w:rsidRPr="009949E8" w:rsidRDefault="00AC6D9F" w:rsidP="00661152">
            <w:pPr>
              <w:spacing w:line="240" w:lineRule="auto"/>
              <w:jc w:val="center"/>
              <w:rPr>
                <w:color w:val="000000"/>
                <w:sz w:val="18"/>
                <w:szCs w:val="18"/>
              </w:rPr>
            </w:pPr>
            <w:r w:rsidRPr="009949E8">
              <w:rPr>
                <w:color w:val="000000"/>
                <w:sz w:val="18"/>
                <w:szCs w:val="18"/>
              </w:rPr>
              <w:t>14.2 (3.9 - 34.5)</w:t>
            </w:r>
          </w:p>
        </w:tc>
        <w:tc>
          <w:tcPr>
            <w:tcW w:w="1050" w:type="dxa"/>
            <w:tcBorders>
              <w:top w:val="single" w:sz="4" w:space="0" w:color="auto"/>
              <w:left w:val="single" w:sz="4" w:space="0" w:color="auto"/>
              <w:bottom w:val="single" w:sz="4" w:space="0" w:color="auto"/>
              <w:right w:val="single" w:sz="4" w:space="0" w:color="auto"/>
            </w:tcBorders>
            <w:noWrap/>
            <w:vAlign w:val="center"/>
          </w:tcPr>
          <w:p w14:paraId="40E7FEBB" w14:textId="77777777" w:rsidR="00AC6D9F" w:rsidRPr="009949E8" w:rsidRDefault="00AC6D9F" w:rsidP="00661152">
            <w:pPr>
              <w:spacing w:line="240" w:lineRule="auto"/>
              <w:jc w:val="center"/>
              <w:rPr>
                <w:color w:val="000000"/>
                <w:sz w:val="18"/>
                <w:szCs w:val="18"/>
              </w:rPr>
            </w:pPr>
            <w:r w:rsidRPr="009949E8">
              <w:rPr>
                <w:color w:val="000000"/>
                <w:sz w:val="18"/>
                <w:szCs w:val="18"/>
              </w:rPr>
              <w:t>76 (20 - 266)</w:t>
            </w:r>
          </w:p>
        </w:tc>
        <w:tc>
          <w:tcPr>
            <w:tcW w:w="1050" w:type="dxa"/>
            <w:tcBorders>
              <w:top w:val="single" w:sz="4" w:space="0" w:color="auto"/>
              <w:left w:val="single" w:sz="4" w:space="0" w:color="auto"/>
              <w:bottom w:val="single" w:sz="4" w:space="0" w:color="auto"/>
              <w:right w:val="single" w:sz="4" w:space="0" w:color="auto"/>
            </w:tcBorders>
            <w:noWrap/>
            <w:vAlign w:val="center"/>
          </w:tcPr>
          <w:p w14:paraId="1F242B3F"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499BC529" w14:textId="77777777" w:rsidR="00AC6D9F" w:rsidRPr="009949E8" w:rsidRDefault="00AC6D9F" w:rsidP="00661152">
            <w:pPr>
              <w:spacing w:line="240" w:lineRule="auto"/>
              <w:jc w:val="center"/>
              <w:rPr>
                <w:color w:val="000000"/>
                <w:sz w:val="18"/>
                <w:szCs w:val="18"/>
              </w:rPr>
            </w:pPr>
            <w:r w:rsidRPr="009949E8">
              <w:rPr>
                <w:color w:val="000000"/>
                <w:sz w:val="18"/>
                <w:szCs w:val="18"/>
              </w:rPr>
              <w:t>0.376 (0.079 - 1.558)</w:t>
            </w:r>
          </w:p>
        </w:tc>
        <w:tc>
          <w:tcPr>
            <w:tcW w:w="1332" w:type="dxa"/>
            <w:tcBorders>
              <w:top w:val="single" w:sz="4" w:space="0" w:color="auto"/>
              <w:left w:val="single" w:sz="4" w:space="0" w:color="auto"/>
              <w:bottom w:val="single" w:sz="4" w:space="0" w:color="auto"/>
              <w:right w:val="single" w:sz="4" w:space="0" w:color="auto"/>
            </w:tcBorders>
            <w:noWrap/>
            <w:vAlign w:val="center"/>
          </w:tcPr>
          <w:p w14:paraId="77E7955A" w14:textId="77777777" w:rsidR="00AC6D9F" w:rsidRPr="009949E8" w:rsidRDefault="00AC6D9F" w:rsidP="00661152">
            <w:pPr>
              <w:spacing w:line="240" w:lineRule="auto"/>
              <w:jc w:val="center"/>
              <w:rPr>
                <w:color w:val="000000"/>
                <w:sz w:val="18"/>
                <w:szCs w:val="18"/>
              </w:rPr>
            </w:pPr>
            <w:r w:rsidRPr="009949E8">
              <w:rPr>
                <w:color w:val="000000"/>
                <w:sz w:val="18"/>
                <w:szCs w:val="18"/>
              </w:rPr>
              <w:t>0 (0 - 0.015)</w:t>
            </w:r>
          </w:p>
        </w:tc>
        <w:tc>
          <w:tcPr>
            <w:tcW w:w="1332" w:type="dxa"/>
            <w:tcBorders>
              <w:top w:val="single" w:sz="4" w:space="0" w:color="auto"/>
              <w:left w:val="single" w:sz="4" w:space="0" w:color="auto"/>
              <w:bottom w:val="single" w:sz="4" w:space="0" w:color="auto"/>
              <w:right w:val="single" w:sz="4" w:space="0" w:color="auto"/>
            </w:tcBorders>
            <w:noWrap/>
            <w:vAlign w:val="center"/>
          </w:tcPr>
          <w:p w14:paraId="0A598746" w14:textId="77777777" w:rsidR="00AC6D9F" w:rsidRPr="009949E8" w:rsidRDefault="00AC6D9F" w:rsidP="00661152">
            <w:pPr>
              <w:spacing w:line="240" w:lineRule="auto"/>
              <w:jc w:val="center"/>
              <w:rPr>
                <w:color w:val="000000"/>
                <w:sz w:val="18"/>
                <w:szCs w:val="18"/>
              </w:rPr>
            </w:pPr>
            <w:r w:rsidRPr="009949E8">
              <w:rPr>
                <w:color w:val="000000"/>
                <w:sz w:val="18"/>
                <w:szCs w:val="18"/>
              </w:rPr>
              <w:t>8,008.8 (1,813.8 - 34,577.6)</w:t>
            </w:r>
          </w:p>
        </w:tc>
        <w:tc>
          <w:tcPr>
            <w:tcW w:w="1332" w:type="dxa"/>
            <w:tcBorders>
              <w:top w:val="single" w:sz="4" w:space="0" w:color="auto"/>
              <w:left w:val="single" w:sz="4" w:space="0" w:color="auto"/>
              <w:bottom w:val="single" w:sz="4" w:space="0" w:color="auto"/>
              <w:right w:val="single" w:sz="4" w:space="0" w:color="auto"/>
            </w:tcBorders>
            <w:noWrap/>
            <w:vAlign w:val="center"/>
          </w:tcPr>
          <w:p w14:paraId="27A7395C" w14:textId="77777777" w:rsidR="00AC6D9F" w:rsidRPr="009949E8" w:rsidRDefault="00AC6D9F" w:rsidP="00661152">
            <w:pPr>
              <w:spacing w:line="240" w:lineRule="auto"/>
              <w:jc w:val="center"/>
              <w:rPr>
                <w:color w:val="000000"/>
                <w:sz w:val="18"/>
                <w:szCs w:val="18"/>
              </w:rPr>
            </w:pPr>
            <w:r w:rsidRPr="009949E8">
              <w:rPr>
                <w:color w:val="000000"/>
                <w:sz w:val="18"/>
                <w:szCs w:val="18"/>
              </w:rPr>
              <w:t>215,831.9 (65,184.6 - 620,458.3)</w:t>
            </w:r>
          </w:p>
        </w:tc>
        <w:tc>
          <w:tcPr>
            <w:tcW w:w="1332" w:type="dxa"/>
            <w:tcBorders>
              <w:top w:val="single" w:sz="4" w:space="0" w:color="auto"/>
              <w:left w:val="single" w:sz="4" w:space="0" w:color="auto"/>
              <w:bottom w:val="single" w:sz="4" w:space="0" w:color="auto"/>
              <w:right w:val="single" w:sz="4" w:space="0" w:color="auto"/>
            </w:tcBorders>
            <w:noWrap/>
            <w:vAlign w:val="center"/>
          </w:tcPr>
          <w:p w14:paraId="55504959" w14:textId="77777777" w:rsidR="00AC6D9F" w:rsidRPr="009949E8" w:rsidRDefault="00AC6D9F" w:rsidP="00661152">
            <w:pPr>
              <w:spacing w:line="240" w:lineRule="auto"/>
              <w:jc w:val="center"/>
              <w:rPr>
                <w:color w:val="000000"/>
                <w:sz w:val="18"/>
                <w:szCs w:val="18"/>
              </w:rPr>
            </w:pPr>
            <w:r w:rsidRPr="009949E8">
              <w:rPr>
                <w:color w:val="000000"/>
                <w:sz w:val="18"/>
                <w:szCs w:val="18"/>
              </w:rPr>
              <w:t>198,639 (8,252.5 - 16,954,757)</w:t>
            </w:r>
          </w:p>
        </w:tc>
      </w:tr>
      <w:tr w:rsidR="00AC6D9F" w:rsidRPr="00026A18" w14:paraId="24A389EF" w14:textId="77777777" w:rsidTr="00661152">
        <w:trPr>
          <w:trHeight w:val="638"/>
        </w:trPr>
        <w:tc>
          <w:tcPr>
            <w:tcW w:w="1020" w:type="dxa"/>
            <w:vAlign w:val="center"/>
          </w:tcPr>
          <w:p w14:paraId="1354003E"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1899F490"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6547E7F7"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129ADCA7" w14:textId="77777777" w:rsidR="00AC6D9F" w:rsidRPr="009949E8" w:rsidRDefault="00AC6D9F" w:rsidP="00661152">
            <w:pPr>
              <w:spacing w:line="240" w:lineRule="auto"/>
              <w:jc w:val="center"/>
              <w:rPr>
                <w:color w:val="000000"/>
                <w:sz w:val="18"/>
                <w:szCs w:val="18"/>
              </w:rPr>
            </w:pPr>
            <w:r w:rsidRPr="009949E8">
              <w:rPr>
                <w:color w:val="000000"/>
                <w:sz w:val="18"/>
                <w:szCs w:val="18"/>
              </w:rPr>
              <w:t>10.3 (2.1 - 28.7)</w:t>
            </w:r>
          </w:p>
        </w:tc>
        <w:tc>
          <w:tcPr>
            <w:tcW w:w="1050" w:type="dxa"/>
            <w:tcBorders>
              <w:top w:val="single" w:sz="4" w:space="0" w:color="auto"/>
              <w:left w:val="single" w:sz="4" w:space="0" w:color="auto"/>
              <w:bottom w:val="single" w:sz="4" w:space="0" w:color="auto"/>
              <w:right w:val="single" w:sz="4" w:space="0" w:color="auto"/>
            </w:tcBorders>
            <w:noWrap/>
            <w:vAlign w:val="center"/>
          </w:tcPr>
          <w:p w14:paraId="5A0FB80D" w14:textId="77777777" w:rsidR="00AC6D9F" w:rsidRPr="009949E8" w:rsidRDefault="00AC6D9F" w:rsidP="00661152">
            <w:pPr>
              <w:spacing w:line="240" w:lineRule="auto"/>
              <w:jc w:val="center"/>
              <w:rPr>
                <w:color w:val="000000"/>
                <w:sz w:val="18"/>
                <w:szCs w:val="18"/>
              </w:rPr>
            </w:pPr>
            <w:r w:rsidRPr="009949E8">
              <w:rPr>
                <w:color w:val="000000"/>
                <w:sz w:val="18"/>
                <w:szCs w:val="18"/>
              </w:rPr>
              <w:t>54 (11 - 231)</w:t>
            </w:r>
          </w:p>
        </w:tc>
        <w:tc>
          <w:tcPr>
            <w:tcW w:w="1050" w:type="dxa"/>
            <w:tcBorders>
              <w:top w:val="single" w:sz="4" w:space="0" w:color="auto"/>
              <w:left w:val="single" w:sz="4" w:space="0" w:color="auto"/>
              <w:bottom w:val="single" w:sz="4" w:space="0" w:color="auto"/>
              <w:right w:val="single" w:sz="4" w:space="0" w:color="auto"/>
            </w:tcBorders>
            <w:noWrap/>
            <w:vAlign w:val="center"/>
          </w:tcPr>
          <w:p w14:paraId="2814AC35"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3C1F2CCB" w14:textId="77777777" w:rsidR="00AC6D9F" w:rsidRPr="009949E8" w:rsidRDefault="00AC6D9F" w:rsidP="00661152">
            <w:pPr>
              <w:spacing w:line="240" w:lineRule="auto"/>
              <w:jc w:val="center"/>
              <w:rPr>
                <w:color w:val="000000"/>
                <w:sz w:val="18"/>
                <w:szCs w:val="18"/>
              </w:rPr>
            </w:pPr>
            <w:r w:rsidRPr="009949E8">
              <w:rPr>
                <w:color w:val="000000"/>
                <w:sz w:val="18"/>
                <w:szCs w:val="18"/>
              </w:rPr>
              <w:t>0.259 (0.038 - 1.24)</w:t>
            </w:r>
          </w:p>
        </w:tc>
        <w:tc>
          <w:tcPr>
            <w:tcW w:w="1332" w:type="dxa"/>
            <w:tcBorders>
              <w:top w:val="single" w:sz="4" w:space="0" w:color="auto"/>
              <w:left w:val="single" w:sz="4" w:space="0" w:color="auto"/>
              <w:bottom w:val="single" w:sz="4" w:space="0" w:color="auto"/>
              <w:right w:val="single" w:sz="4" w:space="0" w:color="auto"/>
            </w:tcBorders>
            <w:noWrap/>
            <w:vAlign w:val="center"/>
          </w:tcPr>
          <w:p w14:paraId="130642C9" w14:textId="77777777" w:rsidR="00AC6D9F" w:rsidRPr="009949E8" w:rsidRDefault="00AC6D9F" w:rsidP="00661152">
            <w:pPr>
              <w:spacing w:line="240" w:lineRule="auto"/>
              <w:jc w:val="center"/>
              <w:rPr>
                <w:color w:val="000000"/>
                <w:sz w:val="18"/>
                <w:szCs w:val="18"/>
              </w:rPr>
            </w:pPr>
            <w:r w:rsidRPr="009949E8">
              <w:rPr>
                <w:color w:val="000000"/>
                <w:sz w:val="18"/>
                <w:szCs w:val="18"/>
              </w:rPr>
              <w:t>0 (0 - 0.012)</w:t>
            </w:r>
          </w:p>
        </w:tc>
        <w:tc>
          <w:tcPr>
            <w:tcW w:w="1332" w:type="dxa"/>
            <w:tcBorders>
              <w:top w:val="single" w:sz="4" w:space="0" w:color="auto"/>
              <w:left w:val="single" w:sz="4" w:space="0" w:color="auto"/>
              <w:bottom w:val="single" w:sz="4" w:space="0" w:color="auto"/>
              <w:right w:val="single" w:sz="4" w:space="0" w:color="auto"/>
            </w:tcBorders>
            <w:noWrap/>
            <w:vAlign w:val="center"/>
          </w:tcPr>
          <w:p w14:paraId="723CE718" w14:textId="77777777" w:rsidR="00AC6D9F" w:rsidRPr="009949E8" w:rsidRDefault="00AC6D9F" w:rsidP="00661152">
            <w:pPr>
              <w:spacing w:line="240" w:lineRule="auto"/>
              <w:jc w:val="center"/>
              <w:rPr>
                <w:color w:val="000000"/>
                <w:sz w:val="18"/>
                <w:szCs w:val="18"/>
              </w:rPr>
            </w:pPr>
            <w:r w:rsidRPr="009949E8">
              <w:rPr>
                <w:color w:val="000000"/>
                <w:sz w:val="18"/>
                <w:szCs w:val="18"/>
              </w:rPr>
              <w:t>10,101.9 (2,092.8 - 42,930.9)</w:t>
            </w:r>
          </w:p>
        </w:tc>
        <w:tc>
          <w:tcPr>
            <w:tcW w:w="1332" w:type="dxa"/>
            <w:tcBorders>
              <w:top w:val="single" w:sz="4" w:space="0" w:color="auto"/>
              <w:left w:val="single" w:sz="4" w:space="0" w:color="auto"/>
              <w:bottom w:val="single" w:sz="4" w:space="0" w:color="auto"/>
              <w:right w:val="single" w:sz="4" w:space="0" w:color="auto"/>
            </w:tcBorders>
            <w:noWrap/>
            <w:vAlign w:val="center"/>
          </w:tcPr>
          <w:p w14:paraId="257A67E6" w14:textId="77777777" w:rsidR="00AC6D9F" w:rsidRPr="009949E8" w:rsidRDefault="00AC6D9F" w:rsidP="00661152">
            <w:pPr>
              <w:spacing w:line="240" w:lineRule="auto"/>
              <w:jc w:val="center"/>
              <w:rPr>
                <w:color w:val="000000"/>
                <w:sz w:val="18"/>
                <w:szCs w:val="18"/>
              </w:rPr>
            </w:pPr>
            <w:r w:rsidRPr="009949E8">
              <w:rPr>
                <w:color w:val="000000"/>
                <w:sz w:val="18"/>
                <w:szCs w:val="18"/>
              </w:rPr>
              <w:t>210,691.7 (67,994.5 - 622,425.5)</w:t>
            </w:r>
          </w:p>
        </w:tc>
        <w:tc>
          <w:tcPr>
            <w:tcW w:w="1332" w:type="dxa"/>
            <w:tcBorders>
              <w:top w:val="single" w:sz="4" w:space="0" w:color="auto"/>
              <w:left w:val="single" w:sz="4" w:space="0" w:color="auto"/>
              <w:bottom w:val="single" w:sz="4" w:space="0" w:color="auto"/>
              <w:right w:val="single" w:sz="4" w:space="0" w:color="auto"/>
            </w:tcBorders>
            <w:noWrap/>
            <w:vAlign w:val="center"/>
          </w:tcPr>
          <w:p w14:paraId="63F0B6D9" w14:textId="77777777" w:rsidR="00AC6D9F" w:rsidRPr="009949E8" w:rsidRDefault="00AC6D9F" w:rsidP="00661152">
            <w:pPr>
              <w:spacing w:line="240" w:lineRule="auto"/>
              <w:jc w:val="center"/>
              <w:rPr>
                <w:color w:val="000000"/>
                <w:sz w:val="18"/>
                <w:szCs w:val="18"/>
              </w:rPr>
            </w:pPr>
            <w:r w:rsidRPr="009949E8">
              <w:rPr>
                <w:color w:val="000000"/>
                <w:sz w:val="18"/>
                <w:szCs w:val="18"/>
              </w:rPr>
              <w:t>811,607 (9,322.7 - 25,818,971)</w:t>
            </w:r>
          </w:p>
        </w:tc>
      </w:tr>
      <w:tr w:rsidR="00AC6D9F" w:rsidRPr="00026A18" w14:paraId="2712333D" w14:textId="77777777" w:rsidTr="00661152">
        <w:trPr>
          <w:trHeight w:val="638"/>
        </w:trPr>
        <w:tc>
          <w:tcPr>
            <w:tcW w:w="1020" w:type="dxa"/>
            <w:vAlign w:val="center"/>
          </w:tcPr>
          <w:p w14:paraId="30EF6D44"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6C3FA291"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604C7ED9"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71AB3381" w14:textId="77777777" w:rsidR="00AC6D9F" w:rsidRPr="009949E8" w:rsidRDefault="00AC6D9F" w:rsidP="00661152">
            <w:pPr>
              <w:spacing w:line="240" w:lineRule="auto"/>
              <w:jc w:val="center"/>
              <w:rPr>
                <w:color w:val="000000"/>
                <w:sz w:val="18"/>
                <w:szCs w:val="18"/>
              </w:rPr>
            </w:pPr>
            <w:r w:rsidRPr="009949E8">
              <w:rPr>
                <w:color w:val="000000"/>
                <w:sz w:val="18"/>
                <w:szCs w:val="18"/>
              </w:rPr>
              <w:t>6.2 (0.9 - 22)</w:t>
            </w:r>
          </w:p>
        </w:tc>
        <w:tc>
          <w:tcPr>
            <w:tcW w:w="1050" w:type="dxa"/>
            <w:tcBorders>
              <w:top w:val="single" w:sz="4" w:space="0" w:color="auto"/>
              <w:left w:val="single" w:sz="4" w:space="0" w:color="auto"/>
              <w:bottom w:val="single" w:sz="4" w:space="0" w:color="auto"/>
              <w:right w:val="single" w:sz="4" w:space="0" w:color="auto"/>
            </w:tcBorders>
            <w:noWrap/>
            <w:vAlign w:val="center"/>
          </w:tcPr>
          <w:p w14:paraId="4FE3D28D" w14:textId="77777777" w:rsidR="00AC6D9F" w:rsidRPr="009949E8" w:rsidRDefault="00AC6D9F" w:rsidP="00661152">
            <w:pPr>
              <w:spacing w:line="240" w:lineRule="auto"/>
              <w:jc w:val="center"/>
              <w:rPr>
                <w:color w:val="000000"/>
                <w:sz w:val="18"/>
                <w:szCs w:val="18"/>
              </w:rPr>
            </w:pPr>
            <w:bookmarkStart w:id="32" w:name="_Hlk207111605"/>
            <w:r w:rsidRPr="009949E8">
              <w:rPr>
                <w:color w:val="000000"/>
                <w:sz w:val="18"/>
                <w:szCs w:val="18"/>
              </w:rPr>
              <w:t>35 (4 - 201)</w:t>
            </w:r>
            <w:bookmarkEnd w:id="32"/>
          </w:p>
        </w:tc>
        <w:tc>
          <w:tcPr>
            <w:tcW w:w="1050" w:type="dxa"/>
            <w:tcBorders>
              <w:top w:val="single" w:sz="4" w:space="0" w:color="auto"/>
              <w:left w:val="single" w:sz="4" w:space="0" w:color="auto"/>
              <w:bottom w:val="single" w:sz="4" w:space="0" w:color="auto"/>
              <w:right w:val="single" w:sz="4" w:space="0" w:color="auto"/>
            </w:tcBorders>
            <w:noWrap/>
            <w:vAlign w:val="center"/>
          </w:tcPr>
          <w:p w14:paraId="72113A45" w14:textId="77777777" w:rsidR="00AC6D9F" w:rsidRPr="009949E8" w:rsidRDefault="00AC6D9F" w:rsidP="00661152">
            <w:pPr>
              <w:spacing w:line="240" w:lineRule="auto"/>
              <w:jc w:val="center"/>
              <w:rPr>
                <w:color w:val="000000"/>
                <w:sz w:val="18"/>
                <w:szCs w:val="18"/>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19F55B1C" w14:textId="77777777" w:rsidR="00AC6D9F" w:rsidRPr="009949E8" w:rsidRDefault="00AC6D9F" w:rsidP="00661152">
            <w:pPr>
              <w:spacing w:line="240" w:lineRule="auto"/>
              <w:jc w:val="center"/>
              <w:rPr>
                <w:color w:val="000000"/>
                <w:sz w:val="18"/>
                <w:szCs w:val="18"/>
              </w:rPr>
            </w:pPr>
            <w:r w:rsidRPr="009949E8">
              <w:rPr>
                <w:color w:val="000000"/>
                <w:sz w:val="18"/>
                <w:szCs w:val="18"/>
              </w:rPr>
              <w:t>0.173 (0.016 - 0.904)</w:t>
            </w:r>
          </w:p>
        </w:tc>
        <w:tc>
          <w:tcPr>
            <w:tcW w:w="1332" w:type="dxa"/>
            <w:tcBorders>
              <w:top w:val="single" w:sz="4" w:space="0" w:color="auto"/>
              <w:left w:val="single" w:sz="4" w:space="0" w:color="auto"/>
              <w:bottom w:val="single" w:sz="4" w:space="0" w:color="auto"/>
              <w:right w:val="single" w:sz="4" w:space="0" w:color="auto"/>
            </w:tcBorders>
            <w:noWrap/>
            <w:vAlign w:val="center"/>
          </w:tcPr>
          <w:p w14:paraId="74B50654" w14:textId="77777777" w:rsidR="00AC6D9F" w:rsidRPr="009949E8" w:rsidRDefault="00AC6D9F" w:rsidP="00661152">
            <w:pPr>
              <w:spacing w:line="240" w:lineRule="auto"/>
              <w:jc w:val="center"/>
              <w:rPr>
                <w:color w:val="000000"/>
                <w:sz w:val="18"/>
                <w:szCs w:val="18"/>
              </w:rPr>
            </w:pPr>
            <w:r w:rsidRPr="009949E8">
              <w:rPr>
                <w:color w:val="000000"/>
                <w:sz w:val="18"/>
                <w:szCs w:val="18"/>
              </w:rPr>
              <w:t>0 (0 - 0.009)</w:t>
            </w:r>
          </w:p>
        </w:tc>
        <w:tc>
          <w:tcPr>
            <w:tcW w:w="1332" w:type="dxa"/>
            <w:tcBorders>
              <w:top w:val="single" w:sz="4" w:space="0" w:color="auto"/>
              <w:left w:val="single" w:sz="4" w:space="0" w:color="auto"/>
              <w:bottom w:val="single" w:sz="4" w:space="0" w:color="auto"/>
              <w:right w:val="single" w:sz="4" w:space="0" w:color="auto"/>
            </w:tcBorders>
            <w:noWrap/>
            <w:vAlign w:val="center"/>
          </w:tcPr>
          <w:p w14:paraId="5FC0B774" w14:textId="77777777" w:rsidR="00AC6D9F" w:rsidRPr="009949E8" w:rsidRDefault="00AC6D9F" w:rsidP="00661152">
            <w:pPr>
              <w:spacing w:line="240" w:lineRule="auto"/>
              <w:jc w:val="center"/>
              <w:rPr>
                <w:color w:val="000000"/>
                <w:sz w:val="18"/>
                <w:szCs w:val="18"/>
              </w:rPr>
            </w:pPr>
            <w:r w:rsidRPr="009949E8">
              <w:rPr>
                <w:color w:val="000000"/>
                <w:sz w:val="18"/>
                <w:szCs w:val="18"/>
              </w:rPr>
              <w:t>12,592.8 (2,615.5 - 52,489.2)</w:t>
            </w:r>
          </w:p>
        </w:tc>
        <w:tc>
          <w:tcPr>
            <w:tcW w:w="1332" w:type="dxa"/>
            <w:tcBorders>
              <w:top w:val="single" w:sz="4" w:space="0" w:color="auto"/>
              <w:left w:val="single" w:sz="4" w:space="0" w:color="auto"/>
              <w:bottom w:val="single" w:sz="4" w:space="0" w:color="auto"/>
              <w:right w:val="single" w:sz="4" w:space="0" w:color="auto"/>
            </w:tcBorders>
            <w:noWrap/>
            <w:vAlign w:val="center"/>
          </w:tcPr>
          <w:p w14:paraId="7F4ACF8D" w14:textId="77777777" w:rsidR="00AC6D9F" w:rsidRPr="009949E8" w:rsidRDefault="00AC6D9F" w:rsidP="00661152">
            <w:pPr>
              <w:spacing w:line="240" w:lineRule="auto"/>
              <w:jc w:val="center"/>
              <w:rPr>
                <w:color w:val="000000"/>
                <w:sz w:val="18"/>
                <w:szCs w:val="18"/>
              </w:rPr>
            </w:pPr>
            <w:r w:rsidRPr="009949E8">
              <w:rPr>
                <w:color w:val="000000"/>
                <w:sz w:val="18"/>
                <w:szCs w:val="18"/>
              </w:rPr>
              <w:t>233,542.4 (73,765.9 - 651,742.6)</w:t>
            </w:r>
          </w:p>
        </w:tc>
        <w:tc>
          <w:tcPr>
            <w:tcW w:w="1332" w:type="dxa"/>
            <w:tcBorders>
              <w:top w:val="single" w:sz="4" w:space="0" w:color="auto"/>
              <w:left w:val="single" w:sz="4" w:space="0" w:color="auto"/>
              <w:bottom w:val="single" w:sz="4" w:space="0" w:color="auto"/>
              <w:right w:val="single" w:sz="4" w:space="0" w:color="auto"/>
            </w:tcBorders>
            <w:noWrap/>
            <w:vAlign w:val="center"/>
          </w:tcPr>
          <w:p w14:paraId="7409626F" w14:textId="77777777" w:rsidR="00AC6D9F" w:rsidRPr="009949E8" w:rsidRDefault="00AC6D9F" w:rsidP="00661152">
            <w:pPr>
              <w:spacing w:line="240" w:lineRule="auto"/>
              <w:jc w:val="center"/>
              <w:rPr>
                <w:color w:val="000000"/>
                <w:sz w:val="18"/>
                <w:szCs w:val="18"/>
              </w:rPr>
            </w:pPr>
            <w:r w:rsidRPr="009949E8">
              <w:rPr>
                <w:color w:val="000000"/>
                <w:sz w:val="18"/>
                <w:szCs w:val="18"/>
              </w:rPr>
              <w:t>1,513,291 (11,664.8 - 35,255,081)</w:t>
            </w:r>
          </w:p>
        </w:tc>
      </w:tr>
      <w:bookmarkEnd w:id="27"/>
    </w:tbl>
    <w:p w14:paraId="004468D5" w14:textId="77777777" w:rsidR="00AC6D9F" w:rsidRDefault="00AC6D9F" w:rsidP="00AC6D9F">
      <w:pPr>
        <w:rPr>
          <w:rFonts w:ascii="Aptos" w:hAnsi="Aptos" w:cs="Cambria Math"/>
        </w:rPr>
      </w:pPr>
    </w:p>
    <w:p w14:paraId="6471482E" w14:textId="77777777" w:rsidR="00AC6D9F" w:rsidRDefault="00AC6D9F" w:rsidP="008C7930"/>
    <w:p w14:paraId="21BF7780" w14:textId="77777777" w:rsidR="00087F0D" w:rsidRDefault="00087F0D" w:rsidP="008C7930"/>
    <w:p w14:paraId="561FC030" w14:textId="77777777" w:rsidR="00087F0D" w:rsidRDefault="00087F0D" w:rsidP="008C7930"/>
    <w:p w14:paraId="71635162" w14:textId="77777777" w:rsidR="00087F0D" w:rsidRDefault="00087F0D" w:rsidP="008C7930"/>
    <w:p w14:paraId="5E94936A" w14:textId="77777777" w:rsidR="00087F0D" w:rsidRDefault="00087F0D" w:rsidP="008C7930">
      <w:pPr>
        <w:sectPr w:rsidR="00087F0D" w:rsidSect="003C1304">
          <w:pgSz w:w="15840" w:h="12240" w:orient="landscape"/>
          <w:pgMar w:top="1440" w:right="1440" w:bottom="1440" w:left="1440" w:header="720" w:footer="720" w:gutter="0"/>
          <w:cols w:space="720"/>
          <w:docGrid w:linePitch="360"/>
        </w:sectPr>
      </w:pPr>
    </w:p>
    <w:p w14:paraId="5F3C5F4C" w14:textId="535D7D4B" w:rsidR="005E7D1D" w:rsidRDefault="005E7D1D" w:rsidP="005E7D1D">
      <w:pPr>
        <w:pStyle w:val="Heading3"/>
        <w:rPr>
          <w:color w:val="auto"/>
        </w:rPr>
      </w:pPr>
      <w:bookmarkStart w:id="33" w:name="_Toc208578235"/>
      <w:r w:rsidRPr="00A436ED">
        <w:rPr>
          <w:color w:val="auto"/>
        </w:rPr>
        <w:lastRenderedPageBreak/>
        <w:t>Figure S</w:t>
      </w:r>
      <w:r>
        <w:rPr>
          <w:rFonts w:hint="eastAsia"/>
          <w:color w:val="auto"/>
        </w:rPr>
        <w:t>4</w:t>
      </w:r>
      <w:bookmarkEnd w:id="33"/>
    </w:p>
    <w:p w14:paraId="04E83D6D" w14:textId="40558520" w:rsidR="00087F0D" w:rsidRDefault="00087F0D" w:rsidP="00087F0D">
      <w:pPr>
        <w:rPr>
          <w:rFonts w:ascii="Aptos" w:hAnsi="Aptos" w:cs="Cambria Math"/>
        </w:rPr>
      </w:pPr>
      <w:r>
        <w:rPr>
          <w:rFonts w:ascii="Aptos" w:hAnsi="Aptos" w:cs="Cambria Math" w:hint="eastAsia"/>
        </w:rPr>
        <w:t>Percentage cases averted (A</w:t>
      </w:r>
      <w:proofErr w:type="gramStart"/>
      <w:r>
        <w:rPr>
          <w:rFonts w:ascii="Aptos" w:hAnsi="Aptos" w:cs="Cambria Math" w:hint="eastAsia"/>
        </w:rPr>
        <w:t>)</w:t>
      </w:r>
      <w:proofErr w:type="gramEnd"/>
      <w:r>
        <w:rPr>
          <w:rFonts w:ascii="Aptos" w:hAnsi="Aptos" w:cs="Cambria Math" w:hint="eastAsia"/>
        </w:rPr>
        <w:t xml:space="preserve"> and number of cases averted per 1,000 OCVs (B) across sampled outbreaks. Outbreaks that fall in </w:t>
      </w:r>
      <w:r>
        <w:rPr>
          <w:rFonts w:ascii="Aptos" w:hAnsi="Aptos" w:cs="Cambria Math"/>
        </w:rPr>
        <w:t>the</w:t>
      </w:r>
      <w:r>
        <w:rPr>
          <w:rFonts w:ascii="Aptos" w:hAnsi="Aptos" w:cs="Cambria Math" w:hint="eastAsia"/>
        </w:rPr>
        <w:t xml:space="preserve"> top quartile in terms of duration were included such that ORI initiated at week 15.</w:t>
      </w:r>
      <w:r w:rsidRPr="00D325A0">
        <w:t xml:space="preserve"> </w:t>
      </w:r>
      <w:r w:rsidRPr="00D325A0">
        <w:rPr>
          <w:rFonts w:ascii="Aptos" w:hAnsi="Aptos" w:cs="Cambria Math"/>
        </w:rPr>
        <w:t>Analyses are restricted to outbreaks in the top quartile of duration</w:t>
      </w:r>
      <w:r>
        <w:rPr>
          <w:rFonts w:ascii="Aptos" w:hAnsi="Aptos" w:cs="Cambria Math" w:hint="eastAsia"/>
        </w:rPr>
        <w:t xml:space="preserve">, allowing sufficient time for </w:t>
      </w:r>
      <w:r w:rsidRPr="00D325A0">
        <w:rPr>
          <w:rFonts w:ascii="Aptos" w:hAnsi="Aptos" w:cs="Cambria Math"/>
        </w:rPr>
        <w:t>ORI initiated at week 15</w:t>
      </w:r>
      <w:r>
        <w:rPr>
          <w:rFonts w:ascii="Aptos" w:hAnsi="Aptos" w:cs="Cambria Math" w:hint="eastAsia"/>
        </w:rPr>
        <w:t xml:space="preserve"> to take effect</w:t>
      </w:r>
      <w:r w:rsidRPr="00D325A0">
        <w:rPr>
          <w:rFonts w:ascii="Aptos" w:hAnsi="Aptos" w:cs="Cambria Math"/>
        </w:rPr>
        <w:t>.</w:t>
      </w:r>
    </w:p>
    <w:p w14:paraId="5C8931FF" w14:textId="77777777" w:rsidR="00087F0D" w:rsidRDefault="00087F0D" w:rsidP="00087F0D">
      <w:pPr>
        <w:rPr>
          <w:rFonts w:ascii="Aptos" w:hAnsi="Aptos" w:cs="Cambria Math"/>
        </w:rPr>
      </w:pPr>
      <w:r w:rsidRPr="003B5091">
        <w:rPr>
          <w:rFonts w:ascii="Aptos" w:hAnsi="Aptos" w:cs="Cambria Math" w:hint="eastAsia"/>
        </w:rPr>
        <w:t xml:space="preserve"> </w:t>
      </w:r>
    </w:p>
    <w:p w14:paraId="164FF4B5" w14:textId="77777777" w:rsidR="00087F0D" w:rsidRDefault="00087F0D" w:rsidP="00087F0D">
      <w:pPr>
        <w:rPr>
          <w:rFonts w:ascii="Aptos" w:hAnsi="Aptos" w:cs="Cambria Math"/>
          <w:b/>
          <w:bCs/>
        </w:rPr>
      </w:pPr>
      <w:r>
        <w:rPr>
          <w:noProof/>
        </w:rPr>
        <w:drawing>
          <wp:inline distT="0" distB="0" distL="0" distR="0" wp14:anchorId="146B7AE7" wp14:editId="7A56BDC4">
            <wp:extent cx="6000750" cy="3299460"/>
            <wp:effectExtent l="0" t="0" r="0" b="0"/>
            <wp:docPr id="168217673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76739" name="Picture 1" descr="A graph of different colored lines&#10;&#10;AI-generated content may be incorrect."/>
                    <pic:cNvPicPr/>
                  </pic:nvPicPr>
                  <pic:blipFill>
                    <a:blip r:embed="rId14"/>
                    <a:stretch>
                      <a:fillRect/>
                    </a:stretch>
                  </pic:blipFill>
                  <pic:spPr>
                    <a:xfrm>
                      <a:off x="0" y="0"/>
                      <a:ext cx="6000750" cy="3299460"/>
                    </a:xfrm>
                    <a:prstGeom prst="rect">
                      <a:avLst/>
                    </a:prstGeom>
                  </pic:spPr>
                </pic:pic>
              </a:graphicData>
            </a:graphic>
          </wp:inline>
        </w:drawing>
      </w:r>
    </w:p>
    <w:p w14:paraId="15053A53" w14:textId="77777777" w:rsidR="00087F0D" w:rsidRDefault="00087F0D" w:rsidP="008C7930">
      <w:pPr>
        <w:sectPr w:rsidR="00087F0D" w:rsidSect="00087F0D">
          <w:pgSz w:w="12240" w:h="15840"/>
          <w:pgMar w:top="1440" w:right="1440" w:bottom="1440" w:left="1440" w:header="720" w:footer="720" w:gutter="0"/>
          <w:cols w:space="720"/>
          <w:docGrid w:linePitch="360"/>
        </w:sectPr>
      </w:pPr>
    </w:p>
    <w:p w14:paraId="466C8184" w14:textId="30FD6DCC" w:rsidR="00030153" w:rsidRPr="00A436ED" w:rsidRDefault="00030153" w:rsidP="00030153">
      <w:pPr>
        <w:pStyle w:val="Heading3"/>
        <w:rPr>
          <w:color w:val="auto"/>
        </w:rPr>
      </w:pPr>
      <w:bookmarkStart w:id="34" w:name="_Toc208578236"/>
      <w:r w:rsidRPr="00A436ED">
        <w:rPr>
          <w:color w:val="auto"/>
        </w:rPr>
        <w:lastRenderedPageBreak/>
        <w:t>Table S</w:t>
      </w:r>
      <w:r w:rsidR="006C6FCD">
        <w:rPr>
          <w:rFonts w:hint="eastAsia"/>
          <w:color w:val="auto"/>
        </w:rPr>
        <w:t>3</w:t>
      </w:r>
      <w:bookmarkEnd w:id="34"/>
      <w:r w:rsidRPr="00A436ED">
        <w:rPr>
          <w:color w:val="auto"/>
        </w:rPr>
        <w:t xml:space="preserve"> </w:t>
      </w:r>
    </w:p>
    <w:p w14:paraId="5FA93E5D" w14:textId="3DC875E8" w:rsidR="00030153" w:rsidRDefault="001575D5" w:rsidP="00030153">
      <w:pPr>
        <w:rPr>
          <w:rFonts w:ascii="Aptos" w:hAnsi="Aptos" w:cs="Aptos" w:hint="eastAsia"/>
        </w:rPr>
      </w:pPr>
      <w:r w:rsidRPr="0092473E">
        <w:rPr>
          <w:rFonts w:ascii="Aptos" w:hAnsi="Aptos" w:cs="Aptos"/>
        </w:rPr>
        <w:t>Impact of ORI under the outbreak onset-triggered scenario</w:t>
      </w:r>
      <w:r w:rsidR="005E28FC">
        <w:rPr>
          <w:rFonts w:ascii="Aptos" w:hAnsi="Aptos" w:cs="Aptos" w:hint="eastAsia"/>
        </w:rPr>
        <w:t xml:space="preserve"> for aggregated outbreaks </w:t>
      </w:r>
      <w:r w:rsidR="005E28FC" w:rsidRPr="005E28FC">
        <w:rPr>
          <w:rFonts w:ascii="Aptos" w:hAnsi="Aptos" w:cs="Aptos"/>
        </w:rPr>
        <w:t>reflect</w:t>
      </w:r>
      <w:r w:rsidR="005E28FC">
        <w:rPr>
          <w:rFonts w:ascii="Aptos" w:hAnsi="Aptos" w:cs="Aptos" w:hint="eastAsia"/>
        </w:rPr>
        <w:t>ing</w:t>
      </w:r>
      <w:r w:rsidR="005E28FC" w:rsidRPr="005E28FC">
        <w:rPr>
          <w:rFonts w:ascii="Aptos" w:hAnsi="Aptos" w:cs="Aptos"/>
        </w:rPr>
        <w:t xml:space="preserve"> the volume of OCVs deployed through the global stockpile</w:t>
      </w:r>
      <w:r w:rsidR="005E28FC">
        <w:rPr>
          <w:rFonts w:ascii="Aptos" w:hAnsi="Aptos" w:cs="Aptos" w:hint="eastAsia"/>
        </w:rPr>
        <w:t>.</w:t>
      </w:r>
      <w:r w:rsidR="005E28FC" w:rsidRPr="005E28FC">
        <w:rPr>
          <w:rFonts w:ascii="Aptos" w:hAnsi="Aptos" w:cs="Aptos"/>
        </w:rPr>
        <w:t xml:space="preserve"> </w:t>
      </w:r>
      <w:r w:rsidRPr="0092473E">
        <w:rPr>
          <w:rFonts w:ascii="Aptos" w:hAnsi="Aptos" w:cs="Aptos"/>
        </w:rPr>
        <w:t>Values represent medians with interquartile ranges</w:t>
      </w:r>
      <w:r>
        <w:rPr>
          <w:rFonts w:ascii="Aptos" w:hAnsi="Aptos" w:cs="Aptos" w:hint="eastAsia"/>
        </w:rPr>
        <w:t xml:space="preserve"> (IQRs).</w:t>
      </w:r>
      <w:r w:rsidR="000618FD">
        <w:rPr>
          <w:rFonts w:ascii="Aptos" w:hAnsi="Aptos" w:cs="Aptos" w:hint="eastAsia"/>
        </w:rPr>
        <w:t xml:space="preserve"> Top X% </w:t>
      </w:r>
      <w:proofErr w:type="gramStart"/>
      <w:r w:rsidR="000618FD">
        <w:rPr>
          <w:rFonts w:ascii="Aptos" w:hAnsi="Aptos" w:cs="Aptos" w:hint="eastAsia"/>
        </w:rPr>
        <w:t>indicate</w:t>
      </w:r>
      <w:proofErr w:type="gramEnd"/>
      <w:r w:rsidR="000618FD">
        <w:rPr>
          <w:rFonts w:ascii="Aptos" w:hAnsi="Aptos" w:cs="Aptos" w:hint="eastAsia"/>
        </w:rPr>
        <w:t xml:space="preserve"> that outbreaks were sampled from the top X5% of outbreaks in terms of duration</w:t>
      </w:r>
    </w:p>
    <w:tbl>
      <w:tblPr>
        <w:tblStyle w:val="TableGrid"/>
        <w:tblW w:w="13141" w:type="dxa"/>
        <w:tblInd w:w="-5" w:type="dxa"/>
        <w:tblLayout w:type="fixed"/>
        <w:tblLook w:val="04A0" w:firstRow="1" w:lastRow="0" w:firstColumn="1" w:lastColumn="0" w:noHBand="0" w:noVBand="1"/>
      </w:tblPr>
      <w:tblGrid>
        <w:gridCol w:w="810"/>
        <w:gridCol w:w="900"/>
        <w:gridCol w:w="810"/>
        <w:gridCol w:w="1168"/>
        <w:gridCol w:w="1350"/>
        <w:gridCol w:w="1080"/>
        <w:gridCol w:w="1260"/>
        <w:gridCol w:w="1170"/>
        <w:gridCol w:w="1529"/>
        <w:gridCol w:w="1529"/>
        <w:gridCol w:w="1529"/>
        <w:gridCol w:w="6"/>
      </w:tblGrid>
      <w:tr w:rsidR="000618FD" w:rsidRPr="007F0AB9" w14:paraId="5A50B774" w14:textId="77777777" w:rsidTr="004456BB">
        <w:trPr>
          <w:trHeight w:val="300"/>
        </w:trPr>
        <w:tc>
          <w:tcPr>
            <w:tcW w:w="810" w:type="dxa"/>
            <w:tcBorders>
              <w:bottom w:val="single" w:sz="4" w:space="0" w:color="auto"/>
            </w:tcBorders>
            <w:vAlign w:val="center"/>
          </w:tcPr>
          <w:p w14:paraId="56459C96" w14:textId="775E3857" w:rsidR="000618FD" w:rsidRPr="00C07889" w:rsidRDefault="000618FD" w:rsidP="00645381">
            <w:pPr>
              <w:spacing w:line="240" w:lineRule="auto"/>
              <w:jc w:val="center"/>
              <w:rPr>
                <w:rFonts w:eastAsiaTheme="majorEastAsia" w:cs="Arial" w:hint="eastAsia"/>
                <w:sz w:val="18"/>
                <w:szCs w:val="18"/>
              </w:rPr>
            </w:pPr>
            <w:r>
              <w:rPr>
                <w:rFonts w:eastAsiaTheme="majorEastAsia" w:cs="Arial" w:hint="eastAsia"/>
                <w:sz w:val="18"/>
                <w:szCs w:val="18"/>
              </w:rPr>
              <w:t>Outbreak data</w:t>
            </w:r>
          </w:p>
        </w:tc>
        <w:tc>
          <w:tcPr>
            <w:tcW w:w="900" w:type="dxa"/>
            <w:tcBorders>
              <w:bottom w:val="single" w:sz="4" w:space="0" w:color="auto"/>
            </w:tcBorders>
            <w:vAlign w:val="center"/>
          </w:tcPr>
          <w:p w14:paraId="479517F0"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Vaccine coverage</w:t>
            </w:r>
          </w:p>
        </w:tc>
        <w:tc>
          <w:tcPr>
            <w:tcW w:w="810" w:type="dxa"/>
            <w:tcBorders>
              <w:bottom w:val="single" w:sz="4" w:space="0" w:color="auto"/>
            </w:tcBorders>
          </w:tcPr>
          <w:p w14:paraId="2FA3B9AC" w14:textId="387043CC" w:rsidR="000618FD" w:rsidRPr="000618FD" w:rsidRDefault="000618FD" w:rsidP="00645381">
            <w:pPr>
              <w:spacing w:line="240" w:lineRule="auto"/>
              <w:jc w:val="center"/>
              <w:rPr>
                <w:rFonts w:eastAsiaTheme="majorEastAsia" w:cs="Arial" w:hint="eastAsia"/>
                <w:sz w:val="20"/>
                <w:szCs w:val="20"/>
              </w:rPr>
            </w:pPr>
            <w:r>
              <w:rPr>
                <w:rFonts w:eastAsiaTheme="majorEastAsia" w:cs="Arial" w:hint="eastAsia"/>
                <w:sz w:val="20"/>
                <w:szCs w:val="20"/>
              </w:rPr>
              <w:t>Campaign week</w:t>
            </w:r>
          </w:p>
        </w:tc>
        <w:tc>
          <w:tcPr>
            <w:tcW w:w="1168" w:type="dxa"/>
            <w:tcBorders>
              <w:bottom w:val="single" w:sz="4" w:space="0" w:color="auto"/>
            </w:tcBorders>
            <w:vAlign w:val="center"/>
          </w:tcPr>
          <w:p w14:paraId="3DC41CD1" w14:textId="4C8F4700"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 case reduction</w:t>
            </w:r>
          </w:p>
        </w:tc>
        <w:tc>
          <w:tcPr>
            <w:tcW w:w="1350" w:type="dxa"/>
            <w:tcBorders>
              <w:bottom w:val="single" w:sz="4" w:space="0" w:color="auto"/>
            </w:tcBorders>
            <w:noWrap/>
            <w:vAlign w:val="center"/>
            <w:hideMark/>
          </w:tcPr>
          <w:p w14:paraId="27925478"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Case averted</w:t>
            </w:r>
          </w:p>
        </w:tc>
        <w:tc>
          <w:tcPr>
            <w:tcW w:w="1080" w:type="dxa"/>
            <w:tcBorders>
              <w:bottom w:val="single" w:sz="4" w:space="0" w:color="auto"/>
            </w:tcBorders>
            <w:noWrap/>
            <w:vAlign w:val="center"/>
            <w:hideMark/>
          </w:tcPr>
          <w:p w14:paraId="33BF5191"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Death averted</w:t>
            </w:r>
          </w:p>
        </w:tc>
        <w:tc>
          <w:tcPr>
            <w:tcW w:w="1260" w:type="dxa"/>
            <w:tcBorders>
              <w:bottom w:val="single" w:sz="4" w:space="0" w:color="auto"/>
            </w:tcBorders>
            <w:noWrap/>
            <w:vAlign w:val="center"/>
            <w:hideMark/>
          </w:tcPr>
          <w:p w14:paraId="4DA8F693"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Case averted per</w:t>
            </w:r>
          </w:p>
          <w:p w14:paraId="66084981"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1,000 OCVs</w:t>
            </w:r>
          </w:p>
        </w:tc>
        <w:tc>
          <w:tcPr>
            <w:tcW w:w="1170" w:type="dxa"/>
            <w:tcBorders>
              <w:bottom w:val="single" w:sz="4" w:space="0" w:color="auto"/>
            </w:tcBorders>
            <w:noWrap/>
            <w:vAlign w:val="center"/>
            <w:hideMark/>
          </w:tcPr>
          <w:p w14:paraId="66F8CD7A"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Death averted per 1,000 OCVs</w:t>
            </w:r>
          </w:p>
        </w:tc>
        <w:tc>
          <w:tcPr>
            <w:tcW w:w="1529" w:type="dxa"/>
            <w:tcBorders>
              <w:bottom w:val="single" w:sz="4" w:space="0" w:color="auto"/>
            </w:tcBorders>
            <w:noWrap/>
            <w:vAlign w:val="center"/>
            <w:hideMark/>
          </w:tcPr>
          <w:p w14:paraId="71EFA592"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Cost per case averted</w:t>
            </w:r>
          </w:p>
        </w:tc>
        <w:tc>
          <w:tcPr>
            <w:tcW w:w="1529" w:type="dxa"/>
            <w:tcBorders>
              <w:bottom w:val="single" w:sz="4" w:space="0" w:color="auto"/>
            </w:tcBorders>
            <w:noWrap/>
            <w:vAlign w:val="center"/>
            <w:hideMark/>
          </w:tcPr>
          <w:p w14:paraId="11AFD398"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Cost per death averted</w:t>
            </w:r>
          </w:p>
        </w:tc>
        <w:tc>
          <w:tcPr>
            <w:tcW w:w="1535" w:type="dxa"/>
            <w:gridSpan w:val="2"/>
            <w:tcBorders>
              <w:bottom w:val="single" w:sz="4" w:space="0" w:color="auto"/>
            </w:tcBorders>
            <w:noWrap/>
            <w:vAlign w:val="center"/>
            <w:hideMark/>
          </w:tcPr>
          <w:p w14:paraId="215523F2"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Cost per DALY averted</w:t>
            </w:r>
          </w:p>
        </w:tc>
      </w:tr>
      <w:tr w:rsidR="000618FD" w:rsidRPr="007F0AB9" w14:paraId="4F193099" w14:textId="77777777" w:rsidTr="004456BB">
        <w:trPr>
          <w:trHeight w:val="773"/>
        </w:trPr>
        <w:tc>
          <w:tcPr>
            <w:tcW w:w="810" w:type="dxa"/>
            <w:tcBorders>
              <w:top w:val="single" w:sz="4" w:space="0" w:color="auto"/>
              <w:bottom w:val="nil"/>
              <w:right w:val="single" w:sz="4" w:space="0" w:color="auto"/>
            </w:tcBorders>
            <w:vAlign w:val="center"/>
          </w:tcPr>
          <w:p w14:paraId="659AD459" w14:textId="1271AE41" w:rsidR="000618FD" w:rsidRPr="00C07889" w:rsidRDefault="000618FD" w:rsidP="000618FD">
            <w:pPr>
              <w:spacing w:line="240" w:lineRule="auto"/>
              <w:jc w:val="center"/>
              <w:rPr>
                <w:rFonts w:eastAsiaTheme="majorEastAsia" w:cs="Arial" w:hint="eastAsia"/>
                <w:sz w:val="18"/>
                <w:szCs w:val="18"/>
              </w:rPr>
            </w:pPr>
            <w:r>
              <w:rPr>
                <w:rFonts w:eastAsiaTheme="majorEastAsia" w:hint="eastAsia"/>
                <w:sz w:val="18"/>
                <w:szCs w:val="18"/>
              </w:rPr>
              <w:t>All</w:t>
            </w:r>
          </w:p>
        </w:tc>
        <w:tc>
          <w:tcPr>
            <w:tcW w:w="900" w:type="dxa"/>
            <w:tcBorders>
              <w:top w:val="single" w:sz="4" w:space="0" w:color="auto"/>
              <w:left w:val="single" w:sz="4" w:space="0" w:color="auto"/>
              <w:bottom w:val="nil"/>
              <w:right w:val="single" w:sz="4" w:space="0" w:color="auto"/>
            </w:tcBorders>
            <w:vAlign w:val="center"/>
          </w:tcPr>
          <w:p w14:paraId="7FD15A28" w14:textId="77777777" w:rsidR="000618FD" w:rsidRPr="000618FD" w:rsidRDefault="000618FD" w:rsidP="000618FD">
            <w:pPr>
              <w:spacing w:line="240" w:lineRule="auto"/>
              <w:jc w:val="center"/>
              <w:rPr>
                <w:rFonts w:eastAsiaTheme="majorEastAsia" w:cs="Arial"/>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7DE3B249" w14:textId="765CFE4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1D7CAC17" w14:textId="3716B9D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64.5 (56.1 - 74.8)</w:t>
            </w:r>
          </w:p>
        </w:tc>
        <w:tc>
          <w:tcPr>
            <w:tcW w:w="1350" w:type="dxa"/>
            <w:tcBorders>
              <w:top w:val="single" w:sz="4" w:space="0" w:color="auto"/>
              <w:left w:val="single" w:sz="4" w:space="0" w:color="auto"/>
              <w:bottom w:val="single" w:sz="4" w:space="0" w:color="auto"/>
              <w:right w:val="single" w:sz="4" w:space="0" w:color="auto"/>
            </w:tcBorders>
            <w:noWrap/>
            <w:vAlign w:val="bottom"/>
            <w:hideMark/>
          </w:tcPr>
          <w:p w14:paraId="52E2B610" w14:textId="30667809"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9,802 (8,338 - 11,519)</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E6F5722" w14:textId="370C030C"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124 (100 - 153)</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06E8C97" w14:textId="6E2C10A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0.75 (0.637 - 0.886)</w:t>
            </w:r>
          </w:p>
        </w:tc>
        <w:tc>
          <w:tcPr>
            <w:tcW w:w="1170" w:type="dxa"/>
            <w:tcBorders>
              <w:top w:val="single" w:sz="4" w:space="0" w:color="auto"/>
              <w:left w:val="single" w:sz="4" w:space="0" w:color="auto"/>
              <w:bottom w:val="single" w:sz="4" w:space="0" w:color="auto"/>
              <w:right w:val="single" w:sz="4" w:space="0" w:color="auto"/>
            </w:tcBorders>
            <w:noWrap/>
            <w:vAlign w:val="bottom"/>
          </w:tcPr>
          <w:p w14:paraId="5C146381" w14:textId="181C7A6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0.01 (0.008 - 0.012)</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153A4660" w14:textId="75DF1CA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4,555.7 (3,746.7 - 5,509.6)</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77AA83AC" w14:textId="2000EDB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359,317.9 (279,525.9 - 460,938.7)</w:t>
            </w:r>
          </w:p>
        </w:tc>
        <w:tc>
          <w:tcPr>
            <w:tcW w:w="1535" w:type="dxa"/>
            <w:gridSpan w:val="2"/>
            <w:tcBorders>
              <w:top w:val="single" w:sz="4" w:space="0" w:color="auto"/>
              <w:left w:val="single" w:sz="4" w:space="0" w:color="auto"/>
              <w:bottom w:val="single" w:sz="4" w:space="0" w:color="auto"/>
              <w:right w:val="single" w:sz="4" w:space="0" w:color="auto"/>
            </w:tcBorders>
            <w:noWrap/>
            <w:vAlign w:val="bottom"/>
            <w:hideMark/>
          </w:tcPr>
          <w:p w14:paraId="638A6387" w14:textId="0C6BAAB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14,682.7 (11,488 - 18,754.9)</w:t>
            </w:r>
          </w:p>
        </w:tc>
      </w:tr>
      <w:tr w:rsidR="000618FD" w:rsidRPr="007F0AB9" w14:paraId="4879567A" w14:textId="77777777" w:rsidTr="004456BB">
        <w:trPr>
          <w:trHeight w:val="300"/>
        </w:trPr>
        <w:tc>
          <w:tcPr>
            <w:tcW w:w="810" w:type="dxa"/>
            <w:tcBorders>
              <w:top w:val="nil"/>
              <w:bottom w:val="nil"/>
              <w:right w:val="single" w:sz="4" w:space="0" w:color="auto"/>
            </w:tcBorders>
            <w:vAlign w:val="center"/>
          </w:tcPr>
          <w:p w14:paraId="146A2F68" w14:textId="2E369C4D"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48A969BE" w14:textId="181620DE"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3D4A43F5" w14:textId="6893776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64A8A5F" w14:textId="233B842C"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36.8 (32.4 - 41)</w:t>
            </w:r>
          </w:p>
        </w:tc>
        <w:tc>
          <w:tcPr>
            <w:tcW w:w="1350" w:type="dxa"/>
            <w:tcBorders>
              <w:top w:val="single" w:sz="4" w:space="0" w:color="auto"/>
              <w:left w:val="single" w:sz="4" w:space="0" w:color="auto"/>
              <w:bottom w:val="single" w:sz="4" w:space="0" w:color="auto"/>
              <w:right w:val="single" w:sz="4" w:space="0" w:color="auto"/>
            </w:tcBorders>
            <w:noWrap/>
            <w:vAlign w:val="bottom"/>
            <w:hideMark/>
          </w:tcPr>
          <w:p w14:paraId="14AB2B04" w14:textId="7E53AB6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5,426 (4,723 - 6,221)</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059DFD64" w14:textId="0CCAC06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64 (55 - 79)</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90E9D01" w14:textId="4515683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0.456 (0.408 - 0.507)</w:t>
            </w:r>
          </w:p>
        </w:tc>
        <w:tc>
          <w:tcPr>
            <w:tcW w:w="1170" w:type="dxa"/>
            <w:tcBorders>
              <w:top w:val="single" w:sz="4" w:space="0" w:color="auto"/>
              <w:left w:val="single" w:sz="4" w:space="0" w:color="auto"/>
              <w:bottom w:val="single" w:sz="4" w:space="0" w:color="auto"/>
              <w:right w:val="single" w:sz="4" w:space="0" w:color="auto"/>
            </w:tcBorders>
            <w:noWrap/>
            <w:vAlign w:val="bottom"/>
          </w:tcPr>
          <w:p w14:paraId="60A9E144" w14:textId="0CD1F0E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(0.005 - 0.007)</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7033C67E" w14:textId="201E53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8,003.3 (7,072.4 - 9,054.9)</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0D52B2FB" w14:textId="54F4264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675,104.8 (538,841 - 791,244.4)</w:t>
            </w:r>
          </w:p>
        </w:tc>
        <w:tc>
          <w:tcPr>
            <w:tcW w:w="1535" w:type="dxa"/>
            <w:gridSpan w:val="2"/>
            <w:tcBorders>
              <w:top w:val="single" w:sz="4" w:space="0" w:color="auto"/>
              <w:left w:val="single" w:sz="4" w:space="0" w:color="auto"/>
              <w:bottom w:val="single" w:sz="4" w:space="0" w:color="auto"/>
              <w:right w:val="single" w:sz="4" w:space="0" w:color="auto"/>
            </w:tcBorders>
            <w:noWrap/>
            <w:vAlign w:val="bottom"/>
            <w:hideMark/>
          </w:tcPr>
          <w:p w14:paraId="38A90D8B" w14:textId="21B251C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27,347.3 (22,059.7 - 31,956)</w:t>
            </w:r>
          </w:p>
        </w:tc>
      </w:tr>
      <w:tr w:rsidR="000618FD" w:rsidRPr="007F0AB9" w14:paraId="2CB24F4E" w14:textId="77777777" w:rsidTr="004456BB">
        <w:trPr>
          <w:trHeight w:val="701"/>
        </w:trPr>
        <w:tc>
          <w:tcPr>
            <w:tcW w:w="810" w:type="dxa"/>
            <w:tcBorders>
              <w:top w:val="nil"/>
              <w:bottom w:val="nil"/>
              <w:right w:val="single" w:sz="4" w:space="0" w:color="auto"/>
            </w:tcBorders>
            <w:vAlign w:val="center"/>
          </w:tcPr>
          <w:p w14:paraId="71F75D02" w14:textId="001701A8"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39B81C00" w14:textId="23F791E8"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45854FF6" w14:textId="7C59933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6716F2A8" w14:textId="651DDBC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29.4 (25.8 - 32.5)</w:t>
            </w:r>
          </w:p>
        </w:tc>
        <w:tc>
          <w:tcPr>
            <w:tcW w:w="1350" w:type="dxa"/>
            <w:tcBorders>
              <w:top w:val="single" w:sz="4" w:space="0" w:color="auto"/>
              <w:left w:val="single" w:sz="4" w:space="0" w:color="auto"/>
              <w:bottom w:val="single" w:sz="4" w:space="0" w:color="auto"/>
              <w:right w:val="single" w:sz="4" w:space="0" w:color="auto"/>
            </w:tcBorders>
            <w:noWrap/>
            <w:vAlign w:val="bottom"/>
            <w:hideMark/>
          </w:tcPr>
          <w:p w14:paraId="7667FBE2" w14:textId="6682DB5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3,683 (3,270 - 4,079)</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0E36F9AD" w14:textId="3A72F48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48 (42 - 56)</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E151CF7" w14:textId="547B878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0.47 (0.42 - 0.526)</w:t>
            </w:r>
          </w:p>
        </w:tc>
        <w:tc>
          <w:tcPr>
            <w:tcW w:w="1170" w:type="dxa"/>
            <w:tcBorders>
              <w:top w:val="single" w:sz="4" w:space="0" w:color="auto"/>
              <w:left w:val="single" w:sz="4" w:space="0" w:color="auto"/>
              <w:bottom w:val="single" w:sz="4" w:space="0" w:color="auto"/>
              <w:right w:val="single" w:sz="4" w:space="0" w:color="auto"/>
            </w:tcBorders>
            <w:noWrap/>
            <w:vAlign w:val="bottom"/>
          </w:tcPr>
          <w:p w14:paraId="3B0515A2" w14:textId="23A446C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0.006 (0.005 - 0.007)</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4D1BC2E4" w14:textId="71EDEF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7,787.3 (6,894.3 - 8,801.4)</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3D1072E7" w14:textId="427F4D7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588,994.7 (501,062.9 - 686,891.1)</w:t>
            </w:r>
          </w:p>
        </w:tc>
        <w:tc>
          <w:tcPr>
            <w:tcW w:w="1535" w:type="dxa"/>
            <w:gridSpan w:val="2"/>
            <w:tcBorders>
              <w:top w:val="single" w:sz="4" w:space="0" w:color="auto"/>
              <w:left w:val="single" w:sz="4" w:space="0" w:color="auto"/>
              <w:bottom w:val="single" w:sz="4" w:space="0" w:color="auto"/>
              <w:right w:val="single" w:sz="4" w:space="0" w:color="auto"/>
            </w:tcBorders>
            <w:noWrap/>
            <w:vAlign w:val="bottom"/>
            <w:hideMark/>
          </w:tcPr>
          <w:p w14:paraId="3B14EC19" w14:textId="55C89CB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23,717.5 (20,318 - 27,603.3)</w:t>
            </w:r>
          </w:p>
        </w:tc>
      </w:tr>
      <w:tr w:rsidR="004456BB" w:rsidRPr="007F0AB9" w14:paraId="6B712A89" w14:textId="77777777" w:rsidTr="004456BB">
        <w:trPr>
          <w:trHeight w:val="701"/>
        </w:trPr>
        <w:tc>
          <w:tcPr>
            <w:tcW w:w="810" w:type="dxa"/>
            <w:tcBorders>
              <w:top w:val="nil"/>
              <w:bottom w:val="nil"/>
              <w:right w:val="single" w:sz="4" w:space="0" w:color="auto"/>
            </w:tcBorders>
            <w:vAlign w:val="center"/>
          </w:tcPr>
          <w:p w14:paraId="4F991D1B" w14:textId="0DA728AE"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single" w:sz="4" w:space="0" w:color="auto"/>
              <w:right w:val="single" w:sz="4" w:space="0" w:color="auto"/>
            </w:tcBorders>
            <w:vAlign w:val="center"/>
          </w:tcPr>
          <w:p w14:paraId="3FFE705F" w14:textId="6BA54007"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50ED122C" w14:textId="1370D60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1F29C501" w14:textId="2659751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21.7 (18.2 - 24.8)</w:t>
            </w:r>
          </w:p>
        </w:tc>
        <w:tc>
          <w:tcPr>
            <w:tcW w:w="1350" w:type="dxa"/>
            <w:tcBorders>
              <w:top w:val="single" w:sz="4" w:space="0" w:color="auto"/>
              <w:left w:val="single" w:sz="4" w:space="0" w:color="auto"/>
              <w:bottom w:val="single" w:sz="4" w:space="0" w:color="auto"/>
              <w:right w:val="single" w:sz="4" w:space="0" w:color="auto"/>
            </w:tcBorders>
            <w:noWrap/>
            <w:vAlign w:val="bottom"/>
          </w:tcPr>
          <w:p w14:paraId="20777EB3" w14:textId="14F3D50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2,265 (1,949 - 2,567)</w:t>
            </w:r>
          </w:p>
        </w:tc>
        <w:tc>
          <w:tcPr>
            <w:tcW w:w="1080" w:type="dxa"/>
            <w:tcBorders>
              <w:top w:val="single" w:sz="4" w:space="0" w:color="auto"/>
              <w:left w:val="single" w:sz="4" w:space="0" w:color="auto"/>
              <w:bottom w:val="single" w:sz="4" w:space="0" w:color="auto"/>
              <w:right w:val="single" w:sz="4" w:space="0" w:color="auto"/>
            </w:tcBorders>
            <w:noWrap/>
            <w:vAlign w:val="bottom"/>
          </w:tcPr>
          <w:p w14:paraId="23444982" w14:textId="7546CE3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28 (25 - 33)</w:t>
            </w:r>
          </w:p>
        </w:tc>
        <w:tc>
          <w:tcPr>
            <w:tcW w:w="1260" w:type="dxa"/>
            <w:tcBorders>
              <w:top w:val="single" w:sz="4" w:space="0" w:color="auto"/>
              <w:left w:val="single" w:sz="4" w:space="0" w:color="auto"/>
              <w:bottom w:val="single" w:sz="4" w:space="0" w:color="auto"/>
              <w:right w:val="single" w:sz="4" w:space="0" w:color="auto"/>
            </w:tcBorders>
            <w:noWrap/>
            <w:vAlign w:val="bottom"/>
          </w:tcPr>
          <w:p w14:paraId="0DC4C7B6" w14:textId="28CF1CD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0.442 (0.39 - 0.492)</w:t>
            </w:r>
          </w:p>
        </w:tc>
        <w:tc>
          <w:tcPr>
            <w:tcW w:w="1170" w:type="dxa"/>
            <w:tcBorders>
              <w:top w:val="single" w:sz="4" w:space="0" w:color="auto"/>
              <w:left w:val="single" w:sz="4" w:space="0" w:color="auto"/>
              <w:bottom w:val="single" w:sz="4" w:space="0" w:color="auto"/>
              <w:right w:val="single" w:sz="4" w:space="0" w:color="auto"/>
            </w:tcBorders>
            <w:noWrap/>
            <w:vAlign w:val="bottom"/>
          </w:tcPr>
          <w:p w14:paraId="512E4F88" w14:textId="5B5194D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0.006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78ADFA02" w14:textId="32A1C22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8,419.5 (7,498.4 - 9,574.7)</w:t>
            </w:r>
          </w:p>
        </w:tc>
        <w:tc>
          <w:tcPr>
            <w:tcW w:w="1529" w:type="dxa"/>
            <w:tcBorders>
              <w:top w:val="single" w:sz="4" w:space="0" w:color="auto"/>
              <w:left w:val="single" w:sz="4" w:space="0" w:color="auto"/>
              <w:bottom w:val="single" w:sz="4" w:space="0" w:color="auto"/>
              <w:right w:val="single" w:sz="4" w:space="0" w:color="auto"/>
            </w:tcBorders>
            <w:noWrap/>
            <w:vAlign w:val="bottom"/>
          </w:tcPr>
          <w:p w14:paraId="455D0441" w14:textId="20F54C1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655,795.2 (571,797.5 - 744,062.1)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C791040" w14:textId="2F88D2D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26,286.1 (23,063.9 - 29,785.2)</w:t>
            </w:r>
          </w:p>
        </w:tc>
      </w:tr>
      <w:tr w:rsidR="000618FD" w:rsidRPr="007F0AB9" w14:paraId="524F5673" w14:textId="77777777" w:rsidTr="004456BB">
        <w:trPr>
          <w:trHeight w:val="701"/>
        </w:trPr>
        <w:tc>
          <w:tcPr>
            <w:tcW w:w="810" w:type="dxa"/>
            <w:tcBorders>
              <w:top w:val="nil"/>
              <w:bottom w:val="nil"/>
              <w:right w:val="single" w:sz="4" w:space="0" w:color="auto"/>
            </w:tcBorders>
            <w:vAlign w:val="center"/>
          </w:tcPr>
          <w:p w14:paraId="6F79A7F4" w14:textId="60D059DA" w:rsidR="000618FD" w:rsidRPr="00C07889" w:rsidRDefault="000618FD" w:rsidP="000618FD">
            <w:pPr>
              <w:spacing w:line="240" w:lineRule="auto"/>
              <w:jc w:val="center"/>
              <w:rPr>
                <w:rFonts w:eastAsiaTheme="majorEastAsia" w:cs="Arial"/>
                <w:sz w:val="18"/>
                <w:szCs w:val="18"/>
              </w:rPr>
            </w:pPr>
          </w:p>
        </w:tc>
        <w:tc>
          <w:tcPr>
            <w:tcW w:w="900" w:type="dxa"/>
            <w:tcBorders>
              <w:top w:val="single" w:sz="4" w:space="0" w:color="auto"/>
              <w:left w:val="single" w:sz="4" w:space="0" w:color="auto"/>
              <w:bottom w:val="nil"/>
              <w:right w:val="single" w:sz="4" w:space="0" w:color="auto"/>
            </w:tcBorders>
            <w:vAlign w:val="center"/>
          </w:tcPr>
          <w:p w14:paraId="292D21EB" w14:textId="77777777" w:rsidR="000618FD" w:rsidRPr="000618FD" w:rsidRDefault="000618FD" w:rsidP="000618FD">
            <w:pPr>
              <w:spacing w:line="240" w:lineRule="auto"/>
              <w:jc w:val="center"/>
              <w:rPr>
                <w:rFonts w:eastAsiaTheme="majorEastAsia" w:cs="Arial"/>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54CE2409" w14:textId="6ACED37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437B0BF6" w14:textId="31DF0BA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70.9 (62.2 - 82.3)</w:t>
            </w:r>
          </w:p>
        </w:tc>
        <w:tc>
          <w:tcPr>
            <w:tcW w:w="1350" w:type="dxa"/>
            <w:tcBorders>
              <w:top w:val="single" w:sz="4" w:space="0" w:color="auto"/>
              <w:left w:val="single" w:sz="4" w:space="0" w:color="auto"/>
              <w:bottom w:val="single" w:sz="4" w:space="0" w:color="auto"/>
              <w:right w:val="single" w:sz="4" w:space="0" w:color="auto"/>
            </w:tcBorders>
            <w:noWrap/>
            <w:vAlign w:val="bottom"/>
          </w:tcPr>
          <w:p w14:paraId="6286C32B" w14:textId="3DE9C3C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10,817 (9,247 - 12,525)</w:t>
            </w:r>
          </w:p>
        </w:tc>
        <w:tc>
          <w:tcPr>
            <w:tcW w:w="1080" w:type="dxa"/>
            <w:tcBorders>
              <w:top w:val="single" w:sz="4" w:space="0" w:color="auto"/>
              <w:left w:val="single" w:sz="4" w:space="0" w:color="auto"/>
              <w:bottom w:val="single" w:sz="4" w:space="0" w:color="auto"/>
              <w:right w:val="single" w:sz="4" w:space="0" w:color="auto"/>
            </w:tcBorders>
            <w:noWrap/>
            <w:vAlign w:val="bottom"/>
          </w:tcPr>
          <w:p w14:paraId="66FA2A8D" w14:textId="131389C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137 (110 - 167)</w:t>
            </w:r>
          </w:p>
        </w:tc>
        <w:tc>
          <w:tcPr>
            <w:tcW w:w="1260" w:type="dxa"/>
            <w:tcBorders>
              <w:top w:val="single" w:sz="4" w:space="0" w:color="auto"/>
              <w:left w:val="single" w:sz="4" w:space="0" w:color="auto"/>
              <w:bottom w:val="single" w:sz="4" w:space="0" w:color="auto"/>
              <w:right w:val="single" w:sz="4" w:space="0" w:color="auto"/>
            </w:tcBorders>
            <w:noWrap/>
            <w:vAlign w:val="bottom"/>
          </w:tcPr>
          <w:p w14:paraId="263F4C93" w14:textId="47C75E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0.661 (0.567 - 0.773)</w:t>
            </w:r>
          </w:p>
        </w:tc>
        <w:tc>
          <w:tcPr>
            <w:tcW w:w="1170" w:type="dxa"/>
            <w:tcBorders>
              <w:top w:val="single" w:sz="4" w:space="0" w:color="auto"/>
              <w:left w:val="single" w:sz="4" w:space="0" w:color="auto"/>
              <w:bottom w:val="single" w:sz="4" w:space="0" w:color="auto"/>
              <w:right w:val="single" w:sz="4" w:space="0" w:color="auto"/>
            </w:tcBorders>
            <w:noWrap/>
            <w:vAlign w:val="bottom"/>
          </w:tcPr>
          <w:p w14:paraId="656965B6" w14:textId="006A089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0.008 (0.007 - 0.01)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176FEDCE" w14:textId="572DF22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5,250.2 (4,407.8 - 6,274.4)</w:t>
            </w:r>
          </w:p>
        </w:tc>
        <w:tc>
          <w:tcPr>
            <w:tcW w:w="1529" w:type="dxa"/>
            <w:tcBorders>
              <w:top w:val="single" w:sz="4" w:space="0" w:color="auto"/>
              <w:left w:val="single" w:sz="4" w:space="0" w:color="auto"/>
              <w:bottom w:val="single" w:sz="4" w:space="0" w:color="auto"/>
              <w:right w:val="single" w:sz="4" w:space="0" w:color="auto"/>
            </w:tcBorders>
            <w:noWrap/>
            <w:vAlign w:val="bottom"/>
          </w:tcPr>
          <w:p w14:paraId="3C02C6E3" w14:textId="3DDFA06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412,098.4 (325,676.2 - 528,677.4)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194BE24" w14:textId="5FF4AAD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16,854.5 (13,374.5 - 21,504)</w:t>
            </w:r>
          </w:p>
        </w:tc>
      </w:tr>
      <w:tr w:rsidR="000618FD" w:rsidRPr="007F0AB9" w14:paraId="494C35ED" w14:textId="77777777" w:rsidTr="004456BB">
        <w:trPr>
          <w:trHeight w:val="701"/>
        </w:trPr>
        <w:tc>
          <w:tcPr>
            <w:tcW w:w="810" w:type="dxa"/>
            <w:tcBorders>
              <w:top w:val="nil"/>
              <w:bottom w:val="nil"/>
              <w:right w:val="single" w:sz="4" w:space="0" w:color="auto"/>
            </w:tcBorders>
            <w:vAlign w:val="center"/>
          </w:tcPr>
          <w:p w14:paraId="48B45EC8" w14:textId="3413E1FF"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4AA4F2CD" w14:textId="3D964913"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2F141982" w14:textId="1B93FDD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35037BA3" w14:textId="0349537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40.5 (36.4 - 44.5)</w:t>
            </w:r>
          </w:p>
        </w:tc>
        <w:tc>
          <w:tcPr>
            <w:tcW w:w="1350" w:type="dxa"/>
            <w:tcBorders>
              <w:top w:val="single" w:sz="4" w:space="0" w:color="auto"/>
              <w:left w:val="single" w:sz="4" w:space="0" w:color="auto"/>
              <w:bottom w:val="single" w:sz="4" w:space="0" w:color="auto"/>
              <w:right w:val="single" w:sz="4" w:space="0" w:color="auto"/>
            </w:tcBorders>
            <w:noWrap/>
            <w:vAlign w:val="bottom"/>
          </w:tcPr>
          <w:p w14:paraId="61AAFBE6" w14:textId="7190E66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5,957 (5,268 - 6,734)</w:t>
            </w:r>
          </w:p>
        </w:tc>
        <w:tc>
          <w:tcPr>
            <w:tcW w:w="1080" w:type="dxa"/>
            <w:tcBorders>
              <w:top w:val="single" w:sz="4" w:space="0" w:color="auto"/>
              <w:left w:val="single" w:sz="4" w:space="0" w:color="auto"/>
              <w:bottom w:val="single" w:sz="4" w:space="0" w:color="auto"/>
              <w:right w:val="single" w:sz="4" w:space="0" w:color="auto"/>
            </w:tcBorders>
            <w:noWrap/>
            <w:vAlign w:val="bottom"/>
          </w:tcPr>
          <w:p w14:paraId="778E7EAB" w14:textId="6244F91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70 (61 - 86)</w:t>
            </w:r>
          </w:p>
        </w:tc>
        <w:tc>
          <w:tcPr>
            <w:tcW w:w="1260" w:type="dxa"/>
            <w:tcBorders>
              <w:top w:val="single" w:sz="4" w:space="0" w:color="auto"/>
              <w:left w:val="single" w:sz="4" w:space="0" w:color="auto"/>
              <w:bottom w:val="single" w:sz="4" w:space="0" w:color="auto"/>
              <w:right w:val="single" w:sz="4" w:space="0" w:color="auto"/>
            </w:tcBorders>
            <w:noWrap/>
            <w:vAlign w:val="bottom"/>
          </w:tcPr>
          <w:p w14:paraId="309E5757" w14:textId="1D76AA85"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0.399 (0.367 - 0.435)</w:t>
            </w:r>
          </w:p>
        </w:tc>
        <w:tc>
          <w:tcPr>
            <w:tcW w:w="1170" w:type="dxa"/>
            <w:tcBorders>
              <w:top w:val="single" w:sz="4" w:space="0" w:color="auto"/>
              <w:left w:val="single" w:sz="4" w:space="0" w:color="auto"/>
              <w:bottom w:val="single" w:sz="4" w:space="0" w:color="auto"/>
              <w:right w:val="single" w:sz="4" w:space="0" w:color="auto"/>
            </w:tcBorders>
            <w:noWrap/>
            <w:vAlign w:val="bottom"/>
          </w:tcPr>
          <w:p w14:paraId="458969C4" w14:textId="633A01A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(0.004 - 0.006)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43AB50C8" w14:textId="250B13D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9,257.6 (8,332 - 10,136.9)</w:t>
            </w:r>
          </w:p>
        </w:tc>
        <w:tc>
          <w:tcPr>
            <w:tcW w:w="1529" w:type="dxa"/>
            <w:tcBorders>
              <w:top w:val="single" w:sz="4" w:space="0" w:color="auto"/>
              <w:left w:val="single" w:sz="4" w:space="0" w:color="auto"/>
              <w:bottom w:val="single" w:sz="4" w:space="0" w:color="auto"/>
              <w:right w:val="single" w:sz="4" w:space="0" w:color="auto"/>
            </w:tcBorders>
            <w:noWrap/>
            <w:vAlign w:val="bottom"/>
          </w:tcPr>
          <w:p w14:paraId="1E46D490" w14:textId="164BA19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782,814.7 (623,832.5 - 898,703.1)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E554BDE" w14:textId="1B6336D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31,705.4 (25,619.3 - 36,284.3)</w:t>
            </w:r>
          </w:p>
        </w:tc>
      </w:tr>
      <w:tr w:rsidR="000618FD" w:rsidRPr="007F0AB9" w14:paraId="428B15E6" w14:textId="77777777" w:rsidTr="004456BB">
        <w:trPr>
          <w:trHeight w:val="701"/>
        </w:trPr>
        <w:tc>
          <w:tcPr>
            <w:tcW w:w="810" w:type="dxa"/>
            <w:tcBorders>
              <w:top w:val="nil"/>
              <w:bottom w:val="nil"/>
              <w:right w:val="single" w:sz="4" w:space="0" w:color="auto"/>
            </w:tcBorders>
            <w:vAlign w:val="center"/>
          </w:tcPr>
          <w:p w14:paraId="0BBD9A5F" w14:textId="79D1C72E"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03D7D6C1" w14:textId="497E338C"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326D479C" w14:textId="177DC0C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0A564BFC" w14:textId="31234DD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32.3 (29.1 - 35.2)</w:t>
            </w:r>
          </w:p>
        </w:tc>
        <w:tc>
          <w:tcPr>
            <w:tcW w:w="1350" w:type="dxa"/>
            <w:tcBorders>
              <w:top w:val="single" w:sz="4" w:space="0" w:color="auto"/>
              <w:left w:val="single" w:sz="4" w:space="0" w:color="auto"/>
              <w:bottom w:val="single" w:sz="4" w:space="0" w:color="auto"/>
              <w:right w:val="single" w:sz="4" w:space="0" w:color="auto"/>
            </w:tcBorders>
            <w:noWrap/>
            <w:vAlign w:val="bottom"/>
          </w:tcPr>
          <w:p w14:paraId="2BADB9EC" w14:textId="1F265C9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4,028 (3,679 - 4,376)</w:t>
            </w:r>
          </w:p>
        </w:tc>
        <w:tc>
          <w:tcPr>
            <w:tcW w:w="1080" w:type="dxa"/>
            <w:tcBorders>
              <w:top w:val="single" w:sz="4" w:space="0" w:color="auto"/>
              <w:left w:val="single" w:sz="4" w:space="0" w:color="auto"/>
              <w:bottom w:val="single" w:sz="4" w:space="0" w:color="auto"/>
              <w:right w:val="single" w:sz="4" w:space="0" w:color="auto"/>
            </w:tcBorders>
            <w:noWrap/>
            <w:vAlign w:val="bottom"/>
          </w:tcPr>
          <w:p w14:paraId="42C24F20" w14:textId="10E7018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52 (47 - 61)</w:t>
            </w:r>
          </w:p>
        </w:tc>
        <w:tc>
          <w:tcPr>
            <w:tcW w:w="1260" w:type="dxa"/>
            <w:tcBorders>
              <w:top w:val="single" w:sz="4" w:space="0" w:color="auto"/>
              <w:left w:val="single" w:sz="4" w:space="0" w:color="auto"/>
              <w:bottom w:val="single" w:sz="4" w:space="0" w:color="auto"/>
              <w:right w:val="single" w:sz="4" w:space="0" w:color="auto"/>
            </w:tcBorders>
            <w:noWrap/>
            <w:vAlign w:val="bottom"/>
          </w:tcPr>
          <w:p w14:paraId="336267E6" w14:textId="7E92CCA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0.409 (0.374 - 0.451)</w:t>
            </w:r>
          </w:p>
        </w:tc>
        <w:tc>
          <w:tcPr>
            <w:tcW w:w="1170" w:type="dxa"/>
            <w:tcBorders>
              <w:top w:val="single" w:sz="4" w:space="0" w:color="auto"/>
              <w:left w:val="single" w:sz="4" w:space="0" w:color="auto"/>
              <w:bottom w:val="single" w:sz="4" w:space="0" w:color="auto"/>
              <w:right w:val="single" w:sz="4" w:space="0" w:color="auto"/>
            </w:tcBorders>
            <w:noWrap/>
            <w:vAlign w:val="bottom"/>
          </w:tcPr>
          <w:p w14:paraId="6138C442" w14:textId="6E6AB94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59CE12C8" w14:textId="54A3BBD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9,035.3 (8,141.7 - 9,944.6)</w:t>
            </w:r>
          </w:p>
        </w:tc>
        <w:tc>
          <w:tcPr>
            <w:tcW w:w="1529" w:type="dxa"/>
            <w:tcBorders>
              <w:top w:val="single" w:sz="4" w:space="0" w:color="auto"/>
              <w:left w:val="single" w:sz="4" w:space="0" w:color="auto"/>
              <w:bottom w:val="single" w:sz="4" w:space="0" w:color="auto"/>
              <w:right w:val="single" w:sz="4" w:space="0" w:color="auto"/>
            </w:tcBorders>
            <w:noWrap/>
            <w:vAlign w:val="bottom"/>
          </w:tcPr>
          <w:p w14:paraId="51B377B2" w14:textId="0BCBEF5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678,176.2 (584,518.6 - 782,191.1)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D03B6DC" w14:textId="0F506E6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27,307.1 (23,727.2 - 31,423.3)</w:t>
            </w:r>
          </w:p>
        </w:tc>
      </w:tr>
      <w:tr w:rsidR="004456BB" w:rsidRPr="007F0AB9" w14:paraId="7162096C" w14:textId="77777777" w:rsidTr="004456BB">
        <w:trPr>
          <w:trHeight w:val="701"/>
        </w:trPr>
        <w:tc>
          <w:tcPr>
            <w:tcW w:w="810" w:type="dxa"/>
            <w:tcBorders>
              <w:top w:val="nil"/>
              <w:bottom w:val="nil"/>
              <w:right w:val="single" w:sz="4" w:space="0" w:color="auto"/>
            </w:tcBorders>
            <w:vAlign w:val="center"/>
          </w:tcPr>
          <w:p w14:paraId="6CD3FBAF" w14:textId="7FD31DDA"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single" w:sz="4" w:space="0" w:color="auto"/>
              <w:right w:val="single" w:sz="4" w:space="0" w:color="auto"/>
            </w:tcBorders>
            <w:vAlign w:val="center"/>
          </w:tcPr>
          <w:p w14:paraId="1B6B4E54" w14:textId="098C4CF1"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11CD75ED" w14:textId="4E5A4BF1"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EA8B9C3" w14:textId="2560E8B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23.9 (20.6 - 27)</w:t>
            </w:r>
          </w:p>
        </w:tc>
        <w:tc>
          <w:tcPr>
            <w:tcW w:w="1350" w:type="dxa"/>
            <w:tcBorders>
              <w:top w:val="single" w:sz="4" w:space="0" w:color="auto"/>
              <w:left w:val="single" w:sz="4" w:space="0" w:color="auto"/>
              <w:bottom w:val="single" w:sz="4" w:space="0" w:color="auto"/>
              <w:right w:val="single" w:sz="4" w:space="0" w:color="auto"/>
            </w:tcBorders>
            <w:noWrap/>
            <w:vAlign w:val="bottom"/>
          </w:tcPr>
          <w:p w14:paraId="29EB7875" w14:textId="522CB88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2,489 (2,173 - 2,789)</w:t>
            </w:r>
          </w:p>
        </w:tc>
        <w:tc>
          <w:tcPr>
            <w:tcW w:w="1080" w:type="dxa"/>
            <w:tcBorders>
              <w:top w:val="single" w:sz="4" w:space="0" w:color="auto"/>
              <w:left w:val="single" w:sz="4" w:space="0" w:color="auto"/>
              <w:bottom w:val="single" w:sz="4" w:space="0" w:color="auto"/>
              <w:right w:val="single" w:sz="4" w:space="0" w:color="auto"/>
            </w:tcBorders>
            <w:noWrap/>
            <w:vAlign w:val="bottom"/>
          </w:tcPr>
          <w:p w14:paraId="4978FBD7" w14:textId="0B8D30F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31 (28 - 36)</w:t>
            </w:r>
          </w:p>
        </w:tc>
        <w:tc>
          <w:tcPr>
            <w:tcW w:w="1260" w:type="dxa"/>
            <w:tcBorders>
              <w:top w:val="single" w:sz="4" w:space="0" w:color="auto"/>
              <w:left w:val="single" w:sz="4" w:space="0" w:color="auto"/>
              <w:bottom w:val="single" w:sz="4" w:space="0" w:color="auto"/>
              <w:right w:val="single" w:sz="4" w:space="0" w:color="auto"/>
            </w:tcBorders>
            <w:noWrap/>
            <w:vAlign w:val="bottom"/>
          </w:tcPr>
          <w:p w14:paraId="4162510E" w14:textId="230B079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0.387 (0.351 - 0.426)</w:t>
            </w:r>
          </w:p>
        </w:tc>
        <w:tc>
          <w:tcPr>
            <w:tcW w:w="1170" w:type="dxa"/>
            <w:tcBorders>
              <w:top w:val="single" w:sz="4" w:space="0" w:color="auto"/>
              <w:left w:val="single" w:sz="4" w:space="0" w:color="auto"/>
              <w:bottom w:val="single" w:sz="4" w:space="0" w:color="auto"/>
              <w:right w:val="single" w:sz="4" w:space="0" w:color="auto"/>
            </w:tcBorders>
            <w:noWrap/>
            <w:vAlign w:val="bottom"/>
          </w:tcPr>
          <w:p w14:paraId="73CC59C7" w14:textId="30C2FF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019D2361" w14:textId="530C2F4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9,679.7 (8,763.9 - 10,716.8)</w:t>
            </w:r>
          </w:p>
        </w:tc>
        <w:tc>
          <w:tcPr>
            <w:tcW w:w="1529" w:type="dxa"/>
            <w:tcBorders>
              <w:top w:val="single" w:sz="4" w:space="0" w:color="auto"/>
              <w:left w:val="single" w:sz="4" w:space="0" w:color="auto"/>
              <w:bottom w:val="single" w:sz="4" w:space="0" w:color="auto"/>
              <w:right w:val="single" w:sz="4" w:space="0" w:color="auto"/>
            </w:tcBorders>
            <w:noWrap/>
            <w:vAlign w:val="bottom"/>
          </w:tcPr>
          <w:p w14:paraId="0462EBED" w14:textId="25C106D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757,835.2 (664,445.2 - 838,330.4)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201929A" w14:textId="2B4B269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30,336.9 (26,842.1 - 33,532)</w:t>
            </w:r>
          </w:p>
        </w:tc>
      </w:tr>
      <w:tr w:rsidR="000618FD" w:rsidRPr="007F0AB9" w14:paraId="72EACFAB" w14:textId="77777777" w:rsidTr="004456BB">
        <w:trPr>
          <w:trHeight w:val="701"/>
        </w:trPr>
        <w:tc>
          <w:tcPr>
            <w:tcW w:w="810" w:type="dxa"/>
            <w:tcBorders>
              <w:top w:val="nil"/>
              <w:bottom w:val="nil"/>
              <w:right w:val="single" w:sz="4" w:space="0" w:color="auto"/>
            </w:tcBorders>
            <w:vAlign w:val="center"/>
          </w:tcPr>
          <w:p w14:paraId="59106F44" w14:textId="612D34FF" w:rsidR="000618FD" w:rsidRPr="00C07889" w:rsidRDefault="000618FD" w:rsidP="000618FD">
            <w:pPr>
              <w:spacing w:line="240" w:lineRule="auto"/>
              <w:jc w:val="center"/>
              <w:rPr>
                <w:rFonts w:eastAsiaTheme="majorEastAsia" w:cs="Arial"/>
                <w:sz w:val="18"/>
                <w:szCs w:val="18"/>
              </w:rPr>
            </w:pPr>
          </w:p>
        </w:tc>
        <w:tc>
          <w:tcPr>
            <w:tcW w:w="900" w:type="dxa"/>
            <w:tcBorders>
              <w:top w:val="single" w:sz="4" w:space="0" w:color="auto"/>
              <w:left w:val="single" w:sz="4" w:space="0" w:color="auto"/>
              <w:bottom w:val="nil"/>
              <w:right w:val="single" w:sz="4" w:space="0" w:color="auto"/>
            </w:tcBorders>
            <w:vAlign w:val="center"/>
          </w:tcPr>
          <w:p w14:paraId="6689676E" w14:textId="77777777" w:rsidR="000618FD" w:rsidRPr="000618FD" w:rsidRDefault="000618FD" w:rsidP="000618FD">
            <w:pPr>
              <w:spacing w:line="240" w:lineRule="auto"/>
              <w:jc w:val="center"/>
              <w:rPr>
                <w:rFonts w:eastAsiaTheme="majorEastAsia" w:cs="Arial"/>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19E1614D" w14:textId="792043B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4051DE19" w14:textId="1231C1B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72.4 (66.4 - 85.8)</w:t>
            </w:r>
          </w:p>
        </w:tc>
        <w:tc>
          <w:tcPr>
            <w:tcW w:w="1350" w:type="dxa"/>
            <w:tcBorders>
              <w:top w:val="single" w:sz="4" w:space="0" w:color="auto"/>
              <w:left w:val="single" w:sz="4" w:space="0" w:color="auto"/>
              <w:bottom w:val="single" w:sz="4" w:space="0" w:color="auto"/>
              <w:right w:val="single" w:sz="4" w:space="0" w:color="auto"/>
            </w:tcBorders>
            <w:noWrap/>
            <w:vAlign w:val="bottom"/>
          </w:tcPr>
          <w:p w14:paraId="1FC23795" w14:textId="0C06FEA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11,245 (9,676 - 12,923)</w:t>
            </w:r>
          </w:p>
        </w:tc>
        <w:tc>
          <w:tcPr>
            <w:tcW w:w="1080" w:type="dxa"/>
            <w:tcBorders>
              <w:top w:val="single" w:sz="4" w:space="0" w:color="auto"/>
              <w:left w:val="single" w:sz="4" w:space="0" w:color="auto"/>
              <w:bottom w:val="single" w:sz="4" w:space="0" w:color="auto"/>
              <w:right w:val="single" w:sz="4" w:space="0" w:color="auto"/>
            </w:tcBorders>
            <w:noWrap/>
            <w:vAlign w:val="bottom"/>
          </w:tcPr>
          <w:p w14:paraId="78DB0214" w14:textId="1736882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143 (115 - 173)</w:t>
            </w:r>
          </w:p>
        </w:tc>
        <w:tc>
          <w:tcPr>
            <w:tcW w:w="1260" w:type="dxa"/>
            <w:tcBorders>
              <w:top w:val="single" w:sz="4" w:space="0" w:color="auto"/>
              <w:left w:val="single" w:sz="4" w:space="0" w:color="auto"/>
              <w:bottom w:val="single" w:sz="4" w:space="0" w:color="auto"/>
              <w:right w:val="single" w:sz="4" w:space="0" w:color="auto"/>
            </w:tcBorders>
            <w:noWrap/>
            <w:vAlign w:val="bottom"/>
          </w:tcPr>
          <w:p w14:paraId="04EBA6E4" w14:textId="472A319C"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0.572 (0.495 - 0.666)</w:t>
            </w:r>
          </w:p>
        </w:tc>
        <w:tc>
          <w:tcPr>
            <w:tcW w:w="1170" w:type="dxa"/>
            <w:tcBorders>
              <w:top w:val="single" w:sz="4" w:space="0" w:color="auto"/>
              <w:left w:val="single" w:sz="4" w:space="0" w:color="auto"/>
              <w:bottom w:val="single" w:sz="4" w:space="0" w:color="auto"/>
              <w:right w:val="single" w:sz="4" w:space="0" w:color="auto"/>
            </w:tcBorders>
            <w:noWrap/>
            <w:vAlign w:val="bottom"/>
          </w:tcPr>
          <w:p w14:paraId="5F6E2269" w14:textId="6E4F9175"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0.007 (0.006 - 0.009)</w:t>
            </w:r>
          </w:p>
        </w:tc>
        <w:tc>
          <w:tcPr>
            <w:tcW w:w="1529" w:type="dxa"/>
            <w:tcBorders>
              <w:top w:val="single" w:sz="4" w:space="0" w:color="auto"/>
              <w:left w:val="single" w:sz="4" w:space="0" w:color="auto"/>
              <w:bottom w:val="single" w:sz="4" w:space="0" w:color="auto"/>
              <w:right w:val="single" w:sz="4" w:space="0" w:color="auto"/>
            </w:tcBorders>
            <w:noWrap/>
            <w:vAlign w:val="bottom"/>
          </w:tcPr>
          <w:p w14:paraId="1F2B0F15" w14:textId="033DBD3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6,146.9 (5,226.8 - 7,287.8)</w:t>
            </w:r>
          </w:p>
        </w:tc>
        <w:tc>
          <w:tcPr>
            <w:tcW w:w="1529" w:type="dxa"/>
            <w:tcBorders>
              <w:top w:val="single" w:sz="4" w:space="0" w:color="auto"/>
              <w:left w:val="single" w:sz="4" w:space="0" w:color="auto"/>
              <w:bottom w:val="single" w:sz="4" w:space="0" w:color="auto"/>
              <w:right w:val="single" w:sz="4" w:space="0" w:color="auto"/>
            </w:tcBorders>
            <w:noWrap/>
            <w:vAlign w:val="bottom"/>
          </w:tcPr>
          <w:p w14:paraId="51EE528C" w14:textId="5065DCE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484,316.9 (386,505.6 - 616,144.5)</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EE1AE5C" w14:textId="7029BFE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19,782.8 (15,864.4 - 25,072.5)</w:t>
            </w:r>
          </w:p>
        </w:tc>
      </w:tr>
      <w:tr w:rsidR="000618FD" w:rsidRPr="007F0AB9" w14:paraId="7E1593C7" w14:textId="77777777" w:rsidTr="004456BB">
        <w:trPr>
          <w:trHeight w:val="701"/>
        </w:trPr>
        <w:tc>
          <w:tcPr>
            <w:tcW w:w="810" w:type="dxa"/>
            <w:tcBorders>
              <w:top w:val="nil"/>
              <w:bottom w:val="nil"/>
              <w:right w:val="single" w:sz="4" w:space="0" w:color="auto"/>
            </w:tcBorders>
            <w:vAlign w:val="center"/>
          </w:tcPr>
          <w:p w14:paraId="352DC191" w14:textId="1E56FDC5"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3767A7A0" w14:textId="66706D2D"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20DFE736" w14:textId="65D314FA"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1E9677B3" w14:textId="765E75F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41.9 (38.1 - 45.9)</w:t>
            </w:r>
          </w:p>
        </w:tc>
        <w:tc>
          <w:tcPr>
            <w:tcW w:w="1350" w:type="dxa"/>
            <w:tcBorders>
              <w:top w:val="single" w:sz="4" w:space="0" w:color="auto"/>
              <w:left w:val="single" w:sz="4" w:space="0" w:color="auto"/>
              <w:bottom w:val="single" w:sz="4" w:space="0" w:color="auto"/>
              <w:right w:val="single" w:sz="4" w:space="0" w:color="auto"/>
            </w:tcBorders>
            <w:noWrap/>
            <w:vAlign w:val="bottom"/>
          </w:tcPr>
          <w:p w14:paraId="0D7AC7F3" w14:textId="162C3AD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6,185 (5,511 - 6,947)</w:t>
            </w:r>
          </w:p>
        </w:tc>
        <w:tc>
          <w:tcPr>
            <w:tcW w:w="1080" w:type="dxa"/>
            <w:tcBorders>
              <w:top w:val="single" w:sz="4" w:space="0" w:color="auto"/>
              <w:left w:val="single" w:sz="4" w:space="0" w:color="auto"/>
              <w:bottom w:val="single" w:sz="4" w:space="0" w:color="auto"/>
              <w:right w:val="single" w:sz="4" w:space="0" w:color="auto"/>
            </w:tcBorders>
            <w:noWrap/>
            <w:vAlign w:val="bottom"/>
          </w:tcPr>
          <w:p w14:paraId="3A55786A" w14:textId="02A4557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73 (64 - 90)</w:t>
            </w:r>
          </w:p>
        </w:tc>
        <w:tc>
          <w:tcPr>
            <w:tcW w:w="1260" w:type="dxa"/>
            <w:tcBorders>
              <w:top w:val="single" w:sz="4" w:space="0" w:color="auto"/>
              <w:left w:val="single" w:sz="4" w:space="0" w:color="auto"/>
              <w:bottom w:val="single" w:sz="4" w:space="0" w:color="auto"/>
              <w:right w:val="single" w:sz="4" w:space="0" w:color="auto"/>
            </w:tcBorders>
            <w:noWrap/>
            <w:vAlign w:val="bottom"/>
          </w:tcPr>
          <w:p w14:paraId="7BF94AC1" w14:textId="2A5713A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0.344 (0.321 - 0.372)</w:t>
            </w:r>
          </w:p>
        </w:tc>
        <w:tc>
          <w:tcPr>
            <w:tcW w:w="1170" w:type="dxa"/>
            <w:tcBorders>
              <w:top w:val="single" w:sz="4" w:space="0" w:color="auto"/>
              <w:left w:val="single" w:sz="4" w:space="0" w:color="auto"/>
              <w:bottom w:val="single" w:sz="4" w:space="0" w:color="auto"/>
              <w:right w:val="single" w:sz="4" w:space="0" w:color="auto"/>
            </w:tcBorders>
            <w:noWrap/>
            <w:vAlign w:val="bottom"/>
          </w:tcPr>
          <w:p w14:paraId="25B5BC8F" w14:textId="2224349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0.004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480F89E6" w14:textId="1566E5B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10,839.9 (9,836.4 - 11,688.3)</w:t>
            </w:r>
          </w:p>
        </w:tc>
        <w:tc>
          <w:tcPr>
            <w:tcW w:w="1529" w:type="dxa"/>
            <w:tcBorders>
              <w:top w:val="single" w:sz="4" w:space="0" w:color="auto"/>
              <w:left w:val="single" w:sz="4" w:space="0" w:color="auto"/>
              <w:bottom w:val="single" w:sz="4" w:space="0" w:color="auto"/>
              <w:right w:val="single" w:sz="4" w:space="0" w:color="auto"/>
            </w:tcBorders>
            <w:noWrap/>
            <w:vAlign w:val="bottom"/>
          </w:tcPr>
          <w:p w14:paraId="172A0F21" w14:textId="3B31C73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912,252.4 (726,722.4 - 1,042,820)</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43931EE8" w14:textId="476AD68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36,969.6 (29,905.5 - 42,076.8)</w:t>
            </w:r>
          </w:p>
        </w:tc>
      </w:tr>
      <w:tr w:rsidR="000618FD" w:rsidRPr="007F0AB9" w14:paraId="29D95C3A" w14:textId="77777777" w:rsidTr="004456BB">
        <w:trPr>
          <w:trHeight w:val="701"/>
        </w:trPr>
        <w:tc>
          <w:tcPr>
            <w:tcW w:w="810" w:type="dxa"/>
            <w:tcBorders>
              <w:top w:val="nil"/>
              <w:bottom w:val="nil"/>
              <w:right w:val="single" w:sz="4" w:space="0" w:color="auto"/>
            </w:tcBorders>
            <w:vAlign w:val="center"/>
          </w:tcPr>
          <w:p w14:paraId="1CD32FE8" w14:textId="0A522DF6"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6CE19F6F" w14:textId="021936F6"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009B6B6D" w14:textId="6DD8B5ED"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26AE6275" w14:textId="48B5C6E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33.8 (30.5 - 36.3)</w:t>
            </w:r>
          </w:p>
        </w:tc>
        <w:tc>
          <w:tcPr>
            <w:tcW w:w="1350" w:type="dxa"/>
            <w:tcBorders>
              <w:top w:val="single" w:sz="4" w:space="0" w:color="auto"/>
              <w:left w:val="single" w:sz="4" w:space="0" w:color="auto"/>
              <w:bottom w:val="single" w:sz="4" w:space="0" w:color="auto"/>
              <w:right w:val="single" w:sz="4" w:space="0" w:color="auto"/>
            </w:tcBorders>
            <w:noWrap/>
            <w:vAlign w:val="bottom"/>
          </w:tcPr>
          <w:p w14:paraId="0B03E32C" w14:textId="7CCD781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4,173 (3,863 - 4,509)</w:t>
            </w:r>
          </w:p>
        </w:tc>
        <w:tc>
          <w:tcPr>
            <w:tcW w:w="1080" w:type="dxa"/>
            <w:tcBorders>
              <w:top w:val="single" w:sz="4" w:space="0" w:color="auto"/>
              <w:left w:val="single" w:sz="4" w:space="0" w:color="auto"/>
              <w:bottom w:val="single" w:sz="4" w:space="0" w:color="auto"/>
              <w:right w:val="single" w:sz="4" w:space="0" w:color="auto"/>
            </w:tcBorders>
            <w:noWrap/>
            <w:vAlign w:val="bottom"/>
          </w:tcPr>
          <w:p w14:paraId="2F2EB918" w14:textId="1865DC8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54 (49 - 64)</w:t>
            </w:r>
          </w:p>
        </w:tc>
        <w:tc>
          <w:tcPr>
            <w:tcW w:w="1260" w:type="dxa"/>
            <w:tcBorders>
              <w:top w:val="single" w:sz="4" w:space="0" w:color="auto"/>
              <w:left w:val="single" w:sz="4" w:space="0" w:color="auto"/>
              <w:bottom w:val="single" w:sz="4" w:space="0" w:color="auto"/>
              <w:right w:val="single" w:sz="4" w:space="0" w:color="auto"/>
            </w:tcBorders>
            <w:noWrap/>
            <w:vAlign w:val="bottom"/>
          </w:tcPr>
          <w:p w14:paraId="2E7FAAB5" w14:textId="5818FA4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0.355 (0.327 - 0.388)</w:t>
            </w:r>
          </w:p>
        </w:tc>
        <w:tc>
          <w:tcPr>
            <w:tcW w:w="1170" w:type="dxa"/>
            <w:tcBorders>
              <w:top w:val="single" w:sz="4" w:space="0" w:color="auto"/>
              <w:left w:val="single" w:sz="4" w:space="0" w:color="auto"/>
              <w:bottom w:val="single" w:sz="4" w:space="0" w:color="auto"/>
              <w:right w:val="single" w:sz="4" w:space="0" w:color="auto"/>
            </w:tcBorders>
            <w:noWrap/>
            <w:vAlign w:val="bottom"/>
          </w:tcPr>
          <w:p w14:paraId="72C4A530" w14:textId="7F615B3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7D020E8E" w14:textId="648A343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10,527 (9,570.5 - 11,503.4)</w:t>
            </w:r>
          </w:p>
        </w:tc>
        <w:tc>
          <w:tcPr>
            <w:tcW w:w="1529" w:type="dxa"/>
            <w:tcBorders>
              <w:top w:val="single" w:sz="4" w:space="0" w:color="auto"/>
              <w:left w:val="single" w:sz="4" w:space="0" w:color="auto"/>
              <w:bottom w:val="single" w:sz="4" w:space="0" w:color="auto"/>
              <w:right w:val="single" w:sz="4" w:space="0" w:color="auto"/>
            </w:tcBorders>
            <w:noWrap/>
            <w:vAlign w:val="bottom"/>
          </w:tcPr>
          <w:p w14:paraId="52F561FC" w14:textId="3CC9542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792,534.4 (681,490.7 - 901,359.1)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ABCD8E4" w14:textId="1C91B89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31,894 (27,628.5 - 36,200.9)</w:t>
            </w:r>
          </w:p>
        </w:tc>
      </w:tr>
      <w:tr w:rsidR="004456BB" w:rsidRPr="007F0AB9" w14:paraId="56830EB0" w14:textId="77777777" w:rsidTr="004456BB">
        <w:trPr>
          <w:trHeight w:val="701"/>
        </w:trPr>
        <w:tc>
          <w:tcPr>
            <w:tcW w:w="810" w:type="dxa"/>
            <w:tcBorders>
              <w:top w:val="nil"/>
              <w:bottom w:val="single" w:sz="4" w:space="0" w:color="auto"/>
              <w:right w:val="single" w:sz="4" w:space="0" w:color="auto"/>
            </w:tcBorders>
            <w:vAlign w:val="center"/>
          </w:tcPr>
          <w:p w14:paraId="12B3D5CB" w14:textId="0DB9DD1C"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single" w:sz="4" w:space="0" w:color="auto"/>
              <w:right w:val="single" w:sz="4" w:space="0" w:color="auto"/>
            </w:tcBorders>
            <w:vAlign w:val="center"/>
          </w:tcPr>
          <w:p w14:paraId="181D937B" w14:textId="1C5E2627"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508AB77D" w14:textId="2DC82FA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41AF9B24" w14:textId="6574E539"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24.9 (21.6 - 27.8)</w:t>
            </w:r>
          </w:p>
        </w:tc>
        <w:tc>
          <w:tcPr>
            <w:tcW w:w="1350" w:type="dxa"/>
            <w:tcBorders>
              <w:top w:val="single" w:sz="4" w:space="0" w:color="auto"/>
              <w:left w:val="single" w:sz="4" w:space="0" w:color="auto"/>
              <w:bottom w:val="single" w:sz="4" w:space="0" w:color="auto"/>
              <w:right w:val="single" w:sz="4" w:space="0" w:color="auto"/>
            </w:tcBorders>
            <w:noWrap/>
            <w:vAlign w:val="bottom"/>
          </w:tcPr>
          <w:p w14:paraId="08DF9C88" w14:textId="7E967E0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2,573 (2,325 - 2,874)</w:t>
            </w:r>
          </w:p>
        </w:tc>
        <w:tc>
          <w:tcPr>
            <w:tcW w:w="1080" w:type="dxa"/>
            <w:tcBorders>
              <w:top w:val="single" w:sz="4" w:space="0" w:color="auto"/>
              <w:left w:val="single" w:sz="4" w:space="0" w:color="auto"/>
              <w:bottom w:val="single" w:sz="4" w:space="0" w:color="auto"/>
              <w:right w:val="single" w:sz="4" w:space="0" w:color="auto"/>
            </w:tcBorders>
            <w:noWrap/>
            <w:vAlign w:val="bottom"/>
          </w:tcPr>
          <w:p w14:paraId="0584C8D4" w14:textId="03BF77C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32 (30 - 37)</w:t>
            </w:r>
          </w:p>
        </w:tc>
        <w:tc>
          <w:tcPr>
            <w:tcW w:w="1260" w:type="dxa"/>
            <w:tcBorders>
              <w:top w:val="single" w:sz="4" w:space="0" w:color="auto"/>
              <w:left w:val="single" w:sz="4" w:space="0" w:color="auto"/>
              <w:bottom w:val="single" w:sz="4" w:space="0" w:color="auto"/>
              <w:right w:val="single" w:sz="4" w:space="0" w:color="auto"/>
            </w:tcBorders>
            <w:noWrap/>
            <w:vAlign w:val="bottom"/>
          </w:tcPr>
          <w:p w14:paraId="52192210" w14:textId="7613082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0.333 (0.308 - 0.368)</w:t>
            </w:r>
          </w:p>
        </w:tc>
        <w:tc>
          <w:tcPr>
            <w:tcW w:w="1170" w:type="dxa"/>
            <w:tcBorders>
              <w:top w:val="single" w:sz="4" w:space="0" w:color="auto"/>
              <w:left w:val="single" w:sz="4" w:space="0" w:color="auto"/>
              <w:bottom w:val="single" w:sz="4" w:space="0" w:color="auto"/>
              <w:right w:val="single" w:sz="4" w:space="0" w:color="auto"/>
            </w:tcBorders>
            <w:noWrap/>
            <w:vAlign w:val="bottom"/>
          </w:tcPr>
          <w:p w14:paraId="293CB0BB" w14:textId="0CE4908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0.004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1854C583" w14:textId="23C94D2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11,340.5 (10,233.8 - 12,302.1)</w:t>
            </w:r>
          </w:p>
        </w:tc>
        <w:tc>
          <w:tcPr>
            <w:tcW w:w="1529" w:type="dxa"/>
            <w:tcBorders>
              <w:top w:val="single" w:sz="4" w:space="0" w:color="auto"/>
              <w:left w:val="single" w:sz="4" w:space="0" w:color="auto"/>
              <w:bottom w:val="single" w:sz="4" w:space="0" w:color="auto"/>
              <w:right w:val="single" w:sz="4" w:space="0" w:color="auto"/>
            </w:tcBorders>
            <w:noWrap/>
            <w:vAlign w:val="bottom"/>
          </w:tcPr>
          <w:p w14:paraId="0729E253" w14:textId="00FF6EC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886,815.5 (775,519.4 - 963,836.4)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CDC3250" w14:textId="23B4315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35,492.7 (31,333.4 - 38,553.2)</w:t>
            </w:r>
          </w:p>
        </w:tc>
      </w:tr>
      <w:tr w:rsidR="000618FD" w:rsidRPr="007F0AB9" w14:paraId="2BCA97B3" w14:textId="77777777" w:rsidTr="004456BB">
        <w:trPr>
          <w:trHeight w:val="701"/>
        </w:trPr>
        <w:tc>
          <w:tcPr>
            <w:tcW w:w="810" w:type="dxa"/>
            <w:tcBorders>
              <w:top w:val="single" w:sz="4" w:space="0" w:color="auto"/>
              <w:bottom w:val="nil"/>
              <w:right w:val="single" w:sz="4" w:space="0" w:color="auto"/>
            </w:tcBorders>
            <w:vAlign w:val="center"/>
          </w:tcPr>
          <w:p w14:paraId="3BABDA14" w14:textId="33AC7BCA" w:rsidR="000618FD" w:rsidRPr="00C07889" w:rsidRDefault="000618FD" w:rsidP="000618FD">
            <w:pPr>
              <w:spacing w:line="240" w:lineRule="auto"/>
              <w:jc w:val="center"/>
              <w:rPr>
                <w:rFonts w:eastAsiaTheme="majorEastAsia" w:hint="eastAsia"/>
                <w:sz w:val="18"/>
                <w:szCs w:val="18"/>
              </w:rPr>
            </w:pPr>
            <w:r>
              <w:rPr>
                <w:rFonts w:eastAsiaTheme="majorEastAsia" w:hint="eastAsia"/>
                <w:sz w:val="18"/>
                <w:szCs w:val="18"/>
              </w:rPr>
              <w:t>Top 75%</w:t>
            </w:r>
          </w:p>
        </w:tc>
        <w:tc>
          <w:tcPr>
            <w:tcW w:w="900" w:type="dxa"/>
            <w:tcBorders>
              <w:top w:val="single" w:sz="4" w:space="0" w:color="auto"/>
              <w:left w:val="single" w:sz="4" w:space="0" w:color="auto"/>
              <w:bottom w:val="nil"/>
              <w:right w:val="single" w:sz="4" w:space="0" w:color="auto"/>
            </w:tcBorders>
            <w:vAlign w:val="center"/>
          </w:tcPr>
          <w:p w14:paraId="4AD9F766" w14:textId="08F48BD6"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56D1807A" w14:textId="73D8B22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26F4DE7F" w14:textId="74AE1E6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70.7 (62.6 - 78.2)</w:t>
            </w:r>
          </w:p>
        </w:tc>
        <w:tc>
          <w:tcPr>
            <w:tcW w:w="1350" w:type="dxa"/>
            <w:tcBorders>
              <w:top w:val="single" w:sz="4" w:space="0" w:color="auto"/>
              <w:left w:val="single" w:sz="4" w:space="0" w:color="auto"/>
              <w:bottom w:val="single" w:sz="4" w:space="0" w:color="auto"/>
              <w:right w:val="single" w:sz="4" w:space="0" w:color="auto"/>
            </w:tcBorders>
            <w:noWrap/>
            <w:vAlign w:val="bottom"/>
          </w:tcPr>
          <w:p w14:paraId="1B086AD5" w14:textId="7F73CA0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15,360 (13,477 - 17,443)</w:t>
            </w:r>
          </w:p>
        </w:tc>
        <w:tc>
          <w:tcPr>
            <w:tcW w:w="1080" w:type="dxa"/>
            <w:tcBorders>
              <w:top w:val="single" w:sz="4" w:space="0" w:color="auto"/>
              <w:left w:val="single" w:sz="4" w:space="0" w:color="auto"/>
              <w:bottom w:val="single" w:sz="4" w:space="0" w:color="auto"/>
              <w:right w:val="single" w:sz="4" w:space="0" w:color="auto"/>
            </w:tcBorders>
            <w:noWrap/>
            <w:vAlign w:val="bottom"/>
          </w:tcPr>
          <w:p w14:paraId="2CF725CD" w14:textId="181A71F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211 (180 - 244)</w:t>
            </w:r>
          </w:p>
        </w:tc>
        <w:tc>
          <w:tcPr>
            <w:tcW w:w="1260" w:type="dxa"/>
            <w:tcBorders>
              <w:top w:val="single" w:sz="4" w:space="0" w:color="auto"/>
              <w:left w:val="single" w:sz="4" w:space="0" w:color="auto"/>
              <w:bottom w:val="single" w:sz="4" w:space="0" w:color="auto"/>
              <w:right w:val="single" w:sz="4" w:space="0" w:color="auto"/>
            </w:tcBorders>
            <w:noWrap/>
            <w:vAlign w:val="bottom"/>
          </w:tcPr>
          <w:p w14:paraId="2071FAB2" w14:textId="499301A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1.35 (1.185 - 1.528)</w:t>
            </w:r>
          </w:p>
        </w:tc>
        <w:tc>
          <w:tcPr>
            <w:tcW w:w="1170" w:type="dxa"/>
            <w:tcBorders>
              <w:top w:val="single" w:sz="4" w:space="0" w:color="auto"/>
              <w:left w:val="single" w:sz="4" w:space="0" w:color="auto"/>
              <w:bottom w:val="single" w:sz="4" w:space="0" w:color="auto"/>
              <w:right w:val="single" w:sz="4" w:space="0" w:color="auto"/>
            </w:tcBorders>
            <w:noWrap/>
            <w:vAlign w:val="bottom"/>
          </w:tcPr>
          <w:p w14:paraId="4FAB549B" w14:textId="27B30CE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0.019 (0.016 - 0.021)</w:t>
            </w:r>
          </w:p>
        </w:tc>
        <w:tc>
          <w:tcPr>
            <w:tcW w:w="1529" w:type="dxa"/>
            <w:tcBorders>
              <w:top w:val="single" w:sz="4" w:space="0" w:color="auto"/>
              <w:left w:val="single" w:sz="4" w:space="0" w:color="auto"/>
              <w:bottom w:val="single" w:sz="4" w:space="0" w:color="auto"/>
              <w:right w:val="single" w:sz="4" w:space="0" w:color="auto"/>
            </w:tcBorders>
            <w:noWrap/>
            <w:vAlign w:val="bottom"/>
          </w:tcPr>
          <w:p w14:paraId="7AD9A542" w14:textId="1B01E9D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2,287.5 (1,903.9 - 2,704.2)</w:t>
            </w:r>
          </w:p>
        </w:tc>
        <w:tc>
          <w:tcPr>
            <w:tcW w:w="1529" w:type="dxa"/>
            <w:tcBorders>
              <w:top w:val="single" w:sz="4" w:space="0" w:color="auto"/>
              <w:left w:val="single" w:sz="4" w:space="0" w:color="auto"/>
              <w:bottom w:val="single" w:sz="4" w:space="0" w:color="auto"/>
              <w:right w:val="single" w:sz="4" w:space="0" w:color="auto"/>
            </w:tcBorders>
            <w:noWrap/>
            <w:vAlign w:val="bottom"/>
          </w:tcPr>
          <w:p w14:paraId="0AA5C4D9" w14:textId="33745EE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166,199.3 (136,182.9 - 203,323.3)</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47D73A7" w14:textId="1269AB8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6,961.5 (5,708.6 - 8,522)</w:t>
            </w:r>
          </w:p>
        </w:tc>
      </w:tr>
      <w:tr w:rsidR="000618FD" w:rsidRPr="007F0AB9" w14:paraId="33A53646" w14:textId="77777777" w:rsidTr="004456BB">
        <w:trPr>
          <w:trHeight w:val="701"/>
        </w:trPr>
        <w:tc>
          <w:tcPr>
            <w:tcW w:w="810" w:type="dxa"/>
            <w:tcBorders>
              <w:top w:val="nil"/>
              <w:bottom w:val="nil"/>
              <w:right w:val="single" w:sz="4" w:space="0" w:color="auto"/>
            </w:tcBorders>
            <w:vAlign w:val="center"/>
          </w:tcPr>
          <w:p w14:paraId="162A7330" w14:textId="7B15BA10"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591C503" w14:textId="62EA7525"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E5FA30B" w14:textId="5B3804A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743FF65A" w14:textId="3E3ABC8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47.9 (42.3 - 52.7)</w:t>
            </w:r>
          </w:p>
        </w:tc>
        <w:tc>
          <w:tcPr>
            <w:tcW w:w="1350" w:type="dxa"/>
            <w:tcBorders>
              <w:top w:val="single" w:sz="4" w:space="0" w:color="auto"/>
              <w:left w:val="single" w:sz="4" w:space="0" w:color="auto"/>
              <w:bottom w:val="single" w:sz="4" w:space="0" w:color="auto"/>
              <w:right w:val="single" w:sz="4" w:space="0" w:color="auto"/>
            </w:tcBorders>
            <w:noWrap/>
            <w:vAlign w:val="bottom"/>
          </w:tcPr>
          <w:p w14:paraId="54DADB0C" w14:textId="0493C01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10,381 (9,148 - 11,645)</w:t>
            </w:r>
          </w:p>
        </w:tc>
        <w:tc>
          <w:tcPr>
            <w:tcW w:w="1080" w:type="dxa"/>
            <w:tcBorders>
              <w:top w:val="single" w:sz="4" w:space="0" w:color="auto"/>
              <w:left w:val="single" w:sz="4" w:space="0" w:color="auto"/>
              <w:bottom w:val="single" w:sz="4" w:space="0" w:color="auto"/>
              <w:right w:val="single" w:sz="4" w:space="0" w:color="auto"/>
            </w:tcBorders>
            <w:noWrap/>
            <w:vAlign w:val="bottom"/>
          </w:tcPr>
          <w:p w14:paraId="6B123B0A" w14:textId="333C85C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130 (114 - 147)</w:t>
            </w:r>
          </w:p>
        </w:tc>
        <w:tc>
          <w:tcPr>
            <w:tcW w:w="1260" w:type="dxa"/>
            <w:tcBorders>
              <w:top w:val="single" w:sz="4" w:space="0" w:color="auto"/>
              <w:left w:val="single" w:sz="4" w:space="0" w:color="auto"/>
              <w:bottom w:val="single" w:sz="4" w:space="0" w:color="auto"/>
              <w:right w:val="single" w:sz="4" w:space="0" w:color="auto"/>
            </w:tcBorders>
            <w:noWrap/>
            <w:vAlign w:val="bottom"/>
          </w:tcPr>
          <w:p w14:paraId="356FED1D" w14:textId="33E4D3D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0.912 (0.803 - 1.023)</w:t>
            </w:r>
          </w:p>
        </w:tc>
        <w:tc>
          <w:tcPr>
            <w:tcW w:w="1170" w:type="dxa"/>
            <w:tcBorders>
              <w:top w:val="single" w:sz="4" w:space="0" w:color="auto"/>
              <w:left w:val="single" w:sz="4" w:space="0" w:color="auto"/>
              <w:bottom w:val="single" w:sz="4" w:space="0" w:color="auto"/>
              <w:right w:val="single" w:sz="4" w:space="0" w:color="auto"/>
            </w:tcBorders>
            <w:noWrap/>
            <w:vAlign w:val="bottom"/>
          </w:tcPr>
          <w:p w14:paraId="21E83C64" w14:textId="6C9FFA4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0.011 (0.01 - 0.013)</w:t>
            </w:r>
          </w:p>
        </w:tc>
        <w:tc>
          <w:tcPr>
            <w:tcW w:w="1529" w:type="dxa"/>
            <w:tcBorders>
              <w:top w:val="single" w:sz="4" w:space="0" w:color="auto"/>
              <w:left w:val="single" w:sz="4" w:space="0" w:color="auto"/>
              <w:bottom w:val="single" w:sz="4" w:space="0" w:color="auto"/>
              <w:right w:val="single" w:sz="4" w:space="0" w:color="auto"/>
            </w:tcBorders>
            <w:noWrap/>
            <w:vAlign w:val="bottom"/>
          </w:tcPr>
          <w:p w14:paraId="65618D69" w14:textId="50517C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3,714.3 (3,228.6 - 4,292.5)</w:t>
            </w:r>
          </w:p>
        </w:tc>
        <w:tc>
          <w:tcPr>
            <w:tcW w:w="1529" w:type="dxa"/>
            <w:tcBorders>
              <w:top w:val="single" w:sz="4" w:space="0" w:color="auto"/>
              <w:left w:val="single" w:sz="4" w:space="0" w:color="auto"/>
              <w:bottom w:val="single" w:sz="4" w:space="0" w:color="auto"/>
              <w:right w:val="single" w:sz="4" w:space="0" w:color="auto"/>
            </w:tcBorders>
            <w:noWrap/>
            <w:vAlign w:val="bottom"/>
          </w:tcPr>
          <w:p w14:paraId="6A7AE11D" w14:textId="612E1D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297,571.5 (256,336 - 345,506.4)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071B0BED" w14:textId="4135D8E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12,501.9 (10,774.8 - 14,507.9)</w:t>
            </w:r>
          </w:p>
        </w:tc>
      </w:tr>
      <w:tr w:rsidR="000618FD" w:rsidRPr="007F0AB9" w14:paraId="76BF2A66" w14:textId="77777777" w:rsidTr="004456BB">
        <w:trPr>
          <w:trHeight w:val="701"/>
        </w:trPr>
        <w:tc>
          <w:tcPr>
            <w:tcW w:w="810" w:type="dxa"/>
            <w:tcBorders>
              <w:top w:val="nil"/>
              <w:bottom w:val="nil"/>
              <w:right w:val="single" w:sz="4" w:space="0" w:color="auto"/>
            </w:tcBorders>
            <w:vAlign w:val="center"/>
          </w:tcPr>
          <w:p w14:paraId="641FF797" w14:textId="0B8FF52C"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96A45BB" w14:textId="579CE827"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78BBB5D9" w14:textId="0F18077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3D01E3A9" w14:textId="65FEBD9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33.5 (29.3 - 36.9)</w:t>
            </w:r>
          </w:p>
        </w:tc>
        <w:tc>
          <w:tcPr>
            <w:tcW w:w="1350" w:type="dxa"/>
            <w:tcBorders>
              <w:top w:val="single" w:sz="4" w:space="0" w:color="auto"/>
              <w:left w:val="single" w:sz="4" w:space="0" w:color="auto"/>
              <w:bottom w:val="single" w:sz="4" w:space="0" w:color="auto"/>
              <w:right w:val="single" w:sz="4" w:space="0" w:color="auto"/>
            </w:tcBorders>
            <w:noWrap/>
            <w:vAlign w:val="bottom"/>
          </w:tcPr>
          <w:p w14:paraId="0C87A43D" w14:textId="02746BD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7,130 (6,299 - 7,856)</w:t>
            </w:r>
          </w:p>
        </w:tc>
        <w:tc>
          <w:tcPr>
            <w:tcW w:w="1080" w:type="dxa"/>
            <w:tcBorders>
              <w:top w:val="single" w:sz="4" w:space="0" w:color="auto"/>
              <w:left w:val="single" w:sz="4" w:space="0" w:color="auto"/>
              <w:bottom w:val="single" w:sz="4" w:space="0" w:color="auto"/>
              <w:right w:val="single" w:sz="4" w:space="0" w:color="auto"/>
            </w:tcBorders>
            <w:noWrap/>
            <w:vAlign w:val="bottom"/>
          </w:tcPr>
          <w:p w14:paraId="4AB46378" w14:textId="475AED4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94 (83 - 105)</w:t>
            </w:r>
          </w:p>
        </w:tc>
        <w:tc>
          <w:tcPr>
            <w:tcW w:w="1260" w:type="dxa"/>
            <w:tcBorders>
              <w:top w:val="single" w:sz="4" w:space="0" w:color="auto"/>
              <w:left w:val="single" w:sz="4" w:space="0" w:color="auto"/>
              <w:bottom w:val="single" w:sz="4" w:space="0" w:color="auto"/>
              <w:right w:val="single" w:sz="4" w:space="0" w:color="auto"/>
            </w:tcBorders>
            <w:noWrap/>
            <w:vAlign w:val="bottom"/>
          </w:tcPr>
          <w:p w14:paraId="0558CBFD" w14:textId="064E920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0.685 (0.618 - 0.752)</w:t>
            </w:r>
          </w:p>
        </w:tc>
        <w:tc>
          <w:tcPr>
            <w:tcW w:w="1170" w:type="dxa"/>
            <w:tcBorders>
              <w:top w:val="single" w:sz="4" w:space="0" w:color="auto"/>
              <w:left w:val="single" w:sz="4" w:space="0" w:color="auto"/>
              <w:bottom w:val="single" w:sz="4" w:space="0" w:color="auto"/>
              <w:right w:val="single" w:sz="4" w:space="0" w:color="auto"/>
            </w:tcBorders>
            <w:noWrap/>
            <w:vAlign w:val="bottom"/>
          </w:tcPr>
          <w:p w14:paraId="3A9650C6" w14:textId="0F449BA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33A587AF" w14:textId="5613A38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5,097.2 (4,605.7 - 5,703.4)</w:t>
            </w:r>
          </w:p>
        </w:tc>
        <w:tc>
          <w:tcPr>
            <w:tcW w:w="1529" w:type="dxa"/>
            <w:tcBorders>
              <w:top w:val="single" w:sz="4" w:space="0" w:color="auto"/>
              <w:left w:val="single" w:sz="4" w:space="0" w:color="auto"/>
              <w:bottom w:val="single" w:sz="4" w:space="0" w:color="auto"/>
              <w:right w:val="single" w:sz="4" w:space="0" w:color="auto"/>
            </w:tcBorders>
            <w:noWrap/>
            <w:vAlign w:val="bottom"/>
          </w:tcPr>
          <w:p w14:paraId="7053108D" w14:textId="4A75D17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385,910 (346,973.5 - 434,433.5)</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DAED21B" w14:textId="24F2283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16,135.1 (14,510.4 - 18,140.6)</w:t>
            </w:r>
          </w:p>
        </w:tc>
      </w:tr>
      <w:tr w:rsidR="004456BB" w:rsidRPr="007F0AB9" w14:paraId="3FB85D78" w14:textId="77777777" w:rsidTr="004456BB">
        <w:trPr>
          <w:trHeight w:val="701"/>
        </w:trPr>
        <w:tc>
          <w:tcPr>
            <w:tcW w:w="810" w:type="dxa"/>
            <w:tcBorders>
              <w:top w:val="nil"/>
              <w:bottom w:val="nil"/>
              <w:right w:val="single" w:sz="4" w:space="0" w:color="auto"/>
            </w:tcBorders>
            <w:vAlign w:val="center"/>
          </w:tcPr>
          <w:p w14:paraId="1ECA8E08" w14:textId="2CBD481E"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5BB78FDD" w14:textId="3983069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47A99EC" w14:textId="27E21C1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C16EBA6" w14:textId="543C32E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 (19.2 - 25.9)</w:t>
            </w:r>
          </w:p>
        </w:tc>
        <w:tc>
          <w:tcPr>
            <w:tcW w:w="1350" w:type="dxa"/>
            <w:tcBorders>
              <w:top w:val="single" w:sz="4" w:space="0" w:color="auto"/>
              <w:left w:val="single" w:sz="4" w:space="0" w:color="auto"/>
              <w:bottom w:val="single" w:sz="4" w:space="0" w:color="auto"/>
              <w:right w:val="single" w:sz="4" w:space="0" w:color="auto"/>
            </w:tcBorders>
            <w:noWrap/>
            <w:vAlign w:val="bottom"/>
          </w:tcPr>
          <w:p w14:paraId="065B1B65" w14:textId="0988E08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4,335 (3,781 - 4,845)</w:t>
            </w:r>
          </w:p>
        </w:tc>
        <w:tc>
          <w:tcPr>
            <w:tcW w:w="1080" w:type="dxa"/>
            <w:tcBorders>
              <w:top w:val="single" w:sz="4" w:space="0" w:color="auto"/>
              <w:left w:val="single" w:sz="4" w:space="0" w:color="auto"/>
              <w:bottom w:val="single" w:sz="4" w:space="0" w:color="auto"/>
              <w:right w:val="single" w:sz="4" w:space="0" w:color="auto"/>
            </w:tcBorders>
            <w:noWrap/>
            <w:vAlign w:val="bottom"/>
          </w:tcPr>
          <w:p w14:paraId="7036AE3B" w14:textId="631B333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 (47 - 62)</w:t>
            </w:r>
          </w:p>
        </w:tc>
        <w:tc>
          <w:tcPr>
            <w:tcW w:w="1260" w:type="dxa"/>
            <w:tcBorders>
              <w:top w:val="single" w:sz="4" w:space="0" w:color="auto"/>
              <w:left w:val="single" w:sz="4" w:space="0" w:color="auto"/>
              <w:bottom w:val="single" w:sz="4" w:space="0" w:color="auto"/>
              <w:right w:val="single" w:sz="4" w:space="0" w:color="auto"/>
            </w:tcBorders>
            <w:noWrap/>
            <w:vAlign w:val="bottom"/>
          </w:tcPr>
          <w:p w14:paraId="7CC704A4" w14:textId="25880B4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0.569 (0.508 - 0.627)</w:t>
            </w:r>
          </w:p>
        </w:tc>
        <w:tc>
          <w:tcPr>
            <w:tcW w:w="1170" w:type="dxa"/>
            <w:tcBorders>
              <w:top w:val="single" w:sz="4" w:space="0" w:color="auto"/>
              <w:left w:val="single" w:sz="4" w:space="0" w:color="auto"/>
              <w:bottom w:val="single" w:sz="4" w:space="0" w:color="auto"/>
              <w:right w:val="single" w:sz="4" w:space="0" w:color="auto"/>
            </w:tcBorders>
            <w:noWrap/>
            <w:vAlign w:val="bottom"/>
          </w:tcPr>
          <w:p w14:paraId="7A0A077A" w14:textId="6F25CE9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0.007 (0.006 - 0.008)</w:t>
            </w:r>
          </w:p>
        </w:tc>
        <w:tc>
          <w:tcPr>
            <w:tcW w:w="1529" w:type="dxa"/>
            <w:tcBorders>
              <w:top w:val="single" w:sz="4" w:space="0" w:color="auto"/>
              <w:left w:val="single" w:sz="4" w:space="0" w:color="auto"/>
              <w:bottom w:val="single" w:sz="4" w:space="0" w:color="auto"/>
              <w:right w:val="single" w:sz="4" w:space="0" w:color="auto"/>
            </w:tcBorders>
            <w:noWrap/>
            <w:vAlign w:val="bottom"/>
          </w:tcPr>
          <w:p w14:paraId="6DCDD5EB" w14:textId="1873D70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6,173.5 (5,582.9 - 6,957.1)</w:t>
            </w:r>
          </w:p>
        </w:tc>
        <w:tc>
          <w:tcPr>
            <w:tcW w:w="1529" w:type="dxa"/>
            <w:tcBorders>
              <w:top w:val="single" w:sz="4" w:space="0" w:color="auto"/>
              <w:left w:val="single" w:sz="4" w:space="0" w:color="auto"/>
              <w:bottom w:val="single" w:sz="4" w:space="0" w:color="auto"/>
              <w:right w:val="single" w:sz="4" w:space="0" w:color="auto"/>
            </w:tcBorders>
            <w:noWrap/>
            <w:vAlign w:val="bottom"/>
          </w:tcPr>
          <w:p w14:paraId="0C94894B" w14:textId="2F0D86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491,074 (440,286.9 - 555,658.9)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963AB88" w14:textId="34EBF89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20,502.6 (18,429.6 - 23,133.6)</w:t>
            </w:r>
          </w:p>
        </w:tc>
      </w:tr>
      <w:tr w:rsidR="000618FD" w:rsidRPr="007F0AB9" w14:paraId="4AA9D4AF" w14:textId="77777777" w:rsidTr="004456BB">
        <w:trPr>
          <w:trHeight w:val="701"/>
        </w:trPr>
        <w:tc>
          <w:tcPr>
            <w:tcW w:w="810" w:type="dxa"/>
            <w:tcBorders>
              <w:top w:val="nil"/>
              <w:bottom w:val="nil"/>
              <w:right w:val="single" w:sz="4" w:space="0" w:color="auto"/>
            </w:tcBorders>
            <w:vAlign w:val="center"/>
          </w:tcPr>
          <w:p w14:paraId="1EE68F00" w14:textId="74846409"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0E08B4A4" w14:textId="381BCBF9"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6E78BE11" w14:textId="285BA3D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7F06AF8C" w14:textId="0E6FB4D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77.8 (70.7 - 85)</w:t>
            </w:r>
          </w:p>
        </w:tc>
        <w:tc>
          <w:tcPr>
            <w:tcW w:w="1350" w:type="dxa"/>
            <w:tcBorders>
              <w:top w:val="single" w:sz="4" w:space="0" w:color="auto"/>
              <w:left w:val="single" w:sz="4" w:space="0" w:color="auto"/>
              <w:bottom w:val="single" w:sz="4" w:space="0" w:color="auto"/>
              <w:right w:val="single" w:sz="4" w:space="0" w:color="auto"/>
            </w:tcBorders>
            <w:noWrap/>
            <w:vAlign w:val="bottom"/>
          </w:tcPr>
          <w:p w14:paraId="3E898200" w14:textId="07B53AA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16,850 (15,053 - 18,796)</w:t>
            </w:r>
          </w:p>
        </w:tc>
        <w:tc>
          <w:tcPr>
            <w:tcW w:w="1080" w:type="dxa"/>
            <w:tcBorders>
              <w:top w:val="single" w:sz="4" w:space="0" w:color="auto"/>
              <w:left w:val="single" w:sz="4" w:space="0" w:color="auto"/>
              <w:bottom w:val="single" w:sz="4" w:space="0" w:color="auto"/>
              <w:right w:val="single" w:sz="4" w:space="0" w:color="auto"/>
            </w:tcBorders>
            <w:noWrap/>
            <w:vAlign w:val="bottom"/>
          </w:tcPr>
          <w:p w14:paraId="3C4D0275" w14:textId="4E96FD0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233 (201 - 266)</w:t>
            </w:r>
          </w:p>
        </w:tc>
        <w:tc>
          <w:tcPr>
            <w:tcW w:w="1260" w:type="dxa"/>
            <w:tcBorders>
              <w:top w:val="single" w:sz="4" w:space="0" w:color="auto"/>
              <w:left w:val="single" w:sz="4" w:space="0" w:color="auto"/>
              <w:bottom w:val="single" w:sz="4" w:space="0" w:color="auto"/>
              <w:right w:val="single" w:sz="4" w:space="0" w:color="auto"/>
            </w:tcBorders>
            <w:noWrap/>
            <w:vAlign w:val="bottom"/>
          </w:tcPr>
          <w:p w14:paraId="71640EC7" w14:textId="11765E9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1.184 (1.059 - 1.318)</w:t>
            </w:r>
          </w:p>
        </w:tc>
        <w:tc>
          <w:tcPr>
            <w:tcW w:w="1170" w:type="dxa"/>
            <w:tcBorders>
              <w:top w:val="single" w:sz="4" w:space="0" w:color="auto"/>
              <w:left w:val="single" w:sz="4" w:space="0" w:color="auto"/>
              <w:bottom w:val="single" w:sz="4" w:space="0" w:color="auto"/>
              <w:right w:val="single" w:sz="4" w:space="0" w:color="auto"/>
            </w:tcBorders>
            <w:noWrap/>
            <w:vAlign w:val="bottom"/>
          </w:tcPr>
          <w:p w14:paraId="2697E50D" w14:textId="0516DD2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0.016 (0.014 - 0.019)</w:t>
            </w:r>
          </w:p>
        </w:tc>
        <w:tc>
          <w:tcPr>
            <w:tcW w:w="1529" w:type="dxa"/>
            <w:tcBorders>
              <w:top w:val="single" w:sz="4" w:space="0" w:color="auto"/>
              <w:left w:val="single" w:sz="4" w:space="0" w:color="auto"/>
              <w:bottom w:val="single" w:sz="4" w:space="0" w:color="auto"/>
              <w:right w:val="single" w:sz="4" w:space="0" w:color="auto"/>
            </w:tcBorders>
            <w:noWrap/>
            <w:vAlign w:val="bottom"/>
          </w:tcPr>
          <w:p w14:paraId="2C3AE7D6" w14:textId="592E2FE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2,677.5 (2,304.7 - 3,095.2)</w:t>
            </w:r>
          </w:p>
        </w:tc>
        <w:tc>
          <w:tcPr>
            <w:tcW w:w="1529" w:type="dxa"/>
            <w:tcBorders>
              <w:top w:val="single" w:sz="4" w:space="0" w:color="auto"/>
              <w:left w:val="single" w:sz="4" w:space="0" w:color="auto"/>
              <w:bottom w:val="single" w:sz="4" w:space="0" w:color="auto"/>
              <w:right w:val="single" w:sz="4" w:space="0" w:color="auto"/>
            </w:tcBorders>
            <w:noWrap/>
            <w:vAlign w:val="bottom"/>
          </w:tcPr>
          <w:p w14:paraId="6ADCB47D" w14:textId="5BEF8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193,661.6 (162,246.2 - 231,994.4)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004FEA5" w14:textId="0FDABDD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8,116.3 (6,800.3 - 9,725)</w:t>
            </w:r>
          </w:p>
        </w:tc>
      </w:tr>
      <w:tr w:rsidR="000618FD" w:rsidRPr="007F0AB9" w14:paraId="184E3E82" w14:textId="77777777" w:rsidTr="004456BB">
        <w:trPr>
          <w:trHeight w:val="701"/>
        </w:trPr>
        <w:tc>
          <w:tcPr>
            <w:tcW w:w="810" w:type="dxa"/>
            <w:tcBorders>
              <w:top w:val="nil"/>
              <w:bottom w:val="nil"/>
              <w:right w:val="single" w:sz="4" w:space="0" w:color="auto"/>
            </w:tcBorders>
            <w:vAlign w:val="center"/>
          </w:tcPr>
          <w:p w14:paraId="7051281F" w14:textId="15FEB5DE"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47D1256" w14:textId="72A0DAAB"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1D8C231" w14:textId="5EA99658"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7D356ECA" w14:textId="292093F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52.6 (47.7 - 56.9)</w:t>
            </w:r>
          </w:p>
        </w:tc>
        <w:tc>
          <w:tcPr>
            <w:tcW w:w="1350" w:type="dxa"/>
            <w:tcBorders>
              <w:top w:val="single" w:sz="4" w:space="0" w:color="auto"/>
              <w:left w:val="single" w:sz="4" w:space="0" w:color="auto"/>
              <w:bottom w:val="single" w:sz="4" w:space="0" w:color="auto"/>
              <w:right w:val="single" w:sz="4" w:space="0" w:color="auto"/>
            </w:tcBorders>
            <w:noWrap/>
            <w:vAlign w:val="bottom"/>
          </w:tcPr>
          <w:p w14:paraId="05E83DD6" w14:textId="36A44FF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11,360 (10,260 - 12,521)</w:t>
            </w:r>
          </w:p>
        </w:tc>
        <w:tc>
          <w:tcPr>
            <w:tcW w:w="1080" w:type="dxa"/>
            <w:tcBorders>
              <w:top w:val="single" w:sz="4" w:space="0" w:color="auto"/>
              <w:left w:val="single" w:sz="4" w:space="0" w:color="auto"/>
              <w:bottom w:val="single" w:sz="4" w:space="0" w:color="auto"/>
              <w:right w:val="single" w:sz="4" w:space="0" w:color="auto"/>
            </w:tcBorders>
            <w:noWrap/>
            <w:vAlign w:val="bottom"/>
          </w:tcPr>
          <w:p w14:paraId="3998F75C" w14:textId="589D467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142 (127 - 159)</w:t>
            </w:r>
          </w:p>
        </w:tc>
        <w:tc>
          <w:tcPr>
            <w:tcW w:w="1260" w:type="dxa"/>
            <w:tcBorders>
              <w:top w:val="single" w:sz="4" w:space="0" w:color="auto"/>
              <w:left w:val="single" w:sz="4" w:space="0" w:color="auto"/>
              <w:bottom w:val="single" w:sz="4" w:space="0" w:color="auto"/>
              <w:right w:val="single" w:sz="4" w:space="0" w:color="auto"/>
            </w:tcBorders>
            <w:noWrap/>
            <w:vAlign w:val="bottom"/>
          </w:tcPr>
          <w:p w14:paraId="3C565C3D" w14:textId="24A648B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0.799 (0.72 - 0.88)</w:t>
            </w:r>
          </w:p>
        </w:tc>
        <w:tc>
          <w:tcPr>
            <w:tcW w:w="1170" w:type="dxa"/>
            <w:tcBorders>
              <w:top w:val="single" w:sz="4" w:space="0" w:color="auto"/>
              <w:left w:val="single" w:sz="4" w:space="0" w:color="auto"/>
              <w:bottom w:val="single" w:sz="4" w:space="0" w:color="auto"/>
              <w:right w:val="single" w:sz="4" w:space="0" w:color="auto"/>
            </w:tcBorders>
            <w:noWrap/>
            <w:vAlign w:val="bottom"/>
          </w:tcPr>
          <w:p w14:paraId="581D6581" w14:textId="1A40280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7ACBDB6E" w14:textId="2A4CCAC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4,316.6 (3,831.8 - 4,843.9)</w:t>
            </w:r>
          </w:p>
        </w:tc>
        <w:tc>
          <w:tcPr>
            <w:tcW w:w="1529" w:type="dxa"/>
            <w:tcBorders>
              <w:top w:val="single" w:sz="4" w:space="0" w:color="auto"/>
              <w:left w:val="single" w:sz="4" w:space="0" w:color="auto"/>
              <w:bottom w:val="single" w:sz="4" w:space="0" w:color="auto"/>
              <w:right w:val="single" w:sz="4" w:space="0" w:color="auto"/>
            </w:tcBorders>
            <w:noWrap/>
            <w:vAlign w:val="bottom"/>
          </w:tcPr>
          <w:p w14:paraId="79ADF56E" w14:textId="5F0BB7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344,780.9 (301,448.5 - 390,461)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1AD8183" w14:textId="5F97950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14,473 (12,665 - 16,382.5)</w:t>
            </w:r>
          </w:p>
        </w:tc>
      </w:tr>
      <w:tr w:rsidR="000618FD" w:rsidRPr="007F0AB9" w14:paraId="417ADD9F" w14:textId="77777777" w:rsidTr="004456BB">
        <w:trPr>
          <w:trHeight w:val="701"/>
        </w:trPr>
        <w:tc>
          <w:tcPr>
            <w:tcW w:w="810" w:type="dxa"/>
            <w:tcBorders>
              <w:top w:val="nil"/>
              <w:bottom w:val="nil"/>
              <w:right w:val="single" w:sz="4" w:space="0" w:color="auto"/>
            </w:tcBorders>
            <w:vAlign w:val="center"/>
          </w:tcPr>
          <w:p w14:paraId="0CC0B262" w14:textId="6793BE38"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57881312" w14:textId="1FF1D01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D6173C2" w14:textId="2AF997F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1A507F98" w14:textId="539EC7B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37 (33.3 - 39.7)</w:t>
            </w:r>
          </w:p>
        </w:tc>
        <w:tc>
          <w:tcPr>
            <w:tcW w:w="1350" w:type="dxa"/>
            <w:tcBorders>
              <w:top w:val="single" w:sz="4" w:space="0" w:color="auto"/>
              <w:left w:val="single" w:sz="4" w:space="0" w:color="auto"/>
              <w:bottom w:val="single" w:sz="4" w:space="0" w:color="auto"/>
              <w:right w:val="single" w:sz="4" w:space="0" w:color="auto"/>
            </w:tcBorders>
            <w:noWrap/>
            <w:vAlign w:val="bottom"/>
          </w:tcPr>
          <w:p w14:paraId="1D3BACD5" w14:textId="031128A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7,830 (7,087 - 8,459)</w:t>
            </w:r>
          </w:p>
        </w:tc>
        <w:tc>
          <w:tcPr>
            <w:tcW w:w="1080" w:type="dxa"/>
            <w:tcBorders>
              <w:top w:val="single" w:sz="4" w:space="0" w:color="auto"/>
              <w:left w:val="single" w:sz="4" w:space="0" w:color="auto"/>
              <w:bottom w:val="single" w:sz="4" w:space="0" w:color="auto"/>
              <w:right w:val="single" w:sz="4" w:space="0" w:color="auto"/>
            </w:tcBorders>
            <w:noWrap/>
            <w:vAlign w:val="bottom"/>
          </w:tcPr>
          <w:p w14:paraId="15622D37" w14:textId="44525D5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103 (93 - 114)</w:t>
            </w:r>
          </w:p>
        </w:tc>
        <w:tc>
          <w:tcPr>
            <w:tcW w:w="1260" w:type="dxa"/>
            <w:tcBorders>
              <w:top w:val="single" w:sz="4" w:space="0" w:color="auto"/>
              <w:left w:val="single" w:sz="4" w:space="0" w:color="auto"/>
              <w:bottom w:val="single" w:sz="4" w:space="0" w:color="auto"/>
              <w:right w:val="single" w:sz="4" w:space="0" w:color="auto"/>
            </w:tcBorders>
            <w:noWrap/>
            <w:vAlign w:val="bottom"/>
          </w:tcPr>
          <w:p w14:paraId="726D558B" w14:textId="26D4EE4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0.598 (0.557 - 0.641)</w:t>
            </w:r>
          </w:p>
        </w:tc>
        <w:tc>
          <w:tcPr>
            <w:tcW w:w="1170" w:type="dxa"/>
            <w:tcBorders>
              <w:top w:val="single" w:sz="4" w:space="0" w:color="auto"/>
              <w:left w:val="single" w:sz="4" w:space="0" w:color="auto"/>
              <w:bottom w:val="single" w:sz="4" w:space="0" w:color="auto"/>
              <w:right w:val="single" w:sz="4" w:space="0" w:color="auto"/>
            </w:tcBorders>
            <w:noWrap/>
            <w:vAlign w:val="bottom"/>
          </w:tcPr>
          <w:p w14:paraId="6777A909" w14:textId="51C56EA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0.008 (0.007 - 0.009)</w:t>
            </w:r>
          </w:p>
        </w:tc>
        <w:tc>
          <w:tcPr>
            <w:tcW w:w="1529" w:type="dxa"/>
            <w:tcBorders>
              <w:top w:val="single" w:sz="4" w:space="0" w:color="auto"/>
              <w:left w:val="single" w:sz="4" w:space="0" w:color="auto"/>
              <w:bottom w:val="single" w:sz="4" w:space="0" w:color="auto"/>
              <w:right w:val="single" w:sz="4" w:space="0" w:color="auto"/>
            </w:tcBorders>
            <w:noWrap/>
            <w:vAlign w:val="bottom"/>
          </w:tcPr>
          <w:p w14:paraId="749C9BB4" w14:textId="1E32251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5,907.4 (5,478.1 - 6,381.8)</w:t>
            </w:r>
          </w:p>
        </w:tc>
        <w:tc>
          <w:tcPr>
            <w:tcW w:w="1529" w:type="dxa"/>
            <w:tcBorders>
              <w:top w:val="single" w:sz="4" w:space="0" w:color="auto"/>
              <w:left w:val="single" w:sz="4" w:space="0" w:color="auto"/>
              <w:bottom w:val="single" w:sz="4" w:space="0" w:color="auto"/>
              <w:right w:val="single" w:sz="4" w:space="0" w:color="auto"/>
            </w:tcBorders>
            <w:noWrap/>
            <w:vAlign w:val="bottom"/>
          </w:tcPr>
          <w:p w14:paraId="370E35A3" w14:textId="04C53D2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445,976.8 (408,563.3 - 488,222.6)</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72C81C3" w14:textId="1DC775D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18,641.6 (17,095.7 - 20,398.9)</w:t>
            </w:r>
          </w:p>
        </w:tc>
      </w:tr>
      <w:tr w:rsidR="004456BB" w:rsidRPr="007F0AB9" w14:paraId="5150E6D9" w14:textId="77777777" w:rsidTr="004456BB">
        <w:trPr>
          <w:trHeight w:val="701"/>
        </w:trPr>
        <w:tc>
          <w:tcPr>
            <w:tcW w:w="810" w:type="dxa"/>
            <w:tcBorders>
              <w:top w:val="nil"/>
              <w:bottom w:val="nil"/>
              <w:right w:val="single" w:sz="4" w:space="0" w:color="auto"/>
            </w:tcBorders>
            <w:vAlign w:val="center"/>
          </w:tcPr>
          <w:p w14:paraId="2194F70D" w14:textId="29F54981"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6AD682D7" w14:textId="1AC84FC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B5431D7" w14:textId="4448C5F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42665922" w14:textId="6EA281A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25.4 (21.8 - 28.1)</w:t>
            </w:r>
          </w:p>
        </w:tc>
        <w:tc>
          <w:tcPr>
            <w:tcW w:w="1350" w:type="dxa"/>
            <w:tcBorders>
              <w:top w:val="single" w:sz="4" w:space="0" w:color="auto"/>
              <w:left w:val="single" w:sz="4" w:space="0" w:color="auto"/>
              <w:bottom w:val="single" w:sz="4" w:space="0" w:color="auto"/>
              <w:right w:val="single" w:sz="4" w:space="0" w:color="auto"/>
            </w:tcBorders>
            <w:noWrap/>
            <w:vAlign w:val="bottom"/>
          </w:tcPr>
          <w:p w14:paraId="6B763DE6" w14:textId="2D9B930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4,774 (4,209 - 5,290)</w:t>
            </w:r>
          </w:p>
        </w:tc>
        <w:tc>
          <w:tcPr>
            <w:tcW w:w="1080" w:type="dxa"/>
            <w:tcBorders>
              <w:top w:val="single" w:sz="4" w:space="0" w:color="auto"/>
              <w:left w:val="single" w:sz="4" w:space="0" w:color="auto"/>
              <w:bottom w:val="single" w:sz="4" w:space="0" w:color="auto"/>
              <w:right w:val="single" w:sz="4" w:space="0" w:color="auto"/>
            </w:tcBorders>
            <w:noWrap/>
            <w:vAlign w:val="bottom"/>
          </w:tcPr>
          <w:p w14:paraId="32318483" w14:textId="446520E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60 (53 - 67)</w:t>
            </w:r>
          </w:p>
        </w:tc>
        <w:tc>
          <w:tcPr>
            <w:tcW w:w="1260" w:type="dxa"/>
            <w:tcBorders>
              <w:top w:val="single" w:sz="4" w:space="0" w:color="auto"/>
              <w:left w:val="single" w:sz="4" w:space="0" w:color="auto"/>
              <w:bottom w:val="single" w:sz="4" w:space="0" w:color="auto"/>
              <w:right w:val="single" w:sz="4" w:space="0" w:color="auto"/>
            </w:tcBorders>
            <w:noWrap/>
            <w:vAlign w:val="bottom"/>
          </w:tcPr>
          <w:p w14:paraId="30B5550E" w14:textId="76AC2D2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0.501 (0.458 - 0.541)</w:t>
            </w:r>
          </w:p>
        </w:tc>
        <w:tc>
          <w:tcPr>
            <w:tcW w:w="1170" w:type="dxa"/>
            <w:tcBorders>
              <w:top w:val="single" w:sz="4" w:space="0" w:color="auto"/>
              <w:left w:val="single" w:sz="4" w:space="0" w:color="auto"/>
              <w:bottom w:val="single" w:sz="4" w:space="0" w:color="auto"/>
              <w:right w:val="single" w:sz="4" w:space="0" w:color="auto"/>
            </w:tcBorders>
            <w:noWrap/>
            <w:vAlign w:val="bottom"/>
          </w:tcPr>
          <w:p w14:paraId="378CCE28" w14:textId="464E5A2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0.006 (0.006 - 0.007)</w:t>
            </w:r>
          </w:p>
        </w:tc>
        <w:tc>
          <w:tcPr>
            <w:tcW w:w="1529" w:type="dxa"/>
            <w:tcBorders>
              <w:top w:val="single" w:sz="4" w:space="0" w:color="auto"/>
              <w:left w:val="single" w:sz="4" w:space="0" w:color="auto"/>
              <w:bottom w:val="single" w:sz="4" w:space="0" w:color="auto"/>
              <w:right w:val="single" w:sz="4" w:space="0" w:color="auto"/>
            </w:tcBorders>
            <w:noWrap/>
            <w:vAlign w:val="bottom"/>
          </w:tcPr>
          <w:p w14:paraId="2FCDA6BB" w14:textId="46E5BAE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7,073.1 (6,540.3 - 7,754.2)</w:t>
            </w:r>
          </w:p>
        </w:tc>
        <w:tc>
          <w:tcPr>
            <w:tcW w:w="1529" w:type="dxa"/>
            <w:tcBorders>
              <w:top w:val="single" w:sz="4" w:space="0" w:color="auto"/>
              <w:left w:val="single" w:sz="4" w:space="0" w:color="auto"/>
              <w:bottom w:val="single" w:sz="4" w:space="0" w:color="auto"/>
              <w:right w:val="single" w:sz="4" w:space="0" w:color="auto"/>
            </w:tcBorders>
            <w:noWrap/>
            <w:vAlign w:val="bottom"/>
          </w:tcPr>
          <w:p w14:paraId="7F82115F" w14:textId="7640DC6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564,089.8 (515,011.8 - 621,456.9)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BE1679E" w14:textId="31535D9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23,555.5 (21,564.4 - 25,866.5)</w:t>
            </w:r>
          </w:p>
        </w:tc>
      </w:tr>
      <w:tr w:rsidR="000618FD" w:rsidRPr="007F0AB9" w14:paraId="4BE05068" w14:textId="77777777" w:rsidTr="004456BB">
        <w:trPr>
          <w:trHeight w:val="701"/>
        </w:trPr>
        <w:tc>
          <w:tcPr>
            <w:tcW w:w="810" w:type="dxa"/>
            <w:tcBorders>
              <w:top w:val="nil"/>
              <w:bottom w:val="nil"/>
              <w:right w:val="single" w:sz="4" w:space="0" w:color="auto"/>
            </w:tcBorders>
            <w:vAlign w:val="center"/>
          </w:tcPr>
          <w:p w14:paraId="27B4F37E" w14:textId="4211A790"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63EDE863" w14:textId="2732CF92"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28942DB2" w14:textId="36DE59C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38F8FFF9" w14:textId="1808E70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 (74.2 - 88.9)</w:t>
            </w:r>
          </w:p>
        </w:tc>
        <w:tc>
          <w:tcPr>
            <w:tcW w:w="1350" w:type="dxa"/>
            <w:tcBorders>
              <w:top w:val="single" w:sz="4" w:space="0" w:color="auto"/>
              <w:left w:val="single" w:sz="4" w:space="0" w:color="auto"/>
              <w:bottom w:val="single" w:sz="4" w:space="0" w:color="auto"/>
              <w:right w:val="single" w:sz="4" w:space="0" w:color="auto"/>
            </w:tcBorders>
            <w:noWrap/>
            <w:vAlign w:val="bottom"/>
          </w:tcPr>
          <w:p w14:paraId="4380BD69" w14:textId="06EA863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17,463 (15,753 - 19,385)</w:t>
            </w:r>
          </w:p>
        </w:tc>
        <w:tc>
          <w:tcPr>
            <w:tcW w:w="1080" w:type="dxa"/>
            <w:tcBorders>
              <w:top w:val="single" w:sz="4" w:space="0" w:color="auto"/>
              <w:left w:val="single" w:sz="4" w:space="0" w:color="auto"/>
              <w:bottom w:val="single" w:sz="4" w:space="0" w:color="auto"/>
              <w:right w:val="single" w:sz="4" w:space="0" w:color="auto"/>
            </w:tcBorders>
            <w:noWrap/>
            <w:vAlign w:val="bottom"/>
          </w:tcPr>
          <w:p w14:paraId="3CEF49B3" w14:textId="6E2C983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242 (211 - 276)</w:t>
            </w:r>
          </w:p>
        </w:tc>
        <w:tc>
          <w:tcPr>
            <w:tcW w:w="1260" w:type="dxa"/>
            <w:tcBorders>
              <w:top w:val="single" w:sz="4" w:space="0" w:color="auto"/>
              <w:left w:val="single" w:sz="4" w:space="0" w:color="auto"/>
              <w:bottom w:val="single" w:sz="4" w:space="0" w:color="auto"/>
              <w:right w:val="single" w:sz="4" w:space="0" w:color="auto"/>
            </w:tcBorders>
            <w:noWrap/>
            <w:vAlign w:val="bottom"/>
          </w:tcPr>
          <w:p w14:paraId="42EB28BA" w14:textId="3FD86F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1.022 (0.925 - 1.136)</w:t>
            </w:r>
          </w:p>
        </w:tc>
        <w:tc>
          <w:tcPr>
            <w:tcW w:w="1170" w:type="dxa"/>
            <w:tcBorders>
              <w:top w:val="single" w:sz="4" w:space="0" w:color="auto"/>
              <w:left w:val="single" w:sz="4" w:space="0" w:color="auto"/>
              <w:bottom w:val="single" w:sz="4" w:space="0" w:color="auto"/>
              <w:right w:val="single" w:sz="4" w:space="0" w:color="auto"/>
            </w:tcBorders>
            <w:noWrap/>
            <w:vAlign w:val="bottom"/>
          </w:tcPr>
          <w:p w14:paraId="52863319" w14:textId="6D4665E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0.014 (0.012 - 0.016)</w:t>
            </w:r>
          </w:p>
        </w:tc>
        <w:tc>
          <w:tcPr>
            <w:tcW w:w="1529" w:type="dxa"/>
            <w:tcBorders>
              <w:top w:val="single" w:sz="4" w:space="0" w:color="auto"/>
              <w:left w:val="single" w:sz="4" w:space="0" w:color="auto"/>
              <w:bottom w:val="single" w:sz="4" w:space="0" w:color="auto"/>
              <w:right w:val="single" w:sz="4" w:space="0" w:color="auto"/>
            </w:tcBorders>
            <w:noWrap/>
            <w:vAlign w:val="bottom"/>
          </w:tcPr>
          <w:p w14:paraId="01632386" w14:textId="40BFA1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3,171.8 (2,783.8 - 3,616.8)</w:t>
            </w:r>
          </w:p>
        </w:tc>
        <w:tc>
          <w:tcPr>
            <w:tcW w:w="1529" w:type="dxa"/>
            <w:tcBorders>
              <w:top w:val="single" w:sz="4" w:space="0" w:color="auto"/>
              <w:left w:val="single" w:sz="4" w:space="0" w:color="auto"/>
              <w:bottom w:val="single" w:sz="4" w:space="0" w:color="auto"/>
              <w:right w:val="single" w:sz="4" w:space="0" w:color="auto"/>
            </w:tcBorders>
            <w:noWrap/>
            <w:vAlign w:val="bottom"/>
          </w:tcPr>
          <w:p w14:paraId="53566C33" w14:textId="12AF753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230,302.1 (194,750.9 - 270,790)</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581B3ED" w14:textId="703091D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9,648.9 (8,168.4 - 11,348.9)</w:t>
            </w:r>
          </w:p>
        </w:tc>
      </w:tr>
      <w:tr w:rsidR="000618FD" w:rsidRPr="007F0AB9" w14:paraId="1A2F96E8" w14:textId="77777777" w:rsidTr="004456BB">
        <w:trPr>
          <w:trHeight w:val="701"/>
        </w:trPr>
        <w:tc>
          <w:tcPr>
            <w:tcW w:w="810" w:type="dxa"/>
            <w:tcBorders>
              <w:top w:val="nil"/>
              <w:bottom w:val="nil"/>
              <w:right w:val="single" w:sz="4" w:space="0" w:color="auto"/>
            </w:tcBorders>
            <w:vAlign w:val="center"/>
          </w:tcPr>
          <w:p w14:paraId="7779804B" w14:textId="3A56270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B3BA746" w14:textId="11A96E32"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874E61E" w14:textId="0B27467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0A8CDCCF" w14:textId="57A9CEF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54.5 (50.1 - 59)</w:t>
            </w:r>
          </w:p>
        </w:tc>
        <w:tc>
          <w:tcPr>
            <w:tcW w:w="1350" w:type="dxa"/>
            <w:tcBorders>
              <w:top w:val="single" w:sz="4" w:space="0" w:color="auto"/>
              <w:left w:val="single" w:sz="4" w:space="0" w:color="auto"/>
              <w:bottom w:val="single" w:sz="4" w:space="0" w:color="auto"/>
              <w:right w:val="single" w:sz="4" w:space="0" w:color="auto"/>
            </w:tcBorders>
            <w:noWrap/>
            <w:vAlign w:val="bottom"/>
          </w:tcPr>
          <w:p w14:paraId="58FFA366" w14:textId="5BE91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11,749 (10,761 - 12,906)</w:t>
            </w:r>
          </w:p>
        </w:tc>
        <w:tc>
          <w:tcPr>
            <w:tcW w:w="1080" w:type="dxa"/>
            <w:tcBorders>
              <w:top w:val="single" w:sz="4" w:space="0" w:color="auto"/>
              <w:left w:val="single" w:sz="4" w:space="0" w:color="auto"/>
              <w:bottom w:val="single" w:sz="4" w:space="0" w:color="auto"/>
              <w:right w:val="single" w:sz="4" w:space="0" w:color="auto"/>
            </w:tcBorders>
            <w:noWrap/>
            <w:vAlign w:val="bottom"/>
          </w:tcPr>
          <w:p w14:paraId="622C74B7" w14:textId="18E404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148 (133 - 164)</w:t>
            </w:r>
          </w:p>
        </w:tc>
        <w:tc>
          <w:tcPr>
            <w:tcW w:w="1260" w:type="dxa"/>
            <w:tcBorders>
              <w:top w:val="single" w:sz="4" w:space="0" w:color="auto"/>
              <w:left w:val="single" w:sz="4" w:space="0" w:color="auto"/>
              <w:bottom w:val="single" w:sz="4" w:space="0" w:color="auto"/>
              <w:right w:val="single" w:sz="4" w:space="0" w:color="auto"/>
            </w:tcBorders>
            <w:noWrap/>
            <w:vAlign w:val="bottom"/>
          </w:tcPr>
          <w:p w14:paraId="5E868990" w14:textId="7E95BCB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0.689 (0.63 - 0.756)</w:t>
            </w:r>
          </w:p>
        </w:tc>
        <w:tc>
          <w:tcPr>
            <w:tcW w:w="1170" w:type="dxa"/>
            <w:tcBorders>
              <w:top w:val="single" w:sz="4" w:space="0" w:color="auto"/>
              <w:left w:val="single" w:sz="4" w:space="0" w:color="auto"/>
              <w:bottom w:val="single" w:sz="4" w:space="0" w:color="auto"/>
              <w:right w:val="single" w:sz="4" w:space="0" w:color="auto"/>
            </w:tcBorders>
            <w:noWrap/>
            <w:vAlign w:val="bottom"/>
          </w:tcPr>
          <w:p w14:paraId="6A584788" w14:textId="5175A95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57BD0DA9" w14:textId="29ED9D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5,067.6 (4,535.2 - 5,615.3)</w:t>
            </w:r>
          </w:p>
        </w:tc>
        <w:tc>
          <w:tcPr>
            <w:tcW w:w="1529" w:type="dxa"/>
            <w:tcBorders>
              <w:top w:val="single" w:sz="4" w:space="0" w:color="auto"/>
              <w:left w:val="single" w:sz="4" w:space="0" w:color="auto"/>
              <w:bottom w:val="single" w:sz="4" w:space="0" w:color="auto"/>
              <w:right w:val="single" w:sz="4" w:space="0" w:color="auto"/>
            </w:tcBorders>
            <w:noWrap/>
            <w:vAlign w:val="bottom"/>
          </w:tcPr>
          <w:p w14:paraId="0AC203C2" w14:textId="1BCFB5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403,761.2 (356,371.4 - 453,108.9)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016EA83" w14:textId="0A70293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16,968.2 (14,970.2 - 19,025.2)</w:t>
            </w:r>
          </w:p>
        </w:tc>
      </w:tr>
      <w:tr w:rsidR="000618FD" w:rsidRPr="007F0AB9" w14:paraId="37913E1F" w14:textId="77777777" w:rsidTr="004456BB">
        <w:trPr>
          <w:trHeight w:val="701"/>
        </w:trPr>
        <w:tc>
          <w:tcPr>
            <w:tcW w:w="810" w:type="dxa"/>
            <w:tcBorders>
              <w:top w:val="nil"/>
              <w:bottom w:val="nil"/>
              <w:right w:val="single" w:sz="4" w:space="0" w:color="auto"/>
            </w:tcBorders>
            <w:vAlign w:val="center"/>
          </w:tcPr>
          <w:p w14:paraId="2EBD0AAA" w14:textId="162386EB"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254EE112" w14:textId="2BF5330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D8D244F" w14:textId="7CC62F6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5E1D23B0" w14:textId="27ACDC5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38.5 (35 - 41)</w:t>
            </w:r>
          </w:p>
        </w:tc>
        <w:tc>
          <w:tcPr>
            <w:tcW w:w="1350" w:type="dxa"/>
            <w:tcBorders>
              <w:top w:val="single" w:sz="4" w:space="0" w:color="auto"/>
              <w:left w:val="single" w:sz="4" w:space="0" w:color="auto"/>
              <w:bottom w:val="single" w:sz="4" w:space="0" w:color="auto"/>
              <w:right w:val="single" w:sz="4" w:space="0" w:color="auto"/>
            </w:tcBorders>
            <w:noWrap/>
            <w:vAlign w:val="bottom"/>
          </w:tcPr>
          <w:p w14:paraId="1EEF00F7" w14:textId="44488DE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8,077 (7,496 - 8,741)</w:t>
            </w:r>
          </w:p>
        </w:tc>
        <w:tc>
          <w:tcPr>
            <w:tcW w:w="1080" w:type="dxa"/>
            <w:tcBorders>
              <w:top w:val="single" w:sz="4" w:space="0" w:color="auto"/>
              <w:left w:val="single" w:sz="4" w:space="0" w:color="auto"/>
              <w:bottom w:val="single" w:sz="4" w:space="0" w:color="auto"/>
              <w:right w:val="single" w:sz="4" w:space="0" w:color="auto"/>
            </w:tcBorders>
            <w:noWrap/>
            <w:vAlign w:val="bottom"/>
          </w:tcPr>
          <w:p w14:paraId="5204B808" w14:textId="2E79E77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107 (97 - 117)</w:t>
            </w:r>
          </w:p>
        </w:tc>
        <w:tc>
          <w:tcPr>
            <w:tcW w:w="1260" w:type="dxa"/>
            <w:tcBorders>
              <w:top w:val="single" w:sz="4" w:space="0" w:color="auto"/>
              <w:left w:val="single" w:sz="4" w:space="0" w:color="auto"/>
              <w:bottom w:val="single" w:sz="4" w:space="0" w:color="auto"/>
              <w:right w:val="single" w:sz="4" w:space="0" w:color="auto"/>
            </w:tcBorders>
            <w:noWrap/>
            <w:vAlign w:val="bottom"/>
          </w:tcPr>
          <w:p w14:paraId="1A14DC81" w14:textId="15B25BD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0.517 (0.488 - 0.55)</w:t>
            </w:r>
          </w:p>
        </w:tc>
        <w:tc>
          <w:tcPr>
            <w:tcW w:w="1170" w:type="dxa"/>
            <w:tcBorders>
              <w:top w:val="single" w:sz="4" w:space="0" w:color="auto"/>
              <w:left w:val="single" w:sz="4" w:space="0" w:color="auto"/>
              <w:bottom w:val="single" w:sz="4" w:space="0" w:color="auto"/>
              <w:right w:val="single" w:sz="4" w:space="0" w:color="auto"/>
            </w:tcBorders>
            <w:noWrap/>
            <w:vAlign w:val="bottom"/>
          </w:tcPr>
          <w:p w14:paraId="2D5C1349" w14:textId="7679E7C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0.007 (0.006 - 0.007)</w:t>
            </w:r>
          </w:p>
        </w:tc>
        <w:tc>
          <w:tcPr>
            <w:tcW w:w="1529" w:type="dxa"/>
            <w:tcBorders>
              <w:top w:val="single" w:sz="4" w:space="0" w:color="auto"/>
              <w:left w:val="single" w:sz="4" w:space="0" w:color="auto"/>
              <w:bottom w:val="single" w:sz="4" w:space="0" w:color="auto"/>
              <w:right w:val="single" w:sz="4" w:space="0" w:color="auto"/>
            </w:tcBorders>
            <w:noWrap/>
            <w:vAlign w:val="bottom"/>
          </w:tcPr>
          <w:p w14:paraId="405CA9DE" w14:textId="3DBD784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6,900.6 (6,460.8 - 7,354.2)</w:t>
            </w:r>
          </w:p>
        </w:tc>
        <w:tc>
          <w:tcPr>
            <w:tcW w:w="1529" w:type="dxa"/>
            <w:tcBorders>
              <w:top w:val="single" w:sz="4" w:space="0" w:color="auto"/>
              <w:left w:val="single" w:sz="4" w:space="0" w:color="auto"/>
              <w:bottom w:val="single" w:sz="4" w:space="0" w:color="auto"/>
              <w:right w:val="single" w:sz="4" w:space="0" w:color="auto"/>
            </w:tcBorders>
            <w:noWrap/>
            <w:vAlign w:val="bottom"/>
          </w:tcPr>
          <w:p w14:paraId="3DED7507" w14:textId="28BB7A6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520,336.8 (480,112.5 - 563,519.7)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9AF5D0A" w14:textId="3B52C57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21,754.2 (20,085.3 - 23,542)</w:t>
            </w:r>
          </w:p>
        </w:tc>
      </w:tr>
      <w:tr w:rsidR="004456BB" w:rsidRPr="007F0AB9" w14:paraId="4615EC19" w14:textId="77777777" w:rsidTr="004456BB">
        <w:trPr>
          <w:trHeight w:val="701"/>
        </w:trPr>
        <w:tc>
          <w:tcPr>
            <w:tcW w:w="810" w:type="dxa"/>
            <w:tcBorders>
              <w:top w:val="nil"/>
              <w:bottom w:val="single" w:sz="4" w:space="0" w:color="auto"/>
              <w:right w:val="single" w:sz="4" w:space="0" w:color="auto"/>
            </w:tcBorders>
            <w:vAlign w:val="center"/>
          </w:tcPr>
          <w:p w14:paraId="5A08FDE8" w14:textId="6BFB9D4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26019489" w14:textId="78B37C97"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7028D91B" w14:textId="5A15276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5AC0AC9" w14:textId="1AB6C17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26.5 (23 - 28.9)</w:t>
            </w:r>
          </w:p>
        </w:tc>
        <w:tc>
          <w:tcPr>
            <w:tcW w:w="1350" w:type="dxa"/>
            <w:tcBorders>
              <w:top w:val="single" w:sz="4" w:space="0" w:color="auto"/>
              <w:left w:val="single" w:sz="4" w:space="0" w:color="auto"/>
              <w:bottom w:val="single" w:sz="4" w:space="0" w:color="auto"/>
              <w:right w:val="single" w:sz="4" w:space="0" w:color="auto"/>
            </w:tcBorders>
            <w:noWrap/>
            <w:vAlign w:val="bottom"/>
          </w:tcPr>
          <w:p w14:paraId="542691A4" w14:textId="4D9D13A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4,908 (4,495 - 5,468)</w:t>
            </w:r>
          </w:p>
        </w:tc>
        <w:tc>
          <w:tcPr>
            <w:tcW w:w="1080" w:type="dxa"/>
            <w:tcBorders>
              <w:top w:val="single" w:sz="4" w:space="0" w:color="auto"/>
              <w:left w:val="single" w:sz="4" w:space="0" w:color="auto"/>
              <w:bottom w:val="single" w:sz="4" w:space="0" w:color="auto"/>
              <w:right w:val="single" w:sz="4" w:space="0" w:color="auto"/>
            </w:tcBorders>
            <w:noWrap/>
            <w:vAlign w:val="bottom"/>
          </w:tcPr>
          <w:p w14:paraId="66AE2B80" w14:textId="1E07016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62 (56 - 69)</w:t>
            </w:r>
          </w:p>
        </w:tc>
        <w:tc>
          <w:tcPr>
            <w:tcW w:w="1260" w:type="dxa"/>
            <w:tcBorders>
              <w:top w:val="single" w:sz="4" w:space="0" w:color="auto"/>
              <w:left w:val="single" w:sz="4" w:space="0" w:color="auto"/>
              <w:bottom w:val="single" w:sz="4" w:space="0" w:color="auto"/>
              <w:right w:val="single" w:sz="4" w:space="0" w:color="auto"/>
            </w:tcBorders>
            <w:noWrap/>
            <w:vAlign w:val="bottom"/>
          </w:tcPr>
          <w:p w14:paraId="42C7AF0F" w14:textId="0DCD6DD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0.431 (0.401 - 0.467)</w:t>
            </w:r>
          </w:p>
        </w:tc>
        <w:tc>
          <w:tcPr>
            <w:tcW w:w="1170" w:type="dxa"/>
            <w:tcBorders>
              <w:top w:val="single" w:sz="4" w:space="0" w:color="auto"/>
              <w:left w:val="single" w:sz="4" w:space="0" w:color="auto"/>
              <w:bottom w:val="single" w:sz="4" w:space="0" w:color="auto"/>
              <w:right w:val="single" w:sz="4" w:space="0" w:color="auto"/>
            </w:tcBorders>
            <w:noWrap/>
            <w:vAlign w:val="bottom"/>
          </w:tcPr>
          <w:p w14:paraId="019398F6" w14:textId="1CFB850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0.005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165FC5EC" w14:textId="782B590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8,293.1 (7,641.2 - 8,904.5)</w:t>
            </w:r>
          </w:p>
        </w:tc>
        <w:tc>
          <w:tcPr>
            <w:tcW w:w="1529" w:type="dxa"/>
            <w:tcBorders>
              <w:top w:val="single" w:sz="4" w:space="0" w:color="auto"/>
              <w:left w:val="single" w:sz="4" w:space="0" w:color="auto"/>
              <w:bottom w:val="single" w:sz="4" w:space="0" w:color="auto"/>
              <w:right w:val="single" w:sz="4" w:space="0" w:color="auto"/>
            </w:tcBorders>
            <w:noWrap/>
            <w:vAlign w:val="bottom"/>
          </w:tcPr>
          <w:p w14:paraId="7338BD2F" w14:textId="3203223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657,043.2 (604,619.6 - 715,375.8)</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2BEA03B" w14:textId="3D441BC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27,440.8 (25,323.8 - 29,787.7)</w:t>
            </w:r>
          </w:p>
        </w:tc>
      </w:tr>
      <w:tr w:rsidR="000618FD" w:rsidRPr="007F0AB9" w14:paraId="5B6C688B" w14:textId="77777777" w:rsidTr="004456BB">
        <w:trPr>
          <w:trHeight w:val="701"/>
        </w:trPr>
        <w:tc>
          <w:tcPr>
            <w:tcW w:w="810" w:type="dxa"/>
            <w:tcBorders>
              <w:top w:val="single" w:sz="4" w:space="0" w:color="auto"/>
              <w:bottom w:val="nil"/>
              <w:right w:val="single" w:sz="4" w:space="0" w:color="auto"/>
            </w:tcBorders>
            <w:vAlign w:val="center"/>
          </w:tcPr>
          <w:p w14:paraId="2AF5E5C6" w14:textId="26780354" w:rsidR="000618FD" w:rsidRPr="00C07889" w:rsidRDefault="000618FD" w:rsidP="000618FD">
            <w:pPr>
              <w:spacing w:line="240" w:lineRule="auto"/>
              <w:jc w:val="center"/>
              <w:rPr>
                <w:rFonts w:eastAsiaTheme="majorEastAsia" w:hint="eastAsia"/>
                <w:sz w:val="18"/>
                <w:szCs w:val="18"/>
              </w:rPr>
            </w:pPr>
            <w:r>
              <w:rPr>
                <w:rFonts w:eastAsiaTheme="majorEastAsia" w:hint="eastAsia"/>
                <w:sz w:val="18"/>
                <w:szCs w:val="18"/>
              </w:rPr>
              <w:t>Top 50%</w:t>
            </w:r>
          </w:p>
        </w:tc>
        <w:tc>
          <w:tcPr>
            <w:tcW w:w="900" w:type="dxa"/>
            <w:tcBorders>
              <w:top w:val="single" w:sz="4" w:space="0" w:color="auto"/>
              <w:left w:val="single" w:sz="4" w:space="0" w:color="auto"/>
              <w:bottom w:val="nil"/>
              <w:right w:val="single" w:sz="4" w:space="0" w:color="auto"/>
            </w:tcBorders>
            <w:vAlign w:val="center"/>
          </w:tcPr>
          <w:p w14:paraId="367CA6CF" w14:textId="2050ADA2"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13D009FC" w14:textId="78969CF8"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671830C8" w14:textId="6A1DC9B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74.1 (65.9 - 80.3)</w:t>
            </w:r>
          </w:p>
        </w:tc>
        <w:tc>
          <w:tcPr>
            <w:tcW w:w="1350" w:type="dxa"/>
            <w:tcBorders>
              <w:top w:val="single" w:sz="4" w:space="0" w:color="auto"/>
              <w:left w:val="single" w:sz="4" w:space="0" w:color="auto"/>
              <w:bottom w:val="single" w:sz="4" w:space="0" w:color="auto"/>
              <w:right w:val="single" w:sz="4" w:space="0" w:color="auto"/>
            </w:tcBorders>
            <w:noWrap/>
            <w:vAlign w:val="bottom"/>
          </w:tcPr>
          <w:p w14:paraId="261463D7" w14:textId="7A851A4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17,031 (14,955 - 19,969)</w:t>
            </w:r>
          </w:p>
        </w:tc>
        <w:tc>
          <w:tcPr>
            <w:tcW w:w="1080" w:type="dxa"/>
            <w:tcBorders>
              <w:top w:val="single" w:sz="4" w:space="0" w:color="auto"/>
              <w:left w:val="single" w:sz="4" w:space="0" w:color="auto"/>
              <w:bottom w:val="single" w:sz="4" w:space="0" w:color="auto"/>
              <w:right w:val="single" w:sz="4" w:space="0" w:color="auto"/>
            </w:tcBorders>
            <w:noWrap/>
            <w:vAlign w:val="bottom"/>
          </w:tcPr>
          <w:p w14:paraId="7746FA41" w14:textId="5F4DD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218 (191 - 247)</w:t>
            </w:r>
          </w:p>
        </w:tc>
        <w:tc>
          <w:tcPr>
            <w:tcW w:w="1260" w:type="dxa"/>
            <w:tcBorders>
              <w:top w:val="single" w:sz="4" w:space="0" w:color="auto"/>
              <w:left w:val="single" w:sz="4" w:space="0" w:color="auto"/>
              <w:bottom w:val="single" w:sz="4" w:space="0" w:color="auto"/>
              <w:right w:val="single" w:sz="4" w:space="0" w:color="auto"/>
            </w:tcBorders>
            <w:noWrap/>
            <w:vAlign w:val="bottom"/>
          </w:tcPr>
          <w:p w14:paraId="78FB96EE" w14:textId="48FDCD7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1.484 (1.303 - 1.734)</w:t>
            </w:r>
          </w:p>
        </w:tc>
        <w:tc>
          <w:tcPr>
            <w:tcW w:w="1170" w:type="dxa"/>
            <w:tcBorders>
              <w:top w:val="single" w:sz="4" w:space="0" w:color="auto"/>
              <w:left w:val="single" w:sz="4" w:space="0" w:color="auto"/>
              <w:bottom w:val="single" w:sz="4" w:space="0" w:color="auto"/>
              <w:right w:val="single" w:sz="4" w:space="0" w:color="auto"/>
            </w:tcBorders>
            <w:noWrap/>
            <w:vAlign w:val="bottom"/>
          </w:tcPr>
          <w:p w14:paraId="66DA2A76" w14:textId="4BC0CD9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0.019 (0.017 - 0.021)</w:t>
            </w:r>
          </w:p>
        </w:tc>
        <w:tc>
          <w:tcPr>
            <w:tcW w:w="1529" w:type="dxa"/>
            <w:tcBorders>
              <w:top w:val="single" w:sz="4" w:space="0" w:color="auto"/>
              <w:left w:val="single" w:sz="4" w:space="0" w:color="auto"/>
              <w:bottom w:val="single" w:sz="4" w:space="0" w:color="auto"/>
              <w:right w:val="single" w:sz="4" w:space="0" w:color="auto"/>
            </w:tcBorders>
            <w:noWrap/>
            <w:vAlign w:val="bottom"/>
          </w:tcPr>
          <w:p w14:paraId="5A9BD066" w14:textId="3E9BCE8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2,055.7 (1,658.6 - 2,418.5)</w:t>
            </w:r>
          </w:p>
        </w:tc>
        <w:tc>
          <w:tcPr>
            <w:tcW w:w="1529" w:type="dxa"/>
            <w:tcBorders>
              <w:top w:val="single" w:sz="4" w:space="0" w:color="auto"/>
              <w:left w:val="single" w:sz="4" w:space="0" w:color="auto"/>
              <w:bottom w:val="single" w:sz="4" w:space="0" w:color="auto"/>
              <w:right w:val="single" w:sz="4" w:space="0" w:color="auto"/>
            </w:tcBorders>
            <w:noWrap/>
            <w:vAlign w:val="bottom"/>
          </w:tcPr>
          <w:p w14:paraId="2696C999" w14:textId="7A4F057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159,113.7 (135,453.6 - 188,632.8)</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01C0C5AE" w14:textId="449223D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6,675.5 (5,683.2 - 7,904.7)</w:t>
            </w:r>
          </w:p>
        </w:tc>
      </w:tr>
      <w:tr w:rsidR="000618FD" w:rsidRPr="007F0AB9" w14:paraId="397E557F" w14:textId="77777777" w:rsidTr="004456BB">
        <w:trPr>
          <w:trHeight w:val="701"/>
        </w:trPr>
        <w:tc>
          <w:tcPr>
            <w:tcW w:w="810" w:type="dxa"/>
            <w:tcBorders>
              <w:top w:val="nil"/>
              <w:bottom w:val="nil"/>
              <w:right w:val="single" w:sz="4" w:space="0" w:color="auto"/>
            </w:tcBorders>
            <w:vAlign w:val="center"/>
          </w:tcPr>
          <w:p w14:paraId="68F38F83" w14:textId="79DBF933"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62D57E76" w14:textId="18BFA00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58508999" w14:textId="4510D98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336167F5" w14:textId="2F1BCB3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52.5 (46.5 - 57.5)</w:t>
            </w:r>
          </w:p>
        </w:tc>
        <w:tc>
          <w:tcPr>
            <w:tcW w:w="1350" w:type="dxa"/>
            <w:tcBorders>
              <w:top w:val="single" w:sz="4" w:space="0" w:color="auto"/>
              <w:left w:val="single" w:sz="4" w:space="0" w:color="auto"/>
              <w:bottom w:val="single" w:sz="4" w:space="0" w:color="auto"/>
              <w:right w:val="single" w:sz="4" w:space="0" w:color="auto"/>
            </w:tcBorders>
            <w:noWrap/>
            <w:vAlign w:val="bottom"/>
          </w:tcPr>
          <w:p w14:paraId="3ADDFBD8" w14:textId="245479D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12,153 (10,682 - 14,085)</w:t>
            </w:r>
          </w:p>
        </w:tc>
        <w:tc>
          <w:tcPr>
            <w:tcW w:w="1080" w:type="dxa"/>
            <w:tcBorders>
              <w:top w:val="single" w:sz="4" w:space="0" w:color="auto"/>
              <w:left w:val="single" w:sz="4" w:space="0" w:color="auto"/>
              <w:bottom w:val="single" w:sz="4" w:space="0" w:color="auto"/>
              <w:right w:val="single" w:sz="4" w:space="0" w:color="auto"/>
            </w:tcBorders>
            <w:noWrap/>
            <w:vAlign w:val="bottom"/>
          </w:tcPr>
          <w:p w14:paraId="71135F23" w14:textId="57D4111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151 (133 - 169)</w:t>
            </w:r>
          </w:p>
        </w:tc>
        <w:tc>
          <w:tcPr>
            <w:tcW w:w="1260" w:type="dxa"/>
            <w:tcBorders>
              <w:top w:val="single" w:sz="4" w:space="0" w:color="auto"/>
              <w:left w:val="single" w:sz="4" w:space="0" w:color="auto"/>
              <w:bottom w:val="single" w:sz="4" w:space="0" w:color="auto"/>
              <w:right w:val="single" w:sz="4" w:space="0" w:color="auto"/>
            </w:tcBorders>
            <w:noWrap/>
            <w:vAlign w:val="bottom"/>
          </w:tcPr>
          <w:p w14:paraId="0F35C179" w14:textId="7DA0783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1.06 (0.927 - 1.234)</w:t>
            </w:r>
          </w:p>
        </w:tc>
        <w:tc>
          <w:tcPr>
            <w:tcW w:w="1170" w:type="dxa"/>
            <w:tcBorders>
              <w:top w:val="single" w:sz="4" w:space="0" w:color="auto"/>
              <w:left w:val="single" w:sz="4" w:space="0" w:color="auto"/>
              <w:bottom w:val="single" w:sz="4" w:space="0" w:color="auto"/>
              <w:right w:val="single" w:sz="4" w:space="0" w:color="auto"/>
            </w:tcBorders>
            <w:noWrap/>
            <w:vAlign w:val="bottom"/>
          </w:tcPr>
          <w:p w14:paraId="1C4BE6E5" w14:textId="1030E68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0.013 (0.012 - 0.015)</w:t>
            </w:r>
          </w:p>
        </w:tc>
        <w:tc>
          <w:tcPr>
            <w:tcW w:w="1529" w:type="dxa"/>
            <w:tcBorders>
              <w:top w:val="single" w:sz="4" w:space="0" w:color="auto"/>
              <w:left w:val="single" w:sz="4" w:space="0" w:color="auto"/>
              <w:bottom w:val="single" w:sz="4" w:space="0" w:color="auto"/>
              <w:right w:val="single" w:sz="4" w:space="0" w:color="auto"/>
            </w:tcBorders>
            <w:noWrap/>
            <w:vAlign w:val="bottom"/>
          </w:tcPr>
          <w:p w14:paraId="26E5B1EA" w14:textId="3F083EA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3,111.1 (2,592.2 - 3,624.5)</w:t>
            </w:r>
          </w:p>
        </w:tc>
        <w:tc>
          <w:tcPr>
            <w:tcW w:w="1529" w:type="dxa"/>
            <w:tcBorders>
              <w:top w:val="single" w:sz="4" w:space="0" w:color="auto"/>
              <w:left w:val="single" w:sz="4" w:space="0" w:color="auto"/>
              <w:bottom w:val="single" w:sz="4" w:space="0" w:color="auto"/>
              <w:right w:val="single" w:sz="4" w:space="0" w:color="auto"/>
            </w:tcBorders>
            <w:noWrap/>
            <w:vAlign w:val="bottom"/>
          </w:tcPr>
          <w:p w14:paraId="54E725DD" w14:textId="3A5776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251,106.2 (219,388.6 - 290,891.7)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42A4708B" w14:textId="4875D89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10,529.9 (9,201.6 - 12,195.6)</w:t>
            </w:r>
          </w:p>
        </w:tc>
      </w:tr>
      <w:tr w:rsidR="000618FD" w:rsidRPr="007F0AB9" w14:paraId="6A568305" w14:textId="77777777" w:rsidTr="004456BB">
        <w:trPr>
          <w:trHeight w:val="701"/>
        </w:trPr>
        <w:tc>
          <w:tcPr>
            <w:tcW w:w="810" w:type="dxa"/>
            <w:tcBorders>
              <w:top w:val="nil"/>
              <w:bottom w:val="nil"/>
              <w:right w:val="single" w:sz="4" w:space="0" w:color="auto"/>
            </w:tcBorders>
            <w:vAlign w:val="center"/>
          </w:tcPr>
          <w:p w14:paraId="3EA2AA2D" w14:textId="06F41A1C"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1674D4E" w14:textId="0A6AC0B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4B1230E1" w14:textId="32758DDF"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730D4B5A" w14:textId="24BB936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34.9 (29.7 - 39.3)</w:t>
            </w:r>
          </w:p>
        </w:tc>
        <w:tc>
          <w:tcPr>
            <w:tcW w:w="1350" w:type="dxa"/>
            <w:tcBorders>
              <w:top w:val="single" w:sz="4" w:space="0" w:color="auto"/>
              <w:left w:val="single" w:sz="4" w:space="0" w:color="auto"/>
              <w:bottom w:val="single" w:sz="4" w:space="0" w:color="auto"/>
              <w:right w:val="single" w:sz="4" w:space="0" w:color="auto"/>
            </w:tcBorders>
            <w:noWrap/>
            <w:vAlign w:val="bottom"/>
          </w:tcPr>
          <w:p w14:paraId="6010A75E" w14:textId="6884937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8,277 (7,298 - 9,236)</w:t>
            </w:r>
          </w:p>
        </w:tc>
        <w:tc>
          <w:tcPr>
            <w:tcW w:w="1080" w:type="dxa"/>
            <w:tcBorders>
              <w:top w:val="single" w:sz="4" w:space="0" w:color="auto"/>
              <w:left w:val="single" w:sz="4" w:space="0" w:color="auto"/>
              <w:bottom w:val="single" w:sz="4" w:space="0" w:color="auto"/>
              <w:right w:val="single" w:sz="4" w:space="0" w:color="auto"/>
            </w:tcBorders>
            <w:noWrap/>
            <w:vAlign w:val="bottom"/>
          </w:tcPr>
          <w:p w14:paraId="79F1A746" w14:textId="411B077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112 (99 - 125)</w:t>
            </w:r>
          </w:p>
        </w:tc>
        <w:tc>
          <w:tcPr>
            <w:tcW w:w="1260" w:type="dxa"/>
            <w:tcBorders>
              <w:top w:val="single" w:sz="4" w:space="0" w:color="auto"/>
              <w:left w:val="single" w:sz="4" w:space="0" w:color="auto"/>
              <w:bottom w:val="single" w:sz="4" w:space="0" w:color="auto"/>
              <w:right w:val="single" w:sz="4" w:space="0" w:color="auto"/>
            </w:tcBorders>
            <w:noWrap/>
            <w:vAlign w:val="bottom"/>
          </w:tcPr>
          <w:p w14:paraId="46AB185F" w14:textId="44FB218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0.72 (0.633 - 0.809)</w:t>
            </w:r>
          </w:p>
        </w:tc>
        <w:tc>
          <w:tcPr>
            <w:tcW w:w="1170" w:type="dxa"/>
            <w:tcBorders>
              <w:top w:val="single" w:sz="4" w:space="0" w:color="auto"/>
              <w:left w:val="single" w:sz="4" w:space="0" w:color="auto"/>
              <w:bottom w:val="single" w:sz="4" w:space="0" w:color="auto"/>
              <w:right w:val="single" w:sz="4" w:space="0" w:color="auto"/>
            </w:tcBorders>
            <w:noWrap/>
            <w:vAlign w:val="bottom"/>
          </w:tcPr>
          <w:p w14:paraId="2CD2DCBD" w14:textId="7141E6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306B0B8A" w14:textId="083D274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4,801.1 (4,228.9 - 5,526.2)</w:t>
            </w:r>
          </w:p>
        </w:tc>
        <w:tc>
          <w:tcPr>
            <w:tcW w:w="1529" w:type="dxa"/>
            <w:tcBorders>
              <w:top w:val="single" w:sz="4" w:space="0" w:color="auto"/>
              <w:left w:val="single" w:sz="4" w:space="0" w:color="auto"/>
              <w:bottom w:val="single" w:sz="4" w:space="0" w:color="auto"/>
              <w:right w:val="single" w:sz="4" w:space="0" w:color="auto"/>
            </w:tcBorders>
            <w:noWrap/>
            <w:vAlign w:val="bottom"/>
          </w:tcPr>
          <w:p w14:paraId="15A66E8C" w14:textId="2D18307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354,344.9 (314,433.7 - 404,156.7)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CEBBA4A" w14:textId="14076FF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14,785.3 (13,125.3 - 16,848.5)</w:t>
            </w:r>
          </w:p>
        </w:tc>
      </w:tr>
      <w:tr w:rsidR="004456BB" w:rsidRPr="007F0AB9" w14:paraId="6AB0E883" w14:textId="77777777" w:rsidTr="004456BB">
        <w:trPr>
          <w:trHeight w:val="701"/>
        </w:trPr>
        <w:tc>
          <w:tcPr>
            <w:tcW w:w="810" w:type="dxa"/>
            <w:tcBorders>
              <w:top w:val="nil"/>
              <w:bottom w:val="nil"/>
              <w:right w:val="single" w:sz="4" w:space="0" w:color="auto"/>
            </w:tcBorders>
            <w:vAlign w:val="center"/>
          </w:tcPr>
          <w:p w14:paraId="13ED445D" w14:textId="5D9A4BF5"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10646CB2" w14:textId="3C6F678C"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13487C92" w14:textId="62D0739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7AA9205" w14:textId="13EA018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21.4 (17.4 - 24.6)</w:t>
            </w:r>
          </w:p>
        </w:tc>
        <w:tc>
          <w:tcPr>
            <w:tcW w:w="1350" w:type="dxa"/>
            <w:tcBorders>
              <w:top w:val="single" w:sz="4" w:space="0" w:color="auto"/>
              <w:left w:val="single" w:sz="4" w:space="0" w:color="auto"/>
              <w:bottom w:val="single" w:sz="4" w:space="0" w:color="auto"/>
              <w:right w:val="single" w:sz="4" w:space="0" w:color="auto"/>
            </w:tcBorders>
            <w:noWrap/>
            <w:vAlign w:val="bottom"/>
          </w:tcPr>
          <w:p w14:paraId="65B0D435" w14:textId="66C6918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5,064 (4,420 - 5,661)</w:t>
            </w:r>
          </w:p>
        </w:tc>
        <w:tc>
          <w:tcPr>
            <w:tcW w:w="1080" w:type="dxa"/>
            <w:tcBorders>
              <w:top w:val="single" w:sz="4" w:space="0" w:color="auto"/>
              <w:left w:val="single" w:sz="4" w:space="0" w:color="auto"/>
              <w:bottom w:val="single" w:sz="4" w:space="0" w:color="auto"/>
              <w:right w:val="single" w:sz="4" w:space="0" w:color="auto"/>
            </w:tcBorders>
            <w:noWrap/>
            <w:vAlign w:val="bottom"/>
          </w:tcPr>
          <w:p w14:paraId="4BC9E1F9" w14:textId="6AC9BD1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63 (54 - 73)</w:t>
            </w:r>
          </w:p>
        </w:tc>
        <w:tc>
          <w:tcPr>
            <w:tcW w:w="1260" w:type="dxa"/>
            <w:tcBorders>
              <w:top w:val="single" w:sz="4" w:space="0" w:color="auto"/>
              <w:left w:val="single" w:sz="4" w:space="0" w:color="auto"/>
              <w:bottom w:val="single" w:sz="4" w:space="0" w:color="auto"/>
              <w:right w:val="single" w:sz="4" w:space="0" w:color="auto"/>
            </w:tcBorders>
            <w:noWrap/>
            <w:vAlign w:val="bottom"/>
          </w:tcPr>
          <w:p w14:paraId="1AEEFCCE" w14:textId="5867D50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0.45 (0.404 - 0.498)</w:t>
            </w:r>
          </w:p>
        </w:tc>
        <w:tc>
          <w:tcPr>
            <w:tcW w:w="1170" w:type="dxa"/>
            <w:tcBorders>
              <w:top w:val="single" w:sz="4" w:space="0" w:color="auto"/>
              <w:left w:val="single" w:sz="4" w:space="0" w:color="auto"/>
              <w:bottom w:val="single" w:sz="4" w:space="0" w:color="auto"/>
              <w:right w:val="single" w:sz="4" w:space="0" w:color="auto"/>
            </w:tcBorders>
            <w:noWrap/>
            <w:vAlign w:val="bottom"/>
          </w:tcPr>
          <w:p w14:paraId="5D651B2A" w14:textId="2265287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0.006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0ACFFA2B" w14:textId="1DCE47C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8,032 (7,231.9 - 8,978.9)</w:t>
            </w:r>
          </w:p>
        </w:tc>
        <w:tc>
          <w:tcPr>
            <w:tcW w:w="1529" w:type="dxa"/>
            <w:tcBorders>
              <w:top w:val="single" w:sz="4" w:space="0" w:color="auto"/>
              <w:left w:val="single" w:sz="4" w:space="0" w:color="auto"/>
              <w:bottom w:val="single" w:sz="4" w:space="0" w:color="auto"/>
              <w:right w:val="single" w:sz="4" w:space="0" w:color="auto"/>
            </w:tcBorders>
            <w:noWrap/>
            <w:vAlign w:val="bottom"/>
          </w:tcPr>
          <w:p w14:paraId="67BD0A47" w14:textId="0DA4826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642,672.9 (564,612.4 - 733,611.9)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A402AA5" w14:textId="7B2A519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26,827.8 (23,650.2 - 30,524.6)</w:t>
            </w:r>
          </w:p>
        </w:tc>
      </w:tr>
      <w:tr w:rsidR="000618FD" w:rsidRPr="007F0AB9" w14:paraId="02FAFA94" w14:textId="77777777" w:rsidTr="004456BB">
        <w:trPr>
          <w:trHeight w:val="701"/>
        </w:trPr>
        <w:tc>
          <w:tcPr>
            <w:tcW w:w="810" w:type="dxa"/>
            <w:tcBorders>
              <w:top w:val="nil"/>
              <w:bottom w:val="nil"/>
              <w:right w:val="single" w:sz="4" w:space="0" w:color="auto"/>
            </w:tcBorders>
            <w:vAlign w:val="center"/>
          </w:tcPr>
          <w:p w14:paraId="1FD4CB00" w14:textId="0360E128"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417C7792" w14:textId="660A1BCC"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44AA934A" w14:textId="71EF179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5F03FB32" w14:textId="5EDFA42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81.7 (74.9 - 87)</w:t>
            </w:r>
          </w:p>
        </w:tc>
        <w:tc>
          <w:tcPr>
            <w:tcW w:w="1350" w:type="dxa"/>
            <w:tcBorders>
              <w:top w:val="single" w:sz="4" w:space="0" w:color="auto"/>
              <w:left w:val="single" w:sz="4" w:space="0" w:color="auto"/>
              <w:bottom w:val="single" w:sz="4" w:space="0" w:color="auto"/>
              <w:right w:val="single" w:sz="4" w:space="0" w:color="auto"/>
            </w:tcBorders>
            <w:noWrap/>
            <w:vAlign w:val="bottom"/>
          </w:tcPr>
          <w:p w14:paraId="36C8A13B" w14:textId="4F331DC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18,586 (16,726 - 21,172)</w:t>
            </w:r>
          </w:p>
        </w:tc>
        <w:tc>
          <w:tcPr>
            <w:tcW w:w="1080" w:type="dxa"/>
            <w:tcBorders>
              <w:top w:val="single" w:sz="4" w:space="0" w:color="auto"/>
              <w:left w:val="single" w:sz="4" w:space="0" w:color="auto"/>
              <w:bottom w:val="single" w:sz="4" w:space="0" w:color="auto"/>
              <w:right w:val="single" w:sz="4" w:space="0" w:color="auto"/>
            </w:tcBorders>
            <w:noWrap/>
            <w:vAlign w:val="bottom"/>
          </w:tcPr>
          <w:p w14:paraId="49DE15C5" w14:textId="770950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240 (214 - 268)</w:t>
            </w:r>
          </w:p>
        </w:tc>
        <w:tc>
          <w:tcPr>
            <w:tcW w:w="1260" w:type="dxa"/>
            <w:tcBorders>
              <w:top w:val="single" w:sz="4" w:space="0" w:color="auto"/>
              <w:left w:val="single" w:sz="4" w:space="0" w:color="auto"/>
              <w:bottom w:val="single" w:sz="4" w:space="0" w:color="auto"/>
              <w:right w:val="single" w:sz="4" w:space="0" w:color="auto"/>
            </w:tcBorders>
            <w:noWrap/>
            <w:vAlign w:val="bottom"/>
          </w:tcPr>
          <w:p w14:paraId="67F60F64" w14:textId="3B68D55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1.295 (1.166 - 1.47)</w:t>
            </w:r>
          </w:p>
        </w:tc>
        <w:tc>
          <w:tcPr>
            <w:tcW w:w="1170" w:type="dxa"/>
            <w:tcBorders>
              <w:top w:val="single" w:sz="4" w:space="0" w:color="auto"/>
              <w:left w:val="single" w:sz="4" w:space="0" w:color="auto"/>
              <w:bottom w:val="single" w:sz="4" w:space="0" w:color="auto"/>
              <w:right w:val="single" w:sz="4" w:space="0" w:color="auto"/>
            </w:tcBorders>
            <w:noWrap/>
            <w:vAlign w:val="bottom"/>
          </w:tcPr>
          <w:p w14:paraId="65B94D96" w14:textId="3FCD320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0.017 (0.015 - 0.019)</w:t>
            </w:r>
          </w:p>
        </w:tc>
        <w:tc>
          <w:tcPr>
            <w:tcW w:w="1529" w:type="dxa"/>
            <w:tcBorders>
              <w:top w:val="single" w:sz="4" w:space="0" w:color="auto"/>
              <w:left w:val="single" w:sz="4" w:space="0" w:color="auto"/>
              <w:bottom w:val="single" w:sz="4" w:space="0" w:color="auto"/>
              <w:right w:val="single" w:sz="4" w:space="0" w:color="auto"/>
            </w:tcBorders>
            <w:noWrap/>
            <w:vAlign w:val="bottom"/>
          </w:tcPr>
          <w:p w14:paraId="10E260AA" w14:textId="3E047AE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2,428.8 (2,021.5 - 2,768.5)</w:t>
            </w:r>
          </w:p>
        </w:tc>
        <w:tc>
          <w:tcPr>
            <w:tcW w:w="1529" w:type="dxa"/>
            <w:tcBorders>
              <w:top w:val="single" w:sz="4" w:space="0" w:color="auto"/>
              <w:left w:val="single" w:sz="4" w:space="0" w:color="auto"/>
              <w:bottom w:val="single" w:sz="4" w:space="0" w:color="auto"/>
              <w:right w:val="single" w:sz="4" w:space="0" w:color="auto"/>
            </w:tcBorders>
            <w:noWrap/>
            <w:vAlign w:val="bottom"/>
          </w:tcPr>
          <w:p w14:paraId="57A3262F" w14:textId="4CEBB34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186,514.2 (162,847 - 214,723.7)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8FCBD68" w14:textId="09498FF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7,825.7 (6,835.1 - 9,004.9)</w:t>
            </w:r>
          </w:p>
        </w:tc>
      </w:tr>
      <w:tr w:rsidR="000618FD" w:rsidRPr="007F0AB9" w14:paraId="23335F1F" w14:textId="77777777" w:rsidTr="004456BB">
        <w:trPr>
          <w:trHeight w:val="701"/>
        </w:trPr>
        <w:tc>
          <w:tcPr>
            <w:tcW w:w="810" w:type="dxa"/>
            <w:tcBorders>
              <w:top w:val="nil"/>
              <w:bottom w:val="nil"/>
              <w:right w:val="single" w:sz="4" w:space="0" w:color="auto"/>
            </w:tcBorders>
            <w:vAlign w:val="center"/>
          </w:tcPr>
          <w:p w14:paraId="716BB14A" w14:textId="36AA654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4B7D668F" w14:textId="2CCEFF79"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459D81E" w14:textId="7C68A40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4D4647A" w14:textId="5EE14D2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57.7 (52.4 - 62.2)</w:t>
            </w:r>
          </w:p>
        </w:tc>
        <w:tc>
          <w:tcPr>
            <w:tcW w:w="1350" w:type="dxa"/>
            <w:tcBorders>
              <w:top w:val="single" w:sz="4" w:space="0" w:color="auto"/>
              <w:left w:val="single" w:sz="4" w:space="0" w:color="auto"/>
              <w:bottom w:val="single" w:sz="4" w:space="0" w:color="auto"/>
              <w:right w:val="single" w:sz="4" w:space="0" w:color="auto"/>
            </w:tcBorders>
            <w:noWrap/>
            <w:vAlign w:val="bottom"/>
          </w:tcPr>
          <w:p w14:paraId="031F5EB6" w14:textId="11DFBF9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13,258 (11,941 - 15,092)</w:t>
            </w:r>
          </w:p>
        </w:tc>
        <w:tc>
          <w:tcPr>
            <w:tcW w:w="1080" w:type="dxa"/>
            <w:tcBorders>
              <w:top w:val="single" w:sz="4" w:space="0" w:color="auto"/>
              <w:left w:val="single" w:sz="4" w:space="0" w:color="auto"/>
              <w:bottom w:val="single" w:sz="4" w:space="0" w:color="auto"/>
              <w:right w:val="single" w:sz="4" w:space="0" w:color="auto"/>
            </w:tcBorders>
            <w:noWrap/>
            <w:vAlign w:val="bottom"/>
          </w:tcPr>
          <w:p w14:paraId="65811D0B" w14:textId="4FC4B16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165 (149 - 182)</w:t>
            </w:r>
          </w:p>
        </w:tc>
        <w:tc>
          <w:tcPr>
            <w:tcW w:w="1260" w:type="dxa"/>
            <w:tcBorders>
              <w:top w:val="single" w:sz="4" w:space="0" w:color="auto"/>
              <w:left w:val="single" w:sz="4" w:space="0" w:color="auto"/>
              <w:bottom w:val="single" w:sz="4" w:space="0" w:color="auto"/>
              <w:right w:val="single" w:sz="4" w:space="0" w:color="auto"/>
            </w:tcBorders>
            <w:noWrap/>
            <w:vAlign w:val="bottom"/>
          </w:tcPr>
          <w:p w14:paraId="2544204B" w14:textId="47D5CD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0.925 (0.83 - 1.059)</w:t>
            </w:r>
          </w:p>
        </w:tc>
        <w:tc>
          <w:tcPr>
            <w:tcW w:w="1170" w:type="dxa"/>
            <w:tcBorders>
              <w:top w:val="single" w:sz="4" w:space="0" w:color="auto"/>
              <w:left w:val="single" w:sz="4" w:space="0" w:color="auto"/>
              <w:bottom w:val="single" w:sz="4" w:space="0" w:color="auto"/>
              <w:right w:val="single" w:sz="4" w:space="0" w:color="auto"/>
            </w:tcBorders>
            <w:noWrap/>
            <w:vAlign w:val="bottom"/>
          </w:tcPr>
          <w:p w14:paraId="419799F0" w14:textId="70402DD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0.012 (0.01 - 0.013)</w:t>
            </w:r>
          </w:p>
        </w:tc>
        <w:tc>
          <w:tcPr>
            <w:tcW w:w="1529" w:type="dxa"/>
            <w:tcBorders>
              <w:top w:val="single" w:sz="4" w:space="0" w:color="auto"/>
              <w:left w:val="single" w:sz="4" w:space="0" w:color="auto"/>
              <w:bottom w:val="single" w:sz="4" w:space="0" w:color="auto"/>
              <w:right w:val="single" w:sz="4" w:space="0" w:color="auto"/>
            </w:tcBorders>
            <w:noWrap/>
            <w:vAlign w:val="bottom"/>
          </w:tcPr>
          <w:p w14:paraId="6FF96AF8" w14:textId="692BF36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3,638.2 (3,077 - 4,111.9)</w:t>
            </w:r>
          </w:p>
        </w:tc>
        <w:tc>
          <w:tcPr>
            <w:tcW w:w="1529" w:type="dxa"/>
            <w:tcBorders>
              <w:top w:val="single" w:sz="4" w:space="0" w:color="auto"/>
              <w:left w:val="single" w:sz="4" w:space="0" w:color="auto"/>
              <w:bottom w:val="single" w:sz="4" w:space="0" w:color="auto"/>
              <w:right w:val="single" w:sz="4" w:space="0" w:color="auto"/>
            </w:tcBorders>
            <w:noWrap/>
            <w:vAlign w:val="bottom"/>
          </w:tcPr>
          <w:p w14:paraId="4E89A3AE" w14:textId="56250C1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291,974.9 (260,473.8 - 328,165.4)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1592028" w14:textId="664D69C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12,244.1 (10,930.6 - 13,757.4)</w:t>
            </w:r>
          </w:p>
        </w:tc>
      </w:tr>
      <w:tr w:rsidR="000618FD" w:rsidRPr="007F0AB9" w14:paraId="58923CE6" w14:textId="77777777" w:rsidTr="004456BB">
        <w:trPr>
          <w:trHeight w:val="701"/>
        </w:trPr>
        <w:tc>
          <w:tcPr>
            <w:tcW w:w="810" w:type="dxa"/>
            <w:tcBorders>
              <w:top w:val="nil"/>
              <w:bottom w:val="nil"/>
              <w:right w:val="single" w:sz="4" w:space="0" w:color="auto"/>
            </w:tcBorders>
            <w:vAlign w:val="center"/>
          </w:tcPr>
          <w:p w14:paraId="04D4F1C5" w14:textId="41FBC23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84BCD4F" w14:textId="1C2B9F0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58F4D9F" w14:textId="5569151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0F103920" w14:textId="05C4AF8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38.4 (33.9 - 42.7)</w:t>
            </w:r>
          </w:p>
        </w:tc>
        <w:tc>
          <w:tcPr>
            <w:tcW w:w="1350" w:type="dxa"/>
            <w:tcBorders>
              <w:top w:val="single" w:sz="4" w:space="0" w:color="auto"/>
              <w:left w:val="single" w:sz="4" w:space="0" w:color="auto"/>
              <w:bottom w:val="single" w:sz="4" w:space="0" w:color="auto"/>
              <w:right w:val="single" w:sz="4" w:space="0" w:color="auto"/>
            </w:tcBorders>
            <w:noWrap/>
            <w:vAlign w:val="bottom"/>
          </w:tcPr>
          <w:p w14:paraId="7C6C49FA" w14:textId="2229F73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9,069 (8,181 - 9,968)</w:t>
            </w:r>
          </w:p>
        </w:tc>
        <w:tc>
          <w:tcPr>
            <w:tcW w:w="1080" w:type="dxa"/>
            <w:tcBorders>
              <w:top w:val="single" w:sz="4" w:space="0" w:color="auto"/>
              <w:left w:val="single" w:sz="4" w:space="0" w:color="auto"/>
              <w:bottom w:val="single" w:sz="4" w:space="0" w:color="auto"/>
              <w:right w:val="single" w:sz="4" w:space="0" w:color="auto"/>
            </w:tcBorders>
            <w:noWrap/>
            <w:vAlign w:val="bottom"/>
          </w:tcPr>
          <w:p w14:paraId="615EF55A" w14:textId="3EFD9B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124 (111 - 136)</w:t>
            </w:r>
          </w:p>
        </w:tc>
        <w:tc>
          <w:tcPr>
            <w:tcW w:w="1260" w:type="dxa"/>
            <w:tcBorders>
              <w:top w:val="single" w:sz="4" w:space="0" w:color="auto"/>
              <w:left w:val="single" w:sz="4" w:space="0" w:color="auto"/>
              <w:bottom w:val="single" w:sz="4" w:space="0" w:color="auto"/>
              <w:right w:val="single" w:sz="4" w:space="0" w:color="auto"/>
            </w:tcBorders>
            <w:noWrap/>
            <w:vAlign w:val="bottom"/>
          </w:tcPr>
          <w:p w14:paraId="12F76F84" w14:textId="2249F32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0.633 (0.569 - 0.7)</w:t>
            </w:r>
          </w:p>
        </w:tc>
        <w:tc>
          <w:tcPr>
            <w:tcW w:w="1170" w:type="dxa"/>
            <w:tcBorders>
              <w:top w:val="single" w:sz="4" w:space="0" w:color="auto"/>
              <w:left w:val="single" w:sz="4" w:space="0" w:color="auto"/>
              <w:bottom w:val="single" w:sz="4" w:space="0" w:color="auto"/>
              <w:right w:val="single" w:sz="4" w:space="0" w:color="auto"/>
            </w:tcBorders>
            <w:noWrap/>
            <w:vAlign w:val="bottom"/>
          </w:tcPr>
          <w:p w14:paraId="397DCB0F" w14:textId="0A01AE3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(0.008 - 0.009)</w:t>
            </w:r>
          </w:p>
        </w:tc>
        <w:tc>
          <w:tcPr>
            <w:tcW w:w="1529" w:type="dxa"/>
            <w:tcBorders>
              <w:top w:val="single" w:sz="4" w:space="0" w:color="auto"/>
              <w:left w:val="single" w:sz="4" w:space="0" w:color="auto"/>
              <w:bottom w:val="single" w:sz="4" w:space="0" w:color="auto"/>
              <w:right w:val="single" w:sz="4" w:space="0" w:color="auto"/>
            </w:tcBorders>
            <w:noWrap/>
            <w:vAlign w:val="bottom"/>
          </w:tcPr>
          <w:p w14:paraId="29E3C974" w14:textId="7D85D47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5,540 (4,967.9 - 6,209.9)</w:t>
            </w:r>
          </w:p>
        </w:tc>
        <w:tc>
          <w:tcPr>
            <w:tcW w:w="1529" w:type="dxa"/>
            <w:tcBorders>
              <w:top w:val="single" w:sz="4" w:space="0" w:color="auto"/>
              <w:left w:val="single" w:sz="4" w:space="0" w:color="auto"/>
              <w:bottom w:val="single" w:sz="4" w:space="0" w:color="auto"/>
              <w:right w:val="single" w:sz="4" w:space="0" w:color="auto"/>
            </w:tcBorders>
            <w:noWrap/>
            <w:vAlign w:val="bottom"/>
          </w:tcPr>
          <w:p w14:paraId="22B43A2A" w14:textId="1234BA9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407,449.9 (369,161.6 - 453,830.7)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77281A9F" w14:textId="0BE5FE5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17,011.1 (15,427.5 - 18,923)</w:t>
            </w:r>
          </w:p>
        </w:tc>
      </w:tr>
      <w:tr w:rsidR="004456BB" w:rsidRPr="007F0AB9" w14:paraId="2D988337" w14:textId="77777777" w:rsidTr="004456BB">
        <w:trPr>
          <w:trHeight w:val="701"/>
        </w:trPr>
        <w:tc>
          <w:tcPr>
            <w:tcW w:w="810" w:type="dxa"/>
            <w:tcBorders>
              <w:top w:val="nil"/>
              <w:bottom w:val="nil"/>
              <w:right w:val="single" w:sz="4" w:space="0" w:color="auto"/>
            </w:tcBorders>
            <w:vAlign w:val="center"/>
          </w:tcPr>
          <w:p w14:paraId="7D371632" w14:textId="725669A8"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455B89C7" w14:textId="5080696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8D12D77" w14:textId="3B5A8233"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63C17CD2" w14:textId="45A1BCB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23.7 (19.6 - 26.8)</w:t>
            </w:r>
          </w:p>
        </w:tc>
        <w:tc>
          <w:tcPr>
            <w:tcW w:w="1350" w:type="dxa"/>
            <w:tcBorders>
              <w:top w:val="single" w:sz="4" w:space="0" w:color="auto"/>
              <w:left w:val="single" w:sz="4" w:space="0" w:color="auto"/>
              <w:bottom w:val="single" w:sz="4" w:space="0" w:color="auto"/>
              <w:right w:val="single" w:sz="4" w:space="0" w:color="auto"/>
            </w:tcBorders>
            <w:noWrap/>
            <w:vAlign w:val="bottom"/>
          </w:tcPr>
          <w:p w14:paraId="10DE62DA" w14:textId="0506891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5,580 (4,925 - 6,152)</w:t>
            </w:r>
          </w:p>
        </w:tc>
        <w:tc>
          <w:tcPr>
            <w:tcW w:w="1080" w:type="dxa"/>
            <w:tcBorders>
              <w:top w:val="single" w:sz="4" w:space="0" w:color="auto"/>
              <w:left w:val="single" w:sz="4" w:space="0" w:color="auto"/>
              <w:bottom w:val="single" w:sz="4" w:space="0" w:color="auto"/>
              <w:right w:val="single" w:sz="4" w:space="0" w:color="auto"/>
            </w:tcBorders>
            <w:noWrap/>
            <w:vAlign w:val="bottom"/>
          </w:tcPr>
          <w:p w14:paraId="3E830183" w14:textId="66C72F7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70 (61 - 79)</w:t>
            </w:r>
          </w:p>
        </w:tc>
        <w:tc>
          <w:tcPr>
            <w:tcW w:w="1260" w:type="dxa"/>
            <w:tcBorders>
              <w:top w:val="single" w:sz="4" w:space="0" w:color="auto"/>
              <w:left w:val="single" w:sz="4" w:space="0" w:color="auto"/>
              <w:bottom w:val="single" w:sz="4" w:space="0" w:color="auto"/>
              <w:right w:val="single" w:sz="4" w:space="0" w:color="auto"/>
            </w:tcBorders>
            <w:noWrap/>
            <w:vAlign w:val="bottom"/>
          </w:tcPr>
          <w:p w14:paraId="42DDE0E5" w14:textId="0275EE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0.397 (0.364 - 0.432)</w:t>
            </w:r>
          </w:p>
        </w:tc>
        <w:tc>
          <w:tcPr>
            <w:tcW w:w="1170" w:type="dxa"/>
            <w:tcBorders>
              <w:top w:val="single" w:sz="4" w:space="0" w:color="auto"/>
              <w:left w:val="single" w:sz="4" w:space="0" w:color="auto"/>
              <w:bottom w:val="single" w:sz="4" w:space="0" w:color="auto"/>
              <w:right w:val="single" w:sz="4" w:space="0" w:color="auto"/>
            </w:tcBorders>
            <w:noWrap/>
            <w:vAlign w:val="bottom"/>
          </w:tcPr>
          <w:p w14:paraId="55099705" w14:textId="0152775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0.005 (0.004 - 0.006)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6BF36EE2" w14:textId="53B9B85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9,179.8 (8,409.4 - 10,028.5)</w:t>
            </w:r>
          </w:p>
        </w:tc>
        <w:tc>
          <w:tcPr>
            <w:tcW w:w="1529" w:type="dxa"/>
            <w:tcBorders>
              <w:top w:val="single" w:sz="4" w:space="0" w:color="auto"/>
              <w:left w:val="single" w:sz="4" w:space="0" w:color="auto"/>
              <w:bottom w:val="single" w:sz="4" w:space="0" w:color="auto"/>
              <w:right w:val="single" w:sz="4" w:space="0" w:color="auto"/>
            </w:tcBorders>
            <w:noWrap/>
            <w:vAlign w:val="bottom"/>
          </w:tcPr>
          <w:p w14:paraId="74F1CCA9" w14:textId="16E21A7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732,152.4 (654,970.4 - 825,487.3)</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7B455345" w14:textId="7B1D78A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30,578.1 (27,476.2 - 34,295.3)</w:t>
            </w:r>
          </w:p>
        </w:tc>
      </w:tr>
      <w:tr w:rsidR="000618FD" w:rsidRPr="007F0AB9" w14:paraId="38763294" w14:textId="77777777" w:rsidTr="004456BB">
        <w:trPr>
          <w:trHeight w:val="701"/>
        </w:trPr>
        <w:tc>
          <w:tcPr>
            <w:tcW w:w="810" w:type="dxa"/>
            <w:tcBorders>
              <w:top w:val="nil"/>
              <w:bottom w:val="nil"/>
              <w:right w:val="single" w:sz="4" w:space="0" w:color="auto"/>
            </w:tcBorders>
            <w:vAlign w:val="center"/>
          </w:tcPr>
          <w:p w14:paraId="4EEEA647" w14:textId="78203C47"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346DCEB5" w14:textId="6DC2BD0E"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525C386C" w14:textId="1A41A18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739FB238" w14:textId="3BCA138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83.7 (78.4 - 91.3)</w:t>
            </w:r>
          </w:p>
        </w:tc>
        <w:tc>
          <w:tcPr>
            <w:tcW w:w="1350" w:type="dxa"/>
            <w:tcBorders>
              <w:top w:val="single" w:sz="4" w:space="0" w:color="auto"/>
              <w:left w:val="single" w:sz="4" w:space="0" w:color="auto"/>
              <w:bottom w:val="single" w:sz="4" w:space="0" w:color="auto"/>
              <w:right w:val="single" w:sz="4" w:space="0" w:color="auto"/>
            </w:tcBorders>
            <w:noWrap/>
            <w:vAlign w:val="bottom"/>
          </w:tcPr>
          <w:p w14:paraId="5084FE96" w14:textId="6B02F3F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19,208 (17,466 - 21,762)</w:t>
            </w:r>
          </w:p>
        </w:tc>
        <w:tc>
          <w:tcPr>
            <w:tcW w:w="1080" w:type="dxa"/>
            <w:tcBorders>
              <w:top w:val="single" w:sz="4" w:space="0" w:color="auto"/>
              <w:left w:val="single" w:sz="4" w:space="0" w:color="auto"/>
              <w:bottom w:val="single" w:sz="4" w:space="0" w:color="auto"/>
              <w:right w:val="single" w:sz="4" w:space="0" w:color="auto"/>
            </w:tcBorders>
            <w:noWrap/>
            <w:vAlign w:val="bottom"/>
          </w:tcPr>
          <w:p w14:paraId="19279E3B" w14:textId="6B5568D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249 (224 - 277)</w:t>
            </w:r>
          </w:p>
        </w:tc>
        <w:tc>
          <w:tcPr>
            <w:tcW w:w="1260" w:type="dxa"/>
            <w:tcBorders>
              <w:top w:val="single" w:sz="4" w:space="0" w:color="auto"/>
              <w:left w:val="single" w:sz="4" w:space="0" w:color="auto"/>
              <w:bottom w:val="single" w:sz="4" w:space="0" w:color="auto"/>
              <w:right w:val="single" w:sz="4" w:space="0" w:color="auto"/>
            </w:tcBorders>
            <w:noWrap/>
            <w:vAlign w:val="bottom"/>
          </w:tcPr>
          <w:p w14:paraId="1FEDF9D4" w14:textId="46A52AD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1.119 (1.014 - 1.26)</w:t>
            </w:r>
          </w:p>
        </w:tc>
        <w:tc>
          <w:tcPr>
            <w:tcW w:w="1170" w:type="dxa"/>
            <w:tcBorders>
              <w:top w:val="single" w:sz="4" w:space="0" w:color="auto"/>
              <w:left w:val="single" w:sz="4" w:space="0" w:color="auto"/>
              <w:bottom w:val="single" w:sz="4" w:space="0" w:color="auto"/>
              <w:right w:val="single" w:sz="4" w:space="0" w:color="auto"/>
            </w:tcBorders>
            <w:noWrap/>
            <w:vAlign w:val="bottom"/>
          </w:tcPr>
          <w:p w14:paraId="0795FCEE" w14:textId="4968A53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0.014 (0.013 - 0.016)</w:t>
            </w:r>
          </w:p>
        </w:tc>
        <w:tc>
          <w:tcPr>
            <w:tcW w:w="1529" w:type="dxa"/>
            <w:tcBorders>
              <w:top w:val="single" w:sz="4" w:space="0" w:color="auto"/>
              <w:left w:val="single" w:sz="4" w:space="0" w:color="auto"/>
              <w:bottom w:val="single" w:sz="4" w:space="0" w:color="auto"/>
              <w:right w:val="single" w:sz="4" w:space="0" w:color="auto"/>
            </w:tcBorders>
            <w:noWrap/>
            <w:vAlign w:val="bottom"/>
          </w:tcPr>
          <w:p w14:paraId="2014F1CE" w14:textId="4E96EA2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2,891.7 (2,446.7 - 3,255.1)</w:t>
            </w:r>
          </w:p>
        </w:tc>
        <w:tc>
          <w:tcPr>
            <w:tcW w:w="1529" w:type="dxa"/>
            <w:tcBorders>
              <w:top w:val="single" w:sz="4" w:space="0" w:color="auto"/>
              <w:left w:val="single" w:sz="4" w:space="0" w:color="auto"/>
              <w:bottom w:val="single" w:sz="4" w:space="0" w:color="auto"/>
              <w:right w:val="single" w:sz="4" w:space="0" w:color="auto"/>
            </w:tcBorders>
            <w:noWrap/>
            <w:vAlign w:val="bottom"/>
          </w:tcPr>
          <w:p w14:paraId="5E8D4047" w14:textId="0EA286D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222,024.2 (195,941.5 - 251,750.7)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BE7D8D4" w14:textId="0C1C567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9,306.4 (8,210.4 - 10,554.8)</w:t>
            </w:r>
          </w:p>
        </w:tc>
      </w:tr>
      <w:tr w:rsidR="000618FD" w:rsidRPr="007F0AB9" w14:paraId="06AF92B6" w14:textId="77777777" w:rsidTr="004456BB">
        <w:trPr>
          <w:trHeight w:val="701"/>
        </w:trPr>
        <w:tc>
          <w:tcPr>
            <w:tcW w:w="810" w:type="dxa"/>
            <w:tcBorders>
              <w:top w:val="nil"/>
              <w:bottom w:val="nil"/>
              <w:right w:val="single" w:sz="4" w:space="0" w:color="auto"/>
            </w:tcBorders>
            <w:vAlign w:val="center"/>
          </w:tcPr>
          <w:p w14:paraId="297F3175" w14:textId="07B55F8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F99193E" w14:textId="695814B7"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4EDF62F9" w14:textId="62DE0743"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7F6A1ACA" w14:textId="36ED764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59.7 (55.4 - 64.3)</w:t>
            </w:r>
          </w:p>
        </w:tc>
        <w:tc>
          <w:tcPr>
            <w:tcW w:w="1350" w:type="dxa"/>
            <w:tcBorders>
              <w:top w:val="single" w:sz="4" w:space="0" w:color="auto"/>
              <w:left w:val="single" w:sz="4" w:space="0" w:color="auto"/>
              <w:bottom w:val="single" w:sz="4" w:space="0" w:color="auto"/>
              <w:right w:val="single" w:sz="4" w:space="0" w:color="auto"/>
            </w:tcBorders>
            <w:noWrap/>
            <w:vAlign w:val="bottom"/>
          </w:tcPr>
          <w:p w14:paraId="2492AB39" w14:textId="2A76EA3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13,717 (12,503 - 15,625)</w:t>
            </w:r>
          </w:p>
        </w:tc>
        <w:tc>
          <w:tcPr>
            <w:tcW w:w="1080" w:type="dxa"/>
            <w:tcBorders>
              <w:top w:val="single" w:sz="4" w:space="0" w:color="auto"/>
              <w:left w:val="single" w:sz="4" w:space="0" w:color="auto"/>
              <w:bottom w:val="single" w:sz="4" w:space="0" w:color="auto"/>
              <w:right w:val="single" w:sz="4" w:space="0" w:color="auto"/>
            </w:tcBorders>
            <w:noWrap/>
            <w:vAlign w:val="bottom"/>
          </w:tcPr>
          <w:p w14:paraId="29BF7CA8" w14:textId="2F0472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171 (156 - 188)</w:t>
            </w:r>
          </w:p>
        </w:tc>
        <w:tc>
          <w:tcPr>
            <w:tcW w:w="1260" w:type="dxa"/>
            <w:tcBorders>
              <w:top w:val="single" w:sz="4" w:space="0" w:color="auto"/>
              <w:left w:val="single" w:sz="4" w:space="0" w:color="auto"/>
              <w:bottom w:val="single" w:sz="4" w:space="0" w:color="auto"/>
              <w:right w:val="single" w:sz="4" w:space="0" w:color="auto"/>
            </w:tcBorders>
            <w:noWrap/>
            <w:vAlign w:val="bottom"/>
          </w:tcPr>
          <w:p w14:paraId="321DEF6E" w14:textId="58B0859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0.797 (0.722 - 0.912)</w:t>
            </w:r>
          </w:p>
        </w:tc>
        <w:tc>
          <w:tcPr>
            <w:tcW w:w="1170" w:type="dxa"/>
            <w:tcBorders>
              <w:top w:val="single" w:sz="4" w:space="0" w:color="auto"/>
              <w:left w:val="single" w:sz="4" w:space="0" w:color="auto"/>
              <w:bottom w:val="single" w:sz="4" w:space="0" w:color="auto"/>
              <w:right w:val="single" w:sz="4" w:space="0" w:color="auto"/>
            </w:tcBorders>
            <w:noWrap/>
            <w:vAlign w:val="bottom"/>
          </w:tcPr>
          <w:p w14:paraId="417723DB" w14:textId="07016F1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12A75AAF" w14:textId="5D0F5D2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4,298.4 (3,649.8 - 4,798.7)</w:t>
            </w:r>
          </w:p>
        </w:tc>
        <w:tc>
          <w:tcPr>
            <w:tcW w:w="1529" w:type="dxa"/>
            <w:tcBorders>
              <w:top w:val="single" w:sz="4" w:space="0" w:color="auto"/>
              <w:left w:val="single" w:sz="4" w:space="0" w:color="auto"/>
              <w:bottom w:val="single" w:sz="4" w:space="0" w:color="auto"/>
              <w:right w:val="single" w:sz="4" w:space="0" w:color="auto"/>
            </w:tcBorders>
            <w:noWrap/>
            <w:vAlign w:val="bottom"/>
          </w:tcPr>
          <w:p w14:paraId="394EA20C" w14:textId="3176A4C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343,729.5 (309,196.4 - 380,921.9)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8AB8239" w14:textId="2F9C0B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14,400.6 (12,963.8 - 15,960.8)</w:t>
            </w:r>
          </w:p>
        </w:tc>
      </w:tr>
      <w:tr w:rsidR="000618FD" w:rsidRPr="007F0AB9" w14:paraId="2F2FBBE7" w14:textId="77777777" w:rsidTr="004456BB">
        <w:trPr>
          <w:trHeight w:val="701"/>
        </w:trPr>
        <w:tc>
          <w:tcPr>
            <w:tcW w:w="810" w:type="dxa"/>
            <w:tcBorders>
              <w:top w:val="nil"/>
              <w:bottom w:val="nil"/>
              <w:right w:val="single" w:sz="4" w:space="0" w:color="auto"/>
            </w:tcBorders>
            <w:vAlign w:val="center"/>
          </w:tcPr>
          <w:p w14:paraId="189C06F8" w14:textId="541DF7D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4C40A12" w14:textId="731FA631"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8ACA25A" w14:textId="7AC98C0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5FC3344C" w14:textId="6AE4DAD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40 (35.7 - 44)</w:t>
            </w:r>
          </w:p>
        </w:tc>
        <w:tc>
          <w:tcPr>
            <w:tcW w:w="1350" w:type="dxa"/>
            <w:tcBorders>
              <w:top w:val="single" w:sz="4" w:space="0" w:color="auto"/>
              <w:left w:val="single" w:sz="4" w:space="0" w:color="auto"/>
              <w:bottom w:val="single" w:sz="4" w:space="0" w:color="auto"/>
              <w:right w:val="single" w:sz="4" w:space="0" w:color="auto"/>
            </w:tcBorders>
            <w:noWrap/>
            <w:vAlign w:val="bottom"/>
          </w:tcPr>
          <w:p w14:paraId="5EBA26B1" w14:textId="42DD38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9,387 (8,614 - 10,290)</w:t>
            </w:r>
          </w:p>
        </w:tc>
        <w:tc>
          <w:tcPr>
            <w:tcW w:w="1080" w:type="dxa"/>
            <w:tcBorders>
              <w:top w:val="single" w:sz="4" w:space="0" w:color="auto"/>
              <w:left w:val="single" w:sz="4" w:space="0" w:color="auto"/>
              <w:bottom w:val="single" w:sz="4" w:space="0" w:color="auto"/>
              <w:right w:val="single" w:sz="4" w:space="0" w:color="auto"/>
            </w:tcBorders>
            <w:noWrap/>
            <w:vAlign w:val="bottom"/>
          </w:tcPr>
          <w:p w14:paraId="266B4166" w14:textId="3BCACD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128 (117 - 140)</w:t>
            </w:r>
          </w:p>
        </w:tc>
        <w:tc>
          <w:tcPr>
            <w:tcW w:w="1260" w:type="dxa"/>
            <w:tcBorders>
              <w:top w:val="single" w:sz="4" w:space="0" w:color="auto"/>
              <w:left w:val="single" w:sz="4" w:space="0" w:color="auto"/>
              <w:bottom w:val="single" w:sz="4" w:space="0" w:color="auto"/>
              <w:right w:val="single" w:sz="4" w:space="0" w:color="auto"/>
            </w:tcBorders>
            <w:noWrap/>
            <w:vAlign w:val="bottom"/>
          </w:tcPr>
          <w:p w14:paraId="7BB8AB83" w14:textId="6E42EC0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0.544 (0.495 - 0.603)</w:t>
            </w:r>
          </w:p>
        </w:tc>
        <w:tc>
          <w:tcPr>
            <w:tcW w:w="1170" w:type="dxa"/>
            <w:tcBorders>
              <w:top w:val="single" w:sz="4" w:space="0" w:color="auto"/>
              <w:left w:val="single" w:sz="4" w:space="0" w:color="auto"/>
              <w:bottom w:val="single" w:sz="4" w:space="0" w:color="auto"/>
              <w:right w:val="single" w:sz="4" w:space="0" w:color="auto"/>
            </w:tcBorders>
            <w:noWrap/>
            <w:vAlign w:val="bottom"/>
          </w:tcPr>
          <w:p w14:paraId="7698A909" w14:textId="1866914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0.007 (0.007 - 0.008)</w:t>
            </w:r>
          </w:p>
        </w:tc>
        <w:tc>
          <w:tcPr>
            <w:tcW w:w="1529" w:type="dxa"/>
            <w:tcBorders>
              <w:top w:val="single" w:sz="4" w:space="0" w:color="auto"/>
              <w:left w:val="single" w:sz="4" w:space="0" w:color="auto"/>
              <w:bottom w:val="single" w:sz="4" w:space="0" w:color="auto"/>
              <w:right w:val="single" w:sz="4" w:space="0" w:color="auto"/>
            </w:tcBorders>
            <w:noWrap/>
            <w:vAlign w:val="bottom"/>
          </w:tcPr>
          <w:p w14:paraId="5999C690" w14:textId="31DF3F0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6,511 (5,848.5 - 7,206.3)</w:t>
            </w:r>
          </w:p>
        </w:tc>
        <w:tc>
          <w:tcPr>
            <w:tcW w:w="1529" w:type="dxa"/>
            <w:tcBorders>
              <w:top w:val="single" w:sz="4" w:space="0" w:color="auto"/>
              <w:left w:val="single" w:sz="4" w:space="0" w:color="auto"/>
              <w:bottom w:val="single" w:sz="4" w:space="0" w:color="auto"/>
              <w:right w:val="single" w:sz="4" w:space="0" w:color="auto"/>
            </w:tcBorders>
            <w:noWrap/>
            <w:vAlign w:val="bottom"/>
          </w:tcPr>
          <w:p w14:paraId="7B636BBC" w14:textId="5C82F11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477,864.3 (435,850.5 - 525,077.6)</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028FAF1" w14:textId="266927D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19,934.9 (18,236.9 - 21,906.4)</w:t>
            </w:r>
          </w:p>
        </w:tc>
      </w:tr>
      <w:tr w:rsidR="004456BB" w:rsidRPr="007F0AB9" w14:paraId="2C7C1F02" w14:textId="77777777" w:rsidTr="004456BB">
        <w:trPr>
          <w:gridAfter w:val="1"/>
          <w:wAfter w:w="6" w:type="dxa"/>
          <w:trHeight w:val="701"/>
        </w:trPr>
        <w:tc>
          <w:tcPr>
            <w:tcW w:w="810" w:type="dxa"/>
            <w:tcBorders>
              <w:top w:val="nil"/>
              <w:bottom w:val="single" w:sz="4" w:space="0" w:color="auto"/>
              <w:right w:val="single" w:sz="4" w:space="0" w:color="auto"/>
            </w:tcBorders>
            <w:vAlign w:val="center"/>
          </w:tcPr>
          <w:p w14:paraId="55486A47" w14:textId="1CB99F0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56220C12" w14:textId="20378D5B"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1619DFC" w14:textId="210DB798"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335E60D" w14:textId="41DD49B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24.8 (20.5 - 27.8)</w:t>
            </w:r>
          </w:p>
        </w:tc>
        <w:tc>
          <w:tcPr>
            <w:tcW w:w="1350" w:type="dxa"/>
            <w:tcBorders>
              <w:top w:val="single" w:sz="4" w:space="0" w:color="auto"/>
              <w:left w:val="single" w:sz="4" w:space="0" w:color="auto"/>
              <w:bottom w:val="single" w:sz="4" w:space="0" w:color="auto"/>
              <w:right w:val="single" w:sz="4" w:space="0" w:color="auto"/>
            </w:tcBorders>
            <w:noWrap/>
            <w:vAlign w:val="bottom"/>
          </w:tcPr>
          <w:p w14:paraId="75C786EB" w14:textId="77694AD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5,776 (5,240 - 6,338)</w:t>
            </w:r>
          </w:p>
        </w:tc>
        <w:tc>
          <w:tcPr>
            <w:tcW w:w="1080" w:type="dxa"/>
            <w:tcBorders>
              <w:top w:val="single" w:sz="4" w:space="0" w:color="auto"/>
              <w:left w:val="single" w:sz="4" w:space="0" w:color="auto"/>
              <w:bottom w:val="single" w:sz="4" w:space="0" w:color="auto"/>
              <w:right w:val="single" w:sz="4" w:space="0" w:color="auto"/>
            </w:tcBorders>
            <w:noWrap/>
            <w:vAlign w:val="bottom"/>
          </w:tcPr>
          <w:p w14:paraId="028FCB81" w14:textId="1D68B32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72 (64 - 82)</w:t>
            </w:r>
          </w:p>
        </w:tc>
        <w:tc>
          <w:tcPr>
            <w:tcW w:w="1260" w:type="dxa"/>
            <w:tcBorders>
              <w:top w:val="single" w:sz="4" w:space="0" w:color="auto"/>
              <w:left w:val="single" w:sz="4" w:space="0" w:color="auto"/>
              <w:bottom w:val="single" w:sz="4" w:space="0" w:color="auto"/>
              <w:right w:val="single" w:sz="4" w:space="0" w:color="auto"/>
            </w:tcBorders>
            <w:noWrap/>
            <w:vAlign w:val="bottom"/>
          </w:tcPr>
          <w:p w14:paraId="617EB727" w14:textId="54ACEC9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0.341 (0.317 - 0.372)</w:t>
            </w:r>
          </w:p>
        </w:tc>
        <w:tc>
          <w:tcPr>
            <w:tcW w:w="1170" w:type="dxa"/>
            <w:tcBorders>
              <w:top w:val="single" w:sz="4" w:space="0" w:color="auto"/>
              <w:left w:val="single" w:sz="4" w:space="0" w:color="auto"/>
              <w:bottom w:val="single" w:sz="4" w:space="0" w:color="auto"/>
              <w:right w:val="single" w:sz="4" w:space="0" w:color="auto"/>
            </w:tcBorders>
            <w:noWrap/>
            <w:vAlign w:val="bottom"/>
          </w:tcPr>
          <w:p w14:paraId="55454237" w14:textId="08FDB43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0.004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5D0A09CD" w14:textId="07F6E3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10,742.1 (9,839.5 - 11,575.4)</w:t>
            </w:r>
          </w:p>
        </w:tc>
        <w:tc>
          <w:tcPr>
            <w:tcW w:w="1529" w:type="dxa"/>
            <w:tcBorders>
              <w:top w:val="single" w:sz="4" w:space="0" w:color="auto"/>
              <w:left w:val="single" w:sz="4" w:space="0" w:color="auto"/>
              <w:bottom w:val="single" w:sz="4" w:space="0" w:color="auto"/>
              <w:right w:val="single" w:sz="4" w:space="0" w:color="auto"/>
            </w:tcBorders>
            <w:noWrap/>
            <w:vAlign w:val="bottom"/>
          </w:tcPr>
          <w:p w14:paraId="6526E4CC" w14:textId="258ABF7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851,212.4 (768,252.5 - 958,703.3)</w:t>
            </w:r>
          </w:p>
        </w:tc>
        <w:tc>
          <w:tcPr>
            <w:tcW w:w="1529" w:type="dxa"/>
            <w:tcBorders>
              <w:top w:val="single" w:sz="4" w:space="0" w:color="auto"/>
              <w:left w:val="single" w:sz="4" w:space="0" w:color="auto"/>
              <w:bottom w:val="single" w:sz="4" w:space="0" w:color="auto"/>
              <w:right w:val="single" w:sz="4" w:space="0" w:color="auto"/>
            </w:tcBorders>
            <w:noWrap/>
            <w:vAlign w:val="bottom"/>
          </w:tcPr>
          <w:p w14:paraId="20245275" w14:textId="56E120B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35,549 (32,207.7 - 39,860.7)</w:t>
            </w:r>
          </w:p>
        </w:tc>
      </w:tr>
      <w:tr w:rsidR="000618FD" w:rsidRPr="007F0AB9" w14:paraId="62393641" w14:textId="77777777" w:rsidTr="004456BB">
        <w:trPr>
          <w:gridAfter w:val="1"/>
          <w:wAfter w:w="6" w:type="dxa"/>
          <w:trHeight w:val="701"/>
        </w:trPr>
        <w:tc>
          <w:tcPr>
            <w:tcW w:w="810" w:type="dxa"/>
            <w:tcBorders>
              <w:top w:val="single" w:sz="4" w:space="0" w:color="auto"/>
              <w:bottom w:val="nil"/>
              <w:right w:val="single" w:sz="4" w:space="0" w:color="auto"/>
            </w:tcBorders>
            <w:vAlign w:val="center"/>
          </w:tcPr>
          <w:p w14:paraId="5B3710C1" w14:textId="0453FECD" w:rsidR="000618FD" w:rsidRPr="00C07889" w:rsidRDefault="000618FD" w:rsidP="000618FD">
            <w:pPr>
              <w:spacing w:line="240" w:lineRule="auto"/>
              <w:jc w:val="center"/>
              <w:rPr>
                <w:rFonts w:eastAsiaTheme="majorEastAsia" w:hint="eastAsia"/>
                <w:sz w:val="18"/>
                <w:szCs w:val="18"/>
              </w:rPr>
            </w:pPr>
            <w:r>
              <w:rPr>
                <w:rFonts w:eastAsiaTheme="majorEastAsia" w:hint="eastAsia"/>
                <w:sz w:val="18"/>
                <w:szCs w:val="18"/>
              </w:rPr>
              <w:t>Top 25%</w:t>
            </w:r>
          </w:p>
        </w:tc>
        <w:tc>
          <w:tcPr>
            <w:tcW w:w="900" w:type="dxa"/>
            <w:tcBorders>
              <w:top w:val="single" w:sz="4" w:space="0" w:color="auto"/>
              <w:left w:val="single" w:sz="4" w:space="0" w:color="auto"/>
              <w:bottom w:val="nil"/>
              <w:right w:val="single" w:sz="4" w:space="0" w:color="auto"/>
            </w:tcBorders>
            <w:vAlign w:val="center"/>
          </w:tcPr>
          <w:p w14:paraId="6A8AABAE" w14:textId="5ACEA857"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2E7E7A68" w14:textId="26490DF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64E91DCE" w14:textId="78F6C8B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74.8 (66.5 - 80.9)</w:t>
            </w:r>
          </w:p>
        </w:tc>
        <w:tc>
          <w:tcPr>
            <w:tcW w:w="1350" w:type="dxa"/>
            <w:tcBorders>
              <w:top w:val="single" w:sz="4" w:space="0" w:color="auto"/>
              <w:left w:val="single" w:sz="4" w:space="0" w:color="auto"/>
              <w:bottom w:val="single" w:sz="4" w:space="0" w:color="auto"/>
              <w:right w:val="single" w:sz="4" w:space="0" w:color="auto"/>
            </w:tcBorders>
            <w:noWrap/>
            <w:vAlign w:val="bottom"/>
          </w:tcPr>
          <w:p w14:paraId="5E2961BE" w14:textId="3806141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14,038 (12,469 - 15,453)</w:t>
            </w:r>
          </w:p>
        </w:tc>
        <w:tc>
          <w:tcPr>
            <w:tcW w:w="1080" w:type="dxa"/>
            <w:tcBorders>
              <w:top w:val="single" w:sz="4" w:space="0" w:color="auto"/>
              <w:left w:val="single" w:sz="4" w:space="0" w:color="auto"/>
              <w:bottom w:val="single" w:sz="4" w:space="0" w:color="auto"/>
              <w:right w:val="single" w:sz="4" w:space="0" w:color="auto"/>
            </w:tcBorders>
            <w:noWrap/>
            <w:vAlign w:val="bottom"/>
          </w:tcPr>
          <w:p w14:paraId="7497A42A" w14:textId="5C3D425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238 (208 - 267)</w:t>
            </w:r>
          </w:p>
        </w:tc>
        <w:tc>
          <w:tcPr>
            <w:tcW w:w="1260" w:type="dxa"/>
            <w:tcBorders>
              <w:top w:val="single" w:sz="4" w:space="0" w:color="auto"/>
              <w:left w:val="single" w:sz="4" w:space="0" w:color="auto"/>
              <w:bottom w:val="single" w:sz="4" w:space="0" w:color="auto"/>
              <w:right w:val="single" w:sz="4" w:space="0" w:color="auto"/>
            </w:tcBorders>
            <w:noWrap/>
            <w:vAlign w:val="bottom"/>
          </w:tcPr>
          <w:p w14:paraId="7881DFE8" w14:textId="3527063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1.665 (1.477 - 1.84)</w:t>
            </w:r>
          </w:p>
        </w:tc>
        <w:tc>
          <w:tcPr>
            <w:tcW w:w="1170" w:type="dxa"/>
            <w:tcBorders>
              <w:top w:val="single" w:sz="4" w:space="0" w:color="auto"/>
              <w:left w:val="single" w:sz="4" w:space="0" w:color="auto"/>
              <w:bottom w:val="single" w:sz="4" w:space="0" w:color="auto"/>
              <w:right w:val="single" w:sz="4" w:space="0" w:color="auto"/>
            </w:tcBorders>
            <w:noWrap/>
            <w:vAlign w:val="bottom"/>
          </w:tcPr>
          <w:p w14:paraId="2977C2D7" w14:textId="3525E9B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0.028 (0.025 - 0.032)</w:t>
            </w:r>
          </w:p>
        </w:tc>
        <w:tc>
          <w:tcPr>
            <w:tcW w:w="1529" w:type="dxa"/>
            <w:tcBorders>
              <w:top w:val="single" w:sz="4" w:space="0" w:color="auto"/>
              <w:left w:val="single" w:sz="4" w:space="0" w:color="auto"/>
              <w:bottom w:val="single" w:sz="4" w:space="0" w:color="auto"/>
              <w:right w:val="single" w:sz="4" w:space="0" w:color="auto"/>
            </w:tcBorders>
            <w:noWrap/>
            <w:vAlign w:val="bottom"/>
          </w:tcPr>
          <w:p w14:paraId="727A79CF" w14:textId="0A8499E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1,581.9 (1,324.5 - 1,891.4)</w:t>
            </w:r>
          </w:p>
        </w:tc>
        <w:tc>
          <w:tcPr>
            <w:tcW w:w="1529" w:type="dxa"/>
            <w:tcBorders>
              <w:top w:val="single" w:sz="4" w:space="0" w:color="auto"/>
              <w:left w:val="single" w:sz="4" w:space="0" w:color="auto"/>
              <w:bottom w:val="single" w:sz="4" w:space="0" w:color="auto"/>
              <w:right w:val="single" w:sz="4" w:space="0" w:color="auto"/>
            </w:tcBorders>
            <w:noWrap/>
            <w:vAlign w:val="bottom"/>
          </w:tcPr>
          <w:p w14:paraId="5F9FF3E2" w14:textId="1C110D2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93,397.6 (76,469.5 - 113,480.2)</w:t>
            </w:r>
          </w:p>
        </w:tc>
        <w:tc>
          <w:tcPr>
            <w:tcW w:w="1529" w:type="dxa"/>
            <w:tcBorders>
              <w:top w:val="single" w:sz="4" w:space="0" w:color="auto"/>
              <w:left w:val="single" w:sz="4" w:space="0" w:color="auto"/>
              <w:bottom w:val="single" w:sz="4" w:space="0" w:color="auto"/>
              <w:right w:val="single" w:sz="4" w:space="0" w:color="auto"/>
            </w:tcBorders>
            <w:noWrap/>
            <w:vAlign w:val="bottom"/>
          </w:tcPr>
          <w:p w14:paraId="165BFE58" w14:textId="55319F8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3,935.3 (3,215.2 - 4,781.7)</w:t>
            </w:r>
          </w:p>
        </w:tc>
      </w:tr>
      <w:tr w:rsidR="000618FD" w:rsidRPr="007F0AB9" w14:paraId="6D93A4BE" w14:textId="77777777" w:rsidTr="004456BB">
        <w:trPr>
          <w:gridAfter w:val="1"/>
          <w:wAfter w:w="6" w:type="dxa"/>
          <w:trHeight w:val="701"/>
        </w:trPr>
        <w:tc>
          <w:tcPr>
            <w:tcW w:w="810" w:type="dxa"/>
            <w:tcBorders>
              <w:top w:val="nil"/>
              <w:bottom w:val="nil"/>
              <w:right w:val="single" w:sz="4" w:space="0" w:color="auto"/>
            </w:tcBorders>
            <w:vAlign w:val="center"/>
          </w:tcPr>
          <w:p w14:paraId="47E355F9" w14:textId="2562B44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765FCAF" w14:textId="0E3690BD"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131C5067" w14:textId="5BA9D56F"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1E9BAD81" w14:textId="452AB98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53.2 (47.4 - 58.4)</w:t>
            </w:r>
          </w:p>
        </w:tc>
        <w:tc>
          <w:tcPr>
            <w:tcW w:w="1350" w:type="dxa"/>
            <w:tcBorders>
              <w:top w:val="single" w:sz="4" w:space="0" w:color="auto"/>
              <w:left w:val="single" w:sz="4" w:space="0" w:color="auto"/>
              <w:bottom w:val="single" w:sz="4" w:space="0" w:color="auto"/>
              <w:right w:val="single" w:sz="4" w:space="0" w:color="auto"/>
            </w:tcBorders>
            <w:noWrap/>
            <w:vAlign w:val="bottom"/>
          </w:tcPr>
          <w:p w14:paraId="555BDEF1" w14:textId="60DD9C6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10,019 (8,914 - 11,042)</w:t>
            </w:r>
          </w:p>
        </w:tc>
        <w:tc>
          <w:tcPr>
            <w:tcW w:w="1080" w:type="dxa"/>
            <w:tcBorders>
              <w:top w:val="single" w:sz="4" w:space="0" w:color="auto"/>
              <w:left w:val="single" w:sz="4" w:space="0" w:color="auto"/>
              <w:bottom w:val="single" w:sz="4" w:space="0" w:color="auto"/>
              <w:right w:val="single" w:sz="4" w:space="0" w:color="auto"/>
            </w:tcBorders>
            <w:noWrap/>
            <w:vAlign w:val="bottom"/>
          </w:tcPr>
          <w:p w14:paraId="40849C6B" w14:textId="30C5F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167 (147 - 187)</w:t>
            </w:r>
          </w:p>
        </w:tc>
        <w:tc>
          <w:tcPr>
            <w:tcW w:w="1260" w:type="dxa"/>
            <w:tcBorders>
              <w:top w:val="single" w:sz="4" w:space="0" w:color="auto"/>
              <w:left w:val="single" w:sz="4" w:space="0" w:color="auto"/>
              <w:bottom w:val="single" w:sz="4" w:space="0" w:color="auto"/>
              <w:right w:val="single" w:sz="4" w:space="0" w:color="auto"/>
            </w:tcBorders>
            <w:noWrap/>
            <w:vAlign w:val="bottom"/>
          </w:tcPr>
          <w:p w14:paraId="3A7178AF" w14:textId="36616B0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1.183 (1.044 - 1.325)</w:t>
            </w:r>
          </w:p>
        </w:tc>
        <w:tc>
          <w:tcPr>
            <w:tcW w:w="1170" w:type="dxa"/>
            <w:tcBorders>
              <w:top w:val="single" w:sz="4" w:space="0" w:color="auto"/>
              <w:left w:val="single" w:sz="4" w:space="0" w:color="auto"/>
              <w:bottom w:val="single" w:sz="4" w:space="0" w:color="auto"/>
              <w:right w:val="single" w:sz="4" w:space="0" w:color="auto"/>
            </w:tcBorders>
            <w:noWrap/>
            <w:vAlign w:val="bottom"/>
          </w:tcPr>
          <w:p w14:paraId="2E2F93D0" w14:textId="525311D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 (0.017 - 0.022)</w:t>
            </w:r>
          </w:p>
        </w:tc>
        <w:tc>
          <w:tcPr>
            <w:tcW w:w="1529" w:type="dxa"/>
            <w:tcBorders>
              <w:top w:val="single" w:sz="4" w:space="0" w:color="auto"/>
              <w:left w:val="single" w:sz="4" w:space="0" w:color="auto"/>
              <w:bottom w:val="single" w:sz="4" w:space="0" w:color="auto"/>
              <w:right w:val="single" w:sz="4" w:space="0" w:color="auto"/>
            </w:tcBorders>
            <w:noWrap/>
            <w:vAlign w:val="bottom"/>
          </w:tcPr>
          <w:p w14:paraId="72465BEA" w14:textId="57E0C82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2,541.3 (2,148.9 - 2,993.5)</w:t>
            </w:r>
          </w:p>
        </w:tc>
        <w:tc>
          <w:tcPr>
            <w:tcW w:w="1529" w:type="dxa"/>
            <w:tcBorders>
              <w:top w:val="single" w:sz="4" w:space="0" w:color="auto"/>
              <w:left w:val="single" w:sz="4" w:space="0" w:color="auto"/>
              <w:bottom w:val="single" w:sz="4" w:space="0" w:color="auto"/>
              <w:right w:val="single" w:sz="4" w:space="0" w:color="auto"/>
            </w:tcBorders>
            <w:noWrap/>
            <w:vAlign w:val="bottom"/>
          </w:tcPr>
          <w:p w14:paraId="1041198B" w14:textId="656ACEC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152,893.8 (127,678 - 179,850.9)</w:t>
            </w:r>
          </w:p>
        </w:tc>
        <w:tc>
          <w:tcPr>
            <w:tcW w:w="1529" w:type="dxa"/>
            <w:tcBorders>
              <w:top w:val="single" w:sz="4" w:space="0" w:color="auto"/>
              <w:left w:val="single" w:sz="4" w:space="0" w:color="auto"/>
              <w:bottom w:val="single" w:sz="4" w:space="0" w:color="auto"/>
              <w:right w:val="single" w:sz="4" w:space="0" w:color="auto"/>
            </w:tcBorders>
            <w:noWrap/>
            <w:vAlign w:val="bottom"/>
          </w:tcPr>
          <w:p w14:paraId="2C7DB4F3" w14:textId="4D8C00A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6,437.8 (5,362.5 - 7,573.9)</w:t>
            </w:r>
          </w:p>
        </w:tc>
      </w:tr>
      <w:tr w:rsidR="000618FD" w:rsidRPr="007F0AB9" w14:paraId="3A8FBAE3" w14:textId="77777777" w:rsidTr="004456BB">
        <w:trPr>
          <w:gridAfter w:val="1"/>
          <w:wAfter w:w="6" w:type="dxa"/>
          <w:trHeight w:val="701"/>
        </w:trPr>
        <w:tc>
          <w:tcPr>
            <w:tcW w:w="810" w:type="dxa"/>
            <w:tcBorders>
              <w:top w:val="nil"/>
              <w:bottom w:val="nil"/>
              <w:right w:val="single" w:sz="4" w:space="0" w:color="auto"/>
            </w:tcBorders>
            <w:vAlign w:val="center"/>
          </w:tcPr>
          <w:p w14:paraId="5423FE64" w14:textId="56AAA4F0"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3E3156D" w14:textId="5E5B4A5F"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3D2265CF" w14:textId="1D6DE43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39B9BAEF" w14:textId="4045498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37.6 (33.4 - 41.5)</w:t>
            </w:r>
          </w:p>
        </w:tc>
        <w:tc>
          <w:tcPr>
            <w:tcW w:w="1350" w:type="dxa"/>
            <w:tcBorders>
              <w:top w:val="single" w:sz="4" w:space="0" w:color="auto"/>
              <w:left w:val="single" w:sz="4" w:space="0" w:color="auto"/>
              <w:bottom w:val="single" w:sz="4" w:space="0" w:color="auto"/>
              <w:right w:val="single" w:sz="4" w:space="0" w:color="auto"/>
            </w:tcBorders>
            <w:noWrap/>
            <w:vAlign w:val="bottom"/>
          </w:tcPr>
          <w:p w14:paraId="25452F7A" w14:textId="075F74E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7,111 (6,318 - 7,808)</w:t>
            </w:r>
          </w:p>
        </w:tc>
        <w:tc>
          <w:tcPr>
            <w:tcW w:w="1080" w:type="dxa"/>
            <w:tcBorders>
              <w:top w:val="single" w:sz="4" w:space="0" w:color="auto"/>
              <w:left w:val="single" w:sz="4" w:space="0" w:color="auto"/>
              <w:bottom w:val="single" w:sz="4" w:space="0" w:color="auto"/>
              <w:right w:val="single" w:sz="4" w:space="0" w:color="auto"/>
            </w:tcBorders>
            <w:noWrap/>
            <w:vAlign w:val="bottom"/>
          </w:tcPr>
          <w:p w14:paraId="6A3B2E30" w14:textId="74147CB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125 (111 - 136)</w:t>
            </w:r>
          </w:p>
        </w:tc>
        <w:tc>
          <w:tcPr>
            <w:tcW w:w="1260" w:type="dxa"/>
            <w:tcBorders>
              <w:top w:val="single" w:sz="4" w:space="0" w:color="auto"/>
              <w:left w:val="single" w:sz="4" w:space="0" w:color="auto"/>
              <w:bottom w:val="single" w:sz="4" w:space="0" w:color="auto"/>
              <w:right w:val="single" w:sz="4" w:space="0" w:color="auto"/>
            </w:tcBorders>
            <w:noWrap/>
            <w:vAlign w:val="bottom"/>
          </w:tcPr>
          <w:p w14:paraId="7B67E397" w14:textId="510228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0.837 (0.739 - 0.939)</w:t>
            </w:r>
          </w:p>
        </w:tc>
        <w:tc>
          <w:tcPr>
            <w:tcW w:w="1170" w:type="dxa"/>
            <w:tcBorders>
              <w:top w:val="single" w:sz="4" w:space="0" w:color="auto"/>
              <w:left w:val="single" w:sz="4" w:space="0" w:color="auto"/>
              <w:bottom w:val="single" w:sz="4" w:space="0" w:color="auto"/>
              <w:right w:val="single" w:sz="4" w:space="0" w:color="auto"/>
            </w:tcBorders>
            <w:noWrap/>
            <w:vAlign w:val="bottom"/>
          </w:tcPr>
          <w:p w14:paraId="5B93173B" w14:textId="5ADFD3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0.015 (0.013 - 0.016)</w:t>
            </w:r>
          </w:p>
        </w:tc>
        <w:tc>
          <w:tcPr>
            <w:tcW w:w="1529" w:type="dxa"/>
            <w:tcBorders>
              <w:top w:val="single" w:sz="4" w:space="0" w:color="auto"/>
              <w:left w:val="single" w:sz="4" w:space="0" w:color="auto"/>
              <w:bottom w:val="single" w:sz="4" w:space="0" w:color="auto"/>
              <w:right w:val="single" w:sz="4" w:space="0" w:color="auto"/>
            </w:tcBorders>
            <w:noWrap/>
            <w:vAlign w:val="bottom"/>
          </w:tcPr>
          <w:p w14:paraId="34EF2A8B" w14:textId="57C0227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3,879.4 (3,393.2 - 4,471.1)</w:t>
            </w:r>
          </w:p>
        </w:tc>
        <w:tc>
          <w:tcPr>
            <w:tcW w:w="1529" w:type="dxa"/>
            <w:tcBorders>
              <w:top w:val="single" w:sz="4" w:space="0" w:color="auto"/>
              <w:left w:val="single" w:sz="4" w:space="0" w:color="auto"/>
              <w:bottom w:val="single" w:sz="4" w:space="0" w:color="auto"/>
              <w:right w:val="single" w:sz="4" w:space="0" w:color="auto"/>
            </w:tcBorders>
            <w:noWrap/>
            <w:vAlign w:val="bottom"/>
          </w:tcPr>
          <w:p w14:paraId="563FF6DA" w14:textId="00F63B5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220,296.2 (197,040.9 - 250,276.3)</w:t>
            </w:r>
          </w:p>
        </w:tc>
        <w:tc>
          <w:tcPr>
            <w:tcW w:w="1529" w:type="dxa"/>
            <w:tcBorders>
              <w:top w:val="single" w:sz="4" w:space="0" w:color="auto"/>
              <w:left w:val="single" w:sz="4" w:space="0" w:color="auto"/>
              <w:bottom w:val="single" w:sz="4" w:space="0" w:color="auto"/>
              <w:right w:val="single" w:sz="4" w:space="0" w:color="auto"/>
            </w:tcBorders>
            <w:noWrap/>
            <w:vAlign w:val="bottom"/>
          </w:tcPr>
          <w:p w14:paraId="6EEDF9A9" w14:textId="014E6C58" w:rsidR="000618FD" w:rsidRPr="000618FD" w:rsidRDefault="000618FD" w:rsidP="000618FD">
            <w:pPr>
              <w:spacing w:line="240" w:lineRule="auto"/>
              <w:jc w:val="center"/>
              <w:rPr>
                <w:rFonts w:eastAsiaTheme="majorEastAsia"/>
                <w:color w:val="000000"/>
                <w:sz w:val="20"/>
                <w:szCs w:val="20"/>
              </w:rPr>
            </w:pPr>
            <w:proofErr w:type="gramStart"/>
            <w:r w:rsidRPr="000618FD">
              <w:rPr>
                <w:rFonts w:ascii="Aptos Narrow" w:hAnsi="Aptos Narrow"/>
                <w:color w:val="000000"/>
                <w:sz w:val="20"/>
                <w:szCs w:val="20"/>
              </w:rPr>
              <w:t>9,222.7</w:t>
            </w:r>
            <w:proofErr w:type="gramEnd"/>
            <w:r w:rsidRPr="000618FD">
              <w:rPr>
                <w:rFonts w:ascii="Aptos Narrow" w:hAnsi="Aptos Narrow"/>
                <w:color w:val="000000"/>
                <w:sz w:val="20"/>
                <w:szCs w:val="20"/>
              </w:rPr>
              <w:t xml:space="preserve"> (8,242.3 - 10,463.2)</w:t>
            </w:r>
          </w:p>
        </w:tc>
      </w:tr>
      <w:tr w:rsidR="004456BB" w:rsidRPr="007F0AB9" w14:paraId="339E9B47" w14:textId="77777777" w:rsidTr="004456BB">
        <w:trPr>
          <w:gridAfter w:val="1"/>
          <w:wAfter w:w="6" w:type="dxa"/>
          <w:trHeight w:val="701"/>
        </w:trPr>
        <w:tc>
          <w:tcPr>
            <w:tcW w:w="810" w:type="dxa"/>
            <w:tcBorders>
              <w:top w:val="nil"/>
              <w:bottom w:val="nil"/>
              <w:right w:val="single" w:sz="4" w:space="0" w:color="auto"/>
            </w:tcBorders>
            <w:vAlign w:val="center"/>
          </w:tcPr>
          <w:p w14:paraId="37015EEC" w14:textId="6B867E4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4AA35003" w14:textId="6F4102B0"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3A0FBF4F" w14:textId="1BD899C7"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641597B" w14:textId="6BA87EA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26.5 (23.6 - 29.2)</w:t>
            </w:r>
          </w:p>
        </w:tc>
        <w:tc>
          <w:tcPr>
            <w:tcW w:w="1350" w:type="dxa"/>
            <w:tcBorders>
              <w:top w:val="single" w:sz="4" w:space="0" w:color="auto"/>
              <w:left w:val="single" w:sz="4" w:space="0" w:color="auto"/>
              <w:bottom w:val="single" w:sz="4" w:space="0" w:color="auto"/>
              <w:right w:val="single" w:sz="4" w:space="0" w:color="auto"/>
            </w:tcBorders>
            <w:noWrap/>
            <w:vAlign w:val="bottom"/>
          </w:tcPr>
          <w:p w14:paraId="4412AE15" w14:textId="4B5837A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5,021 (4,453 - 5,486)</w:t>
            </w:r>
          </w:p>
        </w:tc>
        <w:tc>
          <w:tcPr>
            <w:tcW w:w="1080" w:type="dxa"/>
            <w:tcBorders>
              <w:top w:val="single" w:sz="4" w:space="0" w:color="auto"/>
              <w:left w:val="single" w:sz="4" w:space="0" w:color="auto"/>
              <w:bottom w:val="single" w:sz="4" w:space="0" w:color="auto"/>
              <w:right w:val="single" w:sz="4" w:space="0" w:color="auto"/>
            </w:tcBorders>
            <w:noWrap/>
            <w:vAlign w:val="bottom"/>
          </w:tcPr>
          <w:p w14:paraId="1BAD32C6" w14:textId="125BEE5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84 (73 - 94)</w:t>
            </w:r>
          </w:p>
        </w:tc>
        <w:tc>
          <w:tcPr>
            <w:tcW w:w="1260" w:type="dxa"/>
            <w:tcBorders>
              <w:top w:val="single" w:sz="4" w:space="0" w:color="auto"/>
              <w:left w:val="single" w:sz="4" w:space="0" w:color="auto"/>
              <w:bottom w:val="single" w:sz="4" w:space="0" w:color="auto"/>
              <w:right w:val="single" w:sz="4" w:space="0" w:color="auto"/>
            </w:tcBorders>
            <w:noWrap/>
            <w:vAlign w:val="bottom"/>
          </w:tcPr>
          <w:p w14:paraId="5E8192EB" w14:textId="6BD25B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0.591 (0.522 - 0.66)</w:t>
            </w:r>
          </w:p>
        </w:tc>
        <w:tc>
          <w:tcPr>
            <w:tcW w:w="1170" w:type="dxa"/>
            <w:tcBorders>
              <w:top w:val="single" w:sz="4" w:space="0" w:color="auto"/>
              <w:left w:val="single" w:sz="4" w:space="0" w:color="auto"/>
              <w:bottom w:val="single" w:sz="4" w:space="0" w:color="auto"/>
              <w:right w:val="single" w:sz="4" w:space="0" w:color="auto"/>
            </w:tcBorders>
            <w:noWrap/>
            <w:vAlign w:val="bottom"/>
          </w:tcPr>
          <w:p w14:paraId="2BEE3C08" w14:textId="000AB28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6D81BFA4" w14:textId="356EB80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5,772.8 (5,111 - 6,605.8)</w:t>
            </w:r>
          </w:p>
        </w:tc>
        <w:tc>
          <w:tcPr>
            <w:tcW w:w="1529" w:type="dxa"/>
            <w:tcBorders>
              <w:top w:val="single" w:sz="4" w:space="0" w:color="auto"/>
              <w:left w:val="single" w:sz="4" w:space="0" w:color="auto"/>
              <w:bottom w:val="single" w:sz="4" w:space="0" w:color="auto"/>
              <w:right w:val="single" w:sz="4" w:space="0" w:color="auto"/>
            </w:tcBorders>
            <w:noWrap/>
            <w:vAlign w:val="bottom"/>
          </w:tcPr>
          <w:p w14:paraId="25A1F462" w14:textId="7396FB7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342,362.5 (303,949.4 - 394,701.4)</w:t>
            </w:r>
          </w:p>
        </w:tc>
        <w:tc>
          <w:tcPr>
            <w:tcW w:w="1529" w:type="dxa"/>
            <w:tcBorders>
              <w:top w:val="single" w:sz="4" w:space="0" w:color="auto"/>
              <w:left w:val="single" w:sz="4" w:space="0" w:color="auto"/>
              <w:bottom w:val="single" w:sz="4" w:space="0" w:color="auto"/>
              <w:right w:val="single" w:sz="4" w:space="0" w:color="auto"/>
            </w:tcBorders>
            <w:noWrap/>
            <w:vAlign w:val="bottom"/>
          </w:tcPr>
          <w:p w14:paraId="51292C8A" w14:textId="02394B8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14,311 (12,729.7 - 16,467.8)</w:t>
            </w:r>
          </w:p>
        </w:tc>
      </w:tr>
      <w:tr w:rsidR="000618FD" w:rsidRPr="007F0AB9" w14:paraId="6A447548" w14:textId="77777777" w:rsidTr="004456BB">
        <w:trPr>
          <w:gridAfter w:val="1"/>
          <w:wAfter w:w="6" w:type="dxa"/>
          <w:trHeight w:val="701"/>
        </w:trPr>
        <w:tc>
          <w:tcPr>
            <w:tcW w:w="810" w:type="dxa"/>
            <w:tcBorders>
              <w:top w:val="nil"/>
              <w:bottom w:val="nil"/>
              <w:right w:val="single" w:sz="4" w:space="0" w:color="auto"/>
            </w:tcBorders>
            <w:vAlign w:val="center"/>
          </w:tcPr>
          <w:p w14:paraId="66B7B0E8" w14:textId="21A743A2"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300AA460" w14:textId="66480084"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541AEC7E" w14:textId="5F90169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2350C687" w14:textId="092B103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82.4 (75.4 - 87.8)</w:t>
            </w:r>
          </w:p>
        </w:tc>
        <w:tc>
          <w:tcPr>
            <w:tcW w:w="1350" w:type="dxa"/>
            <w:tcBorders>
              <w:top w:val="single" w:sz="4" w:space="0" w:color="auto"/>
              <w:left w:val="single" w:sz="4" w:space="0" w:color="auto"/>
              <w:bottom w:val="single" w:sz="4" w:space="0" w:color="auto"/>
              <w:right w:val="single" w:sz="4" w:space="0" w:color="auto"/>
            </w:tcBorders>
            <w:noWrap/>
            <w:vAlign w:val="bottom"/>
          </w:tcPr>
          <w:p w14:paraId="6CDCDFBD" w14:textId="45A700B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15,424 (14,053 - 16,708)</w:t>
            </w:r>
          </w:p>
        </w:tc>
        <w:tc>
          <w:tcPr>
            <w:tcW w:w="1080" w:type="dxa"/>
            <w:tcBorders>
              <w:top w:val="single" w:sz="4" w:space="0" w:color="auto"/>
              <w:left w:val="single" w:sz="4" w:space="0" w:color="auto"/>
              <w:bottom w:val="single" w:sz="4" w:space="0" w:color="auto"/>
              <w:right w:val="single" w:sz="4" w:space="0" w:color="auto"/>
            </w:tcBorders>
            <w:noWrap/>
            <w:vAlign w:val="bottom"/>
          </w:tcPr>
          <w:p w14:paraId="7080466D" w14:textId="32D4564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262 (233 - 288)</w:t>
            </w:r>
          </w:p>
        </w:tc>
        <w:tc>
          <w:tcPr>
            <w:tcW w:w="1260" w:type="dxa"/>
            <w:tcBorders>
              <w:top w:val="single" w:sz="4" w:space="0" w:color="auto"/>
              <w:left w:val="single" w:sz="4" w:space="0" w:color="auto"/>
              <w:bottom w:val="single" w:sz="4" w:space="0" w:color="auto"/>
              <w:right w:val="single" w:sz="4" w:space="0" w:color="auto"/>
            </w:tcBorders>
            <w:noWrap/>
            <w:vAlign w:val="bottom"/>
          </w:tcPr>
          <w:p w14:paraId="041AABAD" w14:textId="16FFF40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1.465 (1.329 - 1.59)</w:t>
            </w:r>
          </w:p>
        </w:tc>
        <w:tc>
          <w:tcPr>
            <w:tcW w:w="1170" w:type="dxa"/>
            <w:tcBorders>
              <w:top w:val="single" w:sz="4" w:space="0" w:color="auto"/>
              <w:left w:val="single" w:sz="4" w:space="0" w:color="auto"/>
              <w:bottom w:val="single" w:sz="4" w:space="0" w:color="auto"/>
              <w:right w:val="single" w:sz="4" w:space="0" w:color="auto"/>
            </w:tcBorders>
            <w:noWrap/>
            <w:vAlign w:val="bottom"/>
          </w:tcPr>
          <w:p w14:paraId="0E38CADE" w14:textId="7440CC5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0.025 (0.022 - 0.027)</w:t>
            </w:r>
          </w:p>
        </w:tc>
        <w:tc>
          <w:tcPr>
            <w:tcW w:w="1529" w:type="dxa"/>
            <w:tcBorders>
              <w:top w:val="single" w:sz="4" w:space="0" w:color="auto"/>
              <w:left w:val="single" w:sz="4" w:space="0" w:color="auto"/>
              <w:bottom w:val="single" w:sz="4" w:space="0" w:color="auto"/>
              <w:right w:val="single" w:sz="4" w:space="0" w:color="auto"/>
            </w:tcBorders>
            <w:noWrap/>
            <w:vAlign w:val="bottom"/>
          </w:tcPr>
          <w:p w14:paraId="33CB50E9" w14:textId="74ECEB3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1,887 (1,639 - 2,180.4)</w:t>
            </w:r>
          </w:p>
        </w:tc>
        <w:tc>
          <w:tcPr>
            <w:tcW w:w="1529" w:type="dxa"/>
            <w:tcBorders>
              <w:top w:val="single" w:sz="4" w:space="0" w:color="auto"/>
              <w:left w:val="single" w:sz="4" w:space="0" w:color="auto"/>
              <w:bottom w:val="single" w:sz="4" w:space="0" w:color="auto"/>
              <w:right w:val="single" w:sz="4" w:space="0" w:color="auto"/>
            </w:tcBorders>
            <w:noWrap/>
            <w:vAlign w:val="bottom"/>
          </w:tcPr>
          <w:p w14:paraId="19EBBF35" w14:textId="4009933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111,704.9 (94,558.2 - 130,986.4)</w:t>
            </w:r>
          </w:p>
        </w:tc>
        <w:tc>
          <w:tcPr>
            <w:tcW w:w="1529" w:type="dxa"/>
            <w:tcBorders>
              <w:top w:val="single" w:sz="4" w:space="0" w:color="auto"/>
              <w:left w:val="single" w:sz="4" w:space="0" w:color="auto"/>
              <w:bottom w:val="single" w:sz="4" w:space="0" w:color="auto"/>
              <w:right w:val="single" w:sz="4" w:space="0" w:color="auto"/>
            </w:tcBorders>
            <w:noWrap/>
            <w:vAlign w:val="bottom"/>
          </w:tcPr>
          <w:p w14:paraId="04130F74" w14:textId="4A62BD1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4,709 (3,973.1 - 5,525.1)</w:t>
            </w:r>
          </w:p>
        </w:tc>
      </w:tr>
      <w:tr w:rsidR="000618FD" w:rsidRPr="007F0AB9" w14:paraId="038BF856" w14:textId="77777777" w:rsidTr="004456BB">
        <w:trPr>
          <w:gridAfter w:val="1"/>
          <w:wAfter w:w="6" w:type="dxa"/>
          <w:trHeight w:val="701"/>
        </w:trPr>
        <w:tc>
          <w:tcPr>
            <w:tcW w:w="810" w:type="dxa"/>
            <w:tcBorders>
              <w:top w:val="nil"/>
              <w:bottom w:val="nil"/>
              <w:right w:val="single" w:sz="4" w:space="0" w:color="auto"/>
            </w:tcBorders>
            <w:vAlign w:val="center"/>
          </w:tcPr>
          <w:p w14:paraId="5F54486F" w14:textId="28DA6F9A"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F6BBF23" w14:textId="2C11148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CE8A460" w14:textId="35BED07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3908260" w14:textId="27EF930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58.3 (53.3 - 62.9)</w:t>
            </w:r>
          </w:p>
        </w:tc>
        <w:tc>
          <w:tcPr>
            <w:tcW w:w="1350" w:type="dxa"/>
            <w:tcBorders>
              <w:top w:val="single" w:sz="4" w:space="0" w:color="auto"/>
              <w:left w:val="single" w:sz="4" w:space="0" w:color="auto"/>
              <w:bottom w:val="single" w:sz="4" w:space="0" w:color="auto"/>
              <w:right w:val="single" w:sz="4" w:space="0" w:color="auto"/>
            </w:tcBorders>
            <w:noWrap/>
            <w:vAlign w:val="bottom"/>
          </w:tcPr>
          <w:p w14:paraId="79E65C7C" w14:textId="501D494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10,996 (10,047 - 11,923)</w:t>
            </w:r>
          </w:p>
        </w:tc>
        <w:tc>
          <w:tcPr>
            <w:tcW w:w="1080" w:type="dxa"/>
            <w:tcBorders>
              <w:top w:val="single" w:sz="4" w:space="0" w:color="auto"/>
              <w:left w:val="single" w:sz="4" w:space="0" w:color="auto"/>
              <w:bottom w:val="single" w:sz="4" w:space="0" w:color="auto"/>
              <w:right w:val="single" w:sz="4" w:space="0" w:color="auto"/>
            </w:tcBorders>
            <w:noWrap/>
            <w:vAlign w:val="bottom"/>
          </w:tcPr>
          <w:p w14:paraId="1577096B" w14:textId="0E91A30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183 (165 - 202)</w:t>
            </w:r>
          </w:p>
        </w:tc>
        <w:tc>
          <w:tcPr>
            <w:tcW w:w="1260" w:type="dxa"/>
            <w:tcBorders>
              <w:top w:val="single" w:sz="4" w:space="0" w:color="auto"/>
              <w:left w:val="single" w:sz="4" w:space="0" w:color="auto"/>
              <w:bottom w:val="single" w:sz="4" w:space="0" w:color="auto"/>
              <w:right w:val="single" w:sz="4" w:space="0" w:color="auto"/>
            </w:tcBorders>
            <w:noWrap/>
            <w:vAlign w:val="bottom"/>
          </w:tcPr>
          <w:p w14:paraId="12B117D4" w14:textId="04291DA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1.041 (0.937 - 1.146)</w:t>
            </w:r>
          </w:p>
        </w:tc>
        <w:tc>
          <w:tcPr>
            <w:tcW w:w="1170" w:type="dxa"/>
            <w:tcBorders>
              <w:top w:val="single" w:sz="4" w:space="0" w:color="auto"/>
              <w:left w:val="single" w:sz="4" w:space="0" w:color="auto"/>
              <w:bottom w:val="single" w:sz="4" w:space="0" w:color="auto"/>
              <w:right w:val="single" w:sz="4" w:space="0" w:color="auto"/>
            </w:tcBorders>
            <w:noWrap/>
            <w:vAlign w:val="bottom"/>
          </w:tcPr>
          <w:p w14:paraId="2EEBDE35" w14:textId="3862CFF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0.017 (0.016 - 0.019)</w:t>
            </w:r>
          </w:p>
        </w:tc>
        <w:tc>
          <w:tcPr>
            <w:tcW w:w="1529" w:type="dxa"/>
            <w:tcBorders>
              <w:top w:val="single" w:sz="4" w:space="0" w:color="auto"/>
              <w:left w:val="single" w:sz="4" w:space="0" w:color="auto"/>
              <w:bottom w:val="single" w:sz="4" w:space="0" w:color="auto"/>
              <w:right w:val="single" w:sz="4" w:space="0" w:color="auto"/>
            </w:tcBorders>
            <w:noWrap/>
            <w:vAlign w:val="bottom"/>
          </w:tcPr>
          <w:p w14:paraId="29B867F4" w14:textId="41D19AE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2,976.3 (2,585.4 - 3,411.6)</w:t>
            </w:r>
          </w:p>
        </w:tc>
        <w:tc>
          <w:tcPr>
            <w:tcW w:w="1529" w:type="dxa"/>
            <w:tcBorders>
              <w:top w:val="single" w:sz="4" w:space="0" w:color="auto"/>
              <w:left w:val="single" w:sz="4" w:space="0" w:color="auto"/>
              <w:bottom w:val="single" w:sz="4" w:space="0" w:color="auto"/>
              <w:right w:val="single" w:sz="4" w:space="0" w:color="auto"/>
            </w:tcBorders>
            <w:noWrap/>
            <w:vAlign w:val="bottom"/>
          </w:tcPr>
          <w:p w14:paraId="2278C72C" w14:textId="212FD3F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180,098.7 (153,392.1 - 205,052.9)</w:t>
            </w:r>
          </w:p>
        </w:tc>
        <w:tc>
          <w:tcPr>
            <w:tcW w:w="1529" w:type="dxa"/>
            <w:tcBorders>
              <w:top w:val="single" w:sz="4" w:space="0" w:color="auto"/>
              <w:left w:val="single" w:sz="4" w:space="0" w:color="auto"/>
              <w:bottom w:val="single" w:sz="4" w:space="0" w:color="auto"/>
              <w:right w:val="single" w:sz="4" w:space="0" w:color="auto"/>
            </w:tcBorders>
            <w:noWrap/>
            <w:vAlign w:val="bottom"/>
          </w:tcPr>
          <w:p w14:paraId="0E7D9A0F" w14:textId="42E3EB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7,580.5 (6,440.6 - 8,635.9)</w:t>
            </w:r>
          </w:p>
        </w:tc>
      </w:tr>
      <w:tr w:rsidR="000618FD" w:rsidRPr="007F0AB9" w14:paraId="6CB32992" w14:textId="77777777" w:rsidTr="004456BB">
        <w:trPr>
          <w:gridAfter w:val="1"/>
          <w:wAfter w:w="6" w:type="dxa"/>
          <w:trHeight w:val="701"/>
        </w:trPr>
        <w:tc>
          <w:tcPr>
            <w:tcW w:w="810" w:type="dxa"/>
            <w:tcBorders>
              <w:top w:val="nil"/>
              <w:bottom w:val="nil"/>
              <w:right w:val="single" w:sz="4" w:space="0" w:color="auto"/>
            </w:tcBorders>
            <w:vAlign w:val="center"/>
          </w:tcPr>
          <w:p w14:paraId="38A205FB" w14:textId="5EF820F0"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ACC4207" w14:textId="264D127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5CCEE3E1" w14:textId="7450D8A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490DEA33" w14:textId="73F6C42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41.3 (37.6 - 44.8)</w:t>
            </w:r>
          </w:p>
        </w:tc>
        <w:tc>
          <w:tcPr>
            <w:tcW w:w="1350" w:type="dxa"/>
            <w:tcBorders>
              <w:top w:val="single" w:sz="4" w:space="0" w:color="auto"/>
              <w:left w:val="single" w:sz="4" w:space="0" w:color="auto"/>
              <w:bottom w:val="single" w:sz="4" w:space="0" w:color="auto"/>
              <w:right w:val="single" w:sz="4" w:space="0" w:color="auto"/>
            </w:tcBorders>
            <w:noWrap/>
            <w:vAlign w:val="bottom"/>
          </w:tcPr>
          <w:p w14:paraId="35DE7055" w14:textId="50BE970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7,805 (7,126 - 8,438)</w:t>
            </w:r>
          </w:p>
        </w:tc>
        <w:tc>
          <w:tcPr>
            <w:tcW w:w="1080" w:type="dxa"/>
            <w:tcBorders>
              <w:top w:val="single" w:sz="4" w:space="0" w:color="auto"/>
              <w:left w:val="single" w:sz="4" w:space="0" w:color="auto"/>
              <w:bottom w:val="single" w:sz="4" w:space="0" w:color="auto"/>
              <w:right w:val="single" w:sz="4" w:space="0" w:color="auto"/>
            </w:tcBorders>
            <w:noWrap/>
            <w:vAlign w:val="bottom"/>
          </w:tcPr>
          <w:p w14:paraId="3188437F" w14:textId="3AB5F9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137 (126 - 147)</w:t>
            </w:r>
          </w:p>
        </w:tc>
        <w:tc>
          <w:tcPr>
            <w:tcW w:w="1260" w:type="dxa"/>
            <w:tcBorders>
              <w:top w:val="single" w:sz="4" w:space="0" w:color="auto"/>
              <w:left w:val="single" w:sz="4" w:space="0" w:color="auto"/>
              <w:bottom w:val="single" w:sz="4" w:space="0" w:color="auto"/>
              <w:right w:val="single" w:sz="4" w:space="0" w:color="auto"/>
            </w:tcBorders>
            <w:noWrap/>
            <w:vAlign w:val="bottom"/>
          </w:tcPr>
          <w:p w14:paraId="53923813" w14:textId="722FE3A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0.736 (0.663 - 0.813)</w:t>
            </w:r>
          </w:p>
        </w:tc>
        <w:tc>
          <w:tcPr>
            <w:tcW w:w="1170" w:type="dxa"/>
            <w:tcBorders>
              <w:top w:val="single" w:sz="4" w:space="0" w:color="auto"/>
              <w:left w:val="single" w:sz="4" w:space="0" w:color="auto"/>
              <w:bottom w:val="single" w:sz="4" w:space="0" w:color="auto"/>
              <w:right w:val="single" w:sz="4" w:space="0" w:color="auto"/>
            </w:tcBorders>
            <w:noWrap/>
            <w:vAlign w:val="bottom"/>
          </w:tcPr>
          <w:p w14:paraId="2B7E220C" w14:textId="323C87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0.013 (0.012 - 0.014)</w:t>
            </w:r>
          </w:p>
        </w:tc>
        <w:tc>
          <w:tcPr>
            <w:tcW w:w="1529" w:type="dxa"/>
            <w:tcBorders>
              <w:top w:val="single" w:sz="4" w:space="0" w:color="auto"/>
              <w:left w:val="single" w:sz="4" w:space="0" w:color="auto"/>
              <w:bottom w:val="single" w:sz="4" w:space="0" w:color="auto"/>
              <w:right w:val="single" w:sz="4" w:space="0" w:color="auto"/>
            </w:tcBorders>
            <w:noWrap/>
            <w:vAlign w:val="bottom"/>
          </w:tcPr>
          <w:p w14:paraId="20ECE47A" w14:textId="57246F2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4,497.6 (4,016.5 - 5,053.9)</w:t>
            </w:r>
          </w:p>
        </w:tc>
        <w:tc>
          <w:tcPr>
            <w:tcW w:w="1529" w:type="dxa"/>
            <w:tcBorders>
              <w:top w:val="single" w:sz="4" w:space="0" w:color="auto"/>
              <w:left w:val="single" w:sz="4" w:space="0" w:color="auto"/>
              <w:bottom w:val="single" w:sz="4" w:space="0" w:color="auto"/>
              <w:right w:val="single" w:sz="4" w:space="0" w:color="auto"/>
            </w:tcBorders>
            <w:noWrap/>
            <w:vAlign w:val="bottom"/>
          </w:tcPr>
          <w:p w14:paraId="3B05E60D" w14:textId="2BCA515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255,621.3 (234,388.1 - 280,986.9)</w:t>
            </w:r>
          </w:p>
        </w:tc>
        <w:tc>
          <w:tcPr>
            <w:tcW w:w="1529" w:type="dxa"/>
            <w:tcBorders>
              <w:top w:val="single" w:sz="4" w:space="0" w:color="auto"/>
              <w:left w:val="single" w:sz="4" w:space="0" w:color="auto"/>
              <w:bottom w:val="single" w:sz="4" w:space="0" w:color="auto"/>
              <w:right w:val="single" w:sz="4" w:space="0" w:color="auto"/>
            </w:tcBorders>
            <w:noWrap/>
            <w:vAlign w:val="bottom"/>
          </w:tcPr>
          <w:p w14:paraId="6C57505E" w14:textId="0B9E51D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10,695 (9,807.2 - 11,760.8)</w:t>
            </w:r>
          </w:p>
        </w:tc>
      </w:tr>
      <w:tr w:rsidR="004456BB" w:rsidRPr="007F0AB9" w14:paraId="4F26BD61" w14:textId="77777777" w:rsidTr="004456BB">
        <w:trPr>
          <w:gridAfter w:val="1"/>
          <w:wAfter w:w="6" w:type="dxa"/>
          <w:trHeight w:val="701"/>
        </w:trPr>
        <w:tc>
          <w:tcPr>
            <w:tcW w:w="810" w:type="dxa"/>
            <w:tcBorders>
              <w:top w:val="nil"/>
              <w:bottom w:val="nil"/>
              <w:right w:val="single" w:sz="4" w:space="0" w:color="auto"/>
            </w:tcBorders>
            <w:vAlign w:val="center"/>
          </w:tcPr>
          <w:p w14:paraId="304EB6F5" w14:textId="701487A7"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56CDA4A7" w14:textId="75C9A15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5DD464D9" w14:textId="5C951E17"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A3277BB" w14:textId="08090A1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29.2 (26.6 - 31.5)</w:t>
            </w:r>
          </w:p>
        </w:tc>
        <w:tc>
          <w:tcPr>
            <w:tcW w:w="1350" w:type="dxa"/>
            <w:tcBorders>
              <w:top w:val="single" w:sz="4" w:space="0" w:color="auto"/>
              <w:left w:val="single" w:sz="4" w:space="0" w:color="auto"/>
              <w:bottom w:val="single" w:sz="4" w:space="0" w:color="auto"/>
              <w:right w:val="single" w:sz="4" w:space="0" w:color="auto"/>
            </w:tcBorders>
            <w:noWrap/>
            <w:vAlign w:val="bottom"/>
          </w:tcPr>
          <w:p w14:paraId="6D280B56" w14:textId="18BB57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5,512 (5,031 - 5,921)</w:t>
            </w:r>
          </w:p>
        </w:tc>
        <w:tc>
          <w:tcPr>
            <w:tcW w:w="1080" w:type="dxa"/>
            <w:tcBorders>
              <w:top w:val="single" w:sz="4" w:space="0" w:color="auto"/>
              <w:left w:val="single" w:sz="4" w:space="0" w:color="auto"/>
              <w:bottom w:val="single" w:sz="4" w:space="0" w:color="auto"/>
              <w:right w:val="single" w:sz="4" w:space="0" w:color="auto"/>
            </w:tcBorders>
            <w:noWrap/>
            <w:vAlign w:val="bottom"/>
          </w:tcPr>
          <w:p w14:paraId="3447CA3E" w14:textId="66284CD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92 (82 - 102)</w:t>
            </w:r>
          </w:p>
        </w:tc>
        <w:tc>
          <w:tcPr>
            <w:tcW w:w="1260" w:type="dxa"/>
            <w:tcBorders>
              <w:top w:val="single" w:sz="4" w:space="0" w:color="auto"/>
              <w:left w:val="single" w:sz="4" w:space="0" w:color="auto"/>
              <w:bottom w:val="single" w:sz="4" w:space="0" w:color="auto"/>
              <w:right w:val="single" w:sz="4" w:space="0" w:color="auto"/>
            </w:tcBorders>
            <w:noWrap/>
            <w:vAlign w:val="bottom"/>
          </w:tcPr>
          <w:p w14:paraId="41268ADC" w14:textId="331829E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0.519 (0.47 - 0.571)</w:t>
            </w:r>
          </w:p>
        </w:tc>
        <w:tc>
          <w:tcPr>
            <w:tcW w:w="1170" w:type="dxa"/>
            <w:tcBorders>
              <w:top w:val="single" w:sz="4" w:space="0" w:color="auto"/>
              <w:left w:val="single" w:sz="4" w:space="0" w:color="auto"/>
              <w:bottom w:val="single" w:sz="4" w:space="0" w:color="auto"/>
              <w:right w:val="single" w:sz="4" w:space="0" w:color="auto"/>
            </w:tcBorders>
            <w:noWrap/>
            <w:vAlign w:val="bottom"/>
          </w:tcPr>
          <w:p w14:paraId="7EA9E7B2" w14:textId="410D12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572A8655" w14:textId="2D89F68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6,650.2 (6,001.2 - 7,420.6)</w:t>
            </w:r>
          </w:p>
        </w:tc>
        <w:tc>
          <w:tcPr>
            <w:tcW w:w="1529" w:type="dxa"/>
            <w:tcBorders>
              <w:top w:val="single" w:sz="4" w:space="0" w:color="auto"/>
              <w:left w:val="single" w:sz="4" w:space="0" w:color="auto"/>
              <w:bottom w:val="single" w:sz="4" w:space="0" w:color="auto"/>
              <w:right w:val="single" w:sz="4" w:space="0" w:color="auto"/>
            </w:tcBorders>
            <w:noWrap/>
            <w:vAlign w:val="bottom"/>
          </w:tcPr>
          <w:p w14:paraId="15704FA9" w14:textId="20C3AC0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393,455.3 (355,496.3 - 442,958.7)</w:t>
            </w:r>
          </w:p>
        </w:tc>
        <w:tc>
          <w:tcPr>
            <w:tcW w:w="1529" w:type="dxa"/>
            <w:tcBorders>
              <w:top w:val="single" w:sz="4" w:space="0" w:color="auto"/>
              <w:left w:val="single" w:sz="4" w:space="0" w:color="auto"/>
              <w:bottom w:val="single" w:sz="4" w:space="0" w:color="auto"/>
              <w:right w:val="single" w:sz="4" w:space="0" w:color="auto"/>
            </w:tcBorders>
            <w:noWrap/>
            <w:vAlign w:val="bottom"/>
          </w:tcPr>
          <w:p w14:paraId="10ACC5A3" w14:textId="0DAC571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16,453.3 (14,891.3 - 18,473.5)</w:t>
            </w:r>
          </w:p>
        </w:tc>
      </w:tr>
      <w:tr w:rsidR="000618FD" w:rsidRPr="007F0AB9" w14:paraId="0461B9C2" w14:textId="77777777" w:rsidTr="004456BB">
        <w:trPr>
          <w:gridAfter w:val="1"/>
          <w:wAfter w:w="6" w:type="dxa"/>
          <w:trHeight w:val="701"/>
        </w:trPr>
        <w:tc>
          <w:tcPr>
            <w:tcW w:w="810" w:type="dxa"/>
            <w:tcBorders>
              <w:top w:val="nil"/>
              <w:bottom w:val="nil"/>
              <w:right w:val="single" w:sz="4" w:space="0" w:color="auto"/>
            </w:tcBorders>
            <w:vAlign w:val="center"/>
          </w:tcPr>
          <w:p w14:paraId="1C3C10CD" w14:textId="5EA50428"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475D44CA" w14:textId="2FFE1A19"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51004A8C" w14:textId="5FB04FDD"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6024DBB0" w14:textId="382DD2E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84.4 (79.3 - 92.3)</w:t>
            </w:r>
          </w:p>
        </w:tc>
        <w:tc>
          <w:tcPr>
            <w:tcW w:w="1350" w:type="dxa"/>
            <w:tcBorders>
              <w:top w:val="single" w:sz="4" w:space="0" w:color="auto"/>
              <w:left w:val="single" w:sz="4" w:space="0" w:color="auto"/>
              <w:bottom w:val="single" w:sz="4" w:space="0" w:color="auto"/>
              <w:right w:val="single" w:sz="4" w:space="0" w:color="auto"/>
            </w:tcBorders>
            <w:noWrap/>
            <w:vAlign w:val="bottom"/>
          </w:tcPr>
          <w:p w14:paraId="010CD4C5" w14:textId="487814B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15,975 (14,752 - 17,262)</w:t>
            </w:r>
          </w:p>
        </w:tc>
        <w:tc>
          <w:tcPr>
            <w:tcW w:w="1080" w:type="dxa"/>
            <w:tcBorders>
              <w:top w:val="single" w:sz="4" w:space="0" w:color="auto"/>
              <w:left w:val="single" w:sz="4" w:space="0" w:color="auto"/>
              <w:bottom w:val="single" w:sz="4" w:space="0" w:color="auto"/>
              <w:right w:val="single" w:sz="4" w:space="0" w:color="auto"/>
            </w:tcBorders>
            <w:noWrap/>
            <w:vAlign w:val="bottom"/>
          </w:tcPr>
          <w:p w14:paraId="644B3745" w14:textId="41BFEDC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272 (245 - 298)</w:t>
            </w:r>
          </w:p>
        </w:tc>
        <w:tc>
          <w:tcPr>
            <w:tcW w:w="1260" w:type="dxa"/>
            <w:tcBorders>
              <w:top w:val="single" w:sz="4" w:space="0" w:color="auto"/>
              <w:left w:val="single" w:sz="4" w:space="0" w:color="auto"/>
              <w:bottom w:val="single" w:sz="4" w:space="0" w:color="auto"/>
              <w:right w:val="single" w:sz="4" w:space="0" w:color="auto"/>
            </w:tcBorders>
            <w:noWrap/>
            <w:vAlign w:val="bottom"/>
          </w:tcPr>
          <w:p w14:paraId="34944AA1" w14:textId="7B10B1D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1.268 (1.161 - 1.366)</w:t>
            </w:r>
          </w:p>
        </w:tc>
        <w:tc>
          <w:tcPr>
            <w:tcW w:w="1170" w:type="dxa"/>
            <w:tcBorders>
              <w:top w:val="single" w:sz="4" w:space="0" w:color="auto"/>
              <w:left w:val="single" w:sz="4" w:space="0" w:color="auto"/>
              <w:bottom w:val="single" w:sz="4" w:space="0" w:color="auto"/>
              <w:right w:val="single" w:sz="4" w:space="0" w:color="auto"/>
            </w:tcBorders>
            <w:noWrap/>
            <w:vAlign w:val="bottom"/>
          </w:tcPr>
          <w:p w14:paraId="37FFCB65" w14:textId="4A83962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0.022 (0.019 - 0.024)</w:t>
            </w:r>
          </w:p>
        </w:tc>
        <w:tc>
          <w:tcPr>
            <w:tcW w:w="1529" w:type="dxa"/>
            <w:tcBorders>
              <w:top w:val="single" w:sz="4" w:space="0" w:color="auto"/>
              <w:left w:val="single" w:sz="4" w:space="0" w:color="auto"/>
              <w:bottom w:val="single" w:sz="4" w:space="0" w:color="auto"/>
              <w:right w:val="single" w:sz="4" w:space="0" w:color="auto"/>
            </w:tcBorders>
            <w:noWrap/>
            <w:vAlign w:val="bottom"/>
          </w:tcPr>
          <w:p w14:paraId="6B2AB16A" w14:textId="3524BC4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2,286 (2,023.9 - 2,599.9)</w:t>
            </w:r>
          </w:p>
        </w:tc>
        <w:tc>
          <w:tcPr>
            <w:tcW w:w="1529" w:type="dxa"/>
            <w:tcBorders>
              <w:top w:val="single" w:sz="4" w:space="0" w:color="auto"/>
              <w:left w:val="single" w:sz="4" w:space="0" w:color="auto"/>
              <w:bottom w:val="single" w:sz="4" w:space="0" w:color="auto"/>
              <w:right w:val="single" w:sz="4" w:space="0" w:color="auto"/>
            </w:tcBorders>
            <w:noWrap/>
            <w:vAlign w:val="bottom"/>
          </w:tcPr>
          <w:p w14:paraId="5FE51389" w14:textId="5D579C4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135,094.7 (116,297.6 - 155,726.3)</w:t>
            </w:r>
          </w:p>
        </w:tc>
        <w:tc>
          <w:tcPr>
            <w:tcW w:w="1529" w:type="dxa"/>
            <w:tcBorders>
              <w:top w:val="single" w:sz="4" w:space="0" w:color="auto"/>
              <w:left w:val="single" w:sz="4" w:space="0" w:color="auto"/>
              <w:bottom w:val="single" w:sz="4" w:space="0" w:color="auto"/>
              <w:right w:val="single" w:sz="4" w:space="0" w:color="auto"/>
            </w:tcBorders>
            <w:noWrap/>
            <w:vAlign w:val="bottom"/>
          </w:tcPr>
          <w:p w14:paraId="722B5B7D" w14:textId="05140BC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5,687.8 (4,889.1 - 6,568.6)</w:t>
            </w:r>
          </w:p>
        </w:tc>
      </w:tr>
      <w:tr w:rsidR="000618FD" w:rsidRPr="007F0AB9" w14:paraId="65D0ECAB" w14:textId="77777777" w:rsidTr="004456BB">
        <w:trPr>
          <w:gridAfter w:val="1"/>
          <w:wAfter w:w="6" w:type="dxa"/>
          <w:trHeight w:val="701"/>
        </w:trPr>
        <w:tc>
          <w:tcPr>
            <w:tcW w:w="810" w:type="dxa"/>
            <w:tcBorders>
              <w:top w:val="nil"/>
              <w:bottom w:val="nil"/>
              <w:right w:val="single" w:sz="4" w:space="0" w:color="auto"/>
            </w:tcBorders>
            <w:vAlign w:val="center"/>
          </w:tcPr>
          <w:p w14:paraId="341FF7F5" w14:textId="7B9D6159"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4978397C" w14:textId="533F5F1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09AD027" w14:textId="09F4C6A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4422ED4" w14:textId="1338AE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61 (56.3 - 64.2)</w:t>
            </w:r>
          </w:p>
        </w:tc>
        <w:tc>
          <w:tcPr>
            <w:tcW w:w="1350" w:type="dxa"/>
            <w:tcBorders>
              <w:top w:val="single" w:sz="4" w:space="0" w:color="auto"/>
              <w:left w:val="single" w:sz="4" w:space="0" w:color="auto"/>
              <w:bottom w:val="single" w:sz="4" w:space="0" w:color="auto"/>
              <w:right w:val="single" w:sz="4" w:space="0" w:color="auto"/>
            </w:tcBorders>
            <w:noWrap/>
            <w:vAlign w:val="bottom"/>
          </w:tcPr>
          <w:p w14:paraId="1A0B3A42" w14:textId="3B97311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11,415 (10,531 - 12,296)</w:t>
            </w:r>
          </w:p>
        </w:tc>
        <w:tc>
          <w:tcPr>
            <w:tcW w:w="1080" w:type="dxa"/>
            <w:tcBorders>
              <w:top w:val="single" w:sz="4" w:space="0" w:color="auto"/>
              <w:left w:val="single" w:sz="4" w:space="0" w:color="auto"/>
              <w:bottom w:val="single" w:sz="4" w:space="0" w:color="auto"/>
              <w:right w:val="single" w:sz="4" w:space="0" w:color="auto"/>
            </w:tcBorders>
            <w:noWrap/>
            <w:vAlign w:val="bottom"/>
          </w:tcPr>
          <w:p w14:paraId="3BC6B524" w14:textId="32431FC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190 (173 - 208)</w:t>
            </w:r>
          </w:p>
        </w:tc>
        <w:tc>
          <w:tcPr>
            <w:tcW w:w="1260" w:type="dxa"/>
            <w:tcBorders>
              <w:top w:val="single" w:sz="4" w:space="0" w:color="auto"/>
              <w:left w:val="single" w:sz="4" w:space="0" w:color="auto"/>
              <w:bottom w:val="single" w:sz="4" w:space="0" w:color="auto"/>
              <w:right w:val="single" w:sz="4" w:space="0" w:color="auto"/>
            </w:tcBorders>
            <w:noWrap/>
            <w:vAlign w:val="bottom"/>
          </w:tcPr>
          <w:p w14:paraId="512004A3" w14:textId="5427597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0.902 (0.818 - 0.988)</w:t>
            </w:r>
          </w:p>
        </w:tc>
        <w:tc>
          <w:tcPr>
            <w:tcW w:w="1170" w:type="dxa"/>
            <w:tcBorders>
              <w:top w:val="single" w:sz="4" w:space="0" w:color="auto"/>
              <w:left w:val="single" w:sz="4" w:space="0" w:color="auto"/>
              <w:bottom w:val="single" w:sz="4" w:space="0" w:color="auto"/>
              <w:right w:val="single" w:sz="4" w:space="0" w:color="auto"/>
            </w:tcBorders>
            <w:noWrap/>
            <w:vAlign w:val="bottom"/>
          </w:tcPr>
          <w:p w14:paraId="545EC3E5" w14:textId="049FA58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0.015 (0.014 - 0.017)</w:t>
            </w:r>
          </w:p>
        </w:tc>
        <w:tc>
          <w:tcPr>
            <w:tcW w:w="1529" w:type="dxa"/>
            <w:tcBorders>
              <w:top w:val="single" w:sz="4" w:space="0" w:color="auto"/>
              <w:left w:val="single" w:sz="4" w:space="0" w:color="auto"/>
              <w:bottom w:val="single" w:sz="4" w:space="0" w:color="auto"/>
              <w:right w:val="single" w:sz="4" w:space="0" w:color="auto"/>
            </w:tcBorders>
            <w:noWrap/>
            <w:vAlign w:val="bottom"/>
          </w:tcPr>
          <w:p w14:paraId="528E0A7F" w14:textId="7B9D5B6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3,543.2 (3,125.4 - 3,994.9)</w:t>
            </w:r>
          </w:p>
        </w:tc>
        <w:tc>
          <w:tcPr>
            <w:tcW w:w="1529" w:type="dxa"/>
            <w:tcBorders>
              <w:top w:val="single" w:sz="4" w:space="0" w:color="auto"/>
              <w:left w:val="single" w:sz="4" w:space="0" w:color="auto"/>
              <w:bottom w:val="single" w:sz="4" w:space="0" w:color="auto"/>
              <w:right w:val="single" w:sz="4" w:space="0" w:color="auto"/>
            </w:tcBorders>
            <w:noWrap/>
            <w:vAlign w:val="bottom"/>
          </w:tcPr>
          <w:p w14:paraId="2E358FF7" w14:textId="5EC906F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214,052.2 (184,442.3 - 240,901.7)</w:t>
            </w:r>
          </w:p>
        </w:tc>
        <w:tc>
          <w:tcPr>
            <w:tcW w:w="1529" w:type="dxa"/>
            <w:tcBorders>
              <w:top w:val="single" w:sz="4" w:space="0" w:color="auto"/>
              <w:left w:val="single" w:sz="4" w:space="0" w:color="auto"/>
              <w:bottom w:val="single" w:sz="4" w:space="0" w:color="auto"/>
              <w:right w:val="single" w:sz="4" w:space="0" w:color="auto"/>
            </w:tcBorders>
            <w:noWrap/>
            <w:vAlign w:val="bottom"/>
          </w:tcPr>
          <w:p w14:paraId="57E0CACD" w14:textId="611E002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8,996.8 (7,749.3 - 10,141.9)</w:t>
            </w:r>
          </w:p>
        </w:tc>
      </w:tr>
      <w:tr w:rsidR="000618FD" w:rsidRPr="007F0AB9" w14:paraId="7F028665" w14:textId="77777777" w:rsidTr="004456BB">
        <w:trPr>
          <w:gridAfter w:val="1"/>
          <w:wAfter w:w="6" w:type="dxa"/>
          <w:trHeight w:val="701"/>
        </w:trPr>
        <w:tc>
          <w:tcPr>
            <w:tcW w:w="810" w:type="dxa"/>
            <w:tcBorders>
              <w:top w:val="nil"/>
              <w:bottom w:val="nil"/>
              <w:right w:val="single" w:sz="4" w:space="0" w:color="auto"/>
            </w:tcBorders>
            <w:vAlign w:val="center"/>
          </w:tcPr>
          <w:p w14:paraId="1B143FEE" w14:textId="5FAC85F9"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2E53ED6" w14:textId="4130097D"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78D1003" w14:textId="0E74ACD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5FA88C7B" w14:textId="4E3021C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43 (39.5 - 46)</w:t>
            </w:r>
          </w:p>
        </w:tc>
        <w:tc>
          <w:tcPr>
            <w:tcW w:w="1350" w:type="dxa"/>
            <w:tcBorders>
              <w:top w:val="single" w:sz="4" w:space="0" w:color="auto"/>
              <w:left w:val="single" w:sz="4" w:space="0" w:color="auto"/>
              <w:bottom w:val="single" w:sz="4" w:space="0" w:color="auto"/>
              <w:right w:val="single" w:sz="4" w:space="0" w:color="auto"/>
            </w:tcBorders>
            <w:noWrap/>
            <w:vAlign w:val="bottom"/>
          </w:tcPr>
          <w:p w14:paraId="60222485" w14:textId="04E187A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8,080 (7,482 - 8,709)</w:t>
            </w:r>
          </w:p>
        </w:tc>
        <w:tc>
          <w:tcPr>
            <w:tcW w:w="1080" w:type="dxa"/>
            <w:tcBorders>
              <w:top w:val="single" w:sz="4" w:space="0" w:color="auto"/>
              <w:left w:val="single" w:sz="4" w:space="0" w:color="auto"/>
              <w:bottom w:val="single" w:sz="4" w:space="0" w:color="auto"/>
              <w:right w:val="single" w:sz="4" w:space="0" w:color="auto"/>
            </w:tcBorders>
            <w:noWrap/>
            <w:vAlign w:val="bottom"/>
          </w:tcPr>
          <w:p w14:paraId="18DFFA5B" w14:textId="5B1D1B4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141 (132 - 151)</w:t>
            </w:r>
          </w:p>
        </w:tc>
        <w:tc>
          <w:tcPr>
            <w:tcW w:w="1260" w:type="dxa"/>
            <w:tcBorders>
              <w:top w:val="single" w:sz="4" w:space="0" w:color="auto"/>
              <w:left w:val="single" w:sz="4" w:space="0" w:color="auto"/>
              <w:bottom w:val="single" w:sz="4" w:space="0" w:color="auto"/>
              <w:right w:val="single" w:sz="4" w:space="0" w:color="auto"/>
            </w:tcBorders>
            <w:noWrap/>
            <w:vAlign w:val="bottom"/>
          </w:tcPr>
          <w:p w14:paraId="63942815" w14:textId="06AC734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0.637 (0.578 - 0.699)</w:t>
            </w:r>
          </w:p>
        </w:tc>
        <w:tc>
          <w:tcPr>
            <w:tcW w:w="1170" w:type="dxa"/>
            <w:tcBorders>
              <w:top w:val="single" w:sz="4" w:space="0" w:color="auto"/>
              <w:left w:val="single" w:sz="4" w:space="0" w:color="auto"/>
              <w:bottom w:val="single" w:sz="4" w:space="0" w:color="auto"/>
              <w:right w:val="single" w:sz="4" w:space="0" w:color="auto"/>
            </w:tcBorders>
            <w:noWrap/>
            <w:vAlign w:val="bottom"/>
          </w:tcPr>
          <w:p w14:paraId="45D2A238" w14:textId="20CFF1C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0.011 (0.01 - 0.012)</w:t>
            </w:r>
          </w:p>
        </w:tc>
        <w:tc>
          <w:tcPr>
            <w:tcW w:w="1529" w:type="dxa"/>
            <w:tcBorders>
              <w:top w:val="single" w:sz="4" w:space="0" w:color="auto"/>
              <w:left w:val="single" w:sz="4" w:space="0" w:color="auto"/>
              <w:bottom w:val="single" w:sz="4" w:space="0" w:color="auto"/>
              <w:right w:val="single" w:sz="4" w:space="0" w:color="auto"/>
            </w:tcBorders>
            <w:noWrap/>
            <w:vAlign w:val="bottom"/>
          </w:tcPr>
          <w:p w14:paraId="3CA60A19" w14:textId="647BC1A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5,288.7 (4,761.9 - 5,895.3)</w:t>
            </w:r>
          </w:p>
        </w:tc>
        <w:tc>
          <w:tcPr>
            <w:tcW w:w="1529" w:type="dxa"/>
            <w:tcBorders>
              <w:top w:val="single" w:sz="4" w:space="0" w:color="auto"/>
              <w:left w:val="single" w:sz="4" w:space="0" w:color="auto"/>
              <w:bottom w:val="single" w:sz="4" w:space="0" w:color="auto"/>
              <w:right w:val="single" w:sz="4" w:space="0" w:color="auto"/>
            </w:tcBorders>
            <w:noWrap/>
            <w:vAlign w:val="bottom"/>
          </w:tcPr>
          <w:p w14:paraId="48DE2D0F" w14:textId="7AC0F36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301,826.8 (277,974.2 - 326,615)</w:t>
            </w:r>
          </w:p>
        </w:tc>
        <w:tc>
          <w:tcPr>
            <w:tcW w:w="1529" w:type="dxa"/>
            <w:tcBorders>
              <w:top w:val="single" w:sz="4" w:space="0" w:color="auto"/>
              <w:left w:val="single" w:sz="4" w:space="0" w:color="auto"/>
              <w:bottom w:val="single" w:sz="4" w:space="0" w:color="auto"/>
              <w:right w:val="single" w:sz="4" w:space="0" w:color="auto"/>
            </w:tcBorders>
            <w:noWrap/>
            <w:vAlign w:val="bottom"/>
          </w:tcPr>
          <w:p w14:paraId="0E737956" w14:textId="5746275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12,632.6 (11,637 - 13,660.9)</w:t>
            </w:r>
          </w:p>
        </w:tc>
      </w:tr>
      <w:tr w:rsidR="000618FD" w:rsidRPr="007F0AB9" w14:paraId="2DB6F22D" w14:textId="77777777" w:rsidTr="004456BB">
        <w:trPr>
          <w:gridAfter w:val="1"/>
          <w:wAfter w:w="6" w:type="dxa"/>
          <w:trHeight w:val="701"/>
        </w:trPr>
        <w:tc>
          <w:tcPr>
            <w:tcW w:w="810" w:type="dxa"/>
            <w:tcBorders>
              <w:top w:val="nil"/>
              <w:bottom w:val="single" w:sz="4" w:space="0" w:color="auto"/>
              <w:right w:val="single" w:sz="4" w:space="0" w:color="auto"/>
            </w:tcBorders>
            <w:vAlign w:val="center"/>
          </w:tcPr>
          <w:p w14:paraId="1EEACCB3" w14:textId="789C77FF"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30BBBA2F" w14:textId="6AE8DE3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7DF2AAB" w14:textId="2D1756E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CE257AB" w14:textId="69AC08E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30.2 (27.9 - 32.4)</w:t>
            </w:r>
          </w:p>
        </w:tc>
        <w:tc>
          <w:tcPr>
            <w:tcW w:w="1350" w:type="dxa"/>
            <w:tcBorders>
              <w:top w:val="single" w:sz="4" w:space="0" w:color="auto"/>
              <w:left w:val="single" w:sz="4" w:space="0" w:color="auto"/>
              <w:bottom w:val="single" w:sz="4" w:space="0" w:color="auto"/>
              <w:right w:val="single" w:sz="4" w:space="0" w:color="auto"/>
            </w:tcBorders>
            <w:noWrap/>
            <w:vAlign w:val="bottom"/>
          </w:tcPr>
          <w:p w14:paraId="024A169D" w14:textId="4EEA53A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5,710 (5,305 - 6,101)</w:t>
            </w:r>
          </w:p>
        </w:tc>
        <w:tc>
          <w:tcPr>
            <w:tcW w:w="1080" w:type="dxa"/>
            <w:tcBorders>
              <w:top w:val="single" w:sz="4" w:space="0" w:color="auto"/>
              <w:left w:val="single" w:sz="4" w:space="0" w:color="auto"/>
              <w:bottom w:val="single" w:sz="4" w:space="0" w:color="auto"/>
              <w:right w:val="single" w:sz="4" w:space="0" w:color="auto"/>
            </w:tcBorders>
            <w:noWrap/>
            <w:vAlign w:val="bottom"/>
          </w:tcPr>
          <w:p w14:paraId="6F523031" w14:textId="0E976A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96 (87 - 106)</w:t>
            </w:r>
          </w:p>
        </w:tc>
        <w:tc>
          <w:tcPr>
            <w:tcW w:w="1260" w:type="dxa"/>
            <w:tcBorders>
              <w:top w:val="single" w:sz="4" w:space="0" w:color="auto"/>
              <w:left w:val="single" w:sz="4" w:space="0" w:color="auto"/>
              <w:bottom w:val="single" w:sz="4" w:space="0" w:color="auto"/>
              <w:right w:val="single" w:sz="4" w:space="0" w:color="auto"/>
            </w:tcBorders>
            <w:noWrap/>
            <w:vAlign w:val="bottom"/>
          </w:tcPr>
          <w:p w14:paraId="3F0FB99F" w14:textId="61ED263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0.449 (0.41 - 0.491)</w:t>
            </w:r>
          </w:p>
        </w:tc>
        <w:tc>
          <w:tcPr>
            <w:tcW w:w="1170" w:type="dxa"/>
            <w:tcBorders>
              <w:top w:val="single" w:sz="4" w:space="0" w:color="auto"/>
              <w:left w:val="single" w:sz="4" w:space="0" w:color="auto"/>
              <w:bottom w:val="single" w:sz="4" w:space="0" w:color="auto"/>
              <w:right w:val="single" w:sz="4" w:space="0" w:color="auto"/>
            </w:tcBorders>
            <w:noWrap/>
            <w:vAlign w:val="bottom"/>
          </w:tcPr>
          <w:p w14:paraId="5950CFDE" w14:textId="61DEEC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0.008 (0.007 - 0.008)</w:t>
            </w:r>
          </w:p>
        </w:tc>
        <w:tc>
          <w:tcPr>
            <w:tcW w:w="1529" w:type="dxa"/>
            <w:tcBorders>
              <w:top w:val="single" w:sz="4" w:space="0" w:color="auto"/>
              <w:left w:val="single" w:sz="4" w:space="0" w:color="auto"/>
              <w:bottom w:val="single" w:sz="4" w:space="0" w:color="auto"/>
              <w:right w:val="single" w:sz="4" w:space="0" w:color="auto"/>
            </w:tcBorders>
            <w:noWrap/>
            <w:vAlign w:val="bottom"/>
          </w:tcPr>
          <w:p w14:paraId="0C435FF4" w14:textId="4022295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7,782.1 (7,071.7 - 8,590)</w:t>
            </w:r>
          </w:p>
        </w:tc>
        <w:tc>
          <w:tcPr>
            <w:tcW w:w="1529" w:type="dxa"/>
            <w:tcBorders>
              <w:top w:val="single" w:sz="4" w:space="0" w:color="auto"/>
              <w:left w:val="single" w:sz="4" w:space="0" w:color="auto"/>
              <w:bottom w:val="single" w:sz="4" w:space="0" w:color="auto"/>
              <w:right w:val="single" w:sz="4" w:space="0" w:color="auto"/>
            </w:tcBorders>
            <w:noWrap/>
            <w:vAlign w:val="bottom"/>
          </w:tcPr>
          <w:p w14:paraId="0FC4C120" w14:textId="799974A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461,172.4 (419,168.5 - 512,010.2)</w:t>
            </w:r>
          </w:p>
        </w:tc>
        <w:tc>
          <w:tcPr>
            <w:tcW w:w="1529" w:type="dxa"/>
            <w:tcBorders>
              <w:top w:val="single" w:sz="4" w:space="0" w:color="auto"/>
              <w:left w:val="single" w:sz="4" w:space="0" w:color="auto"/>
              <w:bottom w:val="single" w:sz="4" w:space="0" w:color="auto"/>
              <w:right w:val="single" w:sz="4" w:space="0" w:color="auto"/>
            </w:tcBorders>
            <w:noWrap/>
            <w:vAlign w:val="bottom"/>
          </w:tcPr>
          <w:p w14:paraId="0A31A5EC" w14:textId="0F1C25E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19,286.4 (17,560.6 - 21,381.5)</w:t>
            </w:r>
          </w:p>
        </w:tc>
      </w:tr>
    </w:tbl>
    <w:p w14:paraId="3574BFCA" w14:textId="77777777" w:rsidR="0072422B" w:rsidRDefault="0072422B" w:rsidP="0072422B"/>
    <w:p w14:paraId="6CAED421" w14:textId="77777777" w:rsidR="00030153" w:rsidRDefault="00030153" w:rsidP="00DC1E36"/>
    <w:p w14:paraId="5965D8A3" w14:textId="3580DE64" w:rsidR="00F90355" w:rsidRDefault="00F90355" w:rsidP="00561B34">
      <w:pPr>
        <w:jc w:val="center"/>
        <w:rPr>
          <w:rFonts w:ascii="Arial" w:hAnsi="Arial" w:cs="Arial"/>
        </w:rPr>
      </w:pPr>
    </w:p>
    <w:p w14:paraId="26403EAE" w14:textId="77777777" w:rsidR="00847A82" w:rsidRPr="00A436ED" w:rsidRDefault="00847A82" w:rsidP="00561B34">
      <w:pPr>
        <w:jc w:val="center"/>
        <w:rPr>
          <w:rFonts w:ascii="Arial" w:hAnsi="Arial" w:cs="Arial"/>
        </w:rPr>
      </w:pPr>
    </w:p>
    <w:p w14:paraId="2BB15231" w14:textId="77777777" w:rsidR="00C2746E" w:rsidRDefault="00C2746E" w:rsidP="00FC56E0">
      <w:pPr>
        <w:sectPr w:rsidR="00C2746E" w:rsidSect="00087F0D">
          <w:pgSz w:w="15840" w:h="12240" w:orient="landscape"/>
          <w:pgMar w:top="1440" w:right="1440" w:bottom="1440" w:left="1440" w:header="720" w:footer="720" w:gutter="0"/>
          <w:cols w:space="720"/>
          <w:docGrid w:linePitch="360"/>
        </w:sectPr>
      </w:pPr>
      <w:bookmarkStart w:id="35" w:name="_Toc184920095"/>
    </w:p>
    <w:p w14:paraId="7624FFBC" w14:textId="38A63D50" w:rsidR="00847A82" w:rsidRPr="00A436ED" w:rsidRDefault="00847A82" w:rsidP="00847A82">
      <w:pPr>
        <w:pStyle w:val="Heading3"/>
        <w:rPr>
          <w:rFonts w:asciiTheme="minorHAnsi" w:hAnsiTheme="minorHAnsi" w:cs="Arial"/>
          <w:color w:val="auto"/>
        </w:rPr>
      </w:pPr>
      <w:bookmarkStart w:id="36" w:name="_Toc184920093"/>
      <w:bookmarkStart w:id="37" w:name="_Toc191389135"/>
      <w:bookmarkStart w:id="38" w:name="_Toc184920096"/>
      <w:bookmarkStart w:id="39" w:name="_Toc208578237"/>
      <w:bookmarkEnd w:id="35"/>
      <w:r w:rsidRPr="00A436ED">
        <w:rPr>
          <w:rFonts w:asciiTheme="minorHAnsi" w:hAnsiTheme="minorHAnsi" w:cs="Arial"/>
          <w:color w:val="auto"/>
        </w:rPr>
        <w:lastRenderedPageBreak/>
        <w:t>S</w:t>
      </w:r>
      <w:r w:rsidR="00850C40">
        <w:rPr>
          <w:rFonts w:asciiTheme="minorHAnsi" w:hAnsiTheme="minorHAnsi" w:cs="Arial" w:hint="eastAsia"/>
          <w:color w:val="auto"/>
        </w:rPr>
        <w:t>9</w:t>
      </w:r>
      <w:r w:rsidRPr="00A436ED">
        <w:rPr>
          <w:rFonts w:asciiTheme="minorHAnsi" w:hAnsiTheme="minorHAnsi" w:cs="Arial"/>
          <w:color w:val="auto"/>
        </w:rPr>
        <w:t>. Vaccine effectiveness comparison using dynamic models</w:t>
      </w:r>
      <w:bookmarkEnd w:id="36"/>
      <w:bookmarkEnd w:id="37"/>
      <w:bookmarkEnd w:id="39"/>
    </w:p>
    <w:p w14:paraId="0473C1B7" w14:textId="0CCD9434" w:rsidR="00847A82" w:rsidRPr="00A436ED" w:rsidRDefault="00847A82" w:rsidP="00847A82">
      <w:r w:rsidRPr="00A436ED">
        <w:t xml:space="preserve">To </w:t>
      </w:r>
      <w:r w:rsidRPr="00A436ED">
        <w:rPr>
          <w:rFonts w:hint="eastAsia"/>
        </w:rPr>
        <w:t>assess</w:t>
      </w:r>
      <w:r w:rsidRPr="00A436ED">
        <w:t xml:space="preserve"> the robustness of the vaccine impact projections from our static modeling approach, we compared the</w:t>
      </w:r>
      <w:r w:rsidRPr="00A436ED">
        <w:rPr>
          <w:rFonts w:hint="eastAsia"/>
        </w:rPr>
        <w:t>se</w:t>
      </w:r>
      <w:r w:rsidRPr="00A436ED">
        <w:t xml:space="preserve"> predictions with those from a dynamic modeling approach. The dynamic model </w:t>
      </w:r>
      <w:r w:rsidRPr="00A436ED">
        <w:rPr>
          <w:rFonts w:hint="eastAsia"/>
        </w:rPr>
        <w:t>accounts for</w:t>
      </w:r>
      <w:r w:rsidRPr="00A436ED">
        <w:t xml:space="preserve"> cholera transmissibility and population immunity, enabling it to capture </w:t>
      </w:r>
      <w:r w:rsidRPr="00A436ED">
        <w:rPr>
          <w:rFonts w:hint="eastAsia"/>
        </w:rPr>
        <w:t xml:space="preserve">outbreak-specific variations and </w:t>
      </w:r>
      <w:r w:rsidRPr="00A436ED">
        <w:t xml:space="preserve">feedback loops inherent to epidemic processes—such as the amplification of the force of infection with increasing cases or the mitigating effect of population immunity. While our primary analysis </w:t>
      </w:r>
      <w:r w:rsidRPr="00A436ED">
        <w:rPr>
          <w:rFonts w:hint="eastAsia"/>
        </w:rPr>
        <w:t xml:space="preserve">of </w:t>
      </w:r>
      <w:r w:rsidRPr="00A436ED">
        <w:t xml:space="preserve">the static model focused on reactive vaccination scenarios (i.e., outbreak response immunization, ORIs), the comparison between the static and dynamic models was conducted solely for pre-emptive vaccination scenarios. This decision was </w:t>
      </w:r>
      <w:r w:rsidRPr="00A436ED">
        <w:rPr>
          <w:rFonts w:hint="eastAsia"/>
        </w:rPr>
        <w:t>made after accounting for the limitation in</w:t>
      </w:r>
      <w:r w:rsidRPr="00A436ED">
        <w:t xml:space="preserve"> coarse weekly time resolution of the static model and the dynamic model’s limited ability to account for delays in vaccination rollout and subsequent immunological responses, which complicates a direct comparison for ORIs. Pre-emptive vaccination scenarios, on the other hand, provide a more straightforward alignment between the two approaches, allowing us to identify similarities and differences. These differences likely stem from the indirect vaccine </w:t>
      </w:r>
      <w:proofErr w:type="spellStart"/>
      <w:r w:rsidRPr="00A436ED">
        <w:t>effect</w:t>
      </w:r>
      <w:r>
        <w:rPr>
          <w:rFonts w:hint="eastAsia"/>
        </w:rPr>
        <w:t>ivnes</w:t>
      </w:r>
      <w:r w:rsidRPr="00A436ED">
        <w:t>s</w:t>
      </w:r>
      <w:proofErr w:type="spellEnd"/>
      <w:r w:rsidRPr="00A436ED">
        <w:t xml:space="preserve">, which </w:t>
      </w:r>
      <w:r>
        <w:rPr>
          <w:rFonts w:hint="eastAsia"/>
        </w:rPr>
        <w:t xml:space="preserve">is natural </w:t>
      </w:r>
      <w:r w:rsidRPr="00A436ED">
        <w:t xml:space="preserve">in the dynamic model but </w:t>
      </w:r>
      <w:r w:rsidRPr="00A436ED">
        <w:rPr>
          <w:rFonts w:hint="eastAsia"/>
        </w:rPr>
        <w:t xml:space="preserve">must be externally specified </w:t>
      </w:r>
      <w:r w:rsidRPr="00A436ED">
        <w:t>in the static model.</w:t>
      </w:r>
    </w:p>
    <w:p w14:paraId="67DB4B0A" w14:textId="3F40BB8A" w:rsidR="00847A82" w:rsidRPr="00A436ED" w:rsidRDefault="00847A82" w:rsidP="00847A82">
      <w:r w:rsidRPr="00A436ED">
        <w:t xml:space="preserve">We employed the standard </w:t>
      </w:r>
      <w:r w:rsidRPr="00A436ED">
        <w:rPr>
          <w:i/>
          <w:iCs/>
        </w:rPr>
        <w:t>Susceptible</w:t>
      </w:r>
      <w:r w:rsidRPr="00A436ED">
        <w:t>-</w:t>
      </w:r>
      <w:r w:rsidRPr="00A436ED">
        <w:rPr>
          <w:i/>
          <w:iCs/>
        </w:rPr>
        <w:t>Exposed</w:t>
      </w:r>
      <w:r w:rsidRPr="00A436ED">
        <w:t>-</w:t>
      </w:r>
      <w:r w:rsidRPr="00A436ED">
        <w:rPr>
          <w:i/>
          <w:iCs/>
        </w:rPr>
        <w:t>Infected</w:t>
      </w:r>
      <w:r w:rsidRPr="00A436ED">
        <w:t>-</w:t>
      </w:r>
      <w:r w:rsidRPr="00A436ED">
        <w:rPr>
          <w:i/>
          <w:iCs/>
        </w:rPr>
        <w:t>Recovered</w:t>
      </w:r>
      <w:r w:rsidRPr="00A436ED">
        <w:t xml:space="preserve"> (</w:t>
      </w:r>
      <w:r w:rsidRPr="00A436ED">
        <w:rPr>
          <w:i/>
          <w:iCs/>
        </w:rPr>
        <w:t>SEIR</w:t>
      </w:r>
      <w:r w:rsidRPr="00A436ED">
        <w:t xml:space="preserve">) framework in which </w:t>
      </w:r>
      <w:r w:rsidRPr="00A436ED">
        <w:rPr>
          <w:i/>
          <w:iCs/>
        </w:rPr>
        <w:t>E</w:t>
      </w:r>
      <w:r w:rsidRPr="00A436ED">
        <w:t xml:space="preserve"> and </w:t>
      </w:r>
      <w:r w:rsidRPr="00A436ED">
        <w:rPr>
          <w:i/>
          <w:iCs/>
        </w:rPr>
        <w:t>I</w:t>
      </w:r>
      <w:r w:rsidRPr="00A436ED">
        <w:t xml:space="preserve"> </w:t>
      </w:r>
      <w:proofErr w:type="gramStart"/>
      <w:r w:rsidRPr="00A436ED">
        <w:t>states</w:t>
      </w:r>
      <w:proofErr w:type="gramEnd"/>
      <w:r w:rsidRPr="00A436ED">
        <w:t xml:space="preserve"> were modeled with two compartments such that the residence time in each compartment follows an Erlang distribution with the shape of 2, rather than the unrealistic exponential distribution (</w:t>
      </w:r>
      <w:r w:rsidRPr="00A436ED">
        <w:rPr>
          <w:b/>
          <w:bCs/>
        </w:rPr>
        <w:t>Figure S</w:t>
      </w:r>
      <w:r>
        <w:rPr>
          <w:rFonts w:hint="eastAsia"/>
          <w:b/>
          <w:bCs/>
        </w:rPr>
        <w:t>3</w:t>
      </w:r>
      <w:r w:rsidRPr="00A436ED">
        <w:t>).</w:t>
      </w:r>
    </w:p>
    <w:p w14:paraId="62DABC5C" w14:textId="77777777" w:rsidR="00847A82" w:rsidRPr="00A436ED" w:rsidRDefault="00847A82" w:rsidP="00847A82">
      <w:r w:rsidRPr="00A436ED">
        <w:t>The following is a set of equations to represent the model. The first subscript,</w:t>
      </w:r>
      <w:r w:rsidRPr="00A436ED">
        <w:rPr>
          <w:rFonts w:eastAsia="Cambria Math"/>
          <w:i/>
        </w:rPr>
        <w:t xml:space="preserve"> </w:t>
      </w:r>
      <m:oMath>
        <m:r>
          <w:rPr>
            <w:rFonts w:ascii="Cambria Math" w:eastAsia="Cambria Math" w:hAnsi="Cambria Math"/>
          </w:rPr>
          <m:t>i</m:t>
        </m:r>
      </m:oMath>
      <w:r w:rsidRPr="00A436ED">
        <w:rPr>
          <w:i/>
        </w:rPr>
        <w:t>,</w:t>
      </w:r>
      <w:r w:rsidRPr="00A436ED">
        <w:t xml:space="preserve"> and the second subscripts,</w:t>
      </w:r>
      <w:r w:rsidRPr="00A436ED">
        <w:rPr>
          <w:rFonts w:eastAsia="Cambria Math"/>
          <w:i/>
        </w:rPr>
        <w:t xml:space="preserve"> </w:t>
      </w:r>
      <m:oMath>
        <m:r>
          <w:rPr>
            <w:rFonts w:ascii="Cambria Math" w:eastAsia="Cambria Math" w:hAnsi="Cambria Math"/>
          </w:rPr>
          <m:t>j</m:t>
        </m:r>
      </m:oMath>
      <w:r w:rsidRPr="00A436ED">
        <w:t xml:space="preserve">, (both 1 or 2) represent the age groups (&lt; 5 yo and 5+ yo) and the </w:t>
      </w:r>
      <m:oMath>
        <m:r>
          <w:rPr>
            <w:rFonts w:ascii="Cambria Math" w:eastAsia="Cambria Math" w:hAnsi="Cambria Math"/>
          </w:rPr>
          <m:t>j</m:t>
        </m:r>
      </m:oMath>
      <w:r w:rsidRPr="00A436ED">
        <w:t xml:space="preserve">th compartments for each state, respectively, except for the </w:t>
      </w:r>
      <m:oMath>
        <m:r>
          <w:rPr>
            <w:rFonts w:ascii="Cambria Math" w:eastAsia="Cambria Math" w:hAnsi="Cambria Math"/>
          </w:rPr>
          <m:t>S</m:t>
        </m:r>
      </m:oMath>
      <w:r w:rsidRPr="00A436ED">
        <w:t xml:space="preserve"> state. </w:t>
      </w:r>
      <m:oMath>
        <m:r>
          <w:rPr>
            <w:rFonts w:ascii="Cambria Math" w:eastAsia="Cambria Math" w:hAnsi="Cambria Math"/>
          </w:rPr>
          <m:t>S</m:t>
        </m:r>
      </m:oMath>
      <w:r w:rsidRPr="00A436ED">
        <w:t xml:space="preserve"> state and the vaccine efficacy, </w:t>
      </w:r>
      <m:oMath>
        <m:r>
          <w:rPr>
            <w:rFonts w:ascii="Cambria Math" w:hAnsi="Cambria Math"/>
          </w:rPr>
          <m:t>χ</m:t>
        </m:r>
      </m:oMath>
      <w:r w:rsidRPr="00A436ED">
        <w:t>, have only one subscript representing the age group.</w:t>
      </w:r>
    </w:p>
    <w:p w14:paraId="7C790DAE" w14:textId="77777777" w:rsidR="00847A82" w:rsidRPr="00A436ED" w:rsidRDefault="00847A82" w:rsidP="00847A82">
      <w:pPr>
        <w:jc w:val="center"/>
        <w:rPr>
          <w:rFonts w:ascii="Arial" w:hAnsi="Arial" w:cs="Arial"/>
        </w:rPr>
      </w:pPr>
      <m:oMathPara>
        <m:oMath>
          <m:r>
            <w:rPr>
              <w:rFonts w:ascii="Cambria Math" w:eastAsia="Cambria Math" w:hAnsi="Cambria Math" w:cs="Arial"/>
            </w:rPr>
            <m:t xml:space="preserve">λ= </m:t>
          </m:r>
          <m:f>
            <m:fPr>
              <m:type m:val="lin"/>
              <m:ctrlPr>
                <w:rPr>
                  <w:rFonts w:ascii="Cambria Math" w:eastAsia="Cambria Math" w:hAnsi="Cambria Math" w:cs="Arial"/>
                  <w:i/>
                </w:rPr>
              </m:ctrlPr>
            </m:fPr>
            <m:num>
              <m:d>
                <m:dPr>
                  <m:begChr m:val="{"/>
                  <m:endChr m:val="}"/>
                  <m:ctrlPr>
                    <w:rPr>
                      <w:rFonts w:ascii="Cambria Math" w:eastAsia="Cambria Math" w:hAnsi="Cambria Math" w:cs="Arial"/>
                    </w:rPr>
                  </m:ctrlPr>
                </m:dPr>
                <m:e>
                  <m:r>
                    <w:rPr>
                      <w:rFonts w:ascii="Cambria Math" w:eastAsia="Cambria Math" w:hAnsi="Cambria Math" w:cs="Arial"/>
                    </w:rPr>
                    <m:t>β</m:t>
                  </m:r>
                  <m:d>
                    <m:dPr>
                      <m:ctrlPr>
                        <w:rPr>
                          <w:rFonts w:ascii="Cambria Math" w:eastAsia="Cambria Math" w:hAnsi="Cambria Math" w:cs="Arial"/>
                        </w:rPr>
                      </m:ctrlPr>
                    </m:dPr>
                    <m:e>
                      <m:nary>
                        <m:naryPr>
                          <m:chr m:val="∑"/>
                          <m:limLoc m:val="undOvr"/>
                          <m:ctrlPr>
                            <w:rPr>
                              <w:rFonts w:ascii="Cambria Math" w:eastAsia="Cambria Math" w:hAnsi="Cambria Math" w:cs="Arial"/>
                              <w:i/>
                            </w:rPr>
                          </m:ctrlPr>
                        </m:naryPr>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2</m:t>
                          </m:r>
                        </m:sup>
                        <m:e>
                          <m:nary>
                            <m:naryPr>
                              <m:chr m:val="∑"/>
                              <m:limLoc m:val="undOvr"/>
                              <m:ctrlPr>
                                <w:rPr>
                                  <w:rFonts w:ascii="Cambria Math" w:eastAsia="Cambria Math" w:hAnsi="Cambria Math" w:cs="Arial"/>
                                  <w:i/>
                                </w:rPr>
                              </m:ctrlPr>
                            </m:naryPr>
                            <m:sub>
                              <m:r>
                                <w:rPr>
                                  <w:rFonts w:ascii="Cambria Math" w:hAnsi="Cambria Math" w:cs="Arial"/>
                                </w:rPr>
                                <m:t>j=1</m:t>
                              </m:r>
                            </m:sub>
                            <m:sup>
                              <m:r>
                                <w:rPr>
                                  <w:rFonts w:ascii="Cambria Math" w:eastAsia="Cambria Math" w:hAnsi="Cambria Math" w:cs="Arial"/>
                                </w:rPr>
                                <m:t>2</m:t>
                              </m:r>
                            </m:sup>
                            <m:e>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i,j</m:t>
                                  </m:r>
                                </m:sub>
                              </m:sSub>
                            </m:e>
                          </m:nary>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i,j</m:t>
                              </m:r>
                            </m:sub>
                            <m:sup>
                              <m:r>
                                <w:rPr>
                                  <w:rFonts w:ascii="Cambria Math" w:eastAsia="Cambria Math" w:hAnsi="Cambria Math" w:cs="Arial"/>
                                </w:rPr>
                                <m:t>V</m:t>
                              </m:r>
                            </m:sup>
                          </m:sSubSup>
                          <m:r>
                            <w:rPr>
                              <w:rFonts w:ascii="Cambria Math" w:eastAsia="Cambria Math" w:hAnsi="Cambria Math" w:cs="Arial"/>
                            </w:rPr>
                            <m:t>+ζ</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i,j</m:t>
                                  </m:r>
                                </m:sub>
                              </m:sSub>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i,j</m:t>
                                  </m:r>
                                </m:sub>
                                <m:sup>
                                  <m:r>
                                    <w:rPr>
                                      <w:rFonts w:ascii="Cambria Math" w:eastAsia="Cambria Math" w:hAnsi="Cambria Math" w:cs="Arial"/>
                                    </w:rPr>
                                    <m:t>V</m:t>
                                  </m:r>
                                </m:sup>
                              </m:sSubSup>
                            </m:e>
                          </m:d>
                        </m:e>
                      </m:nary>
                    </m:e>
                  </m:d>
                </m:e>
              </m:d>
            </m:num>
            <m:den>
              <m:r>
                <w:rPr>
                  <w:rFonts w:ascii="Cambria Math" w:eastAsia="Cambria Math" w:hAnsi="Cambria Math" w:cs="Arial"/>
                </w:rPr>
                <m:t>N</m:t>
              </m:r>
            </m:den>
          </m:f>
        </m:oMath>
      </m:oMathPara>
    </w:p>
    <w:p w14:paraId="4B0EBA81" w14:textId="77777777" w:rsidR="00847A82" w:rsidRPr="00A436ED" w:rsidRDefault="00000000" w:rsidP="00847A82">
      <w:pPr>
        <w:jc w:val="center"/>
        <w:rPr>
          <w:rFonts w:ascii="Arial" w:hAnsi="Arial" w:cs="Arial"/>
          <w:i/>
          <w:iCs/>
        </w:rPr>
      </w:pPr>
      <m:oMathPara>
        <m:oMath>
          <m:f>
            <m:fPr>
              <m:ctrlPr>
                <w:rPr>
                  <w:rFonts w:ascii="Cambria Math" w:eastAsia="Cambria Math" w:hAnsi="Cambria Math" w:cs="Arial"/>
                </w:rPr>
              </m:ctrlPr>
            </m:fPr>
            <m:num>
              <m:r>
                <w:rPr>
                  <w:rFonts w:ascii="Cambria Math" w:eastAsia="Aptos" w:hAnsi="Cambria Math" w:cs="Arial"/>
                </w:rPr>
                <m:t>d</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num>
            <m:den>
              <m:r>
                <w:rPr>
                  <w:rFonts w:ascii="Cambria Math" w:eastAsia="Aptos" w:hAnsi="Cambria Math" w:cs="Arial"/>
                </w:rPr>
                <m:t>d</m:t>
              </m:r>
              <m:r>
                <w:rPr>
                  <w:rFonts w:ascii="Cambria Math" w:eastAsia="Cambria Math" w:hAnsi="Cambria Math" w:cs="Arial"/>
                </w:rPr>
                <m:t>t</m:t>
              </m:r>
            </m:den>
          </m:f>
          <m:r>
            <w:rPr>
              <w:rFonts w:ascii="Cambria Math" w:eastAsia="Cambria Math" w:hAnsi="Cambria Math" w:cs="Arial"/>
            </w:rPr>
            <m:t>=-</m:t>
          </m:r>
          <m:d>
            <m:dPr>
              <m:ctrlPr>
                <w:rPr>
                  <w:rFonts w:ascii="Cambria Math" w:eastAsia="Cambria Math" w:hAnsi="Cambria Math" w:cs="Arial"/>
                </w:rPr>
              </m:ctrlPr>
            </m:dPr>
            <m:e>
              <m:sSub>
                <m:sSubPr>
                  <m:ctrlPr>
                    <w:rPr>
                      <w:rFonts w:ascii="Cambria Math" w:eastAsia="Cambria Math" w:hAnsi="Cambria Math" w:cs="Arial"/>
                    </w:rPr>
                  </m:ctrlPr>
                </m:sSubPr>
                <m:e>
                  <m:r>
                    <w:rPr>
                      <w:rFonts w:ascii="Cambria Math" w:eastAsia="Cambria Math" w:hAnsi="Cambria Math" w:cs="Arial"/>
                    </w:rPr>
                    <m:t>λ</m:t>
                  </m:r>
                </m:e>
                <m:sub>
                  <m:r>
                    <w:rPr>
                      <w:rFonts w:ascii="Cambria Math" w:eastAsia="Cambria Math" w:hAnsi="Cambria Math" w:cs="Arial"/>
                    </w:rPr>
                    <m:t>p</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λ</m:t>
                  </m:r>
                </m:e>
                <m:sub>
                  <m:r>
                    <w:rPr>
                      <w:rFonts w:ascii="Cambria Math" w:eastAsia="Cambria Math" w:hAnsi="Cambria Math" w:cs="Arial"/>
                    </w:rPr>
                    <m:t>w</m:t>
                  </m:r>
                </m:sub>
              </m:sSub>
            </m:e>
          </m:d>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oMath>
      </m:oMathPara>
    </w:p>
    <w:p w14:paraId="0F15CF18" w14:textId="77777777" w:rsidR="00847A82" w:rsidRPr="00A436ED" w:rsidRDefault="00000000" w:rsidP="00847A82">
      <w:pPr>
        <w:jc w:val="center"/>
        <w:rPr>
          <w:rFonts w:ascii="Arial" w:eastAsia="Cambria Math" w:hAnsi="Arial" w:cs="Arial"/>
        </w:rPr>
      </w:pPr>
      <m:oMathPara>
        <m:oMath>
          <m:f>
            <m:fPr>
              <m:ctrlPr>
                <w:rPr>
                  <w:rFonts w:ascii="Cambria Math" w:eastAsia="Cambria Math" w:hAnsi="Cambria Math" w:cs="Arial"/>
                </w:rPr>
              </m:ctrlPr>
            </m:fPr>
            <m:num>
              <m:r>
                <w:rPr>
                  <w:rFonts w:ascii="Cambria Math" w:eastAsia="Aptos" w:hAnsi="Cambria Math" w:cs="Arial"/>
                </w:rPr>
                <m:t>d</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num>
            <m:den>
              <m:r>
                <w:rPr>
                  <w:rFonts w:ascii="Cambria Math" w:eastAsia="Aptos" w:hAnsi="Cambria Math" w:cs="Arial"/>
                </w:rPr>
                <m:t>d</m:t>
              </m:r>
              <m:r>
                <w:rPr>
                  <w:rFonts w:ascii="Cambria Math" w:eastAsia="Cambria Math" w:hAnsi="Cambria Math" w:cs="Arial"/>
                </w:rPr>
                <m:t>t</m:t>
              </m:r>
            </m:den>
          </m:f>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1</m:t>
              </m:r>
            </m:sub>
          </m:sSub>
          <m:r>
            <w:rPr>
              <w:rFonts w:ascii="Cambria Math" w:eastAsia="Cambria Math" w:hAnsi="Cambria Math" w:cs="Arial"/>
            </w:rPr>
            <m:t>- 2ϵ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52B6723B" w14:textId="77777777" w:rsidR="00847A82" w:rsidRPr="00A436ED" w:rsidRDefault="00000000" w:rsidP="00847A82">
      <w:pPr>
        <w:jc w:val="center"/>
        <w:rPr>
          <w:rFonts w:ascii="Arial" w:eastAsia="Cambria Math" w:hAnsi="Arial" w:cs="Arial"/>
        </w:rPr>
      </w:pPr>
      <m:oMathPara>
        <m:oMath>
          <m:f>
            <m:fPr>
              <m:ctrlPr>
                <w:rPr>
                  <w:rFonts w:ascii="Cambria Math" w:eastAsia="Cambria Math" w:hAnsi="Cambria Math" w:cs="Arial"/>
                </w:rPr>
              </m:ctrlPr>
            </m:fPr>
            <m:num>
              <m:r>
                <m:rPr>
                  <m:nor/>
                </m:rPr>
                <w:rPr>
                  <w:rFonts w:ascii="Arial" w:hAnsi="Arial" w:cs="Arial"/>
                </w:rPr>
                <m:t>d</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m:rPr>
                  <m:nor/>
                </m:rPr>
                <w:rPr>
                  <w:rFonts w:ascii="Arial" w:hAnsi="Arial" w:cs="Arial"/>
                </w:rPr>
                <m:t>d</m:t>
              </m:r>
              <m:r>
                <w:rPr>
                  <w:rFonts w:ascii="Cambria Math" w:eastAsia="Cambria Math" w:hAnsi="Cambria Math" w:cs="Arial"/>
                </w:rPr>
                <m:t>t</m:t>
              </m:r>
            </m:den>
          </m:f>
          <m:r>
            <w:rPr>
              <w:rFonts w:ascii="Cambria Math" w:eastAsia="Cambria Math" w:hAnsi="Cambria Math" w:cs="Arial"/>
            </w:rPr>
            <m:t>=2ϵ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- 2ϵ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3C492936"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1</m:t>
                  </m:r>
                  <m:r>
                    <w:rPr>
                      <w:rFonts w:ascii="Cambria Math" w:hAnsi="Cambria Math" w:cs="Arial"/>
                    </w:rPr>
                    <m:t>,</m:t>
                  </m:r>
                  <m:r>
                    <w:rPr>
                      <w:rFonts w:ascii="Cambria Math" w:eastAsia="Cambria Math" w:hAnsi="Cambria Math" w:cs="Arial"/>
                    </w:rPr>
                    <m:t>1</m:t>
                  </m:r>
                </m:sub>
              </m:sSub>
            </m:num>
            <m:den>
              <m:r>
                <w:rPr>
                  <w:rFonts w:ascii="Cambria Math" w:eastAsia="Cambria Math" w:hAnsi="Cambria Math" w:cs="Arial"/>
                </w:rPr>
                <m:t>dt</m:t>
              </m:r>
            </m:den>
          </m:f>
          <m:r>
            <w:rPr>
              <w:rFonts w:ascii="Cambria Math" w:eastAsia="Cambria Math" w:hAnsi="Cambria Math" w:cs="Arial"/>
            </w:rPr>
            <m:t>=2</m:t>
          </m:r>
          <m:d>
            <m:dPr>
              <m:ctrlPr>
                <w:rPr>
                  <w:rFonts w:ascii="Cambria Math" w:eastAsia="Cambria Math" w:hAnsi="Cambria Math" w:cs="Arial"/>
                </w:rPr>
              </m:ctrlPr>
            </m:dPr>
            <m:e>
              <m:r>
                <w:rPr>
                  <w:rFonts w:ascii="Cambria Math" w:eastAsia="Cambria Math" w:hAnsi="Cambria Math" w:cs="Arial"/>
                </w:rPr>
                <m:t>1-θ</m:t>
              </m:r>
            </m:e>
          </m:d>
          <m:r>
            <w:rPr>
              <w:rFonts w:ascii="Cambria Math" w:eastAsia="Cambria Math" w:hAnsi="Cambria Math" w:cs="Arial"/>
            </w:rPr>
            <m:t>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- 2γ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5DBEC60C"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w:rPr>
                  <w:rFonts w:ascii="Cambria Math" w:eastAsia="Cambria Math" w:hAnsi="Cambria Math" w:cs="Arial"/>
                </w:rPr>
                <m:t>dt</m:t>
              </m:r>
            </m:den>
          </m:f>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7AC0947F"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num>
            <m:den>
              <m:r>
                <w:rPr>
                  <w:rFonts w:ascii="Cambria Math" w:eastAsia="Cambria Math" w:hAnsi="Cambria Math" w:cs="Arial"/>
                </w:rPr>
                <m:t>dt</m:t>
              </m:r>
            </m:den>
          </m:f>
          <m:r>
            <w:rPr>
              <w:rFonts w:ascii="Cambria Math" w:eastAsia="Cambria Math" w:hAnsi="Cambria Math" w:cs="Arial"/>
            </w:rPr>
            <m:t>=2θϵ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490DB9AF"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w:rPr>
                  <w:rFonts w:ascii="Cambria Math" w:eastAsia="Cambria Math" w:hAnsi="Cambria Math" w:cs="Arial"/>
                </w:rPr>
                <m:t>dt</m:t>
              </m:r>
            </m:den>
          </m:f>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2E9937A1"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sub>
              </m:sSub>
            </m:num>
            <m:den>
              <m:r>
                <w:rPr>
                  <w:rFonts w:ascii="Cambria Math" w:eastAsia="Cambria Math" w:hAnsi="Cambria Math" w:cs="Arial"/>
                </w:rPr>
                <m:t>dt</m:t>
              </m:r>
            </m:den>
          </m:f>
          <m:r>
            <w:rPr>
              <w:rFonts w:ascii="Cambria Math" w:eastAsia="Cambria Math" w:hAnsi="Cambria Math" w:cs="Arial"/>
            </w:rPr>
            <m:t>= 2γ</m:t>
          </m:r>
          <m:d>
            <m:dPr>
              <m:ctrlPr>
                <w:rPr>
                  <w:rFonts w:ascii="Cambria Math" w:eastAsia="Cambria Math" w:hAnsi="Cambria Math" w:cs="Arial"/>
                </w:rPr>
              </m:ctrlPr>
            </m:dPr>
            <m:e>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e>
          </m:d>
        </m:oMath>
      </m:oMathPara>
    </w:p>
    <w:p w14:paraId="46F7F926"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w:bookmarkStart w:id="40" w:name="_Hlk183949401"/>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w:bookmarkEnd w:id="40"/>
            </m:num>
            <m:den>
              <m:r>
                <w:rPr>
                  <w:rFonts w:ascii="Cambria Math" w:eastAsia="Cambria Math" w:hAnsi="Cambria Math" w:cs="Arial"/>
                </w:rPr>
                <m:t>dt</m:t>
              </m:r>
            </m:den>
          </m:f>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-2δ</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321E0298"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hAnsi="Cambria Math" w:cs="Arial"/>
                  <w:i/>
                  <w:kern w:val="0"/>
                  <w:sz w:val="22"/>
                  <w:szCs w:val="22"/>
                  <w:lang w:val="en"/>
                  <w14:ligatures w14:val="none"/>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,1</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e>
          </m:d>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oMath>
      </m:oMathPara>
    </w:p>
    <w:p w14:paraId="44564840"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e>
          </m:d>
          <m:r>
            <w:rPr>
              <w:rFonts w:ascii="Cambria Math" w:eastAsia="Cambria Math" w:hAnsi="Cambria Math" w:cs="Arial"/>
            </w:rPr>
            <m:t>- λ</m:t>
          </m:r>
          <m:d>
            <m:dPr>
              <m:ctrlPr>
                <w:rPr>
                  <w:rFonts w:ascii="Cambria Math" w:eastAsia="Cambria Math" w:hAnsi="Cambria Math" w:cs="Arial"/>
                </w:rPr>
              </m:ctrlPr>
            </m:dPr>
            <m:e>
              <m:r>
                <w:rPr>
                  <w:rFonts w:ascii="Cambria Math" w:eastAsia="Cambria Math" w:hAnsi="Cambria Math" w:cs="Arial"/>
                </w:rPr>
                <m:t>1-</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oMath>
      </m:oMathPara>
    </w:p>
    <w:p w14:paraId="3D1EA095"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e>
          </m:d>
          <m:r>
            <w:rPr>
              <w:rFonts w:ascii="Cambria Math" w:eastAsia="Cambria Math" w:hAnsi="Cambria Math" w:cs="Arial"/>
            </w:rPr>
            <m:t>- λ</m:t>
          </m:r>
          <m:d>
            <m:dPr>
              <m:ctrlPr>
                <w:rPr>
                  <w:rFonts w:ascii="Cambria Math" w:eastAsia="Cambria Math" w:hAnsi="Cambria Math" w:cs="Arial"/>
                </w:rPr>
              </m:ctrlPr>
            </m:dPr>
            <m:e>
              <m:r>
                <w:rPr>
                  <w:rFonts w:ascii="Cambria Math" w:eastAsia="Cambria Math" w:hAnsi="Cambria Math" w:cs="Arial"/>
                </w:rPr>
                <m:t>1-</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r>
            <w:rPr>
              <w:rFonts w:ascii="Cambria Math" w:eastAsia="Cambria Math" w:hAnsi="Cambria Math" w:cs="Arial"/>
            </w:rPr>
            <m:t> </m:t>
          </m:r>
        </m:oMath>
      </m:oMathPara>
    </w:p>
    <w:p w14:paraId="5B034C18"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 λ</m:t>
          </m:r>
          <m:d>
            <m:dPr>
              <m:ctrlPr>
                <w:rPr>
                  <w:rFonts w:ascii="Cambria Math" w:eastAsia="Cambria Math" w:hAnsi="Cambria Math" w:cs="Arial"/>
                  <w:i/>
                  <w:kern w:val="0"/>
                  <w:lang w:val="en"/>
                  <w14:ligatures w14:val="none"/>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,1</m:t>
                  </m:r>
                </m:sub>
              </m:sSub>
              <m:r>
                <m:rPr>
                  <m:sty m:val="p"/>
                </m:rPr>
                <w:rPr>
                  <w:rFonts w:ascii="Cambria Math" w:eastAsia="Cambria Math" w:hAnsi="Cambria Math" w:cs="Arial"/>
                  <w:kern w:val="0"/>
                  <w:lang w:val="en"/>
                  <w14:ligatures w14:val="none"/>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r>
                <w:rPr>
                  <w:rFonts w:ascii="Cambria Math" w:eastAsia="Cambria Math" w:hAnsi="Cambria Math" w:cs="Arial"/>
                </w:rPr>
                <m:t>+</m:t>
              </m:r>
              <m:d>
                <m:dPr>
                  <m:ctrlPr>
                    <w:rPr>
                      <w:rFonts w:ascii="Cambria Math" w:eastAsia="Cambria Math" w:hAnsi="Cambria Math" w:cs="Arial"/>
                      <w:i/>
                    </w:rPr>
                  </m:ctrlPr>
                </m:dPr>
                <m:e>
                  <m:r>
                    <w:rPr>
                      <w:rFonts w:ascii="Cambria Math" w:eastAsia="Cambria Math" w:hAnsi="Cambria Math" w:cs="Arial"/>
                    </w:rPr>
                    <m:t>1</m:t>
                  </m:r>
                  <m:r>
                    <w:rPr>
                      <w:rFonts w:ascii="Cambria Math" w:hAnsi="Cambria Math" w:cs="Arial"/>
                    </w:rPr>
                    <m:t>-</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r>
                    <m:rPr>
                      <m:sty m:val="p"/>
                    </m:rPr>
                    <w:rPr>
                      <w:rFonts w:ascii="Cambria Math" w:eastAsia="Cambria Math" w:hAnsi="Cambria Math" w:cs="Arial"/>
                      <w:kern w:val="0"/>
                      <w:lang w:val="en"/>
                      <w14:ligatures w14:val="none"/>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e>
              </m:d>
            </m:e>
          </m:d>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,1</m:t>
              </m:r>
            </m:sub>
          </m:sSub>
        </m:oMath>
      </m:oMathPara>
    </w:p>
    <w:p w14:paraId="288B1800"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m:rPr>
                  <m:nor/>
                </m:rPr>
                <w:rPr>
                  <w:rFonts w:ascii="Arial" w:hAnsi="Arial" w:cs="Arial"/>
                </w:rPr>
                <m:t>d</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num>
            <m:den>
              <m:r>
                <m:rPr>
                  <m:nor/>
                </m:rPr>
                <w:rPr>
                  <w:rFonts w:ascii="Arial" w:hAnsi="Arial" w:cs="Arial"/>
                </w:rPr>
                <m:t>d</m:t>
              </m:r>
              <m:r>
                <w:rPr>
                  <w:rFonts w:ascii="Cambria Math" w:eastAsia="Cambria Math" w:hAnsi="Cambria Math" w:cs="Arial"/>
                </w:rPr>
                <m:t>t</m:t>
              </m:r>
            </m:den>
          </m:f>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7B248553"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 xml:space="preserve">=2 </m:t>
          </m:r>
          <m:d>
            <m:dPr>
              <m:ctrlPr>
                <w:rPr>
                  <w:rFonts w:ascii="Cambria Math" w:eastAsia="Cambria Math" w:hAnsi="Cambria Math" w:cs="Arial"/>
                </w:rPr>
              </m:ctrlPr>
            </m:dPr>
            <m:e>
              <m:r>
                <w:rPr>
                  <w:rFonts w:ascii="Cambria Math" w:eastAsia="Cambria Math" w:hAnsi="Cambria Math" w:cs="Arial"/>
                </w:rPr>
                <m:t>1-θ</m:t>
              </m:r>
            </m:e>
          </m:d>
          <m:r>
            <w:rPr>
              <w:rFonts w:ascii="Cambria Math" w:eastAsia="Cambria Math" w:hAnsi="Cambria Math" w:cs="Arial"/>
            </w:rPr>
            <m:t>ϵ</m:t>
          </m:r>
          <m:sSubSup>
            <m:sSubSupPr>
              <m:ctrlPr>
                <w:rPr>
                  <w:rFonts w:ascii="Cambria Math" w:eastAsia="Cambria Math" w:hAnsi="Cambria Math" w:cs="Arial"/>
                </w:rPr>
              </m:ctrlPr>
            </m:sSubSup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oMath>
      </m:oMathPara>
    </w:p>
    <w:p w14:paraId="431BAC60"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oMath>
      </m:oMathPara>
    </w:p>
    <w:p w14:paraId="17B0B605"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=2θϵ</m:t>
          </m:r>
          <m:sSubSup>
            <m:sSubSupPr>
              <m:ctrlPr>
                <w:rPr>
                  <w:rFonts w:ascii="Cambria Math" w:eastAsia="Cambria Math" w:hAnsi="Cambria Math" w:cs="Arial"/>
                </w:rPr>
              </m:ctrlPr>
            </m:sSubSup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71439ACE"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4996CB7E"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d>
            <m:dPr>
              <m:ctrlPr>
                <w:rPr>
                  <w:rFonts w:ascii="Cambria Math" w:eastAsia="Cambria Math" w:hAnsi="Cambria Math" w:cs="Arial"/>
                </w:rPr>
              </m:ctrlPr>
            </m:dPr>
            <m:e>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e>
          </m:d>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-2σ</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oMath>
      </m:oMathPara>
    </w:p>
    <w:p w14:paraId="390987F3"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1</m:t>
                  </m:r>
                  <m:r>
                    <w:rPr>
                      <w:rFonts w:ascii="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=2σ</m:t>
          </m:r>
          <m:d>
            <m:dPr>
              <m:ctrlPr>
                <w:rPr>
                  <w:rFonts w:ascii="Cambria Math" w:eastAsia="Cambria Math" w:hAnsi="Cambria Math" w:cs="Arial"/>
                  <w:i/>
                </w:rPr>
              </m:ctrlPr>
            </m:dPr>
            <m:e>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e>
          </m:d>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,2</m:t>
              </m:r>
            </m:sub>
          </m:sSub>
        </m:oMath>
      </m:oMathPara>
    </w:p>
    <w:p w14:paraId="3DB153B0" w14:textId="77777777" w:rsidR="00847A82" w:rsidRDefault="00847A82" w:rsidP="00847A82">
      <w:pPr>
        <w:rPr>
          <w:rFonts w:ascii="Arial" w:hAnsi="Arial" w:cs="Arial"/>
          <w:lang w:val="de-DE"/>
        </w:rPr>
      </w:pPr>
    </w:p>
    <w:p w14:paraId="56E45BAE" w14:textId="77777777" w:rsidR="00847A82" w:rsidRPr="00653C0F" w:rsidRDefault="00847A82" w:rsidP="00847A82">
      <w:pPr>
        <w:rPr>
          <w:rFonts w:ascii="Arial" w:hAnsi="Arial" w:cs="Arial"/>
        </w:rPr>
      </w:pPr>
    </w:p>
    <w:p w14:paraId="119E0CC3" w14:textId="40CC1BED" w:rsidR="00847A82" w:rsidRPr="00A436ED" w:rsidRDefault="00847A82" w:rsidP="00847A82">
      <w:pPr>
        <w:pStyle w:val="Heading3"/>
        <w:rPr>
          <w:color w:val="auto"/>
        </w:rPr>
      </w:pPr>
      <w:bookmarkStart w:id="41" w:name="_Toc191389136"/>
      <w:bookmarkStart w:id="42" w:name="_Toc184920094"/>
      <w:bookmarkStart w:id="43" w:name="_Toc208578238"/>
      <w:r w:rsidRPr="00A436ED">
        <w:rPr>
          <w:color w:val="auto"/>
        </w:rPr>
        <w:t>Figure S</w:t>
      </w:r>
      <w:bookmarkEnd w:id="41"/>
      <w:r w:rsidR="005E7D1D">
        <w:rPr>
          <w:rFonts w:hint="eastAsia"/>
          <w:color w:val="auto"/>
        </w:rPr>
        <w:t>5</w:t>
      </w:r>
      <w:bookmarkEnd w:id="43"/>
      <w:r w:rsidRPr="00A436ED">
        <w:rPr>
          <w:color w:val="auto"/>
        </w:rPr>
        <w:t xml:space="preserve"> </w:t>
      </w:r>
    </w:p>
    <w:p w14:paraId="775C538D" w14:textId="77777777" w:rsidR="00847A82" w:rsidRPr="00A436ED" w:rsidRDefault="00847A82" w:rsidP="00847A82">
      <w:r w:rsidRPr="00A436ED">
        <w:t xml:space="preserve">Compartmental flows for the dynamic model. S, E, I, A, R, V represent susceptible, exposed, infectious, asymptomatic, recovered, and vaccinated states. Superscript, P, for V represents those vaccinated and partially protected (rather than vaccinated but fully susceptible V state). Superscript, V, for E, I, A, and R represents vaccinated but infected population. Each compartment is modeled with two sub-compartments representing age groups (&lt;5 yo or 5+ yo) and E, I, A, R, V, and </w:t>
      </w:r>
      <w:proofErr w:type="spellStart"/>
      <w:r w:rsidRPr="00A436ED">
        <w:t>Vp</w:t>
      </w:r>
      <w:proofErr w:type="spellEnd"/>
      <w:r w:rsidRPr="00A436ED">
        <w:t xml:space="preserve"> states are additionally modeled with two compartments to model the Erlang-distributed residence times.</w:t>
      </w:r>
      <w:bookmarkEnd w:id="42"/>
    </w:p>
    <w:p w14:paraId="2BFE49B3" w14:textId="77777777" w:rsidR="00847A82" w:rsidRPr="00A436ED" w:rsidRDefault="00847A82" w:rsidP="00847A82">
      <w:pPr>
        <w:rPr>
          <w:rFonts w:ascii="Arial" w:hAnsi="Arial" w:cs="Arial"/>
        </w:rPr>
      </w:pPr>
      <w:r w:rsidRPr="00A436ED">
        <w:rPr>
          <w:rFonts w:ascii="Arial" w:hAnsi="Arial" w:cs="Arial"/>
        </w:rPr>
        <w:lastRenderedPageBreak/>
        <w:t xml:space="preserve"> </w:t>
      </w:r>
      <w:r w:rsidRPr="00A436ED">
        <w:rPr>
          <w:rFonts w:ascii="Arial" w:hAnsi="Arial" w:cs="Arial"/>
          <w:noProof/>
        </w:rPr>
        <w:drawing>
          <wp:inline distT="0" distB="0" distL="0" distR="0" wp14:anchorId="4A95387F" wp14:editId="59A54E21">
            <wp:extent cx="4247845" cy="2829126"/>
            <wp:effectExtent l="0" t="0" r="0" b="0"/>
            <wp:docPr id="794531845" name="Picture 1" descr="A red arrows pointing to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31845" name="Picture 1" descr="A red arrows pointing to a black backgroun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47845" cy="2829126"/>
                    </a:xfrm>
                    <a:prstGeom prst="rect">
                      <a:avLst/>
                    </a:prstGeom>
                  </pic:spPr>
                </pic:pic>
              </a:graphicData>
            </a:graphic>
          </wp:inline>
        </w:drawing>
      </w:r>
    </w:p>
    <w:p w14:paraId="555E2D12" w14:textId="7C658519" w:rsidR="00847A82" w:rsidRPr="00A436ED" w:rsidRDefault="00847A82" w:rsidP="00847A82">
      <w:r w:rsidRPr="00A436ED">
        <w:t>The incubation period was modeled using an Erlang distribution. This was achieved by fitting the Erlang distribution to a dataset of 1,000 samples, which were generated through a log-normal distribution with a median of 1.4 days and a dispersion of 1.98, as determined by a systematic literature review.</w:t>
      </w:r>
      <w:r w:rsidR="00611FF9">
        <w:fldChar w:fldCharType="begin"/>
      </w:r>
      <w:r w:rsidR="00E56F41">
        <w:instrText xml:space="preserve"> ADDIN ZOTERO_ITEM CSL_CITATION {"citationID":"HJqp6Hvb","properties":{"formattedCitation":"\\super 51\\nosupersub{}","plainCitation":"51","noteIndex":0},"citationItems":[{"id":7628,"uris":["http://zotero.org/users/7663102/items/HY4XK894"],"itemData":{"id":7628,"type":"article-journal","container-title":"Journal of Infection","DOI":"10.1016/j.jinf.2012.11.013","ISSN":"0163-4453, 1532-2742","issue":"5","journalAbbreviation":"Journal of Infection","language":"English","note":"publisher: Elsevier\nPMID: 23201968","page":"432-438","source":"www.journalofinfection.com","title":"The incubation period of cholera: A systematic review","title-short":"The incubation period of cholera","volume":"66","author":[{"family":"Azman","given":"Andrew S."},{"family":"Rudolph","given":"Kara E."},{"family":"Cummings","given":"Derek A. T."},{"family":"Lessler","given":"Justin"}],"issued":{"date-parts":[["2013",5,1]]},"citation-key":"azmanIncubationPeriodCholera2013"}}],"schema":"https://github.com/citation-style-language/schema/raw/master/csl-citation.json"} </w:instrText>
      </w:r>
      <w:r w:rsidR="00611FF9">
        <w:fldChar w:fldCharType="separate"/>
      </w:r>
      <w:r w:rsidR="00E56F41" w:rsidRPr="00E56F41">
        <w:rPr>
          <w:rFonts w:ascii="Aptos" w:hAnsi="Aptos" w:cs="Times New Roman"/>
          <w:kern w:val="0"/>
          <w:vertAlign w:val="superscript"/>
        </w:rPr>
        <w:t>51</w:t>
      </w:r>
      <w:r w:rsidR="00611FF9">
        <w:fldChar w:fldCharType="end"/>
      </w:r>
      <w:r w:rsidRPr="00A436ED">
        <w:t xml:space="preserve"> In our approach, we varied the shape parameter of the Erlang distribution by setting it to 1, 2, 3, and 4. These values represent the potential number of compartments for the incubation state within the ODE model of cholera transmission. The rate parameter was the only variable allowed to be adjusted and was determined through the maximization of the log likelihood. The selection of the optimal shape parameter was based on the comparison of likelihood values, ultimately identifying a shape of 2 and a rate of 1.115044 as the most suitable for our model.</w:t>
      </w:r>
    </w:p>
    <w:p w14:paraId="18F3EB9A" w14:textId="5B3E80F0" w:rsidR="00847A82" w:rsidRPr="00A436ED" w:rsidRDefault="00847A82" w:rsidP="00847A82">
      <w:r w:rsidRPr="00A436ED">
        <w:t>We tried fitting the model to weekly incidence for all 1,406 outbreaks by calibrating four parameters</w:t>
      </w:r>
      <w:r w:rsidRPr="00A436ED">
        <w:rPr>
          <w:rFonts w:eastAsia="Aptos"/>
        </w:rPr>
        <w:t xml:space="preserve">: </w:t>
      </w:r>
      <w:r w:rsidRPr="00A436ED">
        <w:t xml:space="preserve">the proportion of the population that is </w:t>
      </w:r>
      <w:r>
        <w:rPr>
          <w:rFonts w:hint="eastAsia"/>
        </w:rPr>
        <w:t>susceptible</w:t>
      </w:r>
      <w:r w:rsidRPr="00A436ED">
        <w:t xml:space="preserve"> in the beginning of the outbreak,</w:t>
      </w:r>
      <w:r w:rsidRPr="00A436ED">
        <w:rPr>
          <w:rFonts w:eastAsia="Aptos"/>
        </w:rPr>
        <w:t xml:space="preserve"> </w:t>
      </w:r>
      <m:oMath>
        <m:sSub>
          <m:sSubPr>
            <m:ctrlPr>
              <w:rPr>
                <w:rFonts w:ascii="Cambria Math" w:eastAsia="Aptos" w:hAnsi="Cambria Math"/>
                <w:i/>
              </w:rPr>
            </m:ctrlPr>
          </m:sSubPr>
          <m:e>
            <m:r>
              <w:rPr>
                <w:rFonts w:ascii="Cambria Math" w:eastAsia="Aptos" w:hAnsi="Cambria Math"/>
              </w:rPr>
              <m:t>s</m:t>
            </m:r>
          </m:e>
          <m:sub>
            <m:r>
              <w:rPr>
                <w:rFonts w:ascii="Cambria Math" w:eastAsia="Aptos" w:hAnsi="Cambria Math"/>
              </w:rPr>
              <m:t>0</m:t>
            </m:r>
          </m:sub>
        </m:sSub>
      </m:oMath>
      <w:r w:rsidRPr="00A436ED">
        <w:rPr>
          <w:rFonts w:eastAsia="Aptos"/>
        </w:rPr>
        <w:t>, basic reproduction ratio</w:t>
      </w:r>
      <w:r w:rsidRPr="00A436ED">
        <w:t xml:space="preserve">, </w:t>
      </w:r>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0</m:t>
            </m:r>
          </m:sub>
        </m:sSub>
      </m:oMath>
      <w:r w:rsidRPr="00A436ED">
        <w:rPr>
          <w:rFonts w:eastAsia="Aptos"/>
        </w:rPr>
        <w:t xml:space="preserve">, initial proportion of people already infected at the start of the outbreak, </w:t>
      </w:r>
      <m:oMath>
        <m:sSub>
          <m:sSubPr>
            <m:ctrlPr>
              <w:rPr>
                <w:rFonts w:ascii="Cambria Math" w:eastAsia="Aptos" w:hAnsi="Cambria Math"/>
                <w:i/>
              </w:rPr>
            </m:ctrlPr>
          </m:sSubPr>
          <m:e>
            <m:r>
              <w:rPr>
                <w:rFonts w:ascii="Cambria Math" w:eastAsia="Aptos" w:hAnsi="Cambria Math"/>
              </w:rPr>
              <m:t>i</m:t>
            </m:r>
          </m:e>
          <m:sub>
            <m:r>
              <w:rPr>
                <w:rFonts w:ascii="Cambria Math" w:eastAsia="Aptos" w:hAnsi="Cambria Math"/>
              </w:rPr>
              <m:t>0</m:t>
            </m:r>
          </m:sub>
        </m:sSub>
      </m:oMath>
      <w:r w:rsidRPr="00A436ED">
        <w:t xml:space="preserve">, and the proportion of effective population size, </w:t>
      </w:r>
      <m:oMath>
        <m:sSub>
          <m:sSubPr>
            <m:ctrlPr>
              <w:rPr>
                <w:rFonts w:ascii="Cambria Math" w:eastAsia="Aptos" w:hAnsi="Cambria Math"/>
                <w:i/>
              </w:rPr>
            </m:ctrlPr>
          </m:sSubPr>
          <m:e>
            <m:r>
              <w:rPr>
                <w:rFonts w:ascii="Cambria Math" w:eastAsia="Aptos" w:hAnsi="Cambria Math"/>
              </w:rPr>
              <m:t>n</m:t>
            </m:r>
          </m:e>
          <m:sub>
            <m:r>
              <w:rPr>
                <w:rFonts w:ascii="Cambria Math" w:eastAsia="Aptos" w:hAnsi="Cambria Math"/>
              </w:rPr>
              <m:t>0</m:t>
            </m:r>
          </m:sub>
        </m:sSub>
      </m:oMath>
      <w:r w:rsidRPr="00A436ED">
        <w:t>.</w:t>
      </w:r>
      <w:r w:rsidRPr="00A436ED">
        <w:rPr>
          <w:rFonts w:eastAsia="Aptos"/>
        </w:rPr>
        <w:t xml:space="preserve"> </w:t>
      </w:r>
      <w:r w:rsidRPr="00A436ED">
        <w:t xml:space="preserve">The </w:t>
      </w:r>
      <m:oMath>
        <m:sSub>
          <m:sSubPr>
            <m:ctrlPr>
              <w:rPr>
                <w:rFonts w:ascii="Cambria Math" w:eastAsia="Aptos" w:hAnsi="Cambria Math"/>
                <w:i/>
              </w:rPr>
            </m:ctrlPr>
          </m:sSubPr>
          <m:e>
            <m:r>
              <w:rPr>
                <w:rFonts w:ascii="Cambria Math" w:eastAsia="Aptos" w:hAnsi="Cambria Math"/>
              </w:rPr>
              <m:t>n</m:t>
            </m:r>
          </m:e>
          <m:sub>
            <m:r>
              <w:rPr>
                <w:rFonts w:ascii="Cambria Math" w:eastAsia="Aptos" w:hAnsi="Cambria Math"/>
              </w:rPr>
              <m:t>0</m:t>
            </m:r>
          </m:sub>
        </m:sSub>
      </m:oMath>
      <w:r w:rsidRPr="00A436ED">
        <w:t xml:space="preserve"> parameter was introduced to address the possibility that the population experiencing the outbreak is likely to have been a fraction of the population of the administrative unit where the outbreak was reported. Fitting involved ass</w:t>
      </w:r>
      <w:r w:rsidRPr="00A436ED">
        <w:rPr>
          <w:rFonts w:eastAsia="Aptos"/>
        </w:rPr>
        <w:t>uming that the number of observed cases</w:t>
      </w:r>
      <w:r w:rsidRPr="00A436ED">
        <w:t xml:space="preserve"> at a given week</w:t>
      </w:r>
      <w:r w:rsidRPr="00A436ED">
        <w:rPr>
          <w:rFonts w:eastAsia="Aptos"/>
        </w:rPr>
        <w:t xml:space="preserve">, </w:t>
      </w:r>
      <m:oMath>
        <m:r>
          <w:rPr>
            <w:rFonts w:ascii="Cambria Math" w:eastAsia="Aptos" w:hAnsi="Cambria Math"/>
          </w:rPr>
          <m:t>y</m:t>
        </m:r>
        <m:d>
          <m:dPr>
            <m:ctrlPr>
              <w:rPr>
                <w:rFonts w:ascii="Cambria Math" w:hAnsi="Cambria Math"/>
                <w:i/>
              </w:rPr>
            </m:ctrlPr>
          </m:dPr>
          <m:e>
            <m:r>
              <w:rPr>
                <w:rFonts w:ascii="Cambria Math" w:hAnsi="Cambria Math"/>
              </w:rPr>
              <m:t>t</m:t>
            </m:r>
          </m:e>
        </m:d>
      </m:oMath>
      <w:r w:rsidRPr="00A436ED">
        <w:rPr>
          <w:rFonts w:eastAsia="Aptos"/>
        </w:rPr>
        <w:t>, follows a Poisson distribution with its mean,</w:t>
      </w:r>
      <w:r w:rsidRPr="00A436ED">
        <w:t xml:space="preserve"> </w:t>
      </w:r>
      <m:oMath>
        <m:r>
          <w:rPr>
            <w:rFonts w:ascii="Cambria Math" w:eastAsia="Aptos" w:hAnsi="Cambria Math"/>
          </w:rPr>
          <m:t>Y</m:t>
        </m:r>
        <m:d>
          <m:dPr>
            <m:ctrlPr>
              <w:rPr>
                <w:rFonts w:ascii="Cambria Math" w:hAnsi="Cambria Math"/>
                <w:i/>
              </w:rPr>
            </m:ctrlPr>
          </m:dPr>
          <m:e>
            <m:r>
              <w:rPr>
                <w:rFonts w:ascii="Cambria Math" w:hAnsi="Cambria Math"/>
              </w:rPr>
              <m:t>t</m:t>
            </m:r>
          </m:e>
        </m:d>
      </m:oMath>
      <w:hyperlink r:id="rId16" w:anchor="0"/>
      <w:r w:rsidRPr="00A436ED">
        <w:rPr>
          <w:rFonts w:eastAsia="Aptos"/>
        </w:rPr>
        <w:t xml:space="preserve">, and </w:t>
      </w:r>
      <w:r w:rsidRPr="00A436ED">
        <w:t xml:space="preserve">modelled </w:t>
      </w:r>
      <w:r w:rsidRPr="00A436ED">
        <w:lastRenderedPageBreak/>
        <w:t xml:space="preserve">incidence </w:t>
      </w:r>
      <w:r w:rsidRPr="00A436ED">
        <w:rPr>
          <w:rFonts w:eastAsia="Aptos"/>
        </w:rPr>
        <w:t xml:space="preserve">of symptomatic cases. </w:t>
      </w:r>
      <w:r w:rsidRPr="00A436ED">
        <w:t xml:space="preserve">The likelihood function </w:t>
      </w:r>
      <m:oMath>
        <m:r>
          <m:rPr>
            <m:scr m:val="script"/>
          </m:rPr>
          <w:rPr>
            <w:rFonts w:ascii="Cambria Math" w:eastAsia="Aptos" w:hAnsi="Cambria Math"/>
          </w:rPr>
          <m:t>L</m:t>
        </m:r>
        <m:d>
          <m:dPr>
            <m:ctrlPr>
              <w:rPr>
                <w:rFonts w:ascii="Cambria Math" w:hAnsi="Cambria Math"/>
                <w:i/>
              </w:rPr>
            </m:ctrlPr>
          </m:dPr>
          <m:e>
            <m:r>
              <m:rPr>
                <m:sty m:val="p"/>
              </m:rPr>
              <w:rPr>
                <w:rFonts w:ascii="Cambria Math" w:hAnsi="Cambria Math"/>
              </w:rPr>
              <m:t>θ</m:t>
            </m:r>
          </m:e>
        </m:d>
      </m:oMath>
      <w:r w:rsidRPr="00A436ED">
        <w:t xml:space="preserve"> of the model, defined by the parameters </w:t>
      </w:r>
      <m:oMath>
        <m:r>
          <m:rPr>
            <m:sty m:val="p"/>
          </m:rPr>
          <w:rPr>
            <w:rFonts w:ascii="Cambria Math" w:hAnsi="Cambria Math"/>
          </w:rPr>
          <m:t>θ</m:t>
        </m:r>
      </m:oMath>
      <w:r w:rsidRPr="00A436ED">
        <w:rPr>
          <w:rFonts w:eastAsia="Aptos"/>
        </w:rPr>
        <w:t xml:space="preserve"> </w:t>
      </w:r>
      <w:r w:rsidRPr="00A436ED">
        <w:t>(as shown below), was maximized using the differential evolution method.</w:t>
      </w:r>
      <w:r w:rsidRPr="00A436ED">
        <w:rPr>
          <w:rFonts w:eastAsia="Aptos"/>
        </w:rPr>
        <w:fldChar w:fldCharType="begin"/>
      </w:r>
      <w:r w:rsidR="00A16B1B">
        <w:rPr>
          <w:rFonts w:eastAsia="Aptos"/>
        </w:rPr>
        <w:instrText xml:space="preserve"> ADDIN ZOTERO_ITEM CSL_CITATION {"citationID":"ClFFXLyX","properties":{"formattedCitation":"\\super 52\\nosupersub{}","plainCitation":"52","noteIndex":0},"citationItems":[{"id":"xs3HqAE9/kU5qBlCH","uris":["http://zotero.org/users/local/xDVOxgbN/items/6P382IHH"],"itemData":{"id":141,"type":"article-journal","container-title":"Journal of Computational Science","DOI":"10.1016/j.jocs.2017.06.007","ISSN":"18777503","journalAbbreviation":"Journal of Computational Science","language":"en","page":"140-149","source":"DOI.org (Crossref)","title":"Understanding differential evolution: A Poisson law derived from population interaction network","title-short":"Understanding differential evolution","volume":"21","author":[{"family":"Gao","given":"Shangce"},{"family":"Wang","given":"Yirui"},{"family":"Wang","given":"Jiahai"},{"family":"Cheng","given":"JiuJun"}],"issued":{"date-parts":[["2017",7]]}}}],"schema":"https://github.com/citation-style-language/schema/raw/master/csl-citation.json"} </w:instrText>
      </w:r>
      <w:r w:rsidRPr="00A436ED">
        <w:rPr>
          <w:rFonts w:eastAsia="Aptos"/>
        </w:rPr>
        <w:fldChar w:fldCharType="separate"/>
      </w:r>
      <w:r w:rsidR="00E56F41" w:rsidRPr="00E56F41">
        <w:rPr>
          <w:rFonts w:ascii="Aptos" w:hAnsi="Aptos" w:cs="Times New Roman"/>
          <w:kern w:val="0"/>
          <w:vertAlign w:val="superscript"/>
        </w:rPr>
        <w:t>52</w:t>
      </w:r>
      <w:r w:rsidRPr="00A436ED">
        <w:rPr>
          <w:rFonts w:eastAsia="Aptos"/>
        </w:rPr>
        <w:fldChar w:fldCharType="end"/>
      </w:r>
      <w:r w:rsidRPr="00A436ED">
        <w:rPr>
          <w:rFonts w:eastAsia="Aptos"/>
        </w:rPr>
        <w:t xml:space="preserve"> </w:t>
      </w:r>
      <w:hyperlink r:id="rId17" w:anchor="0"/>
      <w:r w:rsidRPr="00A436ED">
        <w:t xml:space="preserve"> </w:t>
      </w:r>
    </w:p>
    <w:p w14:paraId="60A2212D" w14:textId="77777777" w:rsidR="00847A82" w:rsidRPr="00A436ED" w:rsidRDefault="00847A82" w:rsidP="00847A82">
      <w:pPr>
        <w:rPr>
          <w:rFonts w:ascii="Arial" w:hAnsi="Arial" w:cs="Arial"/>
        </w:rPr>
      </w:pPr>
      <m:oMathPara>
        <m:oMath>
          <m:r>
            <w:rPr>
              <w:rFonts w:ascii="Cambria Math" w:hAnsi="Cambria Math" w:cs="Arial"/>
            </w:rPr>
            <m:t>L</m:t>
          </m:r>
          <m:d>
            <m:dPr>
              <m:ctrlPr>
                <w:rPr>
                  <w:rFonts w:ascii="Cambria Math" w:hAnsi="Cambria Math" w:cs="Arial"/>
                  <w:i/>
                </w:rPr>
              </m:ctrlPr>
            </m:dPr>
            <m:e>
              <m:r>
                <m:rPr>
                  <m:sty m:val="p"/>
                </m:rPr>
                <w:rPr>
                  <w:rFonts w:ascii="Cambria Math" w:hAnsi="Cambria Math" w:cs="Arial"/>
                </w:rPr>
                <m:t>θ;</m:t>
              </m:r>
              <m:sSub>
                <m:sSubPr>
                  <m:ctrlPr>
                    <w:rPr>
                      <w:rFonts w:ascii="Cambria Math" w:hAnsi="Cambria Math" w:cs="Arial"/>
                      <w:i/>
                      <w:iCs/>
                    </w:rPr>
                  </m:ctrlPr>
                </m:sSubPr>
                <m:e>
                  <m:r>
                    <w:rPr>
                      <w:rFonts w:ascii="Cambria Math" w:hAnsi="Cambria Math" w:cs="Arial"/>
                    </w:rPr>
                    <m:t>y</m:t>
                  </m:r>
                </m:e>
                <m:sub>
                  <m:r>
                    <w:rPr>
                      <w:rFonts w:ascii="Cambria Math" w:hAnsi="Cambria Math" w:cs="Arial"/>
                    </w:rPr>
                    <m:t>1</m:t>
                  </m:r>
                </m:sub>
              </m:sSub>
              <m:r>
                <w:rPr>
                  <w:rFonts w:ascii="Cambria Math" w:hAnsi="Cambria Math" w:cs="Arial"/>
                </w:rPr>
                <m:t>,…,</m:t>
              </m:r>
              <m:sSub>
                <m:sSubPr>
                  <m:ctrlPr>
                    <w:rPr>
                      <w:rFonts w:ascii="Cambria Math" w:hAnsi="Cambria Math" w:cs="Arial"/>
                      <w:i/>
                      <w:iCs/>
                    </w:rPr>
                  </m:ctrlPr>
                </m:sSubPr>
                <m:e>
                  <m:r>
                    <w:rPr>
                      <w:rFonts w:ascii="Cambria Math" w:hAnsi="Cambria Math" w:cs="Arial"/>
                    </w:rPr>
                    <m:t>y</m:t>
                  </m:r>
                </m:e>
                <m:sub>
                  <m:r>
                    <w:rPr>
                      <w:rFonts w:ascii="Cambria Math" w:hAnsi="Cambria Math" w:cs="Arial"/>
                    </w:rPr>
                    <m:t>n</m:t>
                  </m:r>
                </m:sub>
              </m:sSub>
            </m:e>
          </m:d>
          <m:r>
            <w:rPr>
              <w:rFonts w:ascii="Cambria Math" w:hAnsi="Cambria Math" w:cs="Arial"/>
            </w:rPr>
            <m:t>=</m:t>
          </m:r>
          <m:nary>
            <m:naryPr>
              <m:chr m:val="∏"/>
              <m:limLoc m:val="undOvr"/>
              <m:ctrlPr>
                <w:rPr>
                  <w:rFonts w:ascii="Cambria Math" w:hAnsi="Cambria Math" w:cs="Arial"/>
                  <w:i/>
                </w:rPr>
              </m:ctrlPr>
            </m:naryPr>
            <m:sub>
              <m:r>
                <w:rPr>
                  <w:rFonts w:ascii="Cambria Math" w:hAnsi="Cambria Math" w:cs="Arial"/>
                </w:rPr>
                <m:t>j=1</m:t>
              </m:r>
            </m:sub>
            <m:sup>
              <m:r>
                <w:rPr>
                  <w:rFonts w:ascii="Cambria Math" w:hAnsi="Cambria Math" w:cs="Arial"/>
                </w:rPr>
                <m:t>n</m:t>
              </m:r>
            </m:sup>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e</m:t>
                      </m:r>
                    </m:e>
                    <m:sup>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sup>
                  </m:sSup>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e>
                    <m:sup>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sup>
                  </m:sSup>
                </m:num>
                <m:den>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r>
                    <w:rPr>
                      <w:rFonts w:ascii="Cambria Math" w:hAnsi="Cambria Math" w:cs="Arial"/>
                    </w:rPr>
                    <m:t>!</m:t>
                  </m:r>
                </m:den>
              </m:f>
            </m:e>
          </m:nary>
        </m:oMath>
      </m:oMathPara>
    </w:p>
    <w:p w14:paraId="46DF97F5" w14:textId="77777777" w:rsidR="00847A82" w:rsidRPr="00A436ED" w:rsidRDefault="00847A82" w:rsidP="00847A82">
      <w:r w:rsidRPr="00A436ED">
        <w:t>The differential evolution algorithm is a stochastic search algorithm and uses Latin Hypercube sampling as initial parameter values to explore within the bounds and local maxima. We explored a wide range of bounds for parameters to make sure that all reasonable values are examined. Acknowledging that the algorithm may end up in a local minimum by chance, we ran the algorithm with five different random seeds and chose the values that maximized the log likelihood that the algorithm reached at least twice.</w:t>
      </w:r>
    </w:p>
    <w:p w14:paraId="3B826D84" w14:textId="0193B839" w:rsidR="00847A82" w:rsidRDefault="00847A82" w:rsidP="00847A82">
      <w:r w:rsidRPr="00A436ED">
        <w:t>After reviewing the fitting results, we selected 341 outbreaks where the model captured the dynamics of the outbreak sufficiently well by excluding fits where a) modeled and observed weekly incidences diverged upon visual inspection, b) parameter estimates were too close (0.1%) to the bounds of parameter inputs, raising concerns that the estimated parameter values were not robust, and c) the number of data points was smaller than 8, corresponding to twice the number of data points. While the number of parameters to be estimated is four, we consider the possibility that the number of data points may need to be much larger to inform the parameter values in practice.</w:t>
      </w:r>
      <w:r>
        <w:rPr>
          <w:rFonts w:hint="eastAsia"/>
        </w:rPr>
        <w:t xml:space="preserve"> </w:t>
      </w:r>
      <w:r w:rsidRPr="00A436ED">
        <w:t>The dynamic model was implemented in Julia language</w:t>
      </w:r>
      <w:r w:rsidRPr="00A436ED">
        <w:fldChar w:fldCharType="begin"/>
      </w:r>
      <w:r w:rsidR="00E56F41">
        <w:instrText xml:space="preserve"> ADDIN ZOTERO_ITEM CSL_CITATION {"citationID":"TcFrommG","properties":{"formattedCitation":"\\super 53\\nosupersub{}","plainCitation":"53","noteIndex":0},"citationItems":[{"id":15205,"uris":["http://zotero.org/users/7663102/items/95WQWLEZ"],"itemData":{"id":15205,"type":"webpage","title":"Julia: A Fresh Approach to Numerical Computing | SIAM Review","URL":"https://epubs.siam.org/doi/10.1137/141000671","accessed":{"date-parts":[["2024",12,3]]},"citation-key":"JuliaFreshApproach"}}],"schema":"https://github.com/citation-style-language/schema/raw/master/csl-citation.json"} </w:instrText>
      </w:r>
      <w:r w:rsidRPr="00A436ED">
        <w:fldChar w:fldCharType="separate"/>
      </w:r>
      <w:r w:rsidR="00E56F41" w:rsidRPr="00E56F41">
        <w:rPr>
          <w:rFonts w:ascii="Aptos" w:hAnsi="Aptos" w:cs="Times New Roman"/>
          <w:kern w:val="0"/>
          <w:vertAlign w:val="superscript"/>
        </w:rPr>
        <w:t>53</w:t>
      </w:r>
      <w:r w:rsidRPr="00A436ED">
        <w:fldChar w:fldCharType="end"/>
      </w:r>
      <w:r w:rsidRPr="00A436ED">
        <w:t xml:space="preserve"> and codes used are available on GitHub.</w:t>
      </w:r>
      <w:r w:rsidR="00611FF9">
        <w:fldChar w:fldCharType="begin"/>
      </w:r>
      <w:r w:rsidR="00611FF9">
        <w:instrText xml:space="preserve"> ADDIN ZOTERO_ITEM CSL_CITATION {"citationID":"MrP4oQ5K","properties":{"formattedCitation":"\\super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611FF9">
        <w:fldChar w:fldCharType="separate"/>
      </w:r>
      <w:r w:rsidR="00611FF9" w:rsidRPr="00611FF9">
        <w:rPr>
          <w:rFonts w:ascii="Aptos" w:hAnsi="Aptos" w:cs="Times New Roman"/>
          <w:kern w:val="0"/>
          <w:vertAlign w:val="superscript"/>
        </w:rPr>
        <w:t>6</w:t>
      </w:r>
      <w:r w:rsidR="00611FF9">
        <w:fldChar w:fldCharType="end"/>
      </w:r>
    </w:p>
    <w:p w14:paraId="15B03D0B" w14:textId="6DF353DF" w:rsidR="00847A82" w:rsidRPr="00A436ED" w:rsidRDefault="00847A82" w:rsidP="00847A82">
      <w:pPr>
        <w:pStyle w:val="Heading3"/>
        <w:rPr>
          <w:color w:val="auto"/>
        </w:rPr>
      </w:pPr>
      <w:bookmarkStart w:id="44" w:name="_Toc191389137"/>
      <w:bookmarkStart w:id="45" w:name="_Toc208578239"/>
      <w:r w:rsidRPr="00A436ED">
        <w:rPr>
          <w:color w:val="auto"/>
        </w:rPr>
        <w:t>Figure S</w:t>
      </w:r>
      <w:bookmarkEnd w:id="44"/>
      <w:r w:rsidR="00B22F59">
        <w:rPr>
          <w:rFonts w:hint="eastAsia"/>
          <w:color w:val="auto"/>
        </w:rPr>
        <w:t>6</w:t>
      </w:r>
      <w:bookmarkEnd w:id="45"/>
      <w:r w:rsidRPr="00A436ED">
        <w:rPr>
          <w:color w:val="auto"/>
        </w:rPr>
        <w:t xml:space="preserve">  </w:t>
      </w:r>
    </w:p>
    <w:p w14:paraId="25228B8A" w14:textId="77777777" w:rsidR="00847A82" w:rsidRDefault="00847A82" w:rsidP="00847A82">
      <w:r>
        <w:rPr>
          <w:rFonts w:hint="eastAsia"/>
        </w:rPr>
        <w:t xml:space="preserve">Comparison of weekly incidence between the dynamic model and the observed data.  </w:t>
      </w:r>
      <w:r w:rsidRPr="001A61AF">
        <w:t xml:space="preserve">Numbers at the top indicate IDs assigned to each outbreak. For outbreaks with IDs 1 and 23, the dynamic model (red lines) successfully captured the observed data (black dots). Conversely, outbreaks </w:t>
      </w:r>
      <w:r>
        <w:rPr>
          <w:rFonts w:hint="eastAsia"/>
        </w:rPr>
        <w:t xml:space="preserve">with IDs </w:t>
      </w:r>
      <w:r w:rsidRPr="001A61AF">
        <w:t>3 and 40 exhibited complex patterns that the dynamic model failed to accurately represent.</w:t>
      </w:r>
    </w:p>
    <w:p w14:paraId="394FFDFB" w14:textId="77777777" w:rsidR="00847A82" w:rsidRPr="00A436ED" w:rsidRDefault="00847A82" w:rsidP="00847A82">
      <w:r>
        <w:rPr>
          <w:noProof/>
        </w:rPr>
        <w:lastRenderedPageBreak/>
        <w:drawing>
          <wp:inline distT="0" distB="0" distL="0" distR="0" wp14:anchorId="35B33AB4" wp14:editId="37DFE8C1">
            <wp:extent cx="5943600" cy="5943600"/>
            <wp:effectExtent l="0" t="0" r="0" b="0"/>
            <wp:docPr id="1917264318" name="Picture 1" descr="A graph of different sizes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64318" name="Picture 1" descr="A graph of different sizes of points&#10;&#10;Description automatically generated with medium confidence"/>
                    <pic:cNvPicPr/>
                  </pic:nvPicPr>
                  <pic:blipFill>
                    <a:blip r:embed="rId18"/>
                    <a:stretch>
                      <a:fillRect/>
                    </a:stretch>
                  </pic:blipFill>
                  <pic:spPr>
                    <a:xfrm>
                      <a:off x="0" y="0"/>
                      <a:ext cx="5943600" cy="5943600"/>
                    </a:xfrm>
                    <a:prstGeom prst="rect">
                      <a:avLst/>
                    </a:prstGeom>
                  </pic:spPr>
                </pic:pic>
              </a:graphicData>
            </a:graphic>
          </wp:inline>
        </w:drawing>
      </w:r>
    </w:p>
    <w:p w14:paraId="4CCF5FA6" w14:textId="77777777" w:rsidR="00847A82" w:rsidRDefault="00847A82" w:rsidP="00847A82">
      <w:pPr>
        <w:rPr>
          <w:rFonts w:ascii="Arial" w:hAnsi="Arial" w:cs="Arial"/>
        </w:rPr>
      </w:pPr>
    </w:p>
    <w:p w14:paraId="654D2238" w14:textId="42277C49" w:rsidR="0012402D" w:rsidRPr="00A436ED" w:rsidRDefault="0012402D" w:rsidP="0012402D">
      <w:pPr>
        <w:pStyle w:val="Heading3"/>
        <w:rPr>
          <w:color w:val="auto"/>
        </w:rPr>
      </w:pPr>
      <w:bookmarkStart w:id="46" w:name="_Toc208578240"/>
      <w:r w:rsidRPr="00A436ED">
        <w:rPr>
          <w:rFonts w:hint="eastAsia"/>
          <w:color w:val="auto"/>
        </w:rPr>
        <w:t>Figure S</w:t>
      </w:r>
      <w:r w:rsidR="00B22F59">
        <w:rPr>
          <w:rFonts w:hint="eastAsia"/>
          <w:color w:val="auto"/>
        </w:rPr>
        <w:t>7</w:t>
      </w:r>
      <w:bookmarkEnd w:id="46"/>
      <w:r w:rsidRPr="00A436ED">
        <w:rPr>
          <w:rFonts w:hint="eastAsia"/>
          <w:color w:val="auto"/>
        </w:rPr>
        <w:t xml:space="preserve"> </w:t>
      </w:r>
    </w:p>
    <w:p w14:paraId="5B26BB3F" w14:textId="2771F2BD" w:rsidR="0012402D" w:rsidRDefault="0012402D" w:rsidP="0012402D">
      <w:r w:rsidRPr="00A436ED">
        <w:rPr>
          <w:rFonts w:hint="eastAsia"/>
        </w:rPr>
        <w:t xml:space="preserve">Direct, indirect, total, and overall vaccine effectiveness in </w:t>
      </w:r>
      <w:r w:rsidRPr="00A436ED">
        <w:t xml:space="preserve">the </w:t>
      </w:r>
      <w:r w:rsidRPr="00A436ED">
        <w:rPr>
          <w:rFonts w:hint="eastAsia"/>
        </w:rPr>
        <w:t>dynamic and static model</w:t>
      </w:r>
      <w:r w:rsidRPr="00A436ED">
        <w:t>s</w:t>
      </w:r>
      <w:r w:rsidRPr="00A436ED">
        <w:rPr>
          <w:rFonts w:hint="eastAsia"/>
        </w:rPr>
        <w:t>.</w:t>
      </w:r>
      <w:bookmarkEnd w:id="38"/>
      <w:r w:rsidRPr="00A436ED">
        <w:t xml:space="preserve"> </w:t>
      </w:r>
      <w:r w:rsidRPr="00A436ED">
        <w:rPr>
          <w:rFonts w:hint="eastAsia"/>
        </w:rPr>
        <w:t>V</w:t>
      </w:r>
      <w:r w:rsidRPr="00A436ED">
        <w:t xml:space="preserve">accine effectiveness was measured under the pre-emptive vaccination scenario where a proportion of the individuals, determined by the vaccine coverage rate, were in the compartments of individuals who acquired vaccine-derived protection, </w:t>
      </w:r>
      <m:oMath>
        <m:sSup>
          <m:sSupPr>
            <m:ctrlPr>
              <w:rPr>
                <w:rFonts w:ascii="Cambria Math" w:hAnsi="Cambria Math"/>
                <w:i/>
              </w:rPr>
            </m:ctrlPr>
          </m:sSupPr>
          <m:e>
            <m:r>
              <w:rPr>
                <w:rFonts w:ascii="Cambria Math" w:hAnsi="Cambria Math"/>
              </w:rPr>
              <m:t>V</m:t>
            </m:r>
          </m:e>
          <m:sup>
            <m:r>
              <w:rPr>
                <w:rFonts w:ascii="Cambria Math" w:hAnsi="Cambria Math"/>
              </w:rPr>
              <m:t>P</m:t>
            </m:r>
          </m:sup>
        </m:sSup>
      </m:oMath>
      <w:r w:rsidR="004E01C1">
        <w:rPr>
          <w:rFonts w:hint="eastAsia"/>
        </w:rPr>
        <w:t xml:space="preserve"> (</w:t>
      </w:r>
      <w:r w:rsidR="004E01C1" w:rsidRPr="004E01C1">
        <w:rPr>
          <w:rFonts w:hint="eastAsia"/>
          <w:b/>
          <w:bCs/>
        </w:rPr>
        <w:t>Figure S</w:t>
      </w:r>
      <w:r w:rsidR="00735B27">
        <w:rPr>
          <w:rFonts w:hint="eastAsia"/>
          <w:b/>
          <w:bCs/>
        </w:rPr>
        <w:t>3</w:t>
      </w:r>
      <w:r w:rsidR="004E01C1">
        <w:rPr>
          <w:rFonts w:hint="eastAsia"/>
        </w:rPr>
        <w:t>)</w:t>
      </w:r>
      <w:r w:rsidRPr="00A436ED">
        <w:t>, in the beginning of the simulation.</w:t>
      </w:r>
      <w:r>
        <w:rPr>
          <w:rFonts w:hint="eastAsia"/>
        </w:rPr>
        <w:t xml:space="preserve"> </w:t>
      </w:r>
    </w:p>
    <w:p w14:paraId="0CCD6E53" w14:textId="67FAA787" w:rsidR="002736A8" w:rsidRPr="00A436ED" w:rsidRDefault="002736A8" w:rsidP="0012402D">
      <w:r>
        <w:rPr>
          <w:noProof/>
        </w:rPr>
        <w:lastRenderedPageBreak/>
        <w:drawing>
          <wp:inline distT="0" distB="0" distL="0" distR="0" wp14:anchorId="15F9C880" wp14:editId="29EB5182">
            <wp:extent cx="5943600" cy="5943600"/>
            <wp:effectExtent l="0" t="0" r="0" b="0"/>
            <wp:docPr id="1533936209" name="Picture 1" descr="A diagram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36209" name="Picture 1" descr="A diagram of a vaccine&#10;&#10;AI-generated content may be incorrect."/>
                    <pic:cNvPicPr/>
                  </pic:nvPicPr>
                  <pic:blipFill>
                    <a:blip r:embed="rId19"/>
                    <a:stretch>
                      <a:fillRect/>
                    </a:stretch>
                  </pic:blipFill>
                  <pic:spPr>
                    <a:xfrm>
                      <a:off x="0" y="0"/>
                      <a:ext cx="5943600" cy="5943600"/>
                    </a:xfrm>
                    <a:prstGeom prst="rect">
                      <a:avLst/>
                    </a:prstGeom>
                  </pic:spPr>
                </pic:pic>
              </a:graphicData>
            </a:graphic>
          </wp:inline>
        </w:drawing>
      </w:r>
    </w:p>
    <w:p w14:paraId="77EA5838" w14:textId="4E30CCB4" w:rsidR="0012402D" w:rsidRDefault="0012402D" w:rsidP="0012402D">
      <w:pPr>
        <w:jc w:val="center"/>
        <w:rPr>
          <w:rFonts w:ascii="Arial" w:hAnsi="Arial" w:cs="Arial"/>
        </w:rPr>
      </w:pPr>
    </w:p>
    <w:p w14:paraId="30ED1B3A" w14:textId="77777777" w:rsidR="001A5D02" w:rsidRDefault="001A5D02" w:rsidP="0012402D">
      <w:pPr>
        <w:jc w:val="center"/>
        <w:rPr>
          <w:rFonts w:ascii="Arial" w:hAnsi="Arial" w:cs="Arial"/>
        </w:rPr>
        <w:sectPr w:rsidR="001A5D02" w:rsidSect="00C17D7F">
          <w:pgSz w:w="12240" w:h="15840"/>
          <w:pgMar w:top="1440" w:right="1440" w:bottom="1440" w:left="1440" w:header="720" w:footer="720" w:gutter="0"/>
          <w:cols w:space="720"/>
          <w:docGrid w:linePitch="360"/>
        </w:sectPr>
      </w:pPr>
    </w:p>
    <w:p w14:paraId="2674D826" w14:textId="18063A28" w:rsidR="005E28FC" w:rsidRPr="00A436ED" w:rsidRDefault="005E28FC" w:rsidP="005E28FC">
      <w:pPr>
        <w:pStyle w:val="Heading3"/>
        <w:rPr>
          <w:color w:val="auto"/>
        </w:rPr>
      </w:pPr>
      <w:bookmarkStart w:id="47" w:name="_Toc208578241"/>
      <w:r w:rsidRPr="00A436ED">
        <w:rPr>
          <w:color w:val="auto"/>
        </w:rPr>
        <w:lastRenderedPageBreak/>
        <w:t>Table S</w:t>
      </w:r>
      <w:r w:rsidR="004D3DC2">
        <w:rPr>
          <w:rFonts w:hint="eastAsia"/>
          <w:color w:val="auto"/>
        </w:rPr>
        <w:t>4</w:t>
      </w:r>
      <w:bookmarkEnd w:id="47"/>
    </w:p>
    <w:p w14:paraId="7138751C" w14:textId="4C3C2796" w:rsidR="005E28FC" w:rsidRDefault="001E0FC8" w:rsidP="008C007A">
      <w:pPr>
        <w:rPr>
          <w:rFonts w:ascii="Aptos" w:hAnsi="Aptos" w:cs="Aptos"/>
        </w:rPr>
      </w:pPr>
      <w:r w:rsidRPr="008C007A">
        <w:rPr>
          <w:rFonts w:ascii="Aptos" w:hAnsi="Aptos" w:cs="Aptos"/>
        </w:rPr>
        <w:t xml:space="preserve">Impact of ORI under the outbreak onset-triggered scenario across alternative outbreak datasets. </w:t>
      </w:r>
      <w:r w:rsidR="005E28FC" w:rsidRPr="0092473E">
        <w:rPr>
          <w:rFonts w:ascii="Aptos" w:hAnsi="Aptos" w:cs="Aptos"/>
        </w:rPr>
        <w:t xml:space="preserve"> Values represent medians with interquartile ranges</w:t>
      </w:r>
      <w:r w:rsidR="005E28FC">
        <w:rPr>
          <w:rFonts w:ascii="Aptos" w:hAnsi="Aptos" w:cs="Aptos" w:hint="eastAsia"/>
        </w:rPr>
        <w:t xml:space="preserve"> (IQRs).</w:t>
      </w:r>
      <w:r w:rsidR="008C007A">
        <w:rPr>
          <w:rFonts w:ascii="Aptos" w:hAnsi="Aptos" w:cs="Aptos" w:hint="eastAsia"/>
        </w:rPr>
        <w:t xml:space="preserve"> </w:t>
      </w:r>
      <w:r w:rsidR="008C007A" w:rsidRPr="008C007A">
        <w:rPr>
          <w:rFonts w:ascii="Aptos" w:hAnsi="Aptos" w:cs="Aptos"/>
        </w:rPr>
        <w:t>Scenario A: Original outbreak dataset, allowing ORIs even after outbreaks have ended</w:t>
      </w:r>
      <w:r w:rsidR="008C007A">
        <w:rPr>
          <w:rFonts w:ascii="Aptos" w:hAnsi="Aptos" w:cs="Aptos" w:hint="eastAsia"/>
        </w:rPr>
        <w:t xml:space="preserve">; </w:t>
      </w:r>
      <w:r w:rsidR="008C007A" w:rsidRPr="008C007A">
        <w:rPr>
          <w:rFonts w:ascii="Aptos" w:hAnsi="Aptos" w:cs="Aptos"/>
        </w:rPr>
        <w:t>Scenario B: Broader outbreak dataset, restricting ORIs to ongoing outbreaks only</w:t>
      </w:r>
      <w:r w:rsidR="008C007A">
        <w:rPr>
          <w:rFonts w:ascii="Aptos" w:hAnsi="Aptos" w:cs="Aptos" w:hint="eastAsia"/>
        </w:rPr>
        <w:t xml:space="preserve">; </w:t>
      </w:r>
      <w:r w:rsidR="008C007A" w:rsidRPr="008C007A">
        <w:rPr>
          <w:rFonts w:ascii="Aptos" w:hAnsi="Aptos" w:cs="Aptos"/>
        </w:rPr>
        <w:t>Scenario C: Broader outbreak dataset, allowing ORIs even after outbreaks have ended.</w:t>
      </w:r>
    </w:p>
    <w:tbl>
      <w:tblPr>
        <w:tblStyle w:val="TableGrid"/>
        <w:tblW w:w="12870" w:type="dxa"/>
        <w:tblInd w:w="-5" w:type="dxa"/>
        <w:tblLayout w:type="fixed"/>
        <w:tblLook w:val="04A0" w:firstRow="1" w:lastRow="0" w:firstColumn="1" w:lastColumn="0" w:noHBand="0" w:noVBand="1"/>
      </w:tblPr>
      <w:tblGrid>
        <w:gridCol w:w="990"/>
        <w:gridCol w:w="900"/>
        <w:gridCol w:w="1080"/>
        <w:gridCol w:w="1260"/>
        <w:gridCol w:w="1080"/>
        <w:gridCol w:w="1260"/>
        <w:gridCol w:w="1170"/>
        <w:gridCol w:w="1710"/>
        <w:gridCol w:w="1710"/>
        <w:gridCol w:w="1710"/>
      </w:tblGrid>
      <w:tr w:rsidR="002A062C" w:rsidRPr="002A062C" w14:paraId="688FDEDA" w14:textId="77777777" w:rsidTr="002A062C">
        <w:trPr>
          <w:trHeight w:val="300"/>
        </w:trPr>
        <w:tc>
          <w:tcPr>
            <w:tcW w:w="990" w:type="dxa"/>
            <w:tcBorders>
              <w:bottom w:val="single" w:sz="4" w:space="0" w:color="auto"/>
            </w:tcBorders>
            <w:vAlign w:val="center"/>
          </w:tcPr>
          <w:p w14:paraId="1DF198DA" w14:textId="0C3098A5" w:rsidR="002A062C" w:rsidRPr="002A062C" w:rsidRDefault="002A062C" w:rsidP="003B123B">
            <w:pPr>
              <w:spacing w:line="240" w:lineRule="auto"/>
              <w:jc w:val="center"/>
              <w:rPr>
                <w:rFonts w:cs="Arial" w:hint="eastAsia"/>
                <w:sz w:val="20"/>
                <w:szCs w:val="20"/>
              </w:rPr>
            </w:pPr>
            <w:r w:rsidRPr="002A062C">
              <w:rPr>
                <w:rFonts w:cs="Arial" w:hint="eastAsia"/>
                <w:sz w:val="20"/>
                <w:szCs w:val="20"/>
              </w:rPr>
              <w:t>Vaccine coverage</w:t>
            </w:r>
          </w:p>
        </w:tc>
        <w:tc>
          <w:tcPr>
            <w:tcW w:w="900" w:type="dxa"/>
            <w:tcBorders>
              <w:bottom w:val="single" w:sz="4" w:space="0" w:color="auto"/>
            </w:tcBorders>
            <w:vAlign w:val="center"/>
          </w:tcPr>
          <w:p w14:paraId="07CFEE32" w14:textId="1C8E474D" w:rsidR="002A062C" w:rsidRPr="002A062C" w:rsidRDefault="002A062C" w:rsidP="003B123B">
            <w:pPr>
              <w:spacing w:line="240" w:lineRule="auto"/>
              <w:jc w:val="center"/>
              <w:rPr>
                <w:rFonts w:cs="Arial" w:hint="eastAsia"/>
                <w:sz w:val="20"/>
                <w:szCs w:val="20"/>
              </w:rPr>
            </w:pPr>
            <w:r w:rsidRPr="002A062C">
              <w:rPr>
                <w:rFonts w:cs="Arial"/>
                <w:sz w:val="20"/>
                <w:szCs w:val="20"/>
              </w:rPr>
              <w:t>Camp-</w:t>
            </w:r>
            <w:proofErr w:type="spellStart"/>
            <w:r w:rsidRPr="002A062C">
              <w:rPr>
                <w:rFonts w:cs="Arial"/>
                <w:sz w:val="20"/>
                <w:szCs w:val="20"/>
              </w:rPr>
              <w:t>aign</w:t>
            </w:r>
            <w:proofErr w:type="spellEnd"/>
            <w:r w:rsidRPr="002A062C">
              <w:rPr>
                <w:rFonts w:cs="Arial"/>
                <w:sz w:val="20"/>
                <w:szCs w:val="20"/>
              </w:rPr>
              <w:t xml:space="preserve"> week</w:t>
            </w:r>
          </w:p>
        </w:tc>
        <w:tc>
          <w:tcPr>
            <w:tcW w:w="1080" w:type="dxa"/>
            <w:tcBorders>
              <w:bottom w:val="single" w:sz="4" w:space="0" w:color="auto"/>
            </w:tcBorders>
            <w:vAlign w:val="center"/>
          </w:tcPr>
          <w:p w14:paraId="014CB5D4" w14:textId="77777777" w:rsidR="002A062C" w:rsidRPr="002A062C" w:rsidRDefault="002A062C" w:rsidP="002A062C">
            <w:pPr>
              <w:spacing w:line="240" w:lineRule="auto"/>
              <w:jc w:val="center"/>
              <w:rPr>
                <w:rFonts w:cs="Arial"/>
                <w:sz w:val="20"/>
                <w:szCs w:val="20"/>
              </w:rPr>
            </w:pPr>
            <w:r w:rsidRPr="002A062C">
              <w:rPr>
                <w:rFonts w:cs="Arial"/>
                <w:sz w:val="20"/>
                <w:szCs w:val="20"/>
              </w:rPr>
              <w:t>% case reduction</w:t>
            </w:r>
          </w:p>
        </w:tc>
        <w:tc>
          <w:tcPr>
            <w:tcW w:w="1260" w:type="dxa"/>
            <w:tcBorders>
              <w:bottom w:val="single" w:sz="4" w:space="0" w:color="auto"/>
            </w:tcBorders>
            <w:noWrap/>
            <w:vAlign w:val="center"/>
            <w:hideMark/>
          </w:tcPr>
          <w:p w14:paraId="76E83E95" w14:textId="77777777" w:rsidR="002A062C" w:rsidRPr="002A062C" w:rsidRDefault="002A062C" w:rsidP="002A062C">
            <w:pPr>
              <w:spacing w:line="240" w:lineRule="auto"/>
              <w:jc w:val="center"/>
              <w:rPr>
                <w:rFonts w:cs="Arial"/>
                <w:sz w:val="20"/>
                <w:szCs w:val="20"/>
              </w:rPr>
            </w:pPr>
            <w:r w:rsidRPr="002A062C">
              <w:rPr>
                <w:rFonts w:cs="Arial"/>
                <w:sz w:val="20"/>
                <w:szCs w:val="20"/>
              </w:rPr>
              <w:t>Case averted</w:t>
            </w:r>
          </w:p>
        </w:tc>
        <w:tc>
          <w:tcPr>
            <w:tcW w:w="1080" w:type="dxa"/>
            <w:tcBorders>
              <w:bottom w:val="single" w:sz="4" w:space="0" w:color="auto"/>
            </w:tcBorders>
            <w:noWrap/>
            <w:vAlign w:val="center"/>
            <w:hideMark/>
          </w:tcPr>
          <w:p w14:paraId="46B5DFA7" w14:textId="77777777" w:rsidR="002A062C" w:rsidRPr="002A062C" w:rsidRDefault="002A062C" w:rsidP="002A062C">
            <w:pPr>
              <w:spacing w:line="240" w:lineRule="auto"/>
              <w:jc w:val="center"/>
              <w:rPr>
                <w:rFonts w:cs="Arial"/>
                <w:sz w:val="20"/>
                <w:szCs w:val="20"/>
              </w:rPr>
            </w:pPr>
            <w:r w:rsidRPr="002A062C">
              <w:rPr>
                <w:rFonts w:cs="Arial"/>
                <w:sz w:val="20"/>
                <w:szCs w:val="20"/>
              </w:rPr>
              <w:t>Death averted</w:t>
            </w:r>
          </w:p>
        </w:tc>
        <w:tc>
          <w:tcPr>
            <w:tcW w:w="1260" w:type="dxa"/>
            <w:tcBorders>
              <w:bottom w:val="single" w:sz="4" w:space="0" w:color="auto"/>
            </w:tcBorders>
            <w:noWrap/>
            <w:vAlign w:val="center"/>
            <w:hideMark/>
          </w:tcPr>
          <w:p w14:paraId="4A51E2E8" w14:textId="77777777" w:rsidR="002A062C" w:rsidRPr="002A062C" w:rsidRDefault="002A062C" w:rsidP="002A062C">
            <w:pPr>
              <w:spacing w:line="240" w:lineRule="auto"/>
              <w:jc w:val="center"/>
              <w:rPr>
                <w:rFonts w:cs="Arial"/>
                <w:sz w:val="20"/>
                <w:szCs w:val="20"/>
              </w:rPr>
            </w:pPr>
            <w:r w:rsidRPr="002A062C">
              <w:rPr>
                <w:rFonts w:cs="Arial"/>
                <w:sz w:val="20"/>
                <w:szCs w:val="20"/>
              </w:rPr>
              <w:t>Case averted per</w:t>
            </w:r>
          </w:p>
          <w:p w14:paraId="427AC4EF" w14:textId="77777777" w:rsidR="002A062C" w:rsidRPr="002A062C" w:rsidRDefault="002A062C" w:rsidP="002A062C">
            <w:pPr>
              <w:spacing w:line="240" w:lineRule="auto"/>
              <w:jc w:val="center"/>
              <w:rPr>
                <w:rFonts w:cs="Arial"/>
                <w:sz w:val="20"/>
                <w:szCs w:val="20"/>
              </w:rPr>
            </w:pPr>
            <w:r w:rsidRPr="002A062C">
              <w:rPr>
                <w:rFonts w:cs="Arial"/>
                <w:sz w:val="20"/>
                <w:szCs w:val="20"/>
              </w:rPr>
              <w:t>1,000 OCVs</w:t>
            </w:r>
          </w:p>
        </w:tc>
        <w:tc>
          <w:tcPr>
            <w:tcW w:w="1170" w:type="dxa"/>
            <w:tcBorders>
              <w:bottom w:val="single" w:sz="4" w:space="0" w:color="auto"/>
            </w:tcBorders>
            <w:noWrap/>
            <w:vAlign w:val="center"/>
            <w:hideMark/>
          </w:tcPr>
          <w:p w14:paraId="7AE1D8D1" w14:textId="77777777" w:rsidR="002A062C" w:rsidRPr="002A062C" w:rsidRDefault="002A062C" w:rsidP="002A062C">
            <w:pPr>
              <w:spacing w:line="240" w:lineRule="auto"/>
              <w:jc w:val="center"/>
              <w:rPr>
                <w:rFonts w:cs="Arial"/>
                <w:sz w:val="20"/>
                <w:szCs w:val="20"/>
              </w:rPr>
            </w:pPr>
            <w:r w:rsidRPr="002A062C">
              <w:rPr>
                <w:rFonts w:cs="Arial"/>
                <w:sz w:val="20"/>
                <w:szCs w:val="20"/>
              </w:rPr>
              <w:t>Death averted per 1,000 OCVs</w:t>
            </w:r>
          </w:p>
        </w:tc>
        <w:tc>
          <w:tcPr>
            <w:tcW w:w="1710" w:type="dxa"/>
            <w:tcBorders>
              <w:bottom w:val="single" w:sz="4" w:space="0" w:color="auto"/>
            </w:tcBorders>
            <w:noWrap/>
            <w:vAlign w:val="center"/>
            <w:hideMark/>
          </w:tcPr>
          <w:p w14:paraId="4547BB84" w14:textId="77777777" w:rsidR="002A062C" w:rsidRPr="002A062C" w:rsidRDefault="002A062C" w:rsidP="002A062C">
            <w:pPr>
              <w:spacing w:line="240" w:lineRule="auto"/>
              <w:jc w:val="center"/>
              <w:rPr>
                <w:rFonts w:cs="Arial"/>
                <w:sz w:val="20"/>
                <w:szCs w:val="20"/>
              </w:rPr>
            </w:pPr>
            <w:r w:rsidRPr="002A062C">
              <w:rPr>
                <w:rFonts w:cs="Arial"/>
                <w:sz w:val="20"/>
                <w:szCs w:val="20"/>
              </w:rPr>
              <w:t>Cost per case averted</w:t>
            </w:r>
          </w:p>
        </w:tc>
        <w:tc>
          <w:tcPr>
            <w:tcW w:w="1710" w:type="dxa"/>
            <w:tcBorders>
              <w:bottom w:val="single" w:sz="4" w:space="0" w:color="auto"/>
            </w:tcBorders>
            <w:noWrap/>
            <w:vAlign w:val="center"/>
            <w:hideMark/>
          </w:tcPr>
          <w:p w14:paraId="6BF19EE0" w14:textId="77777777" w:rsidR="002A062C" w:rsidRPr="002A062C" w:rsidRDefault="002A062C" w:rsidP="002A062C">
            <w:pPr>
              <w:spacing w:line="240" w:lineRule="auto"/>
              <w:jc w:val="center"/>
              <w:rPr>
                <w:rFonts w:cs="Arial"/>
                <w:sz w:val="20"/>
                <w:szCs w:val="20"/>
              </w:rPr>
            </w:pPr>
            <w:r w:rsidRPr="002A062C">
              <w:rPr>
                <w:rFonts w:cs="Arial"/>
                <w:sz w:val="20"/>
                <w:szCs w:val="20"/>
              </w:rPr>
              <w:t>Cost per death averted</w:t>
            </w:r>
          </w:p>
        </w:tc>
        <w:tc>
          <w:tcPr>
            <w:tcW w:w="1710" w:type="dxa"/>
            <w:tcBorders>
              <w:bottom w:val="single" w:sz="4" w:space="0" w:color="auto"/>
            </w:tcBorders>
            <w:noWrap/>
            <w:vAlign w:val="center"/>
            <w:hideMark/>
          </w:tcPr>
          <w:p w14:paraId="2F68F51B" w14:textId="77777777" w:rsidR="002A062C" w:rsidRPr="002A062C" w:rsidRDefault="002A062C" w:rsidP="002A062C">
            <w:pPr>
              <w:spacing w:line="240" w:lineRule="auto"/>
              <w:jc w:val="center"/>
              <w:rPr>
                <w:rFonts w:cs="Arial"/>
                <w:sz w:val="20"/>
                <w:szCs w:val="20"/>
              </w:rPr>
            </w:pPr>
            <w:r w:rsidRPr="002A062C">
              <w:rPr>
                <w:rFonts w:cs="Arial"/>
                <w:sz w:val="20"/>
                <w:szCs w:val="20"/>
              </w:rPr>
              <w:t>Cost per DALY averted</w:t>
            </w:r>
          </w:p>
        </w:tc>
      </w:tr>
      <w:tr w:rsidR="002A062C" w:rsidRPr="002A062C" w14:paraId="310D486C" w14:textId="77777777" w:rsidTr="002A062C">
        <w:trPr>
          <w:trHeight w:val="773"/>
        </w:trPr>
        <w:tc>
          <w:tcPr>
            <w:tcW w:w="990" w:type="dxa"/>
            <w:tcBorders>
              <w:top w:val="single" w:sz="4" w:space="0" w:color="auto"/>
              <w:bottom w:val="nil"/>
              <w:right w:val="single" w:sz="4" w:space="0" w:color="auto"/>
            </w:tcBorders>
            <w:vAlign w:val="center"/>
          </w:tcPr>
          <w:p w14:paraId="72654D6C" w14:textId="3B381572" w:rsidR="002A062C" w:rsidRPr="002A062C" w:rsidRDefault="002A062C" w:rsidP="002A062C">
            <w:pPr>
              <w:spacing w:line="240" w:lineRule="auto"/>
              <w:jc w:val="center"/>
              <w:rPr>
                <w:rFonts w:cs="Arial" w:hint="eastAsia"/>
                <w:sz w:val="20"/>
                <w:szCs w:val="20"/>
              </w:rPr>
            </w:pPr>
            <w:r w:rsidRPr="002A062C">
              <w:rPr>
                <w:rFonts w:hint="eastAsia"/>
                <w:sz w:val="20"/>
                <w:szCs w:val="20"/>
              </w:rPr>
              <w:t>0.6</w:t>
            </w:r>
          </w:p>
        </w:tc>
        <w:tc>
          <w:tcPr>
            <w:tcW w:w="900" w:type="dxa"/>
            <w:tcBorders>
              <w:top w:val="single" w:sz="4" w:space="0" w:color="auto"/>
              <w:bottom w:val="single" w:sz="4" w:space="0" w:color="auto"/>
              <w:right w:val="single" w:sz="4" w:space="0" w:color="auto"/>
            </w:tcBorders>
            <w:vAlign w:val="center"/>
          </w:tcPr>
          <w:p w14:paraId="268E1DB4" w14:textId="195223F3" w:rsidR="002A062C" w:rsidRPr="002A062C" w:rsidRDefault="002A062C" w:rsidP="002A062C">
            <w:pPr>
              <w:spacing w:line="240" w:lineRule="auto"/>
              <w:jc w:val="center"/>
              <w:rPr>
                <w:rFonts w:hint="eastAsia"/>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8FFD7D4" w14:textId="64647B1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63.2 (44.2 - 76.4)</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6A07C7B7" w14:textId="4A0031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114 (35 - 343)</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785A04E" w14:textId="6C3385F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(0 - 5)</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6C63AE98" w14:textId="2E6751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0.727 (0.181 - 2.53)</w:t>
            </w:r>
          </w:p>
        </w:tc>
        <w:tc>
          <w:tcPr>
            <w:tcW w:w="1170" w:type="dxa"/>
            <w:tcBorders>
              <w:top w:val="single" w:sz="4" w:space="0" w:color="auto"/>
              <w:left w:val="single" w:sz="4" w:space="0" w:color="auto"/>
              <w:bottom w:val="single" w:sz="4" w:space="0" w:color="auto"/>
              <w:right w:val="single" w:sz="4" w:space="0" w:color="auto"/>
            </w:tcBorders>
            <w:noWrap/>
            <w:vAlign w:val="center"/>
          </w:tcPr>
          <w:p w14:paraId="472DEA64" w14:textId="6011902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0.005 (0 - 0.033)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785CAD4" w14:textId="0AB18BA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4,245.8 (867.9 - 17,771.5)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72C3124F" w14:textId="5C1E27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140,020.6 (23,789.7 - 470,469.4)</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0A26519" w14:textId="7AF257C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23,603.2 (3,287.6 - 4,325,215)</w:t>
            </w:r>
          </w:p>
        </w:tc>
      </w:tr>
      <w:tr w:rsidR="002A062C" w:rsidRPr="002A062C" w14:paraId="6B0CEC1D" w14:textId="77777777" w:rsidTr="002A062C">
        <w:trPr>
          <w:trHeight w:val="300"/>
        </w:trPr>
        <w:tc>
          <w:tcPr>
            <w:tcW w:w="990" w:type="dxa"/>
            <w:tcBorders>
              <w:top w:val="nil"/>
              <w:bottom w:val="nil"/>
              <w:right w:val="single" w:sz="4" w:space="0" w:color="auto"/>
            </w:tcBorders>
            <w:vAlign w:val="center"/>
          </w:tcPr>
          <w:p w14:paraId="65A036FE" w14:textId="719B9100"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31090CB7" w14:textId="7F39E5FC" w:rsidR="002A062C" w:rsidRPr="002A062C" w:rsidRDefault="002A062C" w:rsidP="002A062C">
            <w:pPr>
              <w:spacing w:line="240" w:lineRule="auto"/>
              <w:jc w:val="center"/>
              <w:rPr>
                <w:rFonts w:hint="eastAsia"/>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68BDC927" w14:textId="46D3500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21.6 (2.6 - 45.8)</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3DAC8FD" w14:textId="4D7C7CD1"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35 (2 - 180)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0B5D7A5D" w14:textId="4A938F5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1C2BFD35" w14:textId="223FFCF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0.283 (0.037 - 1.427)</w:t>
            </w:r>
          </w:p>
        </w:tc>
        <w:tc>
          <w:tcPr>
            <w:tcW w:w="1170" w:type="dxa"/>
            <w:tcBorders>
              <w:top w:val="single" w:sz="4" w:space="0" w:color="auto"/>
              <w:left w:val="single" w:sz="4" w:space="0" w:color="auto"/>
              <w:bottom w:val="single" w:sz="4" w:space="0" w:color="auto"/>
              <w:right w:val="single" w:sz="4" w:space="0" w:color="auto"/>
            </w:tcBorders>
            <w:noWrap/>
            <w:vAlign w:val="center"/>
          </w:tcPr>
          <w:p w14:paraId="5E9D8F4D" w14:textId="77BB76F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5D8F6DE3" w14:textId="7153FFB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8,143.9 (1,558 - 36,591.8)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62779366" w14:textId="2B3C124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163,611.8 (38,358.2 - 551,736.1)</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205EAC83" w14:textId="1D8943F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223,046.3 (6,370.2 - 21,600,340)</w:t>
            </w:r>
          </w:p>
        </w:tc>
      </w:tr>
      <w:tr w:rsidR="002A062C" w:rsidRPr="002A062C" w14:paraId="492E5FB5" w14:textId="77777777" w:rsidTr="002A062C">
        <w:trPr>
          <w:trHeight w:val="701"/>
        </w:trPr>
        <w:tc>
          <w:tcPr>
            <w:tcW w:w="990" w:type="dxa"/>
            <w:tcBorders>
              <w:top w:val="nil"/>
              <w:bottom w:val="nil"/>
              <w:right w:val="single" w:sz="4" w:space="0" w:color="auto"/>
            </w:tcBorders>
            <w:vAlign w:val="center"/>
          </w:tcPr>
          <w:p w14:paraId="69CAFC29" w14:textId="78169DFD"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161D6991" w14:textId="6B38E40A" w:rsidR="002A062C" w:rsidRPr="002A062C" w:rsidRDefault="002A062C" w:rsidP="002A062C">
            <w:pPr>
              <w:spacing w:line="240" w:lineRule="auto"/>
              <w:jc w:val="center"/>
              <w:rPr>
                <w:rFonts w:hint="eastAsia"/>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34659201" w14:textId="4894D86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3.1 (0 - 23.7)</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379EF2AD" w14:textId="454E77E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5 (0 - 78)</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7D0A72B" w14:textId="0FCC0B0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AAA1209" w14:textId="65CCFA9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0.188 (0.017 - 1.057)</w:t>
            </w:r>
          </w:p>
        </w:tc>
        <w:tc>
          <w:tcPr>
            <w:tcW w:w="1170" w:type="dxa"/>
            <w:tcBorders>
              <w:top w:val="single" w:sz="4" w:space="0" w:color="auto"/>
              <w:left w:val="single" w:sz="4" w:space="0" w:color="auto"/>
              <w:bottom w:val="single" w:sz="4" w:space="0" w:color="auto"/>
              <w:right w:val="single" w:sz="4" w:space="0" w:color="auto"/>
            </w:tcBorders>
            <w:noWrap/>
            <w:vAlign w:val="center"/>
          </w:tcPr>
          <w:p w14:paraId="7982AEF2" w14:textId="5FC077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(0 - 0.011)</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257E654A" w14:textId="300BE2A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10,820.2 (2,133.9 - 49,917.3)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7D008698" w14:textId="12FD9EB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201,300 (53,422 - 584,093.7)</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83876B3" w14:textId="1D55D6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630,538.3 (8,955.8 - 32,787,064)</w:t>
            </w:r>
          </w:p>
        </w:tc>
      </w:tr>
      <w:tr w:rsidR="002A062C" w:rsidRPr="002A062C" w14:paraId="2EAA88B1" w14:textId="77777777" w:rsidTr="002A062C">
        <w:trPr>
          <w:trHeight w:val="701"/>
        </w:trPr>
        <w:tc>
          <w:tcPr>
            <w:tcW w:w="990" w:type="dxa"/>
            <w:tcBorders>
              <w:top w:val="nil"/>
              <w:bottom w:val="single" w:sz="4" w:space="0" w:color="auto"/>
              <w:right w:val="single" w:sz="4" w:space="0" w:color="auto"/>
            </w:tcBorders>
            <w:vAlign w:val="center"/>
          </w:tcPr>
          <w:p w14:paraId="131A82D1" w14:textId="16B7EFD2"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7E2049DA" w14:textId="00913844" w:rsidR="002A062C" w:rsidRPr="002A062C" w:rsidRDefault="002A062C" w:rsidP="002A062C">
            <w:pPr>
              <w:spacing w:line="240" w:lineRule="auto"/>
              <w:jc w:val="center"/>
              <w:rPr>
                <w:rFonts w:hint="eastAsia"/>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11D8ED25" w14:textId="4BD9A50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(0 - 8.6)</w:t>
            </w:r>
          </w:p>
        </w:tc>
        <w:tc>
          <w:tcPr>
            <w:tcW w:w="1260" w:type="dxa"/>
            <w:tcBorders>
              <w:top w:val="single" w:sz="4" w:space="0" w:color="auto"/>
              <w:left w:val="single" w:sz="4" w:space="0" w:color="auto"/>
              <w:bottom w:val="single" w:sz="4" w:space="0" w:color="auto"/>
              <w:right w:val="single" w:sz="4" w:space="0" w:color="auto"/>
            </w:tcBorders>
            <w:noWrap/>
            <w:vAlign w:val="center"/>
          </w:tcPr>
          <w:p w14:paraId="4A0E6B66" w14:textId="69C00FC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(0 - 25)</w:t>
            </w:r>
          </w:p>
        </w:tc>
        <w:tc>
          <w:tcPr>
            <w:tcW w:w="1080" w:type="dxa"/>
            <w:tcBorders>
              <w:top w:val="single" w:sz="4" w:space="0" w:color="auto"/>
              <w:left w:val="single" w:sz="4" w:space="0" w:color="auto"/>
              <w:bottom w:val="single" w:sz="4" w:space="0" w:color="auto"/>
              <w:right w:val="single" w:sz="4" w:space="0" w:color="auto"/>
            </w:tcBorders>
            <w:noWrap/>
            <w:vAlign w:val="center"/>
          </w:tcPr>
          <w:p w14:paraId="263B026C" w14:textId="3E335C4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40D89EF5" w14:textId="52DCD02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0.144 (0.011 - 0.9)</w:t>
            </w:r>
          </w:p>
        </w:tc>
        <w:tc>
          <w:tcPr>
            <w:tcW w:w="1170" w:type="dxa"/>
            <w:tcBorders>
              <w:top w:val="single" w:sz="4" w:space="0" w:color="auto"/>
              <w:left w:val="single" w:sz="4" w:space="0" w:color="auto"/>
              <w:bottom w:val="single" w:sz="4" w:space="0" w:color="auto"/>
              <w:right w:val="single" w:sz="4" w:space="0" w:color="auto"/>
            </w:tcBorders>
            <w:noWrap/>
            <w:vAlign w:val="center"/>
          </w:tcPr>
          <w:p w14:paraId="5156FFE9" w14:textId="73543E9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(0 - 0.008)</w:t>
            </w:r>
          </w:p>
        </w:tc>
        <w:tc>
          <w:tcPr>
            <w:tcW w:w="1710" w:type="dxa"/>
            <w:tcBorders>
              <w:top w:val="single" w:sz="4" w:space="0" w:color="auto"/>
              <w:left w:val="single" w:sz="4" w:space="0" w:color="auto"/>
              <w:bottom w:val="single" w:sz="4" w:space="0" w:color="auto"/>
              <w:right w:val="single" w:sz="4" w:space="0" w:color="auto"/>
            </w:tcBorders>
            <w:noWrap/>
            <w:vAlign w:val="center"/>
          </w:tcPr>
          <w:p w14:paraId="11A45E7F" w14:textId="18B8958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13,399.3 (2,431.2 - 68,113.9)</w:t>
            </w:r>
          </w:p>
        </w:tc>
        <w:tc>
          <w:tcPr>
            <w:tcW w:w="1710" w:type="dxa"/>
            <w:tcBorders>
              <w:top w:val="single" w:sz="4" w:space="0" w:color="auto"/>
              <w:left w:val="single" w:sz="4" w:space="0" w:color="auto"/>
              <w:bottom w:val="single" w:sz="4" w:space="0" w:color="auto"/>
              <w:right w:val="single" w:sz="4" w:space="0" w:color="auto"/>
            </w:tcBorders>
            <w:noWrap/>
            <w:vAlign w:val="center"/>
          </w:tcPr>
          <w:p w14:paraId="69C9E13C" w14:textId="3B0491A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227,046.3 (57,944 - 646,204.9)</w:t>
            </w:r>
          </w:p>
        </w:tc>
        <w:tc>
          <w:tcPr>
            <w:tcW w:w="1710" w:type="dxa"/>
            <w:tcBorders>
              <w:top w:val="single" w:sz="4" w:space="0" w:color="auto"/>
              <w:left w:val="single" w:sz="4" w:space="0" w:color="auto"/>
              <w:bottom w:val="single" w:sz="4" w:space="0" w:color="auto"/>
              <w:right w:val="single" w:sz="4" w:space="0" w:color="auto"/>
            </w:tcBorders>
            <w:noWrap/>
            <w:vAlign w:val="center"/>
          </w:tcPr>
          <w:p w14:paraId="00D2B65C" w14:textId="0978682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1,552,157 (10,908.9 - 45,121,471)</w:t>
            </w:r>
          </w:p>
        </w:tc>
      </w:tr>
      <w:tr w:rsidR="002A062C" w:rsidRPr="002A062C" w14:paraId="23B16051" w14:textId="77777777" w:rsidTr="002A062C">
        <w:trPr>
          <w:trHeight w:val="701"/>
        </w:trPr>
        <w:tc>
          <w:tcPr>
            <w:tcW w:w="990" w:type="dxa"/>
            <w:tcBorders>
              <w:top w:val="single" w:sz="4" w:space="0" w:color="auto"/>
              <w:bottom w:val="nil"/>
              <w:right w:val="single" w:sz="4" w:space="0" w:color="auto"/>
            </w:tcBorders>
            <w:vAlign w:val="center"/>
          </w:tcPr>
          <w:p w14:paraId="5F4ABAA7" w14:textId="5837AF84" w:rsidR="002A062C" w:rsidRPr="002A062C" w:rsidRDefault="002A062C" w:rsidP="002A062C">
            <w:pPr>
              <w:spacing w:line="240" w:lineRule="auto"/>
              <w:jc w:val="center"/>
              <w:rPr>
                <w:rFonts w:cs="Arial" w:hint="eastAsia"/>
                <w:sz w:val="20"/>
                <w:szCs w:val="20"/>
              </w:rPr>
            </w:pPr>
            <w:r w:rsidRPr="002A062C">
              <w:rPr>
                <w:rFonts w:hint="eastAsia"/>
                <w:sz w:val="20"/>
                <w:szCs w:val="20"/>
              </w:rPr>
              <w:t>0.75</w:t>
            </w:r>
          </w:p>
        </w:tc>
        <w:tc>
          <w:tcPr>
            <w:tcW w:w="900" w:type="dxa"/>
            <w:tcBorders>
              <w:top w:val="single" w:sz="4" w:space="0" w:color="auto"/>
              <w:bottom w:val="single" w:sz="4" w:space="0" w:color="auto"/>
              <w:right w:val="single" w:sz="4" w:space="0" w:color="auto"/>
            </w:tcBorders>
            <w:vAlign w:val="center"/>
          </w:tcPr>
          <w:p w14:paraId="176789EE" w14:textId="5E283A14" w:rsidR="002A062C" w:rsidRPr="002A062C" w:rsidRDefault="002A062C" w:rsidP="002A062C">
            <w:pPr>
              <w:spacing w:line="240" w:lineRule="auto"/>
              <w:jc w:val="center"/>
              <w:rPr>
                <w:rFonts w:hint="eastAsia"/>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C610CEE" w14:textId="7535C68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70.7 (49.5 - 83.8)</w:t>
            </w:r>
          </w:p>
        </w:tc>
        <w:tc>
          <w:tcPr>
            <w:tcW w:w="1260" w:type="dxa"/>
            <w:tcBorders>
              <w:top w:val="single" w:sz="4" w:space="0" w:color="auto"/>
              <w:left w:val="single" w:sz="4" w:space="0" w:color="auto"/>
              <w:bottom w:val="single" w:sz="4" w:space="0" w:color="auto"/>
              <w:right w:val="single" w:sz="4" w:space="0" w:color="auto"/>
            </w:tcBorders>
            <w:noWrap/>
            <w:vAlign w:val="center"/>
          </w:tcPr>
          <w:p w14:paraId="1239EE17" w14:textId="4041484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126 (39 - 377)</w:t>
            </w:r>
          </w:p>
        </w:tc>
        <w:tc>
          <w:tcPr>
            <w:tcW w:w="1080" w:type="dxa"/>
            <w:tcBorders>
              <w:top w:val="single" w:sz="4" w:space="0" w:color="auto"/>
              <w:left w:val="single" w:sz="4" w:space="0" w:color="auto"/>
              <w:bottom w:val="single" w:sz="4" w:space="0" w:color="auto"/>
              <w:right w:val="single" w:sz="4" w:space="0" w:color="auto"/>
            </w:tcBorders>
            <w:noWrap/>
            <w:vAlign w:val="center"/>
          </w:tcPr>
          <w:p w14:paraId="536FA3D9" w14:textId="5D85672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(0 - 6)</w:t>
            </w:r>
          </w:p>
        </w:tc>
        <w:tc>
          <w:tcPr>
            <w:tcW w:w="1260" w:type="dxa"/>
            <w:tcBorders>
              <w:top w:val="single" w:sz="4" w:space="0" w:color="auto"/>
              <w:left w:val="single" w:sz="4" w:space="0" w:color="auto"/>
              <w:bottom w:val="single" w:sz="4" w:space="0" w:color="auto"/>
              <w:right w:val="single" w:sz="4" w:space="0" w:color="auto"/>
            </w:tcBorders>
            <w:noWrap/>
            <w:vAlign w:val="center"/>
          </w:tcPr>
          <w:p w14:paraId="7CED9E36" w14:textId="729DE88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0.642 (0.16 - 2.235)</w:t>
            </w:r>
          </w:p>
        </w:tc>
        <w:tc>
          <w:tcPr>
            <w:tcW w:w="1170" w:type="dxa"/>
            <w:tcBorders>
              <w:top w:val="single" w:sz="4" w:space="0" w:color="auto"/>
              <w:left w:val="single" w:sz="4" w:space="0" w:color="auto"/>
              <w:bottom w:val="single" w:sz="4" w:space="0" w:color="auto"/>
              <w:right w:val="single" w:sz="4" w:space="0" w:color="auto"/>
            </w:tcBorders>
            <w:noWrap/>
            <w:vAlign w:val="center"/>
          </w:tcPr>
          <w:p w14:paraId="42DB6A6A" w14:textId="01BD148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0.005 (0 - 0.029)</w:t>
            </w:r>
          </w:p>
        </w:tc>
        <w:tc>
          <w:tcPr>
            <w:tcW w:w="1710" w:type="dxa"/>
            <w:tcBorders>
              <w:top w:val="single" w:sz="4" w:space="0" w:color="auto"/>
              <w:left w:val="single" w:sz="4" w:space="0" w:color="auto"/>
              <w:bottom w:val="single" w:sz="4" w:space="0" w:color="auto"/>
              <w:right w:val="single" w:sz="4" w:space="0" w:color="auto"/>
            </w:tcBorders>
            <w:noWrap/>
            <w:vAlign w:val="center"/>
          </w:tcPr>
          <w:p w14:paraId="768E3474" w14:textId="2905D4E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4,910.4 (1,045.1 - 20,123.9)</w:t>
            </w:r>
          </w:p>
        </w:tc>
        <w:tc>
          <w:tcPr>
            <w:tcW w:w="1710" w:type="dxa"/>
            <w:tcBorders>
              <w:top w:val="single" w:sz="4" w:space="0" w:color="auto"/>
              <w:left w:val="single" w:sz="4" w:space="0" w:color="auto"/>
              <w:bottom w:val="single" w:sz="4" w:space="0" w:color="auto"/>
              <w:right w:val="single" w:sz="4" w:space="0" w:color="auto"/>
            </w:tcBorders>
            <w:noWrap/>
            <w:vAlign w:val="center"/>
          </w:tcPr>
          <w:p w14:paraId="487F3F13" w14:textId="36ED0A5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163,463.9 (31,534.4 - 537,303.5)</w:t>
            </w:r>
          </w:p>
        </w:tc>
        <w:tc>
          <w:tcPr>
            <w:tcW w:w="1710" w:type="dxa"/>
            <w:tcBorders>
              <w:top w:val="single" w:sz="4" w:space="0" w:color="auto"/>
              <w:left w:val="single" w:sz="4" w:space="0" w:color="auto"/>
              <w:bottom w:val="single" w:sz="4" w:space="0" w:color="auto"/>
              <w:right w:val="single" w:sz="4" w:space="0" w:color="auto"/>
            </w:tcBorders>
            <w:noWrap/>
            <w:vAlign w:val="center"/>
          </w:tcPr>
          <w:p w14:paraId="54A39C56" w14:textId="76E3842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26,687.6 (3,937.7 - 4,898,163)</w:t>
            </w:r>
          </w:p>
        </w:tc>
      </w:tr>
      <w:tr w:rsidR="002A062C" w:rsidRPr="002A062C" w14:paraId="39B0EF45" w14:textId="77777777" w:rsidTr="002A062C">
        <w:trPr>
          <w:trHeight w:val="701"/>
        </w:trPr>
        <w:tc>
          <w:tcPr>
            <w:tcW w:w="990" w:type="dxa"/>
            <w:tcBorders>
              <w:top w:val="nil"/>
              <w:bottom w:val="nil"/>
              <w:right w:val="single" w:sz="4" w:space="0" w:color="auto"/>
            </w:tcBorders>
            <w:vAlign w:val="center"/>
          </w:tcPr>
          <w:p w14:paraId="66C8CB6E" w14:textId="143FD299"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30060E1D" w14:textId="48490601" w:rsidR="002A062C" w:rsidRPr="002A062C" w:rsidRDefault="002A062C" w:rsidP="002A062C">
            <w:pPr>
              <w:spacing w:line="240" w:lineRule="auto"/>
              <w:jc w:val="center"/>
              <w:rPr>
                <w:rFonts w:hint="eastAsia"/>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392B094A" w14:textId="2917C55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24 (2.8 - 50.7)</w:t>
            </w:r>
          </w:p>
        </w:tc>
        <w:tc>
          <w:tcPr>
            <w:tcW w:w="1260" w:type="dxa"/>
            <w:tcBorders>
              <w:top w:val="single" w:sz="4" w:space="0" w:color="auto"/>
              <w:left w:val="single" w:sz="4" w:space="0" w:color="auto"/>
              <w:bottom w:val="single" w:sz="4" w:space="0" w:color="auto"/>
              <w:right w:val="single" w:sz="4" w:space="0" w:color="auto"/>
            </w:tcBorders>
            <w:noWrap/>
            <w:vAlign w:val="center"/>
          </w:tcPr>
          <w:p w14:paraId="43101DAC" w14:textId="77C48AF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38 (3 - 200)</w:t>
            </w:r>
          </w:p>
        </w:tc>
        <w:tc>
          <w:tcPr>
            <w:tcW w:w="1080" w:type="dxa"/>
            <w:tcBorders>
              <w:top w:val="single" w:sz="4" w:space="0" w:color="auto"/>
              <w:left w:val="single" w:sz="4" w:space="0" w:color="auto"/>
              <w:bottom w:val="single" w:sz="4" w:space="0" w:color="auto"/>
              <w:right w:val="single" w:sz="4" w:space="0" w:color="auto"/>
            </w:tcBorders>
            <w:noWrap/>
            <w:vAlign w:val="center"/>
          </w:tcPr>
          <w:p w14:paraId="5C4F1564" w14:textId="14E01A1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0F48939" w14:textId="264C561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0.249 (0.032 - 1.257)</w:t>
            </w:r>
          </w:p>
        </w:tc>
        <w:tc>
          <w:tcPr>
            <w:tcW w:w="1170" w:type="dxa"/>
            <w:tcBorders>
              <w:top w:val="single" w:sz="4" w:space="0" w:color="auto"/>
              <w:left w:val="single" w:sz="4" w:space="0" w:color="auto"/>
              <w:bottom w:val="single" w:sz="4" w:space="0" w:color="auto"/>
              <w:right w:val="single" w:sz="4" w:space="0" w:color="auto"/>
            </w:tcBorders>
            <w:noWrap/>
            <w:vAlign w:val="center"/>
          </w:tcPr>
          <w:p w14:paraId="20413F21" w14:textId="1CD0CCD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(0 - 0.013)</w:t>
            </w:r>
          </w:p>
        </w:tc>
        <w:tc>
          <w:tcPr>
            <w:tcW w:w="1710" w:type="dxa"/>
            <w:tcBorders>
              <w:top w:val="single" w:sz="4" w:space="0" w:color="auto"/>
              <w:left w:val="single" w:sz="4" w:space="0" w:color="auto"/>
              <w:bottom w:val="single" w:sz="4" w:space="0" w:color="auto"/>
              <w:right w:val="single" w:sz="4" w:space="0" w:color="auto"/>
            </w:tcBorders>
            <w:noWrap/>
            <w:vAlign w:val="center"/>
          </w:tcPr>
          <w:p w14:paraId="021F8C4A" w14:textId="4906D6F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9,281 (1,839.5 - 41,383.7)</w:t>
            </w:r>
          </w:p>
        </w:tc>
        <w:tc>
          <w:tcPr>
            <w:tcW w:w="1710" w:type="dxa"/>
            <w:tcBorders>
              <w:top w:val="single" w:sz="4" w:space="0" w:color="auto"/>
              <w:left w:val="single" w:sz="4" w:space="0" w:color="auto"/>
              <w:bottom w:val="single" w:sz="4" w:space="0" w:color="auto"/>
              <w:right w:val="single" w:sz="4" w:space="0" w:color="auto"/>
            </w:tcBorders>
            <w:noWrap/>
            <w:vAlign w:val="center"/>
          </w:tcPr>
          <w:p w14:paraId="0F55A84F" w14:textId="5AAFB07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189,749 (49,196.8 - 627,373.1)</w:t>
            </w:r>
          </w:p>
        </w:tc>
        <w:tc>
          <w:tcPr>
            <w:tcW w:w="1710" w:type="dxa"/>
            <w:tcBorders>
              <w:top w:val="single" w:sz="4" w:space="0" w:color="auto"/>
              <w:left w:val="single" w:sz="4" w:space="0" w:color="auto"/>
              <w:bottom w:val="single" w:sz="4" w:space="0" w:color="auto"/>
              <w:right w:val="single" w:sz="4" w:space="0" w:color="auto"/>
            </w:tcBorders>
            <w:noWrap/>
            <w:vAlign w:val="center"/>
          </w:tcPr>
          <w:p w14:paraId="6426A5BB" w14:textId="20FAFF2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255,773.7 (7,458.6 - 24,501,831)</w:t>
            </w:r>
          </w:p>
        </w:tc>
      </w:tr>
      <w:tr w:rsidR="002A062C" w:rsidRPr="002A062C" w14:paraId="62CF9D13" w14:textId="77777777" w:rsidTr="002A062C">
        <w:trPr>
          <w:trHeight w:val="701"/>
        </w:trPr>
        <w:tc>
          <w:tcPr>
            <w:tcW w:w="990" w:type="dxa"/>
            <w:tcBorders>
              <w:top w:val="nil"/>
              <w:bottom w:val="nil"/>
              <w:right w:val="single" w:sz="4" w:space="0" w:color="auto"/>
            </w:tcBorders>
            <w:vAlign w:val="center"/>
          </w:tcPr>
          <w:p w14:paraId="53D7F8F7" w14:textId="6F7EEF7A"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190C0885" w14:textId="34783984" w:rsidR="002A062C" w:rsidRPr="002A062C" w:rsidRDefault="002A062C" w:rsidP="002A062C">
            <w:pPr>
              <w:spacing w:line="240" w:lineRule="auto"/>
              <w:jc w:val="center"/>
              <w:rPr>
                <w:rFonts w:hint="eastAsia"/>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334181FF" w14:textId="209DBDE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3.4 (0 - 26.2)</w:t>
            </w:r>
          </w:p>
        </w:tc>
        <w:tc>
          <w:tcPr>
            <w:tcW w:w="1260" w:type="dxa"/>
            <w:tcBorders>
              <w:top w:val="single" w:sz="4" w:space="0" w:color="auto"/>
              <w:left w:val="single" w:sz="4" w:space="0" w:color="auto"/>
              <w:bottom w:val="single" w:sz="4" w:space="0" w:color="auto"/>
              <w:right w:val="single" w:sz="4" w:space="0" w:color="auto"/>
            </w:tcBorders>
            <w:noWrap/>
            <w:vAlign w:val="center"/>
          </w:tcPr>
          <w:p w14:paraId="7324D186" w14:textId="783B0E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 (0 - 86)</w:t>
            </w:r>
          </w:p>
        </w:tc>
        <w:tc>
          <w:tcPr>
            <w:tcW w:w="1080" w:type="dxa"/>
            <w:tcBorders>
              <w:top w:val="single" w:sz="4" w:space="0" w:color="auto"/>
              <w:left w:val="single" w:sz="4" w:space="0" w:color="auto"/>
              <w:bottom w:val="single" w:sz="4" w:space="0" w:color="auto"/>
              <w:right w:val="single" w:sz="4" w:space="0" w:color="auto"/>
            </w:tcBorders>
            <w:noWrap/>
            <w:vAlign w:val="center"/>
          </w:tcPr>
          <w:p w14:paraId="6687033B" w14:textId="33C7856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6493CA85" w14:textId="02CD8FA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0.166 (0.015 - 0.931)</w:t>
            </w:r>
          </w:p>
        </w:tc>
        <w:tc>
          <w:tcPr>
            <w:tcW w:w="1170" w:type="dxa"/>
            <w:tcBorders>
              <w:top w:val="single" w:sz="4" w:space="0" w:color="auto"/>
              <w:left w:val="single" w:sz="4" w:space="0" w:color="auto"/>
              <w:bottom w:val="single" w:sz="4" w:space="0" w:color="auto"/>
              <w:right w:val="single" w:sz="4" w:space="0" w:color="auto"/>
            </w:tcBorders>
            <w:noWrap/>
            <w:vAlign w:val="center"/>
          </w:tcPr>
          <w:p w14:paraId="14CD333A" w14:textId="5173B51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w:t>
            </w:r>
          </w:p>
        </w:tc>
        <w:tc>
          <w:tcPr>
            <w:tcW w:w="1710" w:type="dxa"/>
            <w:tcBorders>
              <w:top w:val="single" w:sz="4" w:space="0" w:color="auto"/>
              <w:left w:val="single" w:sz="4" w:space="0" w:color="auto"/>
              <w:bottom w:val="single" w:sz="4" w:space="0" w:color="auto"/>
              <w:right w:val="single" w:sz="4" w:space="0" w:color="auto"/>
            </w:tcBorders>
            <w:noWrap/>
            <w:vAlign w:val="center"/>
          </w:tcPr>
          <w:p w14:paraId="1F32E28F" w14:textId="2CE332C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12,274.1 (2,522 - 56,598.7)</w:t>
            </w:r>
          </w:p>
        </w:tc>
        <w:tc>
          <w:tcPr>
            <w:tcW w:w="1710" w:type="dxa"/>
            <w:tcBorders>
              <w:top w:val="single" w:sz="4" w:space="0" w:color="auto"/>
              <w:left w:val="single" w:sz="4" w:space="0" w:color="auto"/>
              <w:bottom w:val="single" w:sz="4" w:space="0" w:color="auto"/>
              <w:right w:val="single" w:sz="4" w:space="0" w:color="auto"/>
            </w:tcBorders>
            <w:noWrap/>
            <w:vAlign w:val="center"/>
          </w:tcPr>
          <w:p w14:paraId="7E2A3B0C" w14:textId="3CB3BA6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228,332 (64,012.7 - 663,584.2)</w:t>
            </w:r>
          </w:p>
        </w:tc>
        <w:tc>
          <w:tcPr>
            <w:tcW w:w="1710" w:type="dxa"/>
            <w:tcBorders>
              <w:top w:val="single" w:sz="4" w:space="0" w:color="auto"/>
              <w:left w:val="single" w:sz="4" w:space="0" w:color="auto"/>
              <w:bottom w:val="single" w:sz="4" w:space="0" w:color="auto"/>
              <w:right w:val="single" w:sz="4" w:space="0" w:color="auto"/>
            </w:tcBorders>
            <w:noWrap/>
            <w:vAlign w:val="center"/>
          </w:tcPr>
          <w:p w14:paraId="352836EB" w14:textId="4765BBD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714,001.8 (10,365.1 - 37,125,419)</w:t>
            </w:r>
          </w:p>
        </w:tc>
      </w:tr>
      <w:tr w:rsidR="002A062C" w:rsidRPr="002A062C" w14:paraId="44A56960" w14:textId="77777777" w:rsidTr="002A062C">
        <w:trPr>
          <w:trHeight w:val="701"/>
        </w:trPr>
        <w:tc>
          <w:tcPr>
            <w:tcW w:w="990" w:type="dxa"/>
            <w:tcBorders>
              <w:top w:val="nil"/>
              <w:bottom w:val="single" w:sz="4" w:space="0" w:color="auto"/>
              <w:right w:val="single" w:sz="4" w:space="0" w:color="auto"/>
            </w:tcBorders>
            <w:vAlign w:val="center"/>
          </w:tcPr>
          <w:p w14:paraId="51C9DB96" w14:textId="73B6087D"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553CE046" w14:textId="03435F0A" w:rsidR="002A062C" w:rsidRPr="002A062C" w:rsidRDefault="002A062C" w:rsidP="002A062C">
            <w:pPr>
              <w:spacing w:line="240" w:lineRule="auto"/>
              <w:jc w:val="center"/>
              <w:rPr>
                <w:rFonts w:hint="eastAsia"/>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587C0696" w14:textId="6F3261A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(0 - 9.5)</w:t>
            </w:r>
          </w:p>
        </w:tc>
        <w:tc>
          <w:tcPr>
            <w:tcW w:w="1260" w:type="dxa"/>
            <w:tcBorders>
              <w:top w:val="single" w:sz="4" w:space="0" w:color="auto"/>
              <w:left w:val="single" w:sz="4" w:space="0" w:color="auto"/>
              <w:bottom w:val="single" w:sz="4" w:space="0" w:color="auto"/>
              <w:right w:val="single" w:sz="4" w:space="0" w:color="auto"/>
            </w:tcBorders>
            <w:noWrap/>
            <w:vAlign w:val="center"/>
          </w:tcPr>
          <w:p w14:paraId="29157C7D" w14:textId="1B0B2ED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(0 - 28)</w:t>
            </w:r>
          </w:p>
        </w:tc>
        <w:tc>
          <w:tcPr>
            <w:tcW w:w="1080" w:type="dxa"/>
            <w:tcBorders>
              <w:top w:val="single" w:sz="4" w:space="0" w:color="auto"/>
              <w:left w:val="single" w:sz="4" w:space="0" w:color="auto"/>
              <w:bottom w:val="single" w:sz="4" w:space="0" w:color="auto"/>
              <w:right w:val="single" w:sz="4" w:space="0" w:color="auto"/>
            </w:tcBorders>
            <w:noWrap/>
            <w:vAlign w:val="center"/>
          </w:tcPr>
          <w:p w14:paraId="385592A4" w14:textId="5B48C05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45E75F24" w14:textId="7F580BC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0.127 (0.01 - 0.793)</w:t>
            </w:r>
          </w:p>
        </w:tc>
        <w:tc>
          <w:tcPr>
            <w:tcW w:w="1170" w:type="dxa"/>
            <w:tcBorders>
              <w:top w:val="single" w:sz="4" w:space="0" w:color="auto"/>
              <w:left w:val="single" w:sz="4" w:space="0" w:color="auto"/>
              <w:bottom w:val="single" w:sz="4" w:space="0" w:color="auto"/>
              <w:right w:val="single" w:sz="4" w:space="0" w:color="auto"/>
            </w:tcBorders>
            <w:noWrap/>
            <w:vAlign w:val="center"/>
          </w:tcPr>
          <w:p w14:paraId="5839BF72" w14:textId="24AFE69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(0 - 0.007)</w:t>
            </w:r>
          </w:p>
        </w:tc>
        <w:tc>
          <w:tcPr>
            <w:tcW w:w="1710" w:type="dxa"/>
            <w:tcBorders>
              <w:top w:val="single" w:sz="4" w:space="0" w:color="auto"/>
              <w:left w:val="single" w:sz="4" w:space="0" w:color="auto"/>
              <w:bottom w:val="single" w:sz="4" w:space="0" w:color="auto"/>
              <w:right w:val="single" w:sz="4" w:space="0" w:color="auto"/>
            </w:tcBorders>
            <w:noWrap/>
            <w:vAlign w:val="center"/>
          </w:tcPr>
          <w:p w14:paraId="3A724A50" w14:textId="0EC03D2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15,321 (2,845.1 - 77,421)</w:t>
            </w:r>
          </w:p>
        </w:tc>
        <w:tc>
          <w:tcPr>
            <w:tcW w:w="1710" w:type="dxa"/>
            <w:tcBorders>
              <w:top w:val="single" w:sz="4" w:space="0" w:color="auto"/>
              <w:left w:val="single" w:sz="4" w:space="0" w:color="auto"/>
              <w:bottom w:val="single" w:sz="4" w:space="0" w:color="auto"/>
              <w:right w:val="single" w:sz="4" w:space="0" w:color="auto"/>
            </w:tcBorders>
            <w:noWrap/>
            <w:vAlign w:val="center"/>
          </w:tcPr>
          <w:p w14:paraId="4D99A6FE" w14:textId="617E404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262,486.1 (69,566.3 - 724,127.2)</w:t>
            </w:r>
          </w:p>
        </w:tc>
        <w:tc>
          <w:tcPr>
            <w:tcW w:w="1710" w:type="dxa"/>
            <w:tcBorders>
              <w:top w:val="single" w:sz="4" w:space="0" w:color="auto"/>
              <w:left w:val="single" w:sz="4" w:space="0" w:color="auto"/>
              <w:bottom w:val="single" w:sz="4" w:space="0" w:color="auto"/>
              <w:right w:val="single" w:sz="4" w:space="0" w:color="auto"/>
            </w:tcBorders>
            <w:noWrap/>
            <w:vAlign w:val="center"/>
          </w:tcPr>
          <w:p w14:paraId="1AA84680" w14:textId="0AD6936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1,779,903 (12,520.9 - 51,293,408)</w:t>
            </w:r>
          </w:p>
        </w:tc>
      </w:tr>
      <w:tr w:rsidR="002A062C" w:rsidRPr="002A062C" w14:paraId="7E205913" w14:textId="77777777" w:rsidTr="002A062C">
        <w:trPr>
          <w:trHeight w:val="701"/>
        </w:trPr>
        <w:tc>
          <w:tcPr>
            <w:tcW w:w="990" w:type="dxa"/>
            <w:tcBorders>
              <w:top w:val="single" w:sz="4" w:space="0" w:color="auto"/>
              <w:bottom w:val="nil"/>
              <w:right w:val="single" w:sz="4" w:space="0" w:color="auto"/>
            </w:tcBorders>
            <w:vAlign w:val="center"/>
          </w:tcPr>
          <w:p w14:paraId="18C86FA7" w14:textId="7ED0BB76" w:rsidR="002A062C" w:rsidRPr="002A062C" w:rsidRDefault="002A062C" w:rsidP="002A062C">
            <w:pPr>
              <w:spacing w:line="240" w:lineRule="auto"/>
              <w:jc w:val="center"/>
              <w:rPr>
                <w:rFonts w:cs="Arial" w:hint="eastAsia"/>
                <w:sz w:val="20"/>
                <w:szCs w:val="20"/>
              </w:rPr>
            </w:pPr>
            <w:r w:rsidRPr="002A062C">
              <w:rPr>
                <w:rFonts w:hint="eastAsia"/>
                <w:sz w:val="20"/>
                <w:szCs w:val="20"/>
              </w:rPr>
              <w:t>0.9</w:t>
            </w:r>
          </w:p>
        </w:tc>
        <w:tc>
          <w:tcPr>
            <w:tcW w:w="900" w:type="dxa"/>
            <w:tcBorders>
              <w:top w:val="single" w:sz="4" w:space="0" w:color="auto"/>
              <w:bottom w:val="single" w:sz="4" w:space="0" w:color="auto"/>
              <w:right w:val="single" w:sz="4" w:space="0" w:color="auto"/>
            </w:tcBorders>
            <w:vAlign w:val="center"/>
          </w:tcPr>
          <w:p w14:paraId="6B4AF9D6" w14:textId="4AA1AD31" w:rsidR="002A062C" w:rsidRPr="002A062C" w:rsidRDefault="002A062C" w:rsidP="002A062C">
            <w:pPr>
              <w:spacing w:line="240" w:lineRule="auto"/>
              <w:jc w:val="center"/>
              <w:rPr>
                <w:rFonts w:hint="eastAsia"/>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4FF5038" w14:textId="587D59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73.9 (52.2 - 87)</w:t>
            </w:r>
          </w:p>
        </w:tc>
        <w:tc>
          <w:tcPr>
            <w:tcW w:w="1260" w:type="dxa"/>
            <w:tcBorders>
              <w:top w:val="single" w:sz="4" w:space="0" w:color="auto"/>
              <w:left w:val="single" w:sz="4" w:space="0" w:color="auto"/>
              <w:bottom w:val="single" w:sz="4" w:space="0" w:color="auto"/>
              <w:right w:val="single" w:sz="4" w:space="0" w:color="auto"/>
            </w:tcBorders>
            <w:noWrap/>
            <w:vAlign w:val="center"/>
          </w:tcPr>
          <w:p w14:paraId="61B561E3" w14:textId="36F101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131 (41 - 394)</w:t>
            </w:r>
          </w:p>
        </w:tc>
        <w:tc>
          <w:tcPr>
            <w:tcW w:w="1080" w:type="dxa"/>
            <w:tcBorders>
              <w:top w:val="single" w:sz="4" w:space="0" w:color="auto"/>
              <w:left w:val="single" w:sz="4" w:space="0" w:color="auto"/>
              <w:bottom w:val="single" w:sz="4" w:space="0" w:color="auto"/>
              <w:right w:val="single" w:sz="4" w:space="0" w:color="auto"/>
            </w:tcBorders>
            <w:noWrap/>
            <w:vAlign w:val="center"/>
          </w:tcPr>
          <w:p w14:paraId="067930BD" w14:textId="1B12A611"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(0 - 6)</w:t>
            </w:r>
          </w:p>
        </w:tc>
        <w:tc>
          <w:tcPr>
            <w:tcW w:w="1260" w:type="dxa"/>
            <w:tcBorders>
              <w:top w:val="single" w:sz="4" w:space="0" w:color="auto"/>
              <w:left w:val="single" w:sz="4" w:space="0" w:color="auto"/>
              <w:bottom w:val="single" w:sz="4" w:space="0" w:color="auto"/>
              <w:right w:val="single" w:sz="4" w:space="0" w:color="auto"/>
            </w:tcBorders>
            <w:noWrap/>
            <w:vAlign w:val="center"/>
          </w:tcPr>
          <w:p w14:paraId="724F6C05" w14:textId="15D6F35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0.56 (0.14 - 1.946)</w:t>
            </w:r>
          </w:p>
        </w:tc>
        <w:tc>
          <w:tcPr>
            <w:tcW w:w="1170" w:type="dxa"/>
            <w:tcBorders>
              <w:top w:val="single" w:sz="4" w:space="0" w:color="auto"/>
              <w:left w:val="single" w:sz="4" w:space="0" w:color="auto"/>
              <w:bottom w:val="single" w:sz="4" w:space="0" w:color="auto"/>
              <w:right w:val="single" w:sz="4" w:space="0" w:color="auto"/>
            </w:tcBorders>
            <w:noWrap/>
            <w:vAlign w:val="center"/>
          </w:tcPr>
          <w:p w14:paraId="6BEFDFD8" w14:textId="6A0526E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0.004 (0 - 0.025)</w:t>
            </w:r>
          </w:p>
        </w:tc>
        <w:tc>
          <w:tcPr>
            <w:tcW w:w="1710" w:type="dxa"/>
            <w:tcBorders>
              <w:top w:val="single" w:sz="4" w:space="0" w:color="auto"/>
              <w:left w:val="single" w:sz="4" w:space="0" w:color="auto"/>
              <w:bottom w:val="single" w:sz="4" w:space="0" w:color="auto"/>
              <w:right w:val="single" w:sz="4" w:space="0" w:color="auto"/>
            </w:tcBorders>
            <w:noWrap/>
            <w:vAlign w:val="center"/>
          </w:tcPr>
          <w:p w14:paraId="6C6B4E30" w14:textId="6E195EE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5,765 (1,280.4 - 23,296.7)</w:t>
            </w:r>
          </w:p>
        </w:tc>
        <w:tc>
          <w:tcPr>
            <w:tcW w:w="1710" w:type="dxa"/>
            <w:tcBorders>
              <w:top w:val="single" w:sz="4" w:space="0" w:color="auto"/>
              <w:left w:val="single" w:sz="4" w:space="0" w:color="auto"/>
              <w:bottom w:val="single" w:sz="4" w:space="0" w:color="auto"/>
              <w:right w:val="single" w:sz="4" w:space="0" w:color="auto"/>
            </w:tcBorders>
            <w:noWrap/>
            <w:vAlign w:val="center"/>
          </w:tcPr>
          <w:p w14:paraId="6BA376DB" w14:textId="58540B5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193,918.6 (41,476.8 - 624,196.7)</w:t>
            </w:r>
          </w:p>
        </w:tc>
        <w:tc>
          <w:tcPr>
            <w:tcW w:w="1710" w:type="dxa"/>
            <w:tcBorders>
              <w:top w:val="single" w:sz="4" w:space="0" w:color="auto"/>
              <w:left w:val="single" w:sz="4" w:space="0" w:color="auto"/>
              <w:bottom w:val="single" w:sz="4" w:space="0" w:color="auto"/>
              <w:right w:val="single" w:sz="4" w:space="0" w:color="auto"/>
            </w:tcBorders>
            <w:noWrap/>
            <w:vAlign w:val="center"/>
          </w:tcPr>
          <w:p w14:paraId="79138D4A" w14:textId="66785F6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31,028.5 (4,765.8 - 5,587,784)</w:t>
            </w:r>
          </w:p>
        </w:tc>
      </w:tr>
      <w:tr w:rsidR="002A062C" w:rsidRPr="002A062C" w14:paraId="614DEC15" w14:textId="77777777" w:rsidTr="002A062C">
        <w:trPr>
          <w:trHeight w:val="701"/>
        </w:trPr>
        <w:tc>
          <w:tcPr>
            <w:tcW w:w="990" w:type="dxa"/>
            <w:tcBorders>
              <w:top w:val="nil"/>
              <w:bottom w:val="nil"/>
              <w:right w:val="single" w:sz="4" w:space="0" w:color="auto"/>
            </w:tcBorders>
            <w:vAlign w:val="center"/>
          </w:tcPr>
          <w:p w14:paraId="3A061E38" w14:textId="28B49D79"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051739B9" w14:textId="377E113D" w:rsidR="002A062C" w:rsidRPr="002A062C" w:rsidRDefault="002A062C" w:rsidP="002A062C">
            <w:pPr>
              <w:spacing w:line="240" w:lineRule="auto"/>
              <w:jc w:val="center"/>
              <w:rPr>
                <w:rFonts w:hint="eastAsia"/>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0F90DE20" w14:textId="5E3FCA7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25.2 (3 - 52.8)</w:t>
            </w:r>
          </w:p>
        </w:tc>
        <w:tc>
          <w:tcPr>
            <w:tcW w:w="1260" w:type="dxa"/>
            <w:tcBorders>
              <w:top w:val="single" w:sz="4" w:space="0" w:color="auto"/>
              <w:left w:val="single" w:sz="4" w:space="0" w:color="auto"/>
              <w:bottom w:val="single" w:sz="4" w:space="0" w:color="auto"/>
              <w:right w:val="single" w:sz="4" w:space="0" w:color="auto"/>
            </w:tcBorders>
            <w:noWrap/>
            <w:vAlign w:val="center"/>
          </w:tcPr>
          <w:p w14:paraId="43A63908" w14:textId="4E2DB65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40 (3 - 209)</w:t>
            </w:r>
          </w:p>
        </w:tc>
        <w:tc>
          <w:tcPr>
            <w:tcW w:w="1080" w:type="dxa"/>
            <w:tcBorders>
              <w:top w:val="single" w:sz="4" w:space="0" w:color="auto"/>
              <w:left w:val="single" w:sz="4" w:space="0" w:color="auto"/>
              <w:bottom w:val="single" w:sz="4" w:space="0" w:color="auto"/>
              <w:right w:val="single" w:sz="4" w:space="0" w:color="auto"/>
            </w:tcBorders>
            <w:noWrap/>
            <w:vAlign w:val="center"/>
          </w:tcPr>
          <w:p w14:paraId="5AE6C5B7" w14:textId="242EB6C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23BE734" w14:textId="6146F88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0.216 (0.028 - 1.098)</w:t>
            </w:r>
          </w:p>
        </w:tc>
        <w:tc>
          <w:tcPr>
            <w:tcW w:w="1170" w:type="dxa"/>
            <w:tcBorders>
              <w:top w:val="single" w:sz="4" w:space="0" w:color="auto"/>
              <w:left w:val="single" w:sz="4" w:space="0" w:color="auto"/>
              <w:bottom w:val="single" w:sz="4" w:space="0" w:color="auto"/>
              <w:right w:val="single" w:sz="4" w:space="0" w:color="auto"/>
            </w:tcBorders>
            <w:noWrap/>
            <w:vAlign w:val="center"/>
          </w:tcPr>
          <w:p w14:paraId="2F219B0C" w14:textId="227644F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(0 - 0.011)</w:t>
            </w:r>
          </w:p>
        </w:tc>
        <w:tc>
          <w:tcPr>
            <w:tcW w:w="1710" w:type="dxa"/>
            <w:tcBorders>
              <w:top w:val="single" w:sz="4" w:space="0" w:color="auto"/>
              <w:left w:val="single" w:sz="4" w:space="0" w:color="auto"/>
              <w:bottom w:val="single" w:sz="4" w:space="0" w:color="auto"/>
              <w:right w:val="single" w:sz="4" w:space="0" w:color="auto"/>
            </w:tcBorders>
            <w:noWrap/>
            <w:vAlign w:val="center"/>
          </w:tcPr>
          <w:p w14:paraId="3745D714" w14:textId="6AD2FDE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10,787.8 (2,197.1 - 47,394)</w:t>
            </w:r>
          </w:p>
        </w:tc>
        <w:tc>
          <w:tcPr>
            <w:tcW w:w="1710" w:type="dxa"/>
            <w:tcBorders>
              <w:top w:val="single" w:sz="4" w:space="0" w:color="auto"/>
              <w:left w:val="single" w:sz="4" w:space="0" w:color="auto"/>
              <w:bottom w:val="single" w:sz="4" w:space="0" w:color="auto"/>
              <w:right w:val="single" w:sz="4" w:space="0" w:color="auto"/>
            </w:tcBorders>
            <w:noWrap/>
            <w:vAlign w:val="center"/>
          </w:tcPr>
          <w:p w14:paraId="0D58EB31" w14:textId="605DE72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225,339.5 (63,485.3 - 727,154.1)</w:t>
            </w:r>
          </w:p>
        </w:tc>
        <w:tc>
          <w:tcPr>
            <w:tcW w:w="1710" w:type="dxa"/>
            <w:tcBorders>
              <w:top w:val="single" w:sz="4" w:space="0" w:color="auto"/>
              <w:left w:val="single" w:sz="4" w:space="0" w:color="auto"/>
              <w:bottom w:val="single" w:sz="4" w:space="0" w:color="auto"/>
              <w:right w:val="single" w:sz="4" w:space="0" w:color="auto"/>
            </w:tcBorders>
            <w:noWrap/>
            <w:vAlign w:val="center"/>
          </w:tcPr>
          <w:p w14:paraId="274370DF" w14:textId="2D4759C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290,183.4 (8,714.3 - 28,079,470)</w:t>
            </w:r>
          </w:p>
        </w:tc>
      </w:tr>
      <w:tr w:rsidR="002A062C" w:rsidRPr="002A062C" w14:paraId="007B2E86" w14:textId="77777777" w:rsidTr="002A062C">
        <w:trPr>
          <w:trHeight w:val="701"/>
        </w:trPr>
        <w:tc>
          <w:tcPr>
            <w:tcW w:w="990" w:type="dxa"/>
            <w:tcBorders>
              <w:top w:val="nil"/>
              <w:bottom w:val="nil"/>
              <w:right w:val="single" w:sz="4" w:space="0" w:color="auto"/>
            </w:tcBorders>
            <w:vAlign w:val="center"/>
          </w:tcPr>
          <w:p w14:paraId="0566D001" w14:textId="3409EB52"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24996377" w14:textId="7A6812DE" w:rsidR="002A062C" w:rsidRPr="002A062C" w:rsidRDefault="002A062C" w:rsidP="002A062C">
            <w:pPr>
              <w:spacing w:line="240" w:lineRule="auto"/>
              <w:jc w:val="center"/>
              <w:rPr>
                <w:rFonts w:hint="eastAsia"/>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29CAAC23" w14:textId="089689D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3.6 (0 - 27.4)</w:t>
            </w:r>
          </w:p>
        </w:tc>
        <w:tc>
          <w:tcPr>
            <w:tcW w:w="1260" w:type="dxa"/>
            <w:tcBorders>
              <w:top w:val="single" w:sz="4" w:space="0" w:color="auto"/>
              <w:left w:val="single" w:sz="4" w:space="0" w:color="auto"/>
              <w:bottom w:val="single" w:sz="4" w:space="0" w:color="auto"/>
              <w:right w:val="single" w:sz="4" w:space="0" w:color="auto"/>
            </w:tcBorders>
            <w:noWrap/>
            <w:vAlign w:val="center"/>
          </w:tcPr>
          <w:p w14:paraId="5F3A7C80" w14:textId="60E0A05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 (0 - 90)</w:t>
            </w:r>
          </w:p>
        </w:tc>
        <w:tc>
          <w:tcPr>
            <w:tcW w:w="1080" w:type="dxa"/>
            <w:tcBorders>
              <w:top w:val="single" w:sz="4" w:space="0" w:color="auto"/>
              <w:left w:val="single" w:sz="4" w:space="0" w:color="auto"/>
              <w:bottom w:val="single" w:sz="4" w:space="0" w:color="auto"/>
              <w:right w:val="single" w:sz="4" w:space="0" w:color="auto"/>
            </w:tcBorders>
            <w:noWrap/>
            <w:vAlign w:val="center"/>
          </w:tcPr>
          <w:p w14:paraId="61C726C5" w14:textId="3578422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30273F77" w14:textId="668A32A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0.144 (0.013 - 0.811)</w:t>
            </w:r>
          </w:p>
        </w:tc>
        <w:tc>
          <w:tcPr>
            <w:tcW w:w="1170" w:type="dxa"/>
            <w:tcBorders>
              <w:top w:val="single" w:sz="4" w:space="0" w:color="auto"/>
              <w:left w:val="single" w:sz="4" w:space="0" w:color="auto"/>
              <w:bottom w:val="single" w:sz="4" w:space="0" w:color="auto"/>
              <w:right w:val="single" w:sz="4" w:space="0" w:color="auto"/>
            </w:tcBorders>
            <w:noWrap/>
            <w:vAlign w:val="center"/>
          </w:tcPr>
          <w:p w14:paraId="6CBA8148" w14:textId="590D468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(0 - 0.009)</w:t>
            </w:r>
          </w:p>
        </w:tc>
        <w:tc>
          <w:tcPr>
            <w:tcW w:w="1710" w:type="dxa"/>
            <w:tcBorders>
              <w:top w:val="single" w:sz="4" w:space="0" w:color="auto"/>
              <w:left w:val="single" w:sz="4" w:space="0" w:color="auto"/>
              <w:bottom w:val="single" w:sz="4" w:space="0" w:color="auto"/>
              <w:right w:val="single" w:sz="4" w:space="0" w:color="auto"/>
            </w:tcBorders>
            <w:noWrap/>
            <w:vAlign w:val="center"/>
          </w:tcPr>
          <w:p w14:paraId="49FEAB2E" w14:textId="7D8B0BD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14,129.6 (2,992.5 - 64,966.1)</w:t>
            </w:r>
          </w:p>
        </w:tc>
        <w:tc>
          <w:tcPr>
            <w:tcW w:w="1710" w:type="dxa"/>
            <w:tcBorders>
              <w:top w:val="single" w:sz="4" w:space="0" w:color="auto"/>
              <w:left w:val="single" w:sz="4" w:space="0" w:color="auto"/>
              <w:bottom w:val="single" w:sz="4" w:space="0" w:color="auto"/>
              <w:right w:val="single" w:sz="4" w:space="0" w:color="auto"/>
            </w:tcBorders>
            <w:noWrap/>
            <w:vAlign w:val="center"/>
          </w:tcPr>
          <w:p w14:paraId="49F9DFA6" w14:textId="1BD3897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262,653.9 (78,840 - 763,830.9)</w:t>
            </w:r>
          </w:p>
        </w:tc>
        <w:tc>
          <w:tcPr>
            <w:tcW w:w="1710" w:type="dxa"/>
            <w:tcBorders>
              <w:top w:val="single" w:sz="4" w:space="0" w:color="auto"/>
              <w:left w:val="single" w:sz="4" w:space="0" w:color="auto"/>
              <w:bottom w:val="single" w:sz="4" w:space="0" w:color="auto"/>
              <w:right w:val="single" w:sz="4" w:space="0" w:color="auto"/>
            </w:tcBorders>
            <w:noWrap/>
            <w:vAlign w:val="center"/>
          </w:tcPr>
          <w:p w14:paraId="1205B847" w14:textId="43BD566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819,894.6 (12,165.1 - 42,520,648)</w:t>
            </w:r>
          </w:p>
        </w:tc>
      </w:tr>
      <w:tr w:rsidR="002A062C" w:rsidRPr="002A062C" w14:paraId="4602CACD" w14:textId="77777777" w:rsidTr="002A062C">
        <w:trPr>
          <w:trHeight w:val="701"/>
        </w:trPr>
        <w:tc>
          <w:tcPr>
            <w:tcW w:w="990" w:type="dxa"/>
            <w:tcBorders>
              <w:top w:val="nil"/>
              <w:bottom w:val="single" w:sz="4" w:space="0" w:color="auto"/>
              <w:right w:val="single" w:sz="4" w:space="0" w:color="auto"/>
            </w:tcBorders>
            <w:vAlign w:val="center"/>
          </w:tcPr>
          <w:p w14:paraId="10B47D09" w14:textId="7B9583C0"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55093385" w14:textId="05A8DA52" w:rsidR="002A062C" w:rsidRPr="002A062C" w:rsidRDefault="002A062C" w:rsidP="002A062C">
            <w:pPr>
              <w:spacing w:line="240" w:lineRule="auto"/>
              <w:jc w:val="center"/>
              <w:rPr>
                <w:rFonts w:hint="eastAsia"/>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2666F96C" w14:textId="63F92E0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(0 - 9.9)</w:t>
            </w:r>
          </w:p>
        </w:tc>
        <w:tc>
          <w:tcPr>
            <w:tcW w:w="1260" w:type="dxa"/>
            <w:tcBorders>
              <w:top w:val="single" w:sz="4" w:space="0" w:color="auto"/>
              <w:left w:val="single" w:sz="4" w:space="0" w:color="auto"/>
              <w:bottom w:val="single" w:sz="4" w:space="0" w:color="auto"/>
              <w:right w:val="single" w:sz="4" w:space="0" w:color="auto"/>
            </w:tcBorders>
            <w:noWrap/>
            <w:vAlign w:val="center"/>
          </w:tcPr>
          <w:p w14:paraId="577B7B86" w14:textId="375440A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(0 - 29)</w:t>
            </w:r>
          </w:p>
        </w:tc>
        <w:tc>
          <w:tcPr>
            <w:tcW w:w="1080" w:type="dxa"/>
            <w:tcBorders>
              <w:top w:val="single" w:sz="4" w:space="0" w:color="auto"/>
              <w:left w:val="single" w:sz="4" w:space="0" w:color="auto"/>
              <w:bottom w:val="single" w:sz="4" w:space="0" w:color="auto"/>
              <w:right w:val="single" w:sz="4" w:space="0" w:color="auto"/>
            </w:tcBorders>
            <w:noWrap/>
            <w:vAlign w:val="center"/>
          </w:tcPr>
          <w:p w14:paraId="373EB4F9" w14:textId="75AF504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7BB18082" w14:textId="73AF347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0.111 (0.008 - 0.688)</w:t>
            </w:r>
          </w:p>
        </w:tc>
        <w:tc>
          <w:tcPr>
            <w:tcW w:w="1170" w:type="dxa"/>
            <w:tcBorders>
              <w:top w:val="single" w:sz="4" w:space="0" w:color="auto"/>
              <w:left w:val="single" w:sz="4" w:space="0" w:color="auto"/>
              <w:bottom w:val="single" w:sz="4" w:space="0" w:color="auto"/>
              <w:right w:val="single" w:sz="4" w:space="0" w:color="auto"/>
            </w:tcBorders>
            <w:noWrap/>
            <w:vAlign w:val="center"/>
          </w:tcPr>
          <w:p w14:paraId="639BE313" w14:textId="2DC45B4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(0 - 0.006)</w:t>
            </w:r>
          </w:p>
        </w:tc>
        <w:tc>
          <w:tcPr>
            <w:tcW w:w="1710" w:type="dxa"/>
            <w:tcBorders>
              <w:top w:val="single" w:sz="4" w:space="0" w:color="auto"/>
              <w:left w:val="single" w:sz="4" w:space="0" w:color="auto"/>
              <w:bottom w:val="single" w:sz="4" w:space="0" w:color="auto"/>
              <w:right w:val="single" w:sz="4" w:space="0" w:color="auto"/>
            </w:tcBorders>
            <w:noWrap/>
            <w:vAlign w:val="center"/>
          </w:tcPr>
          <w:p w14:paraId="6E6346D0" w14:textId="12F5DC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17,860.9 (3,359.7 - 88,673.5)</w:t>
            </w:r>
          </w:p>
        </w:tc>
        <w:tc>
          <w:tcPr>
            <w:tcW w:w="1710" w:type="dxa"/>
            <w:tcBorders>
              <w:top w:val="single" w:sz="4" w:space="0" w:color="auto"/>
              <w:left w:val="single" w:sz="4" w:space="0" w:color="auto"/>
              <w:bottom w:val="single" w:sz="4" w:space="0" w:color="auto"/>
              <w:right w:val="single" w:sz="4" w:space="0" w:color="auto"/>
            </w:tcBorders>
            <w:noWrap/>
            <w:vAlign w:val="center"/>
          </w:tcPr>
          <w:p w14:paraId="71A07D84" w14:textId="233CEF3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303,593.1 (85,414.3 - 835,307)</w:t>
            </w:r>
          </w:p>
        </w:tc>
        <w:tc>
          <w:tcPr>
            <w:tcW w:w="1710" w:type="dxa"/>
            <w:tcBorders>
              <w:top w:val="single" w:sz="4" w:space="0" w:color="auto"/>
              <w:left w:val="single" w:sz="4" w:space="0" w:color="auto"/>
              <w:bottom w:val="single" w:sz="4" w:space="0" w:color="auto"/>
              <w:right w:val="single" w:sz="4" w:space="0" w:color="auto"/>
            </w:tcBorders>
            <w:noWrap/>
            <w:vAlign w:val="center"/>
          </w:tcPr>
          <w:p w14:paraId="34FC16C8" w14:textId="77E9AE0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2,042,844 (14,608.3 - 59,000,625)</w:t>
            </w:r>
          </w:p>
        </w:tc>
      </w:tr>
    </w:tbl>
    <w:p w14:paraId="742AF3A2" w14:textId="77777777" w:rsidR="005E28FC" w:rsidRDefault="005E28FC" w:rsidP="005E28FC"/>
    <w:p w14:paraId="2ED193E6" w14:textId="77777777" w:rsidR="005E28FC" w:rsidRDefault="005E28FC" w:rsidP="005E28FC"/>
    <w:p w14:paraId="3923B6BF" w14:textId="77777777" w:rsidR="005E28FC" w:rsidRDefault="005E28FC" w:rsidP="005E28FC">
      <w:pPr>
        <w:jc w:val="center"/>
        <w:rPr>
          <w:rFonts w:ascii="Arial" w:hAnsi="Arial" w:cs="Arial"/>
        </w:rPr>
      </w:pPr>
    </w:p>
    <w:p w14:paraId="2A268F36" w14:textId="77777777" w:rsidR="005E28FC" w:rsidRDefault="005E28FC" w:rsidP="005E28FC">
      <w:pPr>
        <w:jc w:val="center"/>
        <w:rPr>
          <w:rFonts w:ascii="Arial" w:hAnsi="Arial" w:cs="Arial"/>
        </w:rPr>
      </w:pPr>
    </w:p>
    <w:p w14:paraId="56C7C3AF" w14:textId="77777777" w:rsidR="00D17B22" w:rsidRDefault="00D17B22" w:rsidP="005E28FC">
      <w:pPr>
        <w:jc w:val="center"/>
        <w:rPr>
          <w:rFonts w:ascii="Arial" w:hAnsi="Arial" w:cs="Arial"/>
        </w:rPr>
      </w:pPr>
    </w:p>
    <w:p w14:paraId="6270B957" w14:textId="77777777" w:rsidR="00D17B22" w:rsidRDefault="00D17B22" w:rsidP="005E28FC">
      <w:pPr>
        <w:jc w:val="center"/>
        <w:rPr>
          <w:rFonts w:ascii="Arial" w:hAnsi="Arial" w:cs="Arial"/>
        </w:rPr>
      </w:pPr>
    </w:p>
    <w:p w14:paraId="557E7CE3" w14:textId="77777777" w:rsidR="00D17B22" w:rsidRDefault="00D17B22" w:rsidP="005E28FC">
      <w:pPr>
        <w:jc w:val="center"/>
        <w:rPr>
          <w:rFonts w:ascii="Arial" w:hAnsi="Arial" w:cs="Arial"/>
        </w:rPr>
      </w:pPr>
    </w:p>
    <w:p w14:paraId="20297349" w14:textId="77777777" w:rsidR="005E28FC" w:rsidRPr="00A436ED" w:rsidRDefault="005E28FC" w:rsidP="00B22F59">
      <w:pPr>
        <w:rPr>
          <w:rFonts w:ascii="Arial" w:hAnsi="Arial" w:cs="Arial"/>
        </w:rPr>
      </w:pPr>
    </w:p>
    <w:p w14:paraId="4890C439" w14:textId="77777777" w:rsidR="008150A6" w:rsidRPr="00A436ED" w:rsidRDefault="008150A6" w:rsidP="003C2C3D">
      <w:pPr>
        <w:rPr>
          <w:rFonts w:ascii="Arial" w:hAnsi="Arial" w:cs="Arial"/>
        </w:rPr>
        <w:sectPr w:rsidR="008150A6" w:rsidRPr="00A436ED" w:rsidSect="001A5D02">
          <w:pgSz w:w="15840" w:h="12240" w:orient="landscape"/>
          <w:pgMar w:top="1440" w:right="1440" w:bottom="1440" w:left="1440" w:header="720" w:footer="720" w:gutter="0"/>
          <w:cols w:space="720"/>
          <w:docGrid w:linePitch="360"/>
        </w:sectPr>
      </w:pPr>
    </w:p>
    <w:p w14:paraId="6E36886E" w14:textId="4EEAC020" w:rsidR="00023727" w:rsidRPr="00A436ED" w:rsidRDefault="00023727" w:rsidP="00023D1E">
      <w:pPr>
        <w:pStyle w:val="Heading3"/>
        <w:rPr>
          <w:color w:val="auto"/>
        </w:rPr>
      </w:pPr>
      <w:bookmarkStart w:id="48" w:name="_Toc184911573"/>
      <w:bookmarkStart w:id="49" w:name="_Toc184920102"/>
      <w:bookmarkStart w:id="50" w:name="_Toc208578242"/>
      <w:r w:rsidRPr="00A436ED">
        <w:rPr>
          <w:color w:val="auto"/>
        </w:rPr>
        <w:lastRenderedPageBreak/>
        <w:t>References</w:t>
      </w:r>
      <w:bookmarkEnd w:id="48"/>
      <w:bookmarkEnd w:id="49"/>
      <w:bookmarkEnd w:id="50"/>
    </w:p>
    <w:p w14:paraId="50782B3A" w14:textId="77777777" w:rsidR="00A16B1B" w:rsidRDefault="00023727" w:rsidP="00A16B1B">
      <w:pPr>
        <w:pStyle w:val="Bibliography"/>
      </w:pPr>
      <w:r w:rsidRPr="00A436ED">
        <w:fldChar w:fldCharType="begin"/>
      </w:r>
      <w:r w:rsidR="00A16B1B">
        <w:instrText xml:space="preserve"> ADDIN ZOTERO_BIBL {"uncited":[],"omitted":[],"custom":[]} CSL_BIBLIOGRAPHY </w:instrText>
      </w:r>
      <w:r w:rsidRPr="00A436ED">
        <w:fldChar w:fldCharType="separate"/>
      </w:r>
      <w:r w:rsidR="00A16B1B">
        <w:t xml:space="preserve">1. </w:t>
      </w:r>
      <w:r w:rsidR="00A16B1B">
        <w:tab/>
        <w:t xml:space="preserve">Halloran ME, Struchiner CJ. Study designs for dependent happenings. Epidemiology. 1991 Sep;2(5):331–8. </w:t>
      </w:r>
    </w:p>
    <w:p w14:paraId="2D1F39A5" w14:textId="77777777" w:rsidR="00A16B1B" w:rsidRDefault="00A16B1B" w:rsidP="00A16B1B">
      <w:pPr>
        <w:pStyle w:val="Bibliography"/>
      </w:pPr>
      <w:r>
        <w:t xml:space="preserve">2. </w:t>
      </w:r>
      <w:r>
        <w:tab/>
        <w:t xml:space="preserve">Clemens J, Harris J, Khan MR, Kay B, Yunus M, Svennerholm AM, et al. FIELD TRIAL OF ORAL CHOLERA VACCINES IN BANGLADESH. The Lancet. 1986 Jul;328(8499):124–7. </w:t>
      </w:r>
    </w:p>
    <w:p w14:paraId="21F34629" w14:textId="77777777" w:rsidR="00A16B1B" w:rsidRDefault="00A16B1B" w:rsidP="00A16B1B">
      <w:pPr>
        <w:pStyle w:val="Bibliography"/>
      </w:pPr>
      <w:r>
        <w:t xml:space="preserve">3. </w:t>
      </w:r>
      <w:r>
        <w:tab/>
        <w:t xml:space="preserve">Longini IMJ, Nizam A, Ali M, Yunus M, Shenvi N, Clemens JD. Controlling endemic cholera with oral vaccines. PLoS Med. 2007 Nov 27;4(11):e336. </w:t>
      </w:r>
    </w:p>
    <w:p w14:paraId="0CD756DC" w14:textId="77777777" w:rsidR="00A16B1B" w:rsidRDefault="00A16B1B" w:rsidP="00A16B1B">
      <w:pPr>
        <w:pStyle w:val="Bibliography"/>
      </w:pPr>
      <w:r>
        <w:t xml:space="preserve">4. </w:t>
      </w:r>
      <w:r>
        <w:tab/>
        <w:t>Stan Development Team. Stan Modeling Language Users Guide and Reference Manual [Internet]. 2024. Available from: https://mc-stan.org</w:t>
      </w:r>
    </w:p>
    <w:p w14:paraId="3C2BDFBC" w14:textId="77777777" w:rsidR="00A16B1B" w:rsidRDefault="00A16B1B" w:rsidP="00A16B1B">
      <w:pPr>
        <w:pStyle w:val="Bibliography"/>
      </w:pPr>
      <w:r>
        <w:t xml:space="preserve">5. </w:t>
      </w:r>
      <w:r>
        <w:tab/>
        <w:t xml:space="preserve">Carpenter B, Gelman A, Hoffman MD, Lee D, Goodrich B, Betancourt M, et al. Stan: A Probabilistic Programming Language. Journal of Statistical Software. 2017 Jan 11;76:1–32. </w:t>
      </w:r>
    </w:p>
    <w:p w14:paraId="7A32F068" w14:textId="77777777" w:rsidR="00A16B1B" w:rsidRDefault="00A16B1B" w:rsidP="00A16B1B">
      <w:pPr>
        <w:pStyle w:val="Bibliography"/>
      </w:pPr>
      <w:r>
        <w:t xml:space="preserve">6. </w:t>
      </w:r>
      <w:r>
        <w:tab/>
        <w:t>Kim JH. cholera-outbreak-vaccine-impact-modeling [Internet]. 2024. Available from: https://github.com/kimfinale/cholera-outbreak-vaccine-impact-modeling</w:t>
      </w:r>
    </w:p>
    <w:p w14:paraId="0F3DC011" w14:textId="77777777" w:rsidR="00A16B1B" w:rsidRDefault="00A16B1B" w:rsidP="00A16B1B">
      <w:pPr>
        <w:pStyle w:val="Bibliography"/>
      </w:pPr>
      <w:r>
        <w:t xml:space="preserve">7. </w:t>
      </w:r>
      <w:r>
        <w:tab/>
        <w:t xml:space="preserve">Sobol′ IM. Global sensitivity indices for nonlinear mathematical models and their Monte Carlo estimates. Mathematics and Computers in Simulation. 2001 Feb;55(1–3):271–80. </w:t>
      </w:r>
    </w:p>
    <w:p w14:paraId="4EFE106F" w14:textId="77777777" w:rsidR="00A16B1B" w:rsidRDefault="00A16B1B" w:rsidP="00A16B1B">
      <w:pPr>
        <w:pStyle w:val="Bibliography"/>
      </w:pPr>
      <w:r>
        <w:t xml:space="preserve">8. </w:t>
      </w:r>
      <w:r>
        <w:tab/>
        <w:t xml:space="preserve">Renardy M, Joslyn LR, Millar JA, Kirschner DE. To Sobol or not to Sobol? The effects of sampling schemes in systems biology applications. Math Biosci. 2021 Jul;337:108593. </w:t>
      </w:r>
    </w:p>
    <w:p w14:paraId="03C95E60" w14:textId="77777777" w:rsidR="00A16B1B" w:rsidRDefault="00A16B1B" w:rsidP="00A16B1B">
      <w:pPr>
        <w:pStyle w:val="Bibliography"/>
      </w:pPr>
      <w:r>
        <w:t xml:space="preserve">9. </w:t>
      </w:r>
      <w:r>
        <w:tab/>
        <w:t>Ng Ombe H, Simuyandi M, Mwaba J, Luchen CC, Alabi P, Chilyabanyama ON, et al. Immunogenicity and waning immunity from the oral cholera vaccine (Shanchol</w:t>
      </w:r>
      <w:r>
        <w:rPr>
          <w:vertAlign w:val="superscript"/>
        </w:rPr>
        <w:t>TM</w:t>
      </w:r>
      <w:r>
        <w:t xml:space="preserve">) in adults residing in Lukanga Swamps of Zambia. PLoS One. 2022;17(1):e0262239. </w:t>
      </w:r>
    </w:p>
    <w:p w14:paraId="5F363980" w14:textId="77777777" w:rsidR="00A16B1B" w:rsidRDefault="00A16B1B" w:rsidP="00A16B1B">
      <w:pPr>
        <w:pStyle w:val="Bibliography"/>
      </w:pPr>
      <w:r>
        <w:t xml:space="preserve">10. </w:t>
      </w:r>
      <w:r>
        <w:tab/>
        <w:t xml:space="preserve">Kanungo S, Paisley A, Lopez AL, Bhattacharya M, Manna B, Kim DR, et al. Immune responses following one and two doses of the reformulated, bivalent, killed, whole-cell, oral cholera vaccine among adults and children in Kolkata, India: a randomized, placebo-controlled trial. Vaccine. 2009 Nov 16;27(49):6887–93. </w:t>
      </w:r>
    </w:p>
    <w:p w14:paraId="3E48DF48" w14:textId="77777777" w:rsidR="00A16B1B" w:rsidRDefault="00A16B1B" w:rsidP="00A16B1B">
      <w:pPr>
        <w:pStyle w:val="Bibliography"/>
      </w:pPr>
      <w:r>
        <w:t xml:space="preserve">11. </w:t>
      </w:r>
      <w:r>
        <w:tab/>
        <w:t xml:space="preserve">Chowdhury F, Bhuiyan TR, Akter A, Bhuiyan MS, Khan AI, Hossain M, et al. Immunogenicity of a killed bivalent whole cell oral cholera vaccine in forcibly displaced Myanmar nationals in Cox’s Bazar, Bangladesh. PLoS Negl Trop Dis. 2020 Mar;14(3):e0007989. </w:t>
      </w:r>
    </w:p>
    <w:p w14:paraId="0CAAA9B2" w14:textId="77777777" w:rsidR="00A16B1B" w:rsidRDefault="00A16B1B" w:rsidP="00A16B1B">
      <w:pPr>
        <w:pStyle w:val="Bibliography"/>
      </w:pPr>
      <w:r>
        <w:t xml:space="preserve">12. </w:t>
      </w:r>
      <w:r>
        <w:tab/>
        <w:t xml:space="preserve">Raghava Mohan V, Raj S, Dhingra MS, Aloysia D’Cor N, Singh AP, Saluja T, et al. Safety and immunogenicity of a killed bivalent (O1 and O139) whole-cell oral cholera vaccine in adults and children in Vellore, South India. Borrow R, editor. PLoS ONE. 2019 Jun 18;14(6):e0218033. </w:t>
      </w:r>
    </w:p>
    <w:p w14:paraId="0A3CD1A8" w14:textId="77777777" w:rsidR="00A16B1B" w:rsidRDefault="00A16B1B" w:rsidP="00A16B1B">
      <w:pPr>
        <w:pStyle w:val="Bibliography"/>
      </w:pPr>
      <w:r>
        <w:t xml:space="preserve">13. </w:t>
      </w:r>
      <w:r>
        <w:tab/>
        <w:t xml:space="preserve">Charles RC, Hilaire IJ, Mayo-Smith LM, Teng JE, Jerome JG, Franke MF, et al. Immunogenicity of a killed bivalent (O1 and O139) whole cell oral cholera vaccine, Shanchol, in Haiti. PLoS Negl Trop Dis. 2014 May;8(5):e2828. </w:t>
      </w:r>
    </w:p>
    <w:p w14:paraId="5A43D227" w14:textId="77777777" w:rsidR="00A16B1B" w:rsidRDefault="00A16B1B" w:rsidP="00A16B1B">
      <w:pPr>
        <w:pStyle w:val="Bibliography"/>
      </w:pPr>
      <w:r>
        <w:lastRenderedPageBreak/>
        <w:t xml:space="preserve">14. </w:t>
      </w:r>
      <w:r>
        <w:tab/>
        <w:t xml:space="preserve">Chac D, Bhuiyan TR, Saha A, Alam MM, Salma U, Jahan N, et al. Gut Microbiota and Development of Vibrio cholerae-Specific Long-Term Memory B Cells in Adults after Whole-Cell Killed Oral Cholera Vaccine. Infect Immun. 2021 Aug 16;89(9):e0021721. </w:t>
      </w:r>
    </w:p>
    <w:p w14:paraId="76E1FDE1" w14:textId="77777777" w:rsidR="00A16B1B" w:rsidRDefault="00A16B1B" w:rsidP="00A16B1B">
      <w:pPr>
        <w:pStyle w:val="Bibliography"/>
      </w:pPr>
      <w:r>
        <w:t xml:space="preserve">15. </w:t>
      </w:r>
      <w:r>
        <w:tab/>
        <w:t xml:space="preserve">McCarty JM, Cassie D, Bedell L, Lock MD, Bennett S. Long-Term Immunogenicity of Live Oral Cholera Vaccine CVD 103-HgR in Adolescents Aged 12-17 Years in the United States. Am J Trop Med Hyg. 2021 Apr 5;104(5):1758–60. </w:t>
      </w:r>
    </w:p>
    <w:p w14:paraId="56D5872A" w14:textId="77777777" w:rsidR="00A16B1B" w:rsidRDefault="00A16B1B" w:rsidP="00A16B1B">
      <w:pPr>
        <w:pStyle w:val="Bibliography"/>
      </w:pPr>
      <w:r>
        <w:t xml:space="preserve">16. </w:t>
      </w:r>
      <w:r>
        <w:tab/>
        <w:t xml:space="preserve">McCarty JM, Lock MD, Hunt KM, Simon JK, Gurwith M. Safety and immunogenicity of single-dose live oral cholera vaccine strain CVD 103-HgR in healthy adults age 18–45. Vaccine. 2018 Feb;36(6):833–40. </w:t>
      </w:r>
    </w:p>
    <w:p w14:paraId="58AF3BC9" w14:textId="77777777" w:rsidR="00A16B1B" w:rsidRDefault="00A16B1B" w:rsidP="00A16B1B">
      <w:pPr>
        <w:pStyle w:val="Bibliography"/>
      </w:pPr>
      <w:r>
        <w:t xml:space="preserve">17. </w:t>
      </w:r>
      <w:r>
        <w:tab/>
        <w:t xml:space="preserve">Chowdhury F, Ali Syed K, Akter A, Rahman Bhuiyan T, Tauheed I, Khaton F, et al. A phase I/II study to evaluate safety, tolerability and immunogenicity of Hillchol®, an inactivated single Hikojima strain based oral cholera vaccine, in a sequentially age descending population in Bangladesh. Vaccine. 2021 Jul 22;39(32):4450–7. </w:t>
      </w:r>
    </w:p>
    <w:p w14:paraId="55956C94" w14:textId="77777777" w:rsidR="00A16B1B" w:rsidRDefault="00A16B1B" w:rsidP="00A16B1B">
      <w:pPr>
        <w:pStyle w:val="Bibliography"/>
      </w:pPr>
      <w:r>
        <w:t xml:space="preserve">18. </w:t>
      </w:r>
      <w:r>
        <w:tab/>
        <w:t xml:space="preserve">Ilboudo PG, Huang XX, Ngwira B, Mwanyungwe A, Mogasale V, Mengel MA, et al. Cost-of-illness of cholera to households and health facilities in rural Malawi. PLoS One. 2017;12(9):e0185041. </w:t>
      </w:r>
    </w:p>
    <w:p w14:paraId="60734C72" w14:textId="77777777" w:rsidR="00A16B1B" w:rsidRDefault="00A16B1B" w:rsidP="00A16B1B">
      <w:pPr>
        <w:pStyle w:val="Bibliography"/>
      </w:pPr>
      <w:r>
        <w:t xml:space="preserve">19. </w:t>
      </w:r>
      <w:r>
        <w:tab/>
        <w:t xml:space="preserve">Awalime DK, Davies-Teye BBK, Vanotoo LA, Owoo NS, Nketiah-Amponsah E. Economic evaluation of 2014 cholera outbreak in Ghana: a household cost analysis. Health Econ Rev. 2017 Dec 4;7(1):45. </w:t>
      </w:r>
    </w:p>
    <w:p w14:paraId="424893B8" w14:textId="77777777" w:rsidR="00A16B1B" w:rsidRDefault="00A16B1B" w:rsidP="00A16B1B">
      <w:pPr>
        <w:pStyle w:val="Bibliography"/>
      </w:pPr>
      <w:r>
        <w:t xml:space="preserve">20. </w:t>
      </w:r>
      <w:r>
        <w:tab/>
        <w:t xml:space="preserve">Poulos C, Riewpaiboon A, Stewart JF, Clemens J, Guh S, Agtini M, et al. Costs of Illness Due to Endemic Cholera. Epidemiol Infect. 2012 Mar;140(3):10.1017/S0950268811000513. </w:t>
      </w:r>
    </w:p>
    <w:p w14:paraId="7557DFAB" w14:textId="77777777" w:rsidR="00A16B1B" w:rsidRDefault="00A16B1B" w:rsidP="00A16B1B">
      <w:pPr>
        <w:pStyle w:val="Bibliography"/>
      </w:pPr>
      <w:r>
        <w:t xml:space="preserve">21. </w:t>
      </w:r>
      <w:r>
        <w:tab/>
        <w:t xml:space="preserve">Schaetti C, Weiss MG, Ali SM, Chaignat CL, Khatib AM, Reyburn R, et al. Costs of illness due to cholera, costs of immunization and cost-effectiveness of an oral cholera mass vaccination campaign in Zanzibar. PLoS Negl Trop Dis. 2012;6(10):e1844. </w:t>
      </w:r>
    </w:p>
    <w:p w14:paraId="472C9D8E" w14:textId="77777777" w:rsidR="00A16B1B" w:rsidRDefault="00A16B1B" w:rsidP="00A16B1B">
      <w:pPr>
        <w:pStyle w:val="Bibliography"/>
      </w:pPr>
      <w:r>
        <w:t xml:space="preserve">22. </w:t>
      </w:r>
      <w:r>
        <w:tab/>
        <w:t xml:space="preserve">Figuereo S, Yoon I, Kaddu SS, Lubogo M, Baruch J, Hossain AA, et al. Cost of Cholera for Households and Health Facilities, Somalia. J Epidemiol Glob Health. 2024 Sep 1;14(3):1219–30. </w:t>
      </w:r>
    </w:p>
    <w:p w14:paraId="15A522EF" w14:textId="77777777" w:rsidR="00A16B1B" w:rsidRDefault="00A16B1B" w:rsidP="00A16B1B">
      <w:pPr>
        <w:pStyle w:val="Bibliography"/>
      </w:pPr>
      <w:r>
        <w:t xml:space="preserve">23. </w:t>
      </w:r>
      <w:r>
        <w:tab/>
        <w:t xml:space="preserve">Tembo T, Simuyandi M, Chiyenu K, Sharma A, Chilyabanyama ON, Mbwili-Muleya C, et al. Evaluating the costs of cholera illness and cost-effectiveness of a single dose oral vaccination campaign in Lusaka, Zambia. Thet Wai K, editor. PLoS ONE. 2019 May 31;14(5):e0215972. </w:t>
      </w:r>
    </w:p>
    <w:p w14:paraId="7B39F633" w14:textId="77777777" w:rsidR="00A16B1B" w:rsidRDefault="00A16B1B" w:rsidP="00A16B1B">
      <w:pPr>
        <w:pStyle w:val="Bibliography"/>
      </w:pPr>
      <w:r>
        <w:t xml:space="preserve">24. </w:t>
      </w:r>
      <w:r>
        <w:tab/>
        <w:t>Bushra H. Retrospective analysis of a large-scale cholera outbreak in Sudan. EMHJ [Internet]. [cited 2025 May 13]; Available from: http://www.emro.who.int/emhj-volume-30-2024/volume-30-issue-10/retrospective-analysis-of-a-large-scale-cholera-outbreak-in-sudan.html</w:t>
      </w:r>
    </w:p>
    <w:p w14:paraId="79A6F863" w14:textId="77777777" w:rsidR="00A16B1B" w:rsidRDefault="00A16B1B" w:rsidP="00A16B1B">
      <w:pPr>
        <w:pStyle w:val="Bibliography"/>
      </w:pPr>
      <w:r>
        <w:t xml:space="preserve">25. </w:t>
      </w:r>
      <w:r>
        <w:tab/>
        <w:t xml:space="preserve">Nsubuga F, Garang SC, Tut M, Oguttu D, Lubajo R, Lodiongo D, et al. Epidemiological description of a protracted cholera outbreak in Tonj East and Tonj North counties, former Warrap State, South Sudan, May-Oct 2017. BMC Infectious Diseases. 2019;19(1):4. </w:t>
      </w:r>
    </w:p>
    <w:p w14:paraId="1593E388" w14:textId="77777777" w:rsidR="00A16B1B" w:rsidRDefault="00A16B1B" w:rsidP="00A16B1B">
      <w:pPr>
        <w:pStyle w:val="Bibliography"/>
      </w:pPr>
      <w:r>
        <w:lastRenderedPageBreak/>
        <w:t xml:space="preserve">26. </w:t>
      </w:r>
      <w:r>
        <w:tab/>
        <w:t xml:space="preserve">Dalhat MM, Isa AN, Nguku P, Nasir SG, Urban K, Abdulaziz M, et al. Descriptive characterization of the 2010 cholera outbreak in Nigeria. BMC Public Health. 2014;14(1):1167. </w:t>
      </w:r>
    </w:p>
    <w:p w14:paraId="658C8BBB" w14:textId="77777777" w:rsidR="00A16B1B" w:rsidRDefault="00A16B1B" w:rsidP="00A16B1B">
      <w:pPr>
        <w:pStyle w:val="Bibliography"/>
      </w:pPr>
      <w:r>
        <w:t xml:space="preserve">27. </w:t>
      </w:r>
      <w:r>
        <w:tab/>
        <w:t xml:space="preserve">Worku Demlie Y, Gedefaw A, Jeon Y, Hailu D, Getahun T, Mogeni OD, et al. Retrospective Analysis of Cholera/Acute Watery Diarrhea Outbreaks in Ethiopia From 2001 To 2023: Incidence, Case Fatality Rate, and Seasonal and Multiyear Epidemic Patterns. Clin Infect Dis. 2024 Jul 12;79(Suppl 1):S8–19. </w:t>
      </w:r>
    </w:p>
    <w:p w14:paraId="5BD96F08" w14:textId="77777777" w:rsidR="00A16B1B" w:rsidRDefault="00A16B1B" w:rsidP="00A16B1B">
      <w:pPr>
        <w:pStyle w:val="Bibliography"/>
      </w:pPr>
      <w:r>
        <w:t xml:space="preserve">28. </w:t>
      </w:r>
      <w:r>
        <w:tab/>
        <w:t xml:space="preserve">Bwire G, Munier A, Ouedraogo I, Heyerdahl L, Komakech H, Kagirita A, et al. Epidemiology of cholera outbreaks and socio-economic characteristics of the communities in the fishing villages of Uganda: 2011-2015. Ryan ET, editor. PLOS Neglected Tropical Diseases. 2017;11(3):e0005407. </w:t>
      </w:r>
    </w:p>
    <w:p w14:paraId="3F85678A" w14:textId="77777777" w:rsidR="00A16B1B" w:rsidRDefault="00A16B1B" w:rsidP="00A16B1B">
      <w:pPr>
        <w:pStyle w:val="Bibliography"/>
      </w:pPr>
      <w:r>
        <w:t xml:space="preserve">29. </w:t>
      </w:r>
      <w:r>
        <w:tab/>
        <w:t xml:space="preserve">Bwire G, Malimbo M, Maskery B, Kim YE, Mogasale V, Levin A. The Burden of Cholera in Uganda. Ryan ET, editor. PLoS Neglected Tropical Diseases. 2013;7(12):e2545. </w:t>
      </w:r>
    </w:p>
    <w:p w14:paraId="7BE1E69B" w14:textId="77777777" w:rsidR="00A16B1B" w:rsidRDefault="00A16B1B" w:rsidP="00A16B1B">
      <w:pPr>
        <w:pStyle w:val="Bibliography"/>
      </w:pPr>
      <w:r>
        <w:t xml:space="preserve">30. </w:t>
      </w:r>
      <w:r>
        <w:tab/>
        <w:t xml:space="preserve">Bwire G, Munier A, Ouedraogo I, Heyerdahl L, Komakech H, Kagirita A, et al. Epidemiology of cholera outbreaks and socio-economic characteristics of the communities in the fishing villages of Uganda: 2011-2015. PLoS Negl Trop Dis. 2017 Mar 13;11(3):e0005407. </w:t>
      </w:r>
    </w:p>
    <w:p w14:paraId="2458C178" w14:textId="77777777" w:rsidR="00A16B1B" w:rsidRDefault="00A16B1B" w:rsidP="00A16B1B">
      <w:pPr>
        <w:pStyle w:val="Bibliography"/>
      </w:pPr>
      <w:r>
        <w:t xml:space="preserve">31. </w:t>
      </w:r>
      <w:r>
        <w:tab/>
        <w:t xml:space="preserve">Pezzoli L. Global oral cholera vaccine use, 2013–2018. Vaccine. 2020 Feb 29;38:A132–40. </w:t>
      </w:r>
    </w:p>
    <w:p w14:paraId="7C02E77D" w14:textId="77777777" w:rsidR="00A16B1B" w:rsidRDefault="00A16B1B" w:rsidP="00A16B1B">
      <w:pPr>
        <w:pStyle w:val="Bibliography"/>
      </w:pPr>
      <w:r>
        <w:t xml:space="preserve">32. </w:t>
      </w:r>
      <w:r>
        <w:tab/>
        <w:t xml:space="preserve">Edosa M, Jeon Y, Gedefaw A, Hailu D, Mesfin Getachew E, Mogeni OD, et al. Comprehensive Review on the Use of Oral Cholera Vaccine (OCV) in Ethiopia: 2019 to 2023. Clin Infect Dis. 2024 Jul 12;79(Suppl 1):S20–32. </w:t>
      </w:r>
    </w:p>
    <w:p w14:paraId="1677B0E1" w14:textId="77777777" w:rsidR="00A16B1B" w:rsidRDefault="00A16B1B" w:rsidP="00A16B1B">
      <w:pPr>
        <w:pStyle w:val="Bibliography"/>
      </w:pPr>
      <w:r>
        <w:t xml:space="preserve">33. </w:t>
      </w:r>
      <w:r>
        <w:tab/>
      </w:r>
      <w:r w:rsidRPr="008625EA">
        <w:rPr>
          <w:lang w:val="en-US"/>
        </w:rPr>
        <w:t xml:space="preserve">Ilboudo PG, Mengel MA, Gessner BD, Ngwira B, Cavailler P, Le Gargasson JB. </w:t>
      </w:r>
      <w:r>
        <w:t>Cost-effectiveness of a reactive oral cholera immunization campaign using Shanchol</w:t>
      </w:r>
      <w:r>
        <w:rPr>
          <w:vertAlign w:val="superscript"/>
        </w:rPr>
        <w:t>TM</w:t>
      </w:r>
      <w:r>
        <w:t xml:space="preserve"> in Malawi. Cost Eff Resour Alloc. 2021 Mar 10;19(1):17. </w:t>
      </w:r>
    </w:p>
    <w:p w14:paraId="08C974FE" w14:textId="77777777" w:rsidR="00A16B1B" w:rsidRDefault="00A16B1B" w:rsidP="00A16B1B">
      <w:pPr>
        <w:pStyle w:val="Bibliography"/>
      </w:pPr>
      <w:r>
        <w:t xml:space="preserve">34. </w:t>
      </w:r>
      <w:r>
        <w:tab/>
        <w:t xml:space="preserve">Odevall L, Hong D, Digilio L, Sahastrabuddhe S, Mogasale V, Baik Y, et al. The Euvichol story - Development and licensure of a safe, effective and affordable oral cholera vaccine through global public private partnerships. Vaccine. 2018 Oct 29;36(45):6606–14. </w:t>
      </w:r>
    </w:p>
    <w:p w14:paraId="3399F22A" w14:textId="77777777" w:rsidR="00A16B1B" w:rsidRDefault="00A16B1B" w:rsidP="00A16B1B">
      <w:pPr>
        <w:pStyle w:val="Bibliography"/>
      </w:pPr>
      <w:r>
        <w:t xml:space="preserve">35. </w:t>
      </w:r>
      <w:r>
        <w:tab/>
        <w:t xml:space="preserve">Matias WR, Guillaume Y, Cene Augustin G, Vissieres K, Ternier R, Slater DM, et al. Effectiveness of the Euvichol® oral cholera vaccine at 2 years: A case-control and bias-indicator study in Haiti. Int J Infect Dis. 2024 Feb;139:153–8. </w:t>
      </w:r>
    </w:p>
    <w:p w14:paraId="33EC1072" w14:textId="77777777" w:rsidR="00A16B1B" w:rsidRDefault="00A16B1B" w:rsidP="00A16B1B">
      <w:pPr>
        <w:pStyle w:val="Bibliography"/>
      </w:pPr>
      <w:r>
        <w:t xml:space="preserve">36. </w:t>
      </w:r>
      <w:r>
        <w:tab/>
        <w:t xml:space="preserve">Sarker AR, Khan AI, Islam MT, Chowdhury F, Khanam F, Kang S, et al. Cost of oral cholera vaccine delivery in a mass immunization program for children in urban Bangladesh. Vaccine X. 2022 Dec;12:100247. </w:t>
      </w:r>
    </w:p>
    <w:p w14:paraId="023FC16E" w14:textId="77777777" w:rsidR="00A16B1B" w:rsidRDefault="00A16B1B" w:rsidP="00A16B1B">
      <w:pPr>
        <w:pStyle w:val="Bibliography"/>
      </w:pPr>
      <w:r>
        <w:t xml:space="preserve">37. </w:t>
      </w:r>
      <w:r>
        <w:tab/>
        <w:t xml:space="preserve">Teshome S, Desai S, Kim JH, Belay D, Mogasale V. Feasibility and costs of a targeted cholera vaccination campaign in Ethiopia. Human Vaccines &amp; Immunotherapeutics. 2018 Oct 3;14(10):2427–33. </w:t>
      </w:r>
    </w:p>
    <w:p w14:paraId="62EC4E88" w14:textId="77777777" w:rsidR="00A16B1B" w:rsidRDefault="00A16B1B" w:rsidP="00A16B1B">
      <w:pPr>
        <w:pStyle w:val="Bibliography"/>
      </w:pPr>
      <w:r>
        <w:lastRenderedPageBreak/>
        <w:t xml:space="preserve">38. </w:t>
      </w:r>
      <w:r>
        <w:tab/>
        <w:t xml:space="preserve">Kar SK, Sah B, Patnaik B, Kim YH, Kerketta AS, Shin S, et al. Mass Vaccination with a New, Less Expensive Oral Cholera Vaccine Using Public Health Infrastructure in India: The Odisha Model. Ryan ET, editor. PLoS Negl Trop Dis. 2014 Feb 6;8(2):e2629. </w:t>
      </w:r>
    </w:p>
    <w:p w14:paraId="1E8DB2BE" w14:textId="77777777" w:rsidR="00A16B1B" w:rsidRDefault="00A16B1B" w:rsidP="00A16B1B">
      <w:pPr>
        <w:pStyle w:val="Bibliography"/>
      </w:pPr>
      <w:r>
        <w:t xml:space="preserve">39. </w:t>
      </w:r>
      <w:r>
        <w:tab/>
        <w:t xml:space="preserve">Mogasale V, Ngogoyo SM, Mogasale VV. Model-based estimation of the economic burden of cholera in Africa. BMJ Open. 2021 Mar;11(3):e044615. </w:t>
      </w:r>
    </w:p>
    <w:p w14:paraId="3D0EECC1" w14:textId="77777777" w:rsidR="00A16B1B" w:rsidRDefault="00A16B1B" w:rsidP="00A16B1B">
      <w:pPr>
        <w:pStyle w:val="Bibliography"/>
      </w:pPr>
      <w:r>
        <w:t xml:space="preserve">40. </w:t>
      </w:r>
      <w:r>
        <w:tab/>
        <w:t xml:space="preserve">Khan AI, Levin A, Chao DL, DeRoeck D, Dimitrov DT, Khan JAM, et al. The impact and cost-effectiveness of controlling cholera through the use of oral cholera vaccines in urban Bangladesh: A disease modeling and economic analysis. Maheu-Giroux M, editor. PLoS Negl Trop Dis. 2018 Oct 9;12(10):e0006652. </w:t>
      </w:r>
    </w:p>
    <w:p w14:paraId="009D77C4" w14:textId="77777777" w:rsidR="00A16B1B" w:rsidRDefault="00A16B1B" w:rsidP="00A16B1B">
      <w:pPr>
        <w:pStyle w:val="Bibliography"/>
      </w:pPr>
      <w:r>
        <w:t xml:space="preserve">41. </w:t>
      </w:r>
      <w:r>
        <w:tab/>
        <w:t xml:space="preserve">Kirigia JM, Sambo LG, Yokouide A, Soumbey-Alley E, Muthuri LK, Kirigia DG. Economic burden of cholera in the WHO African region. BMC Int Health Hum Rights. 2009 Dec;9(1):8. </w:t>
      </w:r>
    </w:p>
    <w:p w14:paraId="340850E7" w14:textId="77777777" w:rsidR="00A16B1B" w:rsidRDefault="00A16B1B" w:rsidP="00A16B1B">
      <w:pPr>
        <w:pStyle w:val="Bibliography"/>
      </w:pPr>
      <w:r>
        <w:t xml:space="preserve">42. </w:t>
      </w:r>
      <w:r>
        <w:tab/>
        <w:t xml:space="preserve">GBD 2017 Disease and Injury Incidence and Prevalence Collaborators. Global, regional, and national incidence, prevalence, and years lived with disability for 354 diseases and injuries for 195 countries and territories, 1990-2017: a systematic analysis for the Global Burden of Disease Study 2017. Lancet. 2018 Nov 10;392(10159):1789–858. </w:t>
      </w:r>
    </w:p>
    <w:p w14:paraId="3E147853" w14:textId="77777777" w:rsidR="00A16B1B" w:rsidRDefault="00A16B1B" w:rsidP="00A16B1B">
      <w:pPr>
        <w:pStyle w:val="Bibliography"/>
      </w:pPr>
      <w:r>
        <w:t xml:space="preserve">43. </w:t>
      </w:r>
      <w:r>
        <w:tab/>
        <w:t xml:space="preserve">Jackson BR, Talkington DF, Pruckler JM, Fouché MDB, Lafosse E, Nygren B, et al. Seroepidemiologic survey of epidemic cholera in Haiti to assess spectrum of illness and risk factors for severe disease. Am J Trop Med Hyg. 2013 Oct;89(4):654–64. </w:t>
      </w:r>
    </w:p>
    <w:p w14:paraId="3258D54B" w14:textId="77777777" w:rsidR="00A16B1B" w:rsidRDefault="00A16B1B" w:rsidP="00A16B1B">
      <w:pPr>
        <w:pStyle w:val="Bibliography"/>
      </w:pPr>
      <w:r>
        <w:t xml:space="preserve">44. </w:t>
      </w:r>
      <w:r>
        <w:tab/>
        <w:t>United Nations, Department of Economic and Social Affairs, Population Division. World Population Prospects 2022 [Internet]. 2022. Available from: https://population.un.org/wpp/Download/Standard/Mortality/</w:t>
      </w:r>
    </w:p>
    <w:p w14:paraId="14FB64D5" w14:textId="77777777" w:rsidR="00A16B1B" w:rsidRDefault="00A16B1B" w:rsidP="00A16B1B">
      <w:pPr>
        <w:pStyle w:val="Bibliography"/>
      </w:pPr>
      <w:r w:rsidRPr="00A16B1B">
        <w:rPr>
          <w:lang w:val="de-DE"/>
        </w:rPr>
        <w:t xml:space="preserve">45. </w:t>
      </w:r>
      <w:r w:rsidRPr="00A16B1B">
        <w:rPr>
          <w:lang w:val="de-DE"/>
        </w:rPr>
        <w:tab/>
        <w:t xml:space="preserve">Mogasale V, Ramani E, Wee H, Kim JH. </w:t>
      </w:r>
      <w:r>
        <w:t xml:space="preserve">Oral Cholera Vaccination Delivery Cost in Low- and Middle-Income Countries: An Analysis Based on Systematic Review. Ryan ET, editor. PLoS Negl Trop Dis. 2016 Dec 8;10(12):e0005124. </w:t>
      </w:r>
    </w:p>
    <w:p w14:paraId="0B57F6E8" w14:textId="77777777" w:rsidR="00A16B1B" w:rsidRDefault="00A16B1B" w:rsidP="00A16B1B">
      <w:pPr>
        <w:pStyle w:val="Bibliography"/>
      </w:pPr>
      <w:r>
        <w:t xml:space="preserve">46. </w:t>
      </w:r>
      <w:r>
        <w:tab/>
        <w:t xml:space="preserve">Turner HC, Lauer JA, Tran BX, Teerawattananon Y, Jit M. Adjusting for Inflation and Currency Changes Within Health Economic Studies. Value in Health. 2019 Sep;22(9):1026–32. </w:t>
      </w:r>
    </w:p>
    <w:p w14:paraId="48A7C63F" w14:textId="77777777" w:rsidR="00A16B1B" w:rsidRDefault="00A16B1B" w:rsidP="00A16B1B">
      <w:pPr>
        <w:pStyle w:val="Bibliography"/>
      </w:pPr>
      <w:r>
        <w:t xml:space="preserve">47. </w:t>
      </w:r>
      <w:r>
        <w:tab/>
        <w:t>Bureau of Labor Statistics. Math calculations to better utilize CPI data [Internet]. Bureau of Labor Statistics; Available from: https://www.bls.gov/cpi/factsheets/cpi-math-calculations.pdf</w:t>
      </w:r>
    </w:p>
    <w:p w14:paraId="676D3FEB" w14:textId="77777777" w:rsidR="00A16B1B" w:rsidRDefault="00A16B1B" w:rsidP="00A16B1B">
      <w:pPr>
        <w:pStyle w:val="Bibliography"/>
      </w:pPr>
      <w:r>
        <w:t xml:space="preserve">48. </w:t>
      </w:r>
      <w:r>
        <w:tab/>
        <w:t>International Monetary Fund. Inflation rate, average consumer prices [Internet]. Available from: https://www.imf.org/external/datamapper/PCPIPCH@WEO/OEMDC/ADVEC/WEOWORLD</w:t>
      </w:r>
    </w:p>
    <w:p w14:paraId="6539FCD3" w14:textId="77777777" w:rsidR="00A16B1B" w:rsidRDefault="00A16B1B" w:rsidP="00A16B1B">
      <w:pPr>
        <w:pStyle w:val="Bibliography"/>
      </w:pPr>
      <w:r>
        <w:t xml:space="preserve">49. </w:t>
      </w:r>
      <w:r>
        <w:tab/>
        <w:t>UNICEF. Oral cholera vaccine (OCV) price data [Internet]. 2024 Oct. Available from: https://www.unicef.org/supply/media/22781/file/OCV-vaccines-prices-29102024.pdf</w:t>
      </w:r>
    </w:p>
    <w:p w14:paraId="7CA51E6A" w14:textId="77777777" w:rsidR="00A16B1B" w:rsidRDefault="00A16B1B" w:rsidP="00A16B1B">
      <w:pPr>
        <w:pStyle w:val="Bibliography"/>
      </w:pPr>
      <w:r>
        <w:t xml:space="preserve">50. </w:t>
      </w:r>
      <w:r>
        <w:tab/>
        <w:t xml:space="preserve">UNICEF. Emergency stockpile availability - oral cholera vaccine [Internet]. 2024 Nov. Available from: </w:t>
      </w:r>
      <w:r>
        <w:lastRenderedPageBreak/>
        <w:t>https://www.unicef.org/supply/media/22091/file/EmergencyStockpileAvailabilityReportOCV11112024.pdf</w:t>
      </w:r>
    </w:p>
    <w:p w14:paraId="658CBAB2" w14:textId="77777777" w:rsidR="00A16B1B" w:rsidRDefault="00A16B1B" w:rsidP="00A16B1B">
      <w:pPr>
        <w:pStyle w:val="Bibliography"/>
      </w:pPr>
      <w:r>
        <w:t xml:space="preserve">51. </w:t>
      </w:r>
      <w:r>
        <w:tab/>
        <w:t xml:space="preserve">Azman AS, Rudolph KE, Cummings DAT, Lessler J. The incubation period of cholera: A systematic review. Journal of Infection. 2013 May 1;66(5):432–8. </w:t>
      </w:r>
    </w:p>
    <w:p w14:paraId="62E337F9" w14:textId="77777777" w:rsidR="00A16B1B" w:rsidRDefault="00A16B1B" w:rsidP="00A16B1B">
      <w:pPr>
        <w:pStyle w:val="Bibliography"/>
      </w:pPr>
      <w:r>
        <w:t xml:space="preserve">52. </w:t>
      </w:r>
      <w:r>
        <w:tab/>
        <w:t xml:space="preserve">Gao S, Wang Y, Wang J, Cheng J. Understanding differential evolution: A Poisson law derived from population interaction network. Journal of Computational Science. 2017 Jul;21:140–9. </w:t>
      </w:r>
    </w:p>
    <w:p w14:paraId="41E72838" w14:textId="77777777" w:rsidR="00A16B1B" w:rsidRDefault="00A16B1B" w:rsidP="00A16B1B">
      <w:pPr>
        <w:pStyle w:val="Bibliography"/>
      </w:pPr>
      <w:r>
        <w:t xml:space="preserve">53. </w:t>
      </w:r>
      <w:r>
        <w:tab/>
        <w:t>Julia: A Fresh Approach to Numerical Computing | SIAM Review [Internet]. [cited 2024 Dec 3]. Available from: https://epubs.siam.org/doi/10.1137/141000671</w:t>
      </w:r>
    </w:p>
    <w:p w14:paraId="13C3272A" w14:textId="57481348" w:rsidR="00023727" w:rsidRPr="00A436ED" w:rsidRDefault="00023727" w:rsidP="003C2C3D">
      <w:pPr>
        <w:rPr>
          <w:rFonts w:ascii="Arial" w:hAnsi="Arial" w:cs="Arial"/>
        </w:rPr>
      </w:pPr>
      <w:r w:rsidRPr="00A436ED">
        <w:rPr>
          <w:rFonts w:ascii="Arial" w:hAnsi="Arial" w:cs="Arial"/>
        </w:rPr>
        <w:fldChar w:fldCharType="end"/>
      </w:r>
    </w:p>
    <w:sectPr w:rsidR="00023727" w:rsidRPr="00A436ED" w:rsidSect="00F317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52A9" w14:textId="77777777" w:rsidR="00D33994" w:rsidRDefault="00D33994" w:rsidP="003C2C3D">
      <w:r>
        <w:separator/>
      </w:r>
    </w:p>
  </w:endnote>
  <w:endnote w:type="continuationSeparator" w:id="0">
    <w:p w14:paraId="5E25CABA" w14:textId="77777777" w:rsidR="00D33994" w:rsidRDefault="00D33994" w:rsidP="003C2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FBA25" w14:textId="77777777" w:rsidR="00D33994" w:rsidRDefault="00D33994" w:rsidP="003C2C3D">
      <w:r>
        <w:separator/>
      </w:r>
    </w:p>
  </w:footnote>
  <w:footnote w:type="continuationSeparator" w:id="0">
    <w:p w14:paraId="157E53AC" w14:textId="77777777" w:rsidR="00D33994" w:rsidRDefault="00D33994" w:rsidP="003C2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07E53"/>
    <w:multiLevelType w:val="multilevel"/>
    <w:tmpl w:val="259C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7C21A9"/>
    <w:multiLevelType w:val="multilevel"/>
    <w:tmpl w:val="0514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8C7D07"/>
    <w:multiLevelType w:val="multilevel"/>
    <w:tmpl w:val="92C6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E7AE1"/>
    <w:multiLevelType w:val="multilevel"/>
    <w:tmpl w:val="B3ECE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E11695"/>
    <w:multiLevelType w:val="multilevel"/>
    <w:tmpl w:val="ED7EA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D9729BE"/>
    <w:multiLevelType w:val="multilevel"/>
    <w:tmpl w:val="1444C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F3E1DC1"/>
    <w:multiLevelType w:val="multilevel"/>
    <w:tmpl w:val="682C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1EA27E4"/>
    <w:multiLevelType w:val="hybridMultilevel"/>
    <w:tmpl w:val="865CEC2A"/>
    <w:lvl w:ilvl="0" w:tplc="4A2E18D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415288D"/>
    <w:multiLevelType w:val="hybridMultilevel"/>
    <w:tmpl w:val="7F1861AA"/>
    <w:lvl w:ilvl="0" w:tplc="BF6C3E2C">
      <w:start w:val="2"/>
      <w:numFmt w:val="bullet"/>
      <w:lvlText w:val="-"/>
      <w:lvlJc w:val="left"/>
      <w:pPr>
        <w:ind w:left="420" w:hanging="360"/>
      </w:pPr>
      <w:rPr>
        <w:rFonts w:ascii="Arial" w:eastAsiaTheme="minorEastAsia"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618558069">
    <w:abstractNumId w:val="8"/>
  </w:num>
  <w:num w:numId="2" w16cid:durableId="1093284848">
    <w:abstractNumId w:val="4"/>
  </w:num>
  <w:num w:numId="3" w16cid:durableId="1171605990">
    <w:abstractNumId w:val="3"/>
  </w:num>
  <w:num w:numId="4" w16cid:durableId="1122964249">
    <w:abstractNumId w:val="6"/>
  </w:num>
  <w:num w:numId="5" w16cid:durableId="1310328989">
    <w:abstractNumId w:val="5"/>
  </w:num>
  <w:num w:numId="6" w16cid:durableId="364598020">
    <w:abstractNumId w:val="0"/>
  </w:num>
  <w:num w:numId="7" w16cid:durableId="1956330805">
    <w:abstractNumId w:val="7"/>
  </w:num>
  <w:num w:numId="8" w16cid:durableId="1481968150">
    <w:abstractNumId w:val="2"/>
  </w:num>
  <w:num w:numId="9" w16cid:durableId="2126194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69"/>
    <w:rsid w:val="000135E4"/>
    <w:rsid w:val="000157CA"/>
    <w:rsid w:val="00016679"/>
    <w:rsid w:val="0002162B"/>
    <w:rsid w:val="00022B07"/>
    <w:rsid w:val="00023727"/>
    <w:rsid w:val="00023D1E"/>
    <w:rsid w:val="00025C83"/>
    <w:rsid w:val="00026D30"/>
    <w:rsid w:val="00027B73"/>
    <w:rsid w:val="00030153"/>
    <w:rsid w:val="00036267"/>
    <w:rsid w:val="00043634"/>
    <w:rsid w:val="0005156D"/>
    <w:rsid w:val="000561B7"/>
    <w:rsid w:val="000618FD"/>
    <w:rsid w:val="000624FB"/>
    <w:rsid w:val="00072DE6"/>
    <w:rsid w:val="00076139"/>
    <w:rsid w:val="00081C06"/>
    <w:rsid w:val="000835EB"/>
    <w:rsid w:val="00087F0D"/>
    <w:rsid w:val="000A0469"/>
    <w:rsid w:val="000A74E7"/>
    <w:rsid w:val="000B4DA6"/>
    <w:rsid w:val="000C144D"/>
    <w:rsid w:val="000C4C4F"/>
    <w:rsid w:val="000C60AE"/>
    <w:rsid w:val="000E00CB"/>
    <w:rsid w:val="000E1399"/>
    <w:rsid w:val="000E7531"/>
    <w:rsid w:val="000F7202"/>
    <w:rsid w:val="000F7692"/>
    <w:rsid w:val="000F774B"/>
    <w:rsid w:val="00110A63"/>
    <w:rsid w:val="00111BA9"/>
    <w:rsid w:val="00114642"/>
    <w:rsid w:val="00115954"/>
    <w:rsid w:val="00116168"/>
    <w:rsid w:val="0011754C"/>
    <w:rsid w:val="0012136B"/>
    <w:rsid w:val="00123272"/>
    <w:rsid w:val="00123DCD"/>
    <w:rsid w:val="0012402D"/>
    <w:rsid w:val="00124059"/>
    <w:rsid w:val="00126521"/>
    <w:rsid w:val="00126A43"/>
    <w:rsid w:val="00133F57"/>
    <w:rsid w:val="00134C89"/>
    <w:rsid w:val="0013591D"/>
    <w:rsid w:val="00140DA2"/>
    <w:rsid w:val="00143FA9"/>
    <w:rsid w:val="0015098A"/>
    <w:rsid w:val="00153EDC"/>
    <w:rsid w:val="00154096"/>
    <w:rsid w:val="00155E0D"/>
    <w:rsid w:val="001575D5"/>
    <w:rsid w:val="00165410"/>
    <w:rsid w:val="00166AB8"/>
    <w:rsid w:val="0017527C"/>
    <w:rsid w:val="00177B10"/>
    <w:rsid w:val="00187C23"/>
    <w:rsid w:val="0019309B"/>
    <w:rsid w:val="001932E7"/>
    <w:rsid w:val="00194308"/>
    <w:rsid w:val="00195D50"/>
    <w:rsid w:val="001A3358"/>
    <w:rsid w:val="001A5309"/>
    <w:rsid w:val="001A5D02"/>
    <w:rsid w:val="001A61AF"/>
    <w:rsid w:val="001B191D"/>
    <w:rsid w:val="001B2305"/>
    <w:rsid w:val="001B4CA4"/>
    <w:rsid w:val="001B5238"/>
    <w:rsid w:val="001C047C"/>
    <w:rsid w:val="001C0D76"/>
    <w:rsid w:val="001C776A"/>
    <w:rsid w:val="001D035E"/>
    <w:rsid w:val="001D1852"/>
    <w:rsid w:val="001E0FC8"/>
    <w:rsid w:val="001E4604"/>
    <w:rsid w:val="001E51C4"/>
    <w:rsid w:val="001F48DB"/>
    <w:rsid w:val="001F5075"/>
    <w:rsid w:val="001F7AE9"/>
    <w:rsid w:val="001F7B6C"/>
    <w:rsid w:val="002020A4"/>
    <w:rsid w:val="00203BA5"/>
    <w:rsid w:val="00207A7F"/>
    <w:rsid w:val="002160AB"/>
    <w:rsid w:val="00220167"/>
    <w:rsid w:val="002218D7"/>
    <w:rsid w:val="0022308B"/>
    <w:rsid w:val="00230CF2"/>
    <w:rsid w:val="0023299B"/>
    <w:rsid w:val="00235FE9"/>
    <w:rsid w:val="00236B22"/>
    <w:rsid w:val="00242647"/>
    <w:rsid w:val="00244612"/>
    <w:rsid w:val="002461D9"/>
    <w:rsid w:val="00247057"/>
    <w:rsid w:val="00247233"/>
    <w:rsid w:val="002529D6"/>
    <w:rsid w:val="00260715"/>
    <w:rsid w:val="00262A55"/>
    <w:rsid w:val="0027190D"/>
    <w:rsid w:val="00272A96"/>
    <w:rsid w:val="002736A8"/>
    <w:rsid w:val="002818F5"/>
    <w:rsid w:val="00283310"/>
    <w:rsid w:val="002864C9"/>
    <w:rsid w:val="00286A8A"/>
    <w:rsid w:val="00286E57"/>
    <w:rsid w:val="002909A9"/>
    <w:rsid w:val="00295D3A"/>
    <w:rsid w:val="00296381"/>
    <w:rsid w:val="002A062C"/>
    <w:rsid w:val="002B06A2"/>
    <w:rsid w:val="002C57CD"/>
    <w:rsid w:val="002D078D"/>
    <w:rsid w:val="002D26F8"/>
    <w:rsid w:val="002D464F"/>
    <w:rsid w:val="002D68D6"/>
    <w:rsid w:val="002E494A"/>
    <w:rsid w:val="002E4C53"/>
    <w:rsid w:val="002E5C07"/>
    <w:rsid w:val="002F100C"/>
    <w:rsid w:val="002F344B"/>
    <w:rsid w:val="002F3B43"/>
    <w:rsid w:val="00300A3E"/>
    <w:rsid w:val="003028E2"/>
    <w:rsid w:val="003074BF"/>
    <w:rsid w:val="003111B8"/>
    <w:rsid w:val="00311DE3"/>
    <w:rsid w:val="00314A91"/>
    <w:rsid w:val="003251DA"/>
    <w:rsid w:val="00325A4E"/>
    <w:rsid w:val="003320D1"/>
    <w:rsid w:val="00334EF6"/>
    <w:rsid w:val="00336DC5"/>
    <w:rsid w:val="00336F2C"/>
    <w:rsid w:val="003412CD"/>
    <w:rsid w:val="00343105"/>
    <w:rsid w:val="003440A6"/>
    <w:rsid w:val="00346C34"/>
    <w:rsid w:val="00360791"/>
    <w:rsid w:val="00360909"/>
    <w:rsid w:val="003705CB"/>
    <w:rsid w:val="003776CE"/>
    <w:rsid w:val="00384878"/>
    <w:rsid w:val="00390DFA"/>
    <w:rsid w:val="00391D71"/>
    <w:rsid w:val="003A0EDF"/>
    <w:rsid w:val="003A4B3E"/>
    <w:rsid w:val="003A76F7"/>
    <w:rsid w:val="003B123B"/>
    <w:rsid w:val="003B3191"/>
    <w:rsid w:val="003B4F1C"/>
    <w:rsid w:val="003C0A32"/>
    <w:rsid w:val="003C118F"/>
    <w:rsid w:val="003C1304"/>
    <w:rsid w:val="003C2C3D"/>
    <w:rsid w:val="003C4847"/>
    <w:rsid w:val="003C4871"/>
    <w:rsid w:val="003C689F"/>
    <w:rsid w:val="003D3488"/>
    <w:rsid w:val="003E0241"/>
    <w:rsid w:val="003E4C30"/>
    <w:rsid w:val="003E78EC"/>
    <w:rsid w:val="003F322A"/>
    <w:rsid w:val="003F536B"/>
    <w:rsid w:val="00402DD4"/>
    <w:rsid w:val="00402FFE"/>
    <w:rsid w:val="0040674C"/>
    <w:rsid w:val="0041060F"/>
    <w:rsid w:val="00411086"/>
    <w:rsid w:val="00411BB7"/>
    <w:rsid w:val="004149F0"/>
    <w:rsid w:val="004174D0"/>
    <w:rsid w:val="00423E3B"/>
    <w:rsid w:val="0042420C"/>
    <w:rsid w:val="00426F30"/>
    <w:rsid w:val="0042718D"/>
    <w:rsid w:val="00427DDA"/>
    <w:rsid w:val="00427FB4"/>
    <w:rsid w:val="0043069E"/>
    <w:rsid w:val="00435E6A"/>
    <w:rsid w:val="004456BB"/>
    <w:rsid w:val="00451265"/>
    <w:rsid w:val="004514F5"/>
    <w:rsid w:val="00451FBD"/>
    <w:rsid w:val="00453D8C"/>
    <w:rsid w:val="00454C8E"/>
    <w:rsid w:val="00455382"/>
    <w:rsid w:val="00460197"/>
    <w:rsid w:val="00463F26"/>
    <w:rsid w:val="0046462E"/>
    <w:rsid w:val="004659E0"/>
    <w:rsid w:val="00470FE4"/>
    <w:rsid w:val="004712CB"/>
    <w:rsid w:val="00495F2B"/>
    <w:rsid w:val="00497EC8"/>
    <w:rsid w:val="004A078B"/>
    <w:rsid w:val="004A0797"/>
    <w:rsid w:val="004A4E37"/>
    <w:rsid w:val="004A5CD6"/>
    <w:rsid w:val="004A72BC"/>
    <w:rsid w:val="004C6096"/>
    <w:rsid w:val="004C7190"/>
    <w:rsid w:val="004D0F5E"/>
    <w:rsid w:val="004D3DC2"/>
    <w:rsid w:val="004E01C1"/>
    <w:rsid w:val="004F4B22"/>
    <w:rsid w:val="005014B2"/>
    <w:rsid w:val="00504CEC"/>
    <w:rsid w:val="00505E75"/>
    <w:rsid w:val="005132B6"/>
    <w:rsid w:val="00515D1F"/>
    <w:rsid w:val="00516AD8"/>
    <w:rsid w:val="005226A5"/>
    <w:rsid w:val="00525A93"/>
    <w:rsid w:val="00543072"/>
    <w:rsid w:val="005430B2"/>
    <w:rsid w:val="00545562"/>
    <w:rsid w:val="005457D7"/>
    <w:rsid w:val="005478EC"/>
    <w:rsid w:val="00560048"/>
    <w:rsid w:val="00561B34"/>
    <w:rsid w:val="00562444"/>
    <w:rsid w:val="00564F5F"/>
    <w:rsid w:val="005651E0"/>
    <w:rsid w:val="00575509"/>
    <w:rsid w:val="0057625A"/>
    <w:rsid w:val="00576567"/>
    <w:rsid w:val="00580292"/>
    <w:rsid w:val="00580A40"/>
    <w:rsid w:val="00584E04"/>
    <w:rsid w:val="00585A65"/>
    <w:rsid w:val="00585B6C"/>
    <w:rsid w:val="00592B80"/>
    <w:rsid w:val="005A5825"/>
    <w:rsid w:val="005B5128"/>
    <w:rsid w:val="005B535E"/>
    <w:rsid w:val="005C21DB"/>
    <w:rsid w:val="005C2263"/>
    <w:rsid w:val="005D1F67"/>
    <w:rsid w:val="005D5C05"/>
    <w:rsid w:val="005D6E05"/>
    <w:rsid w:val="005E28FC"/>
    <w:rsid w:val="005E37DF"/>
    <w:rsid w:val="005E7D1D"/>
    <w:rsid w:val="005F07D2"/>
    <w:rsid w:val="005F0B5E"/>
    <w:rsid w:val="005F4D12"/>
    <w:rsid w:val="005F5B72"/>
    <w:rsid w:val="0060045E"/>
    <w:rsid w:val="00602660"/>
    <w:rsid w:val="00611FF9"/>
    <w:rsid w:val="00620D4E"/>
    <w:rsid w:val="0062717F"/>
    <w:rsid w:val="00630CBC"/>
    <w:rsid w:val="0065021E"/>
    <w:rsid w:val="00651529"/>
    <w:rsid w:val="006527E4"/>
    <w:rsid w:val="00653C0F"/>
    <w:rsid w:val="0066161A"/>
    <w:rsid w:val="00670492"/>
    <w:rsid w:val="00677281"/>
    <w:rsid w:val="00684FCB"/>
    <w:rsid w:val="00691D34"/>
    <w:rsid w:val="00693229"/>
    <w:rsid w:val="006960B3"/>
    <w:rsid w:val="006967E8"/>
    <w:rsid w:val="006A100C"/>
    <w:rsid w:val="006A23A3"/>
    <w:rsid w:val="006B129D"/>
    <w:rsid w:val="006B7FEA"/>
    <w:rsid w:val="006C2E03"/>
    <w:rsid w:val="006C3B09"/>
    <w:rsid w:val="006C3C95"/>
    <w:rsid w:val="006C42C4"/>
    <w:rsid w:val="006C6FCD"/>
    <w:rsid w:val="006D2654"/>
    <w:rsid w:val="006D3D67"/>
    <w:rsid w:val="006D5DC4"/>
    <w:rsid w:val="006D730F"/>
    <w:rsid w:val="006F0BF3"/>
    <w:rsid w:val="006F4E66"/>
    <w:rsid w:val="006F59CA"/>
    <w:rsid w:val="006F619E"/>
    <w:rsid w:val="006F790C"/>
    <w:rsid w:val="006F7952"/>
    <w:rsid w:val="0071284E"/>
    <w:rsid w:val="00714C75"/>
    <w:rsid w:val="00715E8D"/>
    <w:rsid w:val="007171AC"/>
    <w:rsid w:val="00717E1B"/>
    <w:rsid w:val="0072422B"/>
    <w:rsid w:val="00731815"/>
    <w:rsid w:val="00732635"/>
    <w:rsid w:val="00735B27"/>
    <w:rsid w:val="00736180"/>
    <w:rsid w:val="007365B1"/>
    <w:rsid w:val="00746381"/>
    <w:rsid w:val="00747B11"/>
    <w:rsid w:val="00765209"/>
    <w:rsid w:val="00766F09"/>
    <w:rsid w:val="00776CD9"/>
    <w:rsid w:val="00777832"/>
    <w:rsid w:val="0078308D"/>
    <w:rsid w:val="00783A48"/>
    <w:rsid w:val="007866D7"/>
    <w:rsid w:val="0079330F"/>
    <w:rsid w:val="007943A2"/>
    <w:rsid w:val="00794E46"/>
    <w:rsid w:val="007A0B59"/>
    <w:rsid w:val="007A4E01"/>
    <w:rsid w:val="007B17A8"/>
    <w:rsid w:val="007C1673"/>
    <w:rsid w:val="007C1D52"/>
    <w:rsid w:val="007C3198"/>
    <w:rsid w:val="007C643E"/>
    <w:rsid w:val="007C7F93"/>
    <w:rsid w:val="007E411E"/>
    <w:rsid w:val="007F0AB9"/>
    <w:rsid w:val="007F1CA5"/>
    <w:rsid w:val="007F56AC"/>
    <w:rsid w:val="00801376"/>
    <w:rsid w:val="008022B7"/>
    <w:rsid w:val="008029B7"/>
    <w:rsid w:val="008075A9"/>
    <w:rsid w:val="008150A6"/>
    <w:rsid w:val="0082389F"/>
    <w:rsid w:val="00826CB4"/>
    <w:rsid w:val="00826E1C"/>
    <w:rsid w:val="00833DCC"/>
    <w:rsid w:val="0083410B"/>
    <w:rsid w:val="00835458"/>
    <w:rsid w:val="00842C63"/>
    <w:rsid w:val="00842D64"/>
    <w:rsid w:val="00847A82"/>
    <w:rsid w:val="00850C40"/>
    <w:rsid w:val="00852D9E"/>
    <w:rsid w:val="008625EA"/>
    <w:rsid w:val="00863CFB"/>
    <w:rsid w:val="008878B9"/>
    <w:rsid w:val="00887D2B"/>
    <w:rsid w:val="008940AB"/>
    <w:rsid w:val="00894FBD"/>
    <w:rsid w:val="00896983"/>
    <w:rsid w:val="00896EB3"/>
    <w:rsid w:val="008A381A"/>
    <w:rsid w:val="008A63EC"/>
    <w:rsid w:val="008B12CF"/>
    <w:rsid w:val="008B7874"/>
    <w:rsid w:val="008C007A"/>
    <w:rsid w:val="008C1C25"/>
    <w:rsid w:val="008C29C4"/>
    <w:rsid w:val="008C7930"/>
    <w:rsid w:val="008D02B8"/>
    <w:rsid w:val="008D4E47"/>
    <w:rsid w:val="008E24D0"/>
    <w:rsid w:val="008E6D31"/>
    <w:rsid w:val="008F2F30"/>
    <w:rsid w:val="008F5109"/>
    <w:rsid w:val="00905B9D"/>
    <w:rsid w:val="00907900"/>
    <w:rsid w:val="00914DEA"/>
    <w:rsid w:val="00920170"/>
    <w:rsid w:val="00931F47"/>
    <w:rsid w:val="00934718"/>
    <w:rsid w:val="009348E7"/>
    <w:rsid w:val="009431DE"/>
    <w:rsid w:val="00970F42"/>
    <w:rsid w:val="0097550F"/>
    <w:rsid w:val="00982B5A"/>
    <w:rsid w:val="00985F42"/>
    <w:rsid w:val="0098659A"/>
    <w:rsid w:val="00987AAD"/>
    <w:rsid w:val="00991060"/>
    <w:rsid w:val="009929A1"/>
    <w:rsid w:val="00994085"/>
    <w:rsid w:val="009964FE"/>
    <w:rsid w:val="009A0A97"/>
    <w:rsid w:val="009A48CA"/>
    <w:rsid w:val="009A64ED"/>
    <w:rsid w:val="009B0F88"/>
    <w:rsid w:val="009B16D5"/>
    <w:rsid w:val="009B4B32"/>
    <w:rsid w:val="009B57E4"/>
    <w:rsid w:val="009C5D49"/>
    <w:rsid w:val="009C7087"/>
    <w:rsid w:val="009C759A"/>
    <w:rsid w:val="009D023E"/>
    <w:rsid w:val="009E0288"/>
    <w:rsid w:val="009F11B0"/>
    <w:rsid w:val="009F16F6"/>
    <w:rsid w:val="009F212F"/>
    <w:rsid w:val="009F2490"/>
    <w:rsid w:val="00A00030"/>
    <w:rsid w:val="00A05C27"/>
    <w:rsid w:val="00A06BBC"/>
    <w:rsid w:val="00A12017"/>
    <w:rsid w:val="00A154E9"/>
    <w:rsid w:val="00A15A18"/>
    <w:rsid w:val="00A16B1B"/>
    <w:rsid w:val="00A16CED"/>
    <w:rsid w:val="00A23D63"/>
    <w:rsid w:val="00A27C14"/>
    <w:rsid w:val="00A30722"/>
    <w:rsid w:val="00A436ED"/>
    <w:rsid w:val="00A45465"/>
    <w:rsid w:val="00A50D53"/>
    <w:rsid w:val="00A51574"/>
    <w:rsid w:val="00A55F26"/>
    <w:rsid w:val="00A56AE7"/>
    <w:rsid w:val="00A570C4"/>
    <w:rsid w:val="00A604F8"/>
    <w:rsid w:val="00A60A99"/>
    <w:rsid w:val="00A61367"/>
    <w:rsid w:val="00A61F08"/>
    <w:rsid w:val="00A67756"/>
    <w:rsid w:val="00A71E67"/>
    <w:rsid w:val="00A77F8C"/>
    <w:rsid w:val="00A81E1D"/>
    <w:rsid w:val="00A82C86"/>
    <w:rsid w:val="00A87230"/>
    <w:rsid w:val="00A92374"/>
    <w:rsid w:val="00AA1111"/>
    <w:rsid w:val="00AB2CB0"/>
    <w:rsid w:val="00AB7AA6"/>
    <w:rsid w:val="00AC2790"/>
    <w:rsid w:val="00AC6D9F"/>
    <w:rsid w:val="00AE2161"/>
    <w:rsid w:val="00B04E57"/>
    <w:rsid w:val="00B11275"/>
    <w:rsid w:val="00B118A3"/>
    <w:rsid w:val="00B22B3E"/>
    <w:rsid w:val="00B22F59"/>
    <w:rsid w:val="00B23EF2"/>
    <w:rsid w:val="00B27EC8"/>
    <w:rsid w:val="00B32309"/>
    <w:rsid w:val="00B34589"/>
    <w:rsid w:val="00B36DAD"/>
    <w:rsid w:val="00B42E3B"/>
    <w:rsid w:val="00B61913"/>
    <w:rsid w:val="00B66275"/>
    <w:rsid w:val="00B700A7"/>
    <w:rsid w:val="00B72D80"/>
    <w:rsid w:val="00B7417C"/>
    <w:rsid w:val="00B74EB5"/>
    <w:rsid w:val="00B76E17"/>
    <w:rsid w:val="00B771F7"/>
    <w:rsid w:val="00B77699"/>
    <w:rsid w:val="00B803B4"/>
    <w:rsid w:val="00B836FA"/>
    <w:rsid w:val="00B8533C"/>
    <w:rsid w:val="00B85740"/>
    <w:rsid w:val="00B963B4"/>
    <w:rsid w:val="00BB4388"/>
    <w:rsid w:val="00BC2F95"/>
    <w:rsid w:val="00BD3A67"/>
    <w:rsid w:val="00BE31B5"/>
    <w:rsid w:val="00BE42FB"/>
    <w:rsid w:val="00BE4F45"/>
    <w:rsid w:val="00BF4288"/>
    <w:rsid w:val="00C04F3A"/>
    <w:rsid w:val="00C0516D"/>
    <w:rsid w:val="00C05CF2"/>
    <w:rsid w:val="00C07889"/>
    <w:rsid w:val="00C133EF"/>
    <w:rsid w:val="00C17D7F"/>
    <w:rsid w:val="00C2746E"/>
    <w:rsid w:val="00C34801"/>
    <w:rsid w:val="00C35E2B"/>
    <w:rsid w:val="00C43199"/>
    <w:rsid w:val="00C44864"/>
    <w:rsid w:val="00C56EB7"/>
    <w:rsid w:val="00C70BEB"/>
    <w:rsid w:val="00C72306"/>
    <w:rsid w:val="00C80650"/>
    <w:rsid w:val="00C80949"/>
    <w:rsid w:val="00C80C49"/>
    <w:rsid w:val="00C87BA9"/>
    <w:rsid w:val="00C94010"/>
    <w:rsid w:val="00CA0E1B"/>
    <w:rsid w:val="00CA658D"/>
    <w:rsid w:val="00CA7C74"/>
    <w:rsid w:val="00CB230C"/>
    <w:rsid w:val="00CB46E2"/>
    <w:rsid w:val="00CB5328"/>
    <w:rsid w:val="00CB63BF"/>
    <w:rsid w:val="00CB720E"/>
    <w:rsid w:val="00CC60B3"/>
    <w:rsid w:val="00CC6ED8"/>
    <w:rsid w:val="00CD4E13"/>
    <w:rsid w:val="00CF0406"/>
    <w:rsid w:val="00CF18EE"/>
    <w:rsid w:val="00CF4F91"/>
    <w:rsid w:val="00CF6563"/>
    <w:rsid w:val="00D139EC"/>
    <w:rsid w:val="00D143CF"/>
    <w:rsid w:val="00D14A07"/>
    <w:rsid w:val="00D17B22"/>
    <w:rsid w:val="00D20605"/>
    <w:rsid w:val="00D332C4"/>
    <w:rsid w:val="00D33994"/>
    <w:rsid w:val="00D40A8C"/>
    <w:rsid w:val="00D42EA3"/>
    <w:rsid w:val="00D5319F"/>
    <w:rsid w:val="00D56229"/>
    <w:rsid w:val="00D619EC"/>
    <w:rsid w:val="00D63947"/>
    <w:rsid w:val="00D64E9F"/>
    <w:rsid w:val="00D65332"/>
    <w:rsid w:val="00D653B6"/>
    <w:rsid w:val="00D74B4B"/>
    <w:rsid w:val="00D805F4"/>
    <w:rsid w:val="00D825D4"/>
    <w:rsid w:val="00D82E00"/>
    <w:rsid w:val="00D90ECF"/>
    <w:rsid w:val="00D94587"/>
    <w:rsid w:val="00D949E2"/>
    <w:rsid w:val="00DA1328"/>
    <w:rsid w:val="00DA4964"/>
    <w:rsid w:val="00DB2D49"/>
    <w:rsid w:val="00DB39FE"/>
    <w:rsid w:val="00DB631A"/>
    <w:rsid w:val="00DB78FF"/>
    <w:rsid w:val="00DC1E36"/>
    <w:rsid w:val="00DC1FDF"/>
    <w:rsid w:val="00DC286C"/>
    <w:rsid w:val="00DC6B35"/>
    <w:rsid w:val="00DD0095"/>
    <w:rsid w:val="00DD16AC"/>
    <w:rsid w:val="00DD1DCA"/>
    <w:rsid w:val="00DD201F"/>
    <w:rsid w:val="00DD5143"/>
    <w:rsid w:val="00DD7E8C"/>
    <w:rsid w:val="00DE0914"/>
    <w:rsid w:val="00DE39B5"/>
    <w:rsid w:val="00DE586A"/>
    <w:rsid w:val="00DE7CAA"/>
    <w:rsid w:val="00DF014E"/>
    <w:rsid w:val="00DF0999"/>
    <w:rsid w:val="00DF2A14"/>
    <w:rsid w:val="00E0151C"/>
    <w:rsid w:val="00E03BDA"/>
    <w:rsid w:val="00E125B2"/>
    <w:rsid w:val="00E146AD"/>
    <w:rsid w:val="00E2155F"/>
    <w:rsid w:val="00E238F2"/>
    <w:rsid w:val="00E23D61"/>
    <w:rsid w:val="00E27A36"/>
    <w:rsid w:val="00E30C87"/>
    <w:rsid w:val="00E42BDC"/>
    <w:rsid w:val="00E4789F"/>
    <w:rsid w:val="00E56F41"/>
    <w:rsid w:val="00E602DB"/>
    <w:rsid w:val="00E720FE"/>
    <w:rsid w:val="00E759E7"/>
    <w:rsid w:val="00E779C4"/>
    <w:rsid w:val="00E805C1"/>
    <w:rsid w:val="00E81180"/>
    <w:rsid w:val="00E96DC3"/>
    <w:rsid w:val="00EA6F73"/>
    <w:rsid w:val="00EB35A2"/>
    <w:rsid w:val="00EB774E"/>
    <w:rsid w:val="00EE176B"/>
    <w:rsid w:val="00EE282C"/>
    <w:rsid w:val="00EF1BC5"/>
    <w:rsid w:val="00EF386B"/>
    <w:rsid w:val="00EF7639"/>
    <w:rsid w:val="00F00335"/>
    <w:rsid w:val="00F02B83"/>
    <w:rsid w:val="00F049DD"/>
    <w:rsid w:val="00F056AF"/>
    <w:rsid w:val="00F10EBE"/>
    <w:rsid w:val="00F20E91"/>
    <w:rsid w:val="00F276C9"/>
    <w:rsid w:val="00F31756"/>
    <w:rsid w:val="00F329E7"/>
    <w:rsid w:val="00F32AF2"/>
    <w:rsid w:val="00F34BE8"/>
    <w:rsid w:val="00F47513"/>
    <w:rsid w:val="00F4773F"/>
    <w:rsid w:val="00F4775E"/>
    <w:rsid w:val="00F55B0A"/>
    <w:rsid w:val="00F56B25"/>
    <w:rsid w:val="00F626E2"/>
    <w:rsid w:val="00F659C1"/>
    <w:rsid w:val="00F73BFD"/>
    <w:rsid w:val="00F76B3A"/>
    <w:rsid w:val="00F80EA0"/>
    <w:rsid w:val="00F844A1"/>
    <w:rsid w:val="00F86EC0"/>
    <w:rsid w:val="00F90285"/>
    <w:rsid w:val="00F90355"/>
    <w:rsid w:val="00F95F2E"/>
    <w:rsid w:val="00F964A8"/>
    <w:rsid w:val="00FA03AF"/>
    <w:rsid w:val="00FA2D27"/>
    <w:rsid w:val="00FA7135"/>
    <w:rsid w:val="00FB2519"/>
    <w:rsid w:val="00FB3FB0"/>
    <w:rsid w:val="00FB4F11"/>
    <w:rsid w:val="00FB7099"/>
    <w:rsid w:val="00FB7BAA"/>
    <w:rsid w:val="00FC0721"/>
    <w:rsid w:val="00FC56E0"/>
    <w:rsid w:val="00FC5B06"/>
    <w:rsid w:val="00FC7733"/>
    <w:rsid w:val="00FE2EEB"/>
    <w:rsid w:val="00FE41BC"/>
    <w:rsid w:val="00FF526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E409F"/>
  <w15:chartTrackingRefBased/>
  <w15:docId w15:val="{365BA3A3-9E87-459E-BF44-A9F9B843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D71"/>
    <w:pPr>
      <w:spacing w:line="360" w:lineRule="auto"/>
    </w:pPr>
  </w:style>
  <w:style w:type="paragraph" w:styleId="Heading1">
    <w:name w:val="heading 1"/>
    <w:basedOn w:val="Normal"/>
    <w:next w:val="Normal"/>
    <w:link w:val="Heading1Char"/>
    <w:uiPriority w:val="9"/>
    <w:qFormat/>
    <w:rsid w:val="000A0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949"/>
    <w:pPr>
      <w:keepNext/>
      <w:keepLines/>
      <w:spacing w:before="160" w:after="80"/>
      <w:outlineLvl w:val="2"/>
    </w:pPr>
    <w:rPr>
      <w:rFonts w:ascii="Aptos" w:hAnsi="Aptos" w:cs="Aptos"/>
      <w:color w:val="000000" w:themeColor="text1"/>
      <w:sz w:val="28"/>
      <w:szCs w:val="28"/>
    </w:rPr>
  </w:style>
  <w:style w:type="paragraph" w:styleId="Heading4">
    <w:name w:val="heading 4"/>
    <w:basedOn w:val="Normal"/>
    <w:next w:val="Normal"/>
    <w:link w:val="Heading4Char"/>
    <w:uiPriority w:val="9"/>
    <w:semiHidden/>
    <w:unhideWhenUsed/>
    <w:qFormat/>
    <w:rsid w:val="000A0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0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949"/>
    <w:rPr>
      <w:rFonts w:ascii="Aptos" w:hAnsi="Aptos" w:cs="Aptos"/>
      <w:color w:val="000000" w:themeColor="text1"/>
      <w:sz w:val="28"/>
      <w:szCs w:val="28"/>
    </w:rPr>
  </w:style>
  <w:style w:type="character" w:customStyle="1" w:styleId="Heading4Char">
    <w:name w:val="Heading 4 Char"/>
    <w:basedOn w:val="DefaultParagraphFont"/>
    <w:link w:val="Heading4"/>
    <w:uiPriority w:val="9"/>
    <w:semiHidden/>
    <w:rsid w:val="000A0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469"/>
    <w:rPr>
      <w:rFonts w:eastAsiaTheme="majorEastAsia" w:cstheme="majorBidi"/>
      <w:color w:val="272727" w:themeColor="text1" w:themeTint="D8"/>
    </w:rPr>
  </w:style>
  <w:style w:type="paragraph" w:styleId="Title">
    <w:name w:val="Title"/>
    <w:basedOn w:val="Normal"/>
    <w:next w:val="Normal"/>
    <w:link w:val="TitleChar"/>
    <w:uiPriority w:val="10"/>
    <w:qFormat/>
    <w:rsid w:val="000A0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69"/>
    <w:pPr>
      <w:spacing w:before="160"/>
      <w:jc w:val="center"/>
    </w:pPr>
    <w:rPr>
      <w:i/>
      <w:iCs/>
      <w:color w:val="404040" w:themeColor="text1" w:themeTint="BF"/>
    </w:rPr>
  </w:style>
  <w:style w:type="character" w:customStyle="1" w:styleId="QuoteChar">
    <w:name w:val="Quote Char"/>
    <w:basedOn w:val="DefaultParagraphFont"/>
    <w:link w:val="Quote"/>
    <w:uiPriority w:val="29"/>
    <w:rsid w:val="000A0469"/>
    <w:rPr>
      <w:i/>
      <w:iCs/>
      <w:color w:val="404040" w:themeColor="text1" w:themeTint="BF"/>
    </w:rPr>
  </w:style>
  <w:style w:type="paragraph" w:styleId="ListParagraph">
    <w:name w:val="List Paragraph"/>
    <w:basedOn w:val="Normal"/>
    <w:uiPriority w:val="34"/>
    <w:qFormat/>
    <w:rsid w:val="000A0469"/>
    <w:pPr>
      <w:ind w:left="720"/>
      <w:contextualSpacing/>
    </w:pPr>
  </w:style>
  <w:style w:type="character" w:styleId="IntenseEmphasis">
    <w:name w:val="Intense Emphasis"/>
    <w:basedOn w:val="DefaultParagraphFont"/>
    <w:uiPriority w:val="21"/>
    <w:qFormat/>
    <w:rsid w:val="000A0469"/>
    <w:rPr>
      <w:i/>
      <w:iCs/>
      <w:color w:val="0F4761" w:themeColor="accent1" w:themeShade="BF"/>
    </w:rPr>
  </w:style>
  <w:style w:type="paragraph" w:styleId="IntenseQuote">
    <w:name w:val="Intense Quote"/>
    <w:basedOn w:val="Normal"/>
    <w:next w:val="Normal"/>
    <w:link w:val="IntenseQuoteChar"/>
    <w:uiPriority w:val="30"/>
    <w:qFormat/>
    <w:rsid w:val="000A0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469"/>
    <w:rPr>
      <w:i/>
      <w:iCs/>
      <w:color w:val="0F4761" w:themeColor="accent1" w:themeShade="BF"/>
    </w:rPr>
  </w:style>
  <w:style w:type="character" w:styleId="IntenseReference">
    <w:name w:val="Intense Reference"/>
    <w:basedOn w:val="DefaultParagraphFont"/>
    <w:uiPriority w:val="32"/>
    <w:qFormat/>
    <w:rsid w:val="000A0469"/>
    <w:rPr>
      <w:b/>
      <w:bCs/>
      <w:smallCaps/>
      <w:color w:val="0F4761" w:themeColor="accent1" w:themeShade="BF"/>
      <w:spacing w:val="5"/>
    </w:rPr>
  </w:style>
  <w:style w:type="paragraph" w:styleId="Header">
    <w:name w:val="header"/>
    <w:basedOn w:val="Normal"/>
    <w:link w:val="HeaderChar"/>
    <w:uiPriority w:val="99"/>
    <w:unhideWhenUsed/>
    <w:rsid w:val="00455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382"/>
  </w:style>
  <w:style w:type="paragraph" w:styleId="Footer">
    <w:name w:val="footer"/>
    <w:basedOn w:val="Normal"/>
    <w:link w:val="FooterChar"/>
    <w:uiPriority w:val="99"/>
    <w:unhideWhenUsed/>
    <w:rsid w:val="00455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382"/>
  </w:style>
  <w:style w:type="paragraph" w:styleId="CommentText">
    <w:name w:val="annotation text"/>
    <w:basedOn w:val="Normal"/>
    <w:link w:val="CommentTextChar"/>
    <w:uiPriority w:val="99"/>
    <w:unhideWhenUsed/>
    <w:rsid w:val="00133F57"/>
    <w:pPr>
      <w:spacing w:after="0" w:line="240" w:lineRule="auto"/>
    </w:pPr>
    <w:rPr>
      <w:rFonts w:ascii="Arial" w:hAnsi="Arial" w:cs="Arial"/>
      <w:kern w:val="0"/>
      <w:sz w:val="20"/>
      <w:szCs w:val="20"/>
      <w:lang w:val="en"/>
      <w14:ligatures w14:val="none"/>
    </w:rPr>
  </w:style>
  <w:style w:type="character" w:customStyle="1" w:styleId="CommentTextChar">
    <w:name w:val="Comment Text Char"/>
    <w:basedOn w:val="DefaultParagraphFont"/>
    <w:link w:val="CommentText"/>
    <w:uiPriority w:val="99"/>
    <w:rsid w:val="00133F57"/>
    <w:rPr>
      <w:rFonts w:ascii="Arial" w:hAnsi="Arial" w:cs="Arial"/>
      <w:kern w:val="0"/>
      <w:sz w:val="20"/>
      <w:szCs w:val="20"/>
      <w:lang w:val="en"/>
      <w14:ligatures w14:val="none"/>
    </w:rPr>
  </w:style>
  <w:style w:type="character" w:styleId="CommentReference">
    <w:name w:val="annotation reference"/>
    <w:basedOn w:val="DefaultParagraphFont"/>
    <w:uiPriority w:val="99"/>
    <w:semiHidden/>
    <w:unhideWhenUsed/>
    <w:rsid w:val="00133F57"/>
    <w:rPr>
      <w:sz w:val="16"/>
      <w:szCs w:val="16"/>
    </w:rPr>
  </w:style>
  <w:style w:type="character" w:styleId="PlaceholderText">
    <w:name w:val="Placeholder Text"/>
    <w:basedOn w:val="DefaultParagraphFont"/>
    <w:uiPriority w:val="99"/>
    <w:semiHidden/>
    <w:rsid w:val="00564F5F"/>
    <w:rPr>
      <w:color w:val="666666"/>
    </w:rPr>
  </w:style>
  <w:style w:type="paragraph" w:styleId="Bibliography">
    <w:name w:val="Bibliography"/>
    <w:basedOn w:val="Normal"/>
    <w:next w:val="Normal"/>
    <w:uiPriority w:val="37"/>
    <w:unhideWhenUsed/>
    <w:rsid w:val="00564F5F"/>
    <w:pPr>
      <w:tabs>
        <w:tab w:val="left" w:pos="500"/>
      </w:tabs>
      <w:spacing w:after="240" w:line="240" w:lineRule="auto"/>
      <w:ind w:left="504" w:hanging="504"/>
    </w:pPr>
    <w:rPr>
      <w:rFonts w:ascii="Arial" w:hAnsi="Arial" w:cs="Arial"/>
      <w:kern w:val="0"/>
      <w:sz w:val="22"/>
      <w:szCs w:val="22"/>
      <w:lang w:val="en"/>
      <w14:ligatures w14:val="none"/>
    </w:rPr>
  </w:style>
  <w:style w:type="paragraph" w:styleId="CommentSubject">
    <w:name w:val="annotation subject"/>
    <w:basedOn w:val="CommentText"/>
    <w:next w:val="CommentText"/>
    <w:link w:val="CommentSubjectChar"/>
    <w:uiPriority w:val="99"/>
    <w:semiHidden/>
    <w:unhideWhenUsed/>
    <w:rsid w:val="00564F5F"/>
    <w:rPr>
      <w:b/>
      <w:bCs/>
    </w:rPr>
  </w:style>
  <w:style w:type="character" w:customStyle="1" w:styleId="CommentSubjectChar">
    <w:name w:val="Comment Subject Char"/>
    <w:basedOn w:val="CommentTextChar"/>
    <w:link w:val="CommentSubject"/>
    <w:uiPriority w:val="99"/>
    <w:semiHidden/>
    <w:rsid w:val="00564F5F"/>
    <w:rPr>
      <w:rFonts w:ascii="Arial" w:hAnsi="Arial" w:cs="Arial"/>
      <w:b/>
      <w:bCs/>
      <w:kern w:val="0"/>
      <w:sz w:val="20"/>
      <w:szCs w:val="20"/>
      <w:lang w:val="en"/>
      <w14:ligatures w14:val="none"/>
    </w:rPr>
  </w:style>
  <w:style w:type="character" w:styleId="Hyperlink">
    <w:name w:val="Hyperlink"/>
    <w:basedOn w:val="DefaultParagraphFont"/>
    <w:uiPriority w:val="99"/>
    <w:unhideWhenUsed/>
    <w:rsid w:val="00564F5F"/>
    <w:rPr>
      <w:color w:val="467886" w:themeColor="hyperlink"/>
      <w:u w:val="single"/>
    </w:rPr>
  </w:style>
  <w:style w:type="character" w:styleId="UnresolvedMention">
    <w:name w:val="Unresolved Mention"/>
    <w:basedOn w:val="DefaultParagraphFont"/>
    <w:uiPriority w:val="99"/>
    <w:semiHidden/>
    <w:unhideWhenUsed/>
    <w:rsid w:val="00564F5F"/>
    <w:rPr>
      <w:color w:val="605E5C"/>
      <w:shd w:val="clear" w:color="auto" w:fill="E1DFDD"/>
    </w:rPr>
  </w:style>
  <w:style w:type="character" w:styleId="FollowedHyperlink">
    <w:name w:val="FollowedHyperlink"/>
    <w:basedOn w:val="DefaultParagraphFont"/>
    <w:uiPriority w:val="99"/>
    <w:semiHidden/>
    <w:unhideWhenUsed/>
    <w:rsid w:val="00564F5F"/>
    <w:rPr>
      <w:color w:val="96607D"/>
      <w:u w:val="single"/>
    </w:rPr>
  </w:style>
  <w:style w:type="paragraph" w:customStyle="1" w:styleId="msonormal0">
    <w:name w:val="msonormal"/>
    <w:basedOn w:val="Normal"/>
    <w:rsid w:val="00564F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C14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C144D"/>
    <w:rPr>
      <w:i/>
      <w:iCs/>
    </w:rPr>
  </w:style>
  <w:style w:type="character" w:customStyle="1" w:styleId="math">
    <w:name w:val="math"/>
    <w:basedOn w:val="DefaultParagraphFont"/>
    <w:rsid w:val="000C144D"/>
  </w:style>
  <w:style w:type="table" w:styleId="TableGrid">
    <w:name w:val="Table Grid"/>
    <w:basedOn w:val="TableNormal"/>
    <w:uiPriority w:val="39"/>
    <w:rsid w:val="00EA6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C759A"/>
    <w:pPr>
      <w:spacing w:after="0" w:line="240" w:lineRule="auto"/>
    </w:pPr>
  </w:style>
  <w:style w:type="character" w:customStyle="1" w:styleId="katex-mathml">
    <w:name w:val="katex-mathml"/>
    <w:basedOn w:val="DefaultParagraphFont"/>
    <w:rsid w:val="00E81180"/>
  </w:style>
  <w:style w:type="character" w:customStyle="1" w:styleId="mord">
    <w:name w:val="mord"/>
    <w:basedOn w:val="DefaultParagraphFont"/>
    <w:rsid w:val="00E81180"/>
  </w:style>
  <w:style w:type="character" w:customStyle="1" w:styleId="mopen">
    <w:name w:val="mopen"/>
    <w:basedOn w:val="DefaultParagraphFont"/>
    <w:rsid w:val="00E81180"/>
  </w:style>
  <w:style w:type="character" w:customStyle="1" w:styleId="mclose">
    <w:name w:val="mclose"/>
    <w:basedOn w:val="DefaultParagraphFont"/>
    <w:rsid w:val="00E81180"/>
  </w:style>
  <w:style w:type="paragraph" w:styleId="TOCHeading">
    <w:name w:val="TOC Heading"/>
    <w:basedOn w:val="Heading1"/>
    <w:next w:val="Normal"/>
    <w:uiPriority w:val="39"/>
    <w:unhideWhenUsed/>
    <w:qFormat/>
    <w:rsid w:val="00C80650"/>
    <w:pPr>
      <w:spacing w:before="480" w:after="0" w:line="276" w:lineRule="auto"/>
      <w:outlineLvl w:val="9"/>
    </w:pPr>
    <w:rPr>
      <w:b/>
      <w:bCs/>
      <w:kern w:val="0"/>
      <w:sz w:val="28"/>
      <w:szCs w:val="28"/>
      <w:lang w:eastAsia="en-US"/>
      <w14:ligatures w14:val="none"/>
    </w:rPr>
  </w:style>
  <w:style w:type="paragraph" w:styleId="TOC3">
    <w:name w:val="toc 3"/>
    <w:basedOn w:val="Normal"/>
    <w:next w:val="Normal"/>
    <w:autoRedefine/>
    <w:uiPriority w:val="39"/>
    <w:unhideWhenUsed/>
    <w:rsid w:val="00C80650"/>
    <w:pPr>
      <w:spacing w:after="0"/>
      <w:ind w:left="480"/>
    </w:pPr>
    <w:rPr>
      <w:rFonts w:cs="Times New Roman"/>
      <w:sz w:val="20"/>
    </w:rPr>
  </w:style>
  <w:style w:type="paragraph" w:styleId="TOC2">
    <w:name w:val="toc 2"/>
    <w:basedOn w:val="Normal"/>
    <w:next w:val="Normal"/>
    <w:autoRedefine/>
    <w:uiPriority w:val="39"/>
    <w:unhideWhenUsed/>
    <w:rsid w:val="00C80650"/>
    <w:pPr>
      <w:spacing w:before="120" w:after="0"/>
      <w:ind w:left="240"/>
    </w:pPr>
    <w:rPr>
      <w:rFonts w:cs="Times New Roman"/>
      <w:b/>
      <w:bCs/>
      <w:sz w:val="22"/>
      <w:szCs w:val="26"/>
    </w:rPr>
  </w:style>
  <w:style w:type="paragraph" w:styleId="TOC1">
    <w:name w:val="toc 1"/>
    <w:basedOn w:val="Normal"/>
    <w:next w:val="Normal"/>
    <w:autoRedefine/>
    <w:uiPriority w:val="39"/>
    <w:semiHidden/>
    <w:unhideWhenUsed/>
    <w:rsid w:val="00C80650"/>
    <w:pPr>
      <w:spacing w:before="120" w:after="0"/>
    </w:pPr>
    <w:rPr>
      <w:rFonts w:cs="Times New Roman"/>
      <w:b/>
      <w:bCs/>
      <w:i/>
      <w:iCs/>
      <w:szCs w:val="28"/>
    </w:rPr>
  </w:style>
  <w:style w:type="paragraph" w:styleId="TOC4">
    <w:name w:val="toc 4"/>
    <w:basedOn w:val="Normal"/>
    <w:next w:val="Normal"/>
    <w:autoRedefine/>
    <w:uiPriority w:val="39"/>
    <w:semiHidden/>
    <w:unhideWhenUsed/>
    <w:rsid w:val="00C80650"/>
    <w:pPr>
      <w:spacing w:after="0"/>
      <w:ind w:left="720"/>
    </w:pPr>
    <w:rPr>
      <w:rFonts w:cs="Times New Roman"/>
      <w:sz w:val="20"/>
    </w:rPr>
  </w:style>
  <w:style w:type="paragraph" w:styleId="TOC5">
    <w:name w:val="toc 5"/>
    <w:basedOn w:val="Normal"/>
    <w:next w:val="Normal"/>
    <w:autoRedefine/>
    <w:uiPriority w:val="39"/>
    <w:semiHidden/>
    <w:unhideWhenUsed/>
    <w:rsid w:val="00C80650"/>
    <w:pPr>
      <w:spacing w:after="0"/>
      <w:ind w:left="960"/>
    </w:pPr>
    <w:rPr>
      <w:rFonts w:cs="Times New Roman"/>
      <w:sz w:val="20"/>
    </w:rPr>
  </w:style>
  <w:style w:type="paragraph" w:styleId="TOC6">
    <w:name w:val="toc 6"/>
    <w:basedOn w:val="Normal"/>
    <w:next w:val="Normal"/>
    <w:autoRedefine/>
    <w:uiPriority w:val="39"/>
    <w:semiHidden/>
    <w:unhideWhenUsed/>
    <w:rsid w:val="00C80650"/>
    <w:pPr>
      <w:spacing w:after="0"/>
      <w:ind w:left="1200"/>
    </w:pPr>
    <w:rPr>
      <w:rFonts w:cs="Times New Roman"/>
      <w:sz w:val="20"/>
    </w:rPr>
  </w:style>
  <w:style w:type="paragraph" w:styleId="TOC7">
    <w:name w:val="toc 7"/>
    <w:basedOn w:val="Normal"/>
    <w:next w:val="Normal"/>
    <w:autoRedefine/>
    <w:uiPriority w:val="39"/>
    <w:semiHidden/>
    <w:unhideWhenUsed/>
    <w:rsid w:val="00C80650"/>
    <w:pPr>
      <w:spacing w:after="0"/>
      <w:ind w:left="1440"/>
    </w:pPr>
    <w:rPr>
      <w:rFonts w:cs="Times New Roman"/>
      <w:sz w:val="20"/>
    </w:rPr>
  </w:style>
  <w:style w:type="paragraph" w:styleId="TOC8">
    <w:name w:val="toc 8"/>
    <w:basedOn w:val="Normal"/>
    <w:next w:val="Normal"/>
    <w:autoRedefine/>
    <w:uiPriority w:val="39"/>
    <w:semiHidden/>
    <w:unhideWhenUsed/>
    <w:rsid w:val="00C80650"/>
    <w:pPr>
      <w:spacing w:after="0"/>
      <w:ind w:left="1680"/>
    </w:pPr>
    <w:rPr>
      <w:rFonts w:cs="Times New Roman"/>
      <w:sz w:val="20"/>
    </w:rPr>
  </w:style>
  <w:style w:type="paragraph" w:styleId="TOC9">
    <w:name w:val="toc 9"/>
    <w:basedOn w:val="Normal"/>
    <w:next w:val="Normal"/>
    <w:autoRedefine/>
    <w:uiPriority w:val="39"/>
    <w:semiHidden/>
    <w:unhideWhenUsed/>
    <w:rsid w:val="00C80650"/>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28084">
      <w:bodyDiv w:val="1"/>
      <w:marLeft w:val="0"/>
      <w:marRight w:val="0"/>
      <w:marTop w:val="0"/>
      <w:marBottom w:val="0"/>
      <w:divBdr>
        <w:top w:val="none" w:sz="0" w:space="0" w:color="auto"/>
        <w:left w:val="none" w:sz="0" w:space="0" w:color="auto"/>
        <w:bottom w:val="none" w:sz="0" w:space="0" w:color="auto"/>
        <w:right w:val="none" w:sz="0" w:space="0" w:color="auto"/>
      </w:divBdr>
    </w:div>
    <w:div w:id="459884342">
      <w:bodyDiv w:val="1"/>
      <w:marLeft w:val="0"/>
      <w:marRight w:val="0"/>
      <w:marTop w:val="0"/>
      <w:marBottom w:val="0"/>
      <w:divBdr>
        <w:top w:val="none" w:sz="0" w:space="0" w:color="auto"/>
        <w:left w:val="none" w:sz="0" w:space="0" w:color="auto"/>
        <w:bottom w:val="none" w:sz="0" w:space="0" w:color="auto"/>
        <w:right w:val="none" w:sz="0" w:space="0" w:color="auto"/>
      </w:divBdr>
    </w:div>
    <w:div w:id="480002169">
      <w:bodyDiv w:val="1"/>
      <w:marLeft w:val="0"/>
      <w:marRight w:val="0"/>
      <w:marTop w:val="0"/>
      <w:marBottom w:val="0"/>
      <w:divBdr>
        <w:top w:val="none" w:sz="0" w:space="0" w:color="auto"/>
        <w:left w:val="none" w:sz="0" w:space="0" w:color="auto"/>
        <w:bottom w:val="none" w:sz="0" w:space="0" w:color="auto"/>
        <w:right w:val="none" w:sz="0" w:space="0" w:color="auto"/>
      </w:divBdr>
    </w:div>
    <w:div w:id="745222768">
      <w:bodyDiv w:val="1"/>
      <w:marLeft w:val="0"/>
      <w:marRight w:val="0"/>
      <w:marTop w:val="0"/>
      <w:marBottom w:val="0"/>
      <w:divBdr>
        <w:top w:val="none" w:sz="0" w:space="0" w:color="auto"/>
        <w:left w:val="none" w:sz="0" w:space="0" w:color="auto"/>
        <w:bottom w:val="none" w:sz="0" w:space="0" w:color="auto"/>
        <w:right w:val="none" w:sz="0" w:space="0" w:color="auto"/>
      </w:divBdr>
    </w:div>
    <w:div w:id="1297106446">
      <w:bodyDiv w:val="1"/>
      <w:marLeft w:val="0"/>
      <w:marRight w:val="0"/>
      <w:marTop w:val="0"/>
      <w:marBottom w:val="0"/>
      <w:divBdr>
        <w:top w:val="none" w:sz="0" w:space="0" w:color="auto"/>
        <w:left w:val="none" w:sz="0" w:space="0" w:color="auto"/>
        <w:bottom w:val="none" w:sz="0" w:space="0" w:color="auto"/>
        <w:right w:val="none" w:sz="0" w:space="0" w:color="auto"/>
      </w:divBdr>
    </w:div>
    <w:div w:id="1320114160">
      <w:bodyDiv w:val="1"/>
      <w:marLeft w:val="0"/>
      <w:marRight w:val="0"/>
      <w:marTop w:val="0"/>
      <w:marBottom w:val="0"/>
      <w:divBdr>
        <w:top w:val="none" w:sz="0" w:space="0" w:color="auto"/>
        <w:left w:val="none" w:sz="0" w:space="0" w:color="auto"/>
        <w:bottom w:val="none" w:sz="0" w:space="0" w:color="auto"/>
        <w:right w:val="none" w:sz="0" w:space="0" w:color="auto"/>
      </w:divBdr>
    </w:div>
    <w:div w:id="1474831598">
      <w:bodyDiv w:val="1"/>
      <w:marLeft w:val="0"/>
      <w:marRight w:val="0"/>
      <w:marTop w:val="0"/>
      <w:marBottom w:val="0"/>
      <w:divBdr>
        <w:top w:val="none" w:sz="0" w:space="0" w:color="auto"/>
        <w:left w:val="none" w:sz="0" w:space="0" w:color="auto"/>
        <w:bottom w:val="none" w:sz="0" w:space="0" w:color="auto"/>
        <w:right w:val="none" w:sz="0" w:space="0" w:color="auto"/>
      </w:divBdr>
    </w:div>
    <w:div w:id="1509170197">
      <w:bodyDiv w:val="1"/>
      <w:marLeft w:val="0"/>
      <w:marRight w:val="0"/>
      <w:marTop w:val="0"/>
      <w:marBottom w:val="0"/>
      <w:divBdr>
        <w:top w:val="none" w:sz="0" w:space="0" w:color="auto"/>
        <w:left w:val="none" w:sz="0" w:space="0" w:color="auto"/>
        <w:bottom w:val="none" w:sz="0" w:space="0" w:color="auto"/>
        <w:right w:val="none" w:sz="0" w:space="0" w:color="auto"/>
      </w:divBdr>
    </w:div>
    <w:div w:id="1652060308">
      <w:bodyDiv w:val="1"/>
      <w:marLeft w:val="0"/>
      <w:marRight w:val="0"/>
      <w:marTop w:val="0"/>
      <w:marBottom w:val="0"/>
      <w:divBdr>
        <w:top w:val="none" w:sz="0" w:space="0" w:color="auto"/>
        <w:left w:val="none" w:sz="0" w:space="0" w:color="auto"/>
        <w:bottom w:val="none" w:sz="0" w:space="0" w:color="auto"/>
        <w:right w:val="none" w:sz="0" w:space="0" w:color="auto"/>
      </w:divBdr>
    </w:div>
    <w:div w:id="1853228761">
      <w:bodyDiv w:val="1"/>
      <w:marLeft w:val="0"/>
      <w:marRight w:val="0"/>
      <w:marTop w:val="0"/>
      <w:marBottom w:val="0"/>
      <w:divBdr>
        <w:top w:val="none" w:sz="0" w:space="0" w:color="auto"/>
        <w:left w:val="none" w:sz="0" w:space="0" w:color="auto"/>
        <w:bottom w:val="none" w:sz="0" w:space="0" w:color="auto"/>
        <w:right w:val="none" w:sz="0" w:space="0" w:color="auto"/>
      </w:divBdr>
    </w:div>
    <w:div w:id="189407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codecogs.com/eqnedit.php?latex=%20y_t%20%5Csim%20%5Cmathrm%7BPoisson%7D%20(Y_t)%20" TargetMode="External"/><Relationship Id="rId2" Type="http://schemas.openxmlformats.org/officeDocument/2006/relationships/numbering" Target="numbering.xml"/><Relationship Id="rId16" Type="http://schemas.openxmlformats.org/officeDocument/2006/relationships/hyperlink" Target="https://www.codecogs.com/eqnedit.php?latex=Y_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82DB8-960A-418E-8191-FD553F62A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37</Pages>
  <Words>26414</Words>
  <Characters>150566</Characters>
  <Application>Microsoft Office Word</Application>
  <DocSecurity>0</DocSecurity>
  <Lines>1254</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30</cp:revision>
  <dcterms:created xsi:type="dcterms:W3CDTF">2025-09-02T08:38:00Z</dcterms:created>
  <dcterms:modified xsi:type="dcterms:W3CDTF">2025-09-12T06:17:00Z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id="xs3HqAE9"/&gt;&lt;style id="http://www.zotero.org/styles/vancouver-superscript" locale="en-CA" hasBibliography="1" bibliographyStyleHasBeenSet="1"/&gt;&lt;prefs&gt;&lt;pref name="fieldType" value="Field"/&gt;&lt;/prefs&gt;</vt:lpwstr>
  </property>
  <property fmtid="{D5CDD505-2E9C-101B-9397-08002B2CF9AE}" pid="3" name="ZOTERO_PREF_2">
    <vt:lpwstr>&lt;/data&gt;</vt:lpwstr>
  </property>
</Properties>
</file>