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CD4F" w14:textId="77777777" w:rsidR="001D0FB9" w:rsidRDefault="001D0FB9" w:rsidP="001D0FB9">
      <w:r>
        <w:t>Passive, facility-based surveillance remains the primary data source for estimating cholera burden. Within each country, reported case counts move from local health facilities up through administrative levels before being submitted to the WHO. Several processes systematically distort these numbers:</w:t>
      </w:r>
    </w:p>
    <w:p w14:paraId="01522725" w14:textId="77777777" w:rsidR="001D0FB9" w:rsidRDefault="001D0FB9" w:rsidP="001D0FB9"/>
    <w:p w14:paraId="47B468F1" w14:textId="77777777" w:rsidR="001D0FB9" w:rsidRDefault="001D0FB9" w:rsidP="001D0FB9">
      <w:r w:rsidRPr="001D0FB9">
        <w:rPr>
          <w:b/>
          <w:bCs/>
        </w:rPr>
        <w:t xml:space="preserve">Incomplete </w:t>
      </w:r>
      <w:proofErr w:type="gramStart"/>
      <w:r w:rsidRPr="001D0FB9">
        <w:rPr>
          <w:b/>
          <w:bCs/>
        </w:rPr>
        <w:t>case capture</w:t>
      </w:r>
      <w:proofErr w:type="gramEnd"/>
      <w:r w:rsidRPr="001D0FB9">
        <w:rPr>
          <w:b/>
          <w:bCs/>
        </w:rPr>
        <w:t xml:space="preserve"> within the health system</w:t>
      </w:r>
      <w:r>
        <w:t>.</w:t>
      </w:r>
    </w:p>
    <w:p w14:paraId="6F2ACFB9" w14:textId="77777777" w:rsidR="001D0FB9" w:rsidRDefault="001D0FB9" w:rsidP="001D0FB9">
      <w:r>
        <w:t xml:space="preserve">Many symptomatic infections are never reported to health facilities. A meta-analysis of all-cause </w:t>
      </w:r>
      <w:proofErr w:type="spellStart"/>
      <w:r>
        <w:t>diarrhoea</w:t>
      </w:r>
      <w:proofErr w:type="spellEnd"/>
      <w:r>
        <w:t xml:space="preserve"> by Wiens et al. found that only 32.8 % of </w:t>
      </w:r>
      <w:proofErr w:type="spellStart"/>
      <w:r>
        <w:t>diarrhoeal</w:t>
      </w:r>
      <w:proofErr w:type="spellEnd"/>
      <w:r>
        <w:t xml:space="preserve"> cases seek facility-based care on average [95% CI 28.1 – </w:t>
      </w:r>
      <w:proofErr w:type="gramStart"/>
      <w:r>
        <w:t>37.9](</w:t>
      </w:r>
      <w:proofErr w:type="gramEnd"/>
      <w:r>
        <w:t xml:space="preserve">1). In </w:t>
      </w:r>
      <w:proofErr w:type="spellStart"/>
      <w:r>
        <w:t>Sitakunda</w:t>
      </w:r>
      <w:proofErr w:type="spellEnd"/>
      <w:r>
        <w:t>, Bangladesh, serologic data indicated that out of every 3,280 infections, only 4 became symptomatic and only one was recorded in a health facility–implying ~75% of symptomatic cases were missed (2).</w:t>
      </w:r>
    </w:p>
    <w:p w14:paraId="586FE045" w14:textId="77777777" w:rsidR="001D0FB9" w:rsidRDefault="001D0FB9" w:rsidP="001D0FB9">
      <w:r>
        <w:t xml:space="preserve"> </w:t>
      </w:r>
    </w:p>
    <w:p w14:paraId="56FB9ED7" w14:textId="77777777" w:rsidR="001D0FB9" w:rsidRPr="001D0FB9" w:rsidRDefault="001D0FB9" w:rsidP="001D0FB9">
      <w:pPr>
        <w:rPr>
          <w:b/>
          <w:bCs/>
        </w:rPr>
      </w:pPr>
      <w:r w:rsidRPr="001D0FB9">
        <w:rPr>
          <w:b/>
          <w:bCs/>
        </w:rPr>
        <w:t>Losses along the reporting chain</w:t>
      </w:r>
    </w:p>
    <w:p w14:paraId="0E098DE7" w14:textId="77777777" w:rsidR="001D0FB9" w:rsidRDefault="001D0FB9" w:rsidP="001D0FB9">
      <w:r>
        <w:t>Even cases that do reach facilities may never be reported to WHO because of political, economic, or social disincentives—such as concerns about highlighting inadequate water and sanitation or fears of trade and travel restrictions (3). The extent of underreporting is unclear. One early modeling study estimated that true incidence may be up to ten times higher than reported (10).</w:t>
      </w:r>
    </w:p>
    <w:p w14:paraId="1F958AB2" w14:textId="77777777" w:rsidR="001D0FB9" w:rsidRDefault="001D0FB9" w:rsidP="001D0FB9"/>
    <w:p w14:paraId="46F695D9" w14:textId="77777777" w:rsidR="001D0FB9" w:rsidRPr="001D0FB9" w:rsidRDefault="001D0FB9" w:rsidP="001D0FB9">
      <w:pPr>
        <w:rPr>
          <w:b/>
          <w:bCs/>
        </w:rPr>
      </w:pPr>
      <w:r w:rsidRPr="001D0FB9">
        <w:rPr>
          <w:b/>
          <w:bCs/>
        </w:rPr>
        <w:t xml:space="preserve">Misclassification of non-cholera </w:t>
      </w:r>
      <w:proofErr w:type="spellStart"/>
      <w:r w:rsidRPr="001D0FB9">
        <w:rPr>
          <w:b/>
          <w:bCs/>
        </w:rPr>
        <w:t>diarrhoea</w:t>
      </w:r>
      <w:proofErr w:type="spellEnd"/>
      <w:r w:rsidRPr="001D0FB9">
        <w:rPr>
          <w:b/>
          <w:bCs/>
        </w:rPr>
        <w:t>.</w:t>
      </w:r>
    </w:p>
    <w:p w14:paraId="7CDF6EBC" w14:textId="77777777" w:rsidR="001D0FB9" w:rsidRDefault="001D0FB9" w:rsidP="001D0FB9">
      <w:r>
        <w:t xml:space="preserve">Conversely, the non-specific clinical definition may overstate true cholera burden. In Bangladesh, only 52% of suspected cases are confirmed Vibrio cholerae </w:t>
      </w:r>
      <w:proofErr w:type="gramStart"/>
      <w:r>
        <w:t>infections(</w:t>
      </w:r>
      <w:proofErr w:type="gramEnd"/>
      <w:r>
        <w:t xml:space="preserve">4). Assuming perfect sensitivity and 56 % specificity, the reported </w:t>
      </w:r>
      <w:proofErr w:type="gramStart"/>
      <w:r>
        <w:t>suspected-case</w:t>
      </w:r>
      <w:proofErr w:type="gramEnd"/>
      <w:r>
        <w:t xml:space="preserve"> count could overestimate true </w:t>
      </w:r>
      <w:proofErr w:type="gramStart"/>
      <w:r>
        <w:t>medically-attended</w:t>
      </w:r>
      <w:proofErr w:type="gramEnd"/>
      <w:r>
        <w:t xml:space="preserve"> cholera cases by approximately 1.9-fold.</w:t>
      </w:r>
    </w:p>
    <w:p w14:paraId="22A81863" w14:textId="77777777" w:rsidR="001D0FB9" w:rsidRDefault="001D0FB9" w:rsidP="001D0FB9"/>
    <w:p w14:paraId="25BC4BA2" w14:textId="77777777" w:rsidR="001D0FB9" w:rsidRPr="001D0FB9" w:rsidRDefault="001D0FB9" w:rsidP="001D0FB9">
      <w:pPr>
        <w:rPr>
          <w:b/>
          <w:bCs/>
        </w:rPr>
      </w:pPr>
      <w:r w:rsidRPr="001D0FB9">
        <w:rPr>
          <w:b/>
          <w:bCs/>
        </w:rPr>
        <w:t>Under-ascertainment of deaths</w:t>
      </w:r>
    </w:p>
    <w:p w14:paraId="43AE4C22" w14:textId="77777777" w:rsidR="001D0FB9" w:rsidRDefault="001D0FB9" w:rsidP="001D0FB9">
      <w:r>
        <w:t>Cholera deaths are also underreported, as many occur outside health facilities. A meta-analysis of multiple outbreaks (3,6–9) suggests that actual deaths may be several times higher than those recorded (Wiens et al. personal communication). In some instances, mortality may be even more underreported than morbidity. During one outbreak in Kenya, active case finding revealed 37% more cases and 200% more deaths than were identified through passive surveillance, raising the case-fatality ratio from 5.5% to 11.4% (3).</w:t>
      </w:r>
    </w:p>
    <w:p w14:paraId="10AB9CBB" w14:textId="77777777" w:rsidR="001D0FB9" w:rsidRPr="001D0FB9" w:rsidRDefault="001D0FB9" w:rsidP="001D0FB9">
      <w:pPr>
        <w:rPr>
          <w:b/>
          <w:bCs/>
        </w:rPr>
      </w:pPr>
      <w:r w:rsidRPr="001D0FB9">
        <w:rPr>
          <w:b/>
          <w:bCs/>
        </w:rPr>
        <w:lastRenderedPageBreak/>
        <w:t>Implications for burden estimation.</w:t>
      </w:r>
    </w:p>
    <w:p w14:paraId="22A86663" w14:textId="77777777" w:rsidR="001D0FB9" w:rsidRDefault="001D0FB9" w:rsidP="001D0FB9">
      <w:r>
        <w:t>Passive surveillance likely captures only a small and uncertain proportion of symptomatic infections, even before accounting for reporting losses and case misclassification. Mortality is even more poorly captured, suggesting that true CFRs may be up to twice those derived from facility-based data.</w:t>
      </w:r>
    </w:p>
    <w:p w14:paraId="316C9D23" w14:textId="77777777" w:rsidR="001D0FB9" w:rsidRPr="001D0FB9" w:rsidRDefault="001D0FB9" w:rsidP="001D0FB9">
      <w:pPr>
        <w:rPr>
          <w:b/>
          <w:bCs/>
        </w:rPr>
      </w:pPr>
      <w:r w:rsidRPr="001D0FB9">
        <w:rPr>
          <w:b/>
          <w:bCs/>
        </w:rPr>
        <w:t>Assumptions used in our modelling.</w:t>
      </w:r>
    </w:p>
    <w:p w14:paraId="2ED511E5" w14:textId="77777777" w:rsidR="001D0FB9" w:rsidRDefault="001D0FB9" w:rsidP="001D0FB9">
      <w:r>
        <w:t xml:space="preserve">To adjust cholera burden and OCV impact estimates, we assumed that reported cases represent, on average, 32.8% of true symptomatic infections. Given the lack of robust quantitative evidence on underreporting to WHO and the limited generalizability of overestimation due to broad clinical case definitions, we assumed that underreporting is approximately offset by inflation from </w:t>
      </w:r>
      <w:proofErr w:type="gramStart"/>
      <w:r>
        <w:t>suspected-case</w:t>
      </w:r>
      <w:proofErr w:type="gramEnd"/>
      <w:r>
        <w:t xml:space="preserve"> definitions. For mortality, we accounted for preferential underreporting of deaths by allowing the case-fatality ratio (CFR) to increase by up to a factor of two.</w:t>
      </w:r>
    </w:p>
    <w:p w14:paraId="76C750C1" w14:textId="77777777" w:rsidR="001D0FB9" w:rsidRDefault="001D0FB9" w:rsidP="001D0FB9"/>
    <w:p w14:paraId="3F1C514A" w14:textId="77777777" w:rsidR="001D0FB9" w:rsidRDefault="001D0FB9" w:rsidP="001D0FB9">
      <w:r>
        <w:t>1.</w:t>
      </w:r>
      <w:r>
        <w:tab/>
        <w:t>Wiens KE, Miller MH, Costello DJ, Solomon AP, Hilbert SM, Shipper AG, et al. Care-seeking for diarrheal illness: A systematic review and meta-analysis. PLOS Global Public Health. 2025 Apr 22;5(4</w:t>
      </w:r>
      <w:proofErr w:type="gramStart"/>
      <w:r>
        <w:t>):e</w:t>
      </w:r>
      <w:proofErr w:type="gramEnd"/>
      <w:r>
        <w:t>0004483.</w:t>
      </w:r>
    </w:p>
    <w:p w14:paraId="3C674838" w14:textId="77777777" w:rsidR="001D0FB9" w:rsidRDefault="001D0FB9" w:rsidP="001D0FB9">
      <w:r>
        <w:t>2.</w:t>
      </w:r>
      <w:r>
        <w:tab/>
        <w:t xml:space="preserve">Hegde ST, Khan AI, Perez-Saez J, Khan II, Hulse JD, Islam MT, et al. Clinical surveillance systems obscure the true cholera infection burden in an endemic region. Nat Med. 2024 Feb </w:t>
      </w:r>
      <w:proofErr w:type="gramStart"/>
      <w:r>
        <w:t>20;</w:t>
      </w:r>
      <w:proofErr w:type="gramEnd"/>
    </w:p>
    <w:p w14:paraId="614A58FE" w14:textId="77777777" w:rsidR="001D0FB9" w:rsidRDefault="001D0FB9" w:rsidP="001D0FB9">
      <w:r>
        <w:t>3.</w:t>
      </w:r>
      <w:r>
        <w:tab/>
        <w:t>Ganesan D, Gupta SS, Legros D. Cholera surveillance and estimation of burden of cholera. Vaccine. 2020 Feb 29;</w:t>
      </w:r>
      <w:proofErr w:type="gramStart"/>
      <w:r>
        <w:t>38:A</w:t>
      </w:r>
      <w:proofErr w:type="gramEnd"/>
      <w:r>
        <w:t>13–7.</w:t>
      </w:r>
    </w:p>
    <w:p w14:paraId="7C450181" w14:textId="77777777" w:rsidR="001D0FB9" w:rsidRDefault="001D0FB9" w:rsidP="001D0FB9">
      <w:r>
        <w:t>4.</w:t>
      </w:r>
      <w:r>
        <w:tab/>
        <w:t xml:space="preserve">Wiens KE, Xu H, Zou K, Mwaba J, Lessler J, </w:t>
      </w:r>
      <w:proofErr w:type="spellStart"/>
      <w:r>
        <w:t>Malembaka</w:t>
      </w:r>
      <w:proofErr w:type="spellEnd"/>
      <w:r>
        <w:t xml:space="preserve"> EB, et al. Estimating the proportion of clinically suspected cholera cases that are true Vibrio cholerae infections: A systematic review and meta-analysis. PLOS Med. 2023 Sep 14;20(9</w:t>
      </w:r>
      <w:proofErr w:type="gramStart"/>
      <w:r>
        <w:t>):e</w:t>
      </w:r>
      <w:proofErr w:type="gramEnd"/>
      <w:r>
        <w:t>1004286.</w:t>
      </w:r>
    </w:p>
    <w:p w14:paraId="7E57AE04" w14:textId="77777777" w:rsidR="001D0FB9" w:rsidRDefault="001D0FB9" w:rsidP="001D0FB9">
      <w:r>
        <w:t>5.</w:t>
      </w:r>
      <w:r>
        <w:tab/>
      </w:r>
      <w:proofErr w:type="spellStart"/>
      <w:r>
        <w:t>Shikanga</w:t>
      </w:r>
      <w:proofErr w:type="spellEnd"/>
      <w:r>
        <w:t xml:space="preserve"> OT, Mutonga D, Abade M, </w:t>
      </w:r>
      <w:proofErr w:type="spellStart"/>
      <w:r>
        <w:t>Amwayi</w:t>
      </w:r>
      <w:proofErr w:type="spellEnd"/>
      <w:r>
        <w:t xml:space="preserve"> S, </w:t>
      </w:r>
      <w:proofErr w:type="spellStart"/>
      <w:r>
        <w:t>Ope</w:t>
      </w:r>
      <w:proofErr w:type="spellEnd"/>
      <w:r>
        <w:t xml:space="preserve"> M, Limo H, et al. High mortality in a cholera outbreak in western Kenya after post-election violence in 2008. Am J Trop Med </w:t>
      </w:r>
      <w:proofErr w:type="spellStart"/>
      <w:r>
        <w:t>Hyg</w:t>
      </w:r>
      <w:proofErr w:type="spellEnd"/>
      <w:r>
        <w:t>. 2009 Dec;81(6):1085–90.</w:t>
      </w:r>
    </w:p>
    <w:p w14:paraId="04BBCEE9" w14:textId="77777777" w:rsidR="001D0FB9" w:rsidRDefault="001D0FB9" w:rsidP="001D0FB9">
      <w:r>
        <w:t>6.</w:t>
      </w:r>
      <w:r>
        <w:tab/>
        <w:t xml:space="preserve">Routh JA, </w:t>
      </w:r>
      <w:proofErr w:type="spellStart"/>
      <w:r>
        <w:t>Loharikar</w:t>
      </w:r>
      <w:proofErr w:type="spellEnd"/>
      <w:r>
        <w:t xml:space="preserve"> A, Fouché MDB, Cartwright EJ, Roy SL, Ailes E, et al. Rapid assessment of cholera-related deaths, Artibonite Department, Haiti, 2010. Emerg Infect Dis. 2011 Nov;17(11):2139–42.</w:t>
      </w:r>
    </w:p>
    <w:p w14:paraId="33FD7313" w14:textId="77777777" w:rsidR="001D0FB9" w:rsidRDefault="001D0FB9" w:rsidP="001D0FB9">
      <w:r w:rsidRPr="001D0FB9">
        <w:rPr>
          <w:lang w:val="de-DE"/>
        </w:rPr>
        <w:t>7.</w:t>
      </w:r>
      <w:r w:rsidRPr="001D0FB9">
        <w:rPr>
          <w:lang w:val="de-DE"/>
        </w:rPr>
        <w:tab/>
        <w:t xml:space="preserve">Page AL, Ciglenecki I, Jasmin ER, Desvignes L, Grandesso F, Polonsky J, et al. </w:t>
      </w:r>
      <w:r>
        <w:t xml:space="preserve">Geographic Distribution and Mortality Risk Factors during the Cholera Outbreak in a Rural </w:t>
      </w:r>
      <w:r>
        <w:lastRenderedPageBreak/>
        <w:t>Region of Haiti, 2010-2011. Ryan ET, editor. PLOS Neglected Tropical Diseases. 2015;9(3</w:t>
      </w:r>
      <w:proofErr w:type="gramStart"/>
      <w:r>
        <w:t>):e</w:t>
      </w:r>
      <w:proofErr w:type="gramEnd"/>
      <w:r>
        <w:t>0003605.</w:t>
      </w:r>
    </w:p>
    <w:p w14:paraId="1D345CBF" w14:textId="77777777" w:rsidR="001D0FB9" w:rsidRDefault="001D0FB9" w:rsidP="001D0FB9">
      <w:r>
        <w:t>8.</w:t>
      </w:r>
      <w:r>
        <w:tab/>
        <w:t xml:space="preserve">Djouma FN, </w:t>
      </w:r>
      <w:proofErr w:type="spellStart"/>
      <w:r>
        <w:t>Ateudjieu</w:t>
      </w:r>
      <w:proofErr w:type="spellEnd"/>
      <w:r>
        <w:t xml:space="preserve"> J, Ram M, Debes AK, Sack DA. Factors Associated with Fatal Outcomes Following Cholera-Like Syndrome in Far North Region of Cameroon: A Community-Based Survey. Am J Trop Med </w:t>
      </w:r>
      <w:proofErr w:type="spellStart"/>
      <w:r>
        <w:t>Hyg</w:t>
      </w:r>
      <w:proofErr w:type="spellEnd"/>
      <w:r>
        <w:t>. 2016 Dec 7;95(6):1287–91.</w:t>
      </w:r>
    </w:p>
    <w:p w14:paraId="7CD6D1BE" w14:textId="77777777" w:rsidR="001D0FB9" w:rsidRDefault="001D0FB9" w:rsidP="001D0FB9">
      <w:r>
        <w:t>9.</w:t>
      </w:r>
      <w:r>
        <w:tab/>
        <w:t xml:space="preserve">McCrickard LS, Massay AE, Narra R, </w:t>
      </w:r>
      <w:proofErr w:type="spellStart"/>
      <w:r>
        <w:t>Mghamba</w:t>
      </w:r>
      <w:proofErr w:type="spellEnd"/>
      <w:r>
        <w:t xml:space="preserve"> J, Mohamed AA, Kishimba RS, et al. Cholera Mortality during Urban Epidemic, Dar es Salaam, Tanzania, August 16, 2015–January 16, 20161. Emerg Infect Dis. 2017 Dec;23(Suppl 1</w:t>
      </w:r>
      <w:proofErr w:type="gramStart"/>
      <w:r>
        <w:t>):S</w:t>
      </w:r>
      <w:proofErr w:type="gramEnd"/>
      <w:r>
        <w:t>154–7.</w:t>
      </w:r>
    </w:p>
    <w:p w14:paraId="5839555E" w14:textId="77777777" w:rsidR="001D0FB9" w:rsidRDefault="001D0FB9" w:rsidP="001D0FB9">
      <w:r>
        <w:t>10.</w:t>
      </w:r>
      <w:r>
        <w:tab/>
        <w:t xml:space="preserve">Ali M, Nelson AR, Lopez AL, Sack DA. Updated Global Burden of Cholera in Endemic Countries. </w:t>
      </w:r>
      <w:proofErr w:type="spellStart"/>
      <w:r>
        <w:t>PLoS</w:t>
      </w:r>
      <w:proofErr w:type="spellEnd"/>
      <w:r>
        <w:t xml:space="preserve"> </w:t>
      </w:r>
      <w:proofErr w:type="spellStart"/>
      <w:r>
        <w:t>Negl</w:t>
      </w:r>
      <w:proofErr w:type="spellEnd"/>
      <w:r>
        <w:t xml:space="preserve"> Trop Dis. 2015 Jun 4;9(6</w:t>
      </w:r>
      <w:proofErr w:type="gramStart"/>
      <w:r>
        <w:t>):e</w:t>
      </w:r>
      <w:proofErr w:type="gramEnd"/>
      <w:r>
        <w:t>0003832.</w:t>
      </w:r>
    </w:p>
    <w:p w14:paraId="0019A1C8" w14:textId="77777777" w:rsidR="001D0FB9" w:rsidRDefault="001D0FB9"/>
    <w:sectPr w:rsidR="001D0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FB9"/>
    <w:rsid w:val="001D0FB9"/>
    <w:rsid w:val="00D715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99EC"/>
  <w15:chartTrackingRefBased/>
  <w15:docId w15:val="{6446FEBA-7092-470A-8833-91AB462E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FB9"/>
    <w:rPr>
      <w:rFonts w:eastAsiaTheme="majorEastAsia" w:cstheme="majorBidi"/>
      <w:color w:val="272727" w:themeColor="text1" w:themeTint="D8"/>
    </w:rPr>
  </w:style>
  <w:style w:type="paragraph" w:styleId="Title">
    <w:name w:val="Title"/>
    <w:basedOn w:val="Normal"/>
    <w:next w:val="Normal"/>
    <w:link w:val="TitleChar"/>
    <w:uiPriority w:val="10"/>
    <w:qFormat/>
    <w:rsid w:val="001D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FB9"/>
    <w:pPr>
      <w:spacing w:before="160"/>
      <w:jc w:val="center"/>
    </w:pPr>
    <w:rPr>
      <w:i/>
      <w:iCs/>
      <w:color w:val="404040" w:themeColor="text1" w:themeTint="BF"/>
    </w:rPr>
  </w:style>
  <w:style w:type="character" w:customStyle="1" w:styleId="QuoteChar">
    <w:name w:val="Quote Char"/>
    <w:basedOn w:val="DefaultParagraphFont"/>
    <w:link w:val="Quote"/>
    <w:uiPriority w:val="29"/>
    <w:rsid w:val="001D0FB9"/>
    <w:rPr>
      <w:i/>
      <w:iCs/>
      <w:color w:val="404040" w:themeColor="text1" w:themeTint="BF"/>
    </w:rPr>
  </w:style>
  <w:style w:type="paragraph" w:styleId="ListParagraph">
    <w:name w:val="List Paragraph"/>
    <w:basedOn w:val="Normal"/>
    <w:uiPriority w:val="34"/>
    <w:qFormat/>
    <w:rsid w:val="001D0FB9"/>
    <w:pPr>
      <w:ind w:left="720"/>
      <w:contextualSpacing/>
    </w:pPr>
  </w:style>
  <w:style w:type="character" w:styleId="IntenseEmphasis">
    <w:name w:val="Intense Emphasis"/>
    <w:basedOn w:val="DefaultParagraphFont"/>
    <w:uiPriority w:val="21"/>
    <w:qFormat/>
    <w:rsid w:val="001D0FB9"/>
    <w:rPr>
      <w:i/>
      <w:iCs/>
      <w:color w:val="0F4761" w:themeColor="accent1" w:themeShade="BF"/>
    </w:rPr>
  </w:style>
  <w:style w:type="paragraph" w:styleId="IntenseQuote">
    <w:name w:val="Intense Quote"/>
    <w:basedOn w:val="Normal"/>
    <w:next w:val="Normal"/>
    <w:link w:val="IntenseQuoteChar"/>
    <w:uiPriority w:val="30"/>
    <w:qFormat/>
    <w:rsid w:val="001D0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FB9"/>
    <w:rPr>
      <w:i/>
      <w:iCs/>
      <w:color w:val="0F4761" w:themeColor="accent1" w:themeShade="BF"/>
    </w:rPr>
  </w:style>
  <w:style w:type="character" w:styleId="IntenseReference">
    <w:name w:val="Intense Reference"/>
    <w:basedOn w:val="DefaultParagraphFont"/>
    <w:uiPriority w:val="32"/>
    <w:qFormat/>
    <w:rsid w:val="001D0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24617-C247-467D-8BCA-E6E39526A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1</cp:revision>
  <dcterms:created xsi:type="dcterms:W3CDTF">2025-06-26T01:53:00Z</dcterms:created>
  <dcterms:modified xsi:type="dcterms:W3CDTF">2025-06-26T01:57:00Z</dcterms:modified>
</cp:coreProperties>
</file>