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6AA2" w14:textId="6FC2B16D" w:rsidR="00DB30BA" w:rsidRDefault="00477656" w:rsidP="00DB30BA">
      <w:r>
        <w:t>March 17, 2025</w:t>
      </w:r>
    </w:p>
    <w:p w14:paraId="1C3882D9" w14:textId="77777777" w:rsidR="00DB30BA" w:rsidRDefault="00DB30BA" w:rsidP="00196A15">
      <w:pPr>
        <w:spacing w:after="0" w:line="240" w:lineRule="auto"/>
      </w:pPr>
    </w:p>
    <w:p w14:paraId="58D5BC2E" w14:textId="77777777" w:rsidR="00986A45" w:rsidRDefault="00986A45" w:rsidP="00196A15">
      <w:pPr>
        <w:spacing w:after="0" w:line="360" w:lineRule="auto"/>
      </w:pPr>
      <w:r w:rsidRPr="00986A45">
        <w:t>Zoë Mullan</w:t>
      </w:r>
    </w:p>
    <w:p w14:paraId="3F0088F0" w14:textId="02D24CB7" w:rsidR="00DB30BA" w:rsidRDefault="00DB30BA" w:rsidP="00196A15">
      <w:pPr>
        <w:spacing w:after="0" w:line="360" w:lineRule="auto"/>
      </w:pPr>
      <w:r>
        <w:t>Editor-in-Chief</w:t>
      </w:r>
    </w:p>
    <w:p w14:paraId="12922B51" w14:textId="77777777" w:rsidR="00DB30BA" w:rsidRDefault="00DB30BA" w:rsidP="00196A15">
      <w:pPr>
        <w:spacing w:after="0" w:line="360" w:lineRule="auto"/>
      </w:pPr>
      <w:r>
        <w:t>The Lancet Global Health</w:t>
      </w:r>
    </w:p>
    <w:p w14:paraId="79B8A3F8" w14:textId="77777777" w:rsidR="00F11522" w:rsidRDefault="00F11522" w:rsidP="00DB30BA"/>
    <w:p w14:paraId="39A0CC61" w14:textId="253EEA8B" w:rsidR="00DB30BA" w:rsidRDefault="00DB30BA" w:rsidP="00196A15">
      <w:pPr>
        <w:spacing w:after="0" w:line="360" w:lineRule="auto"/>
      </w:pPr>
      <w:r>
        <w:t>Dear Editor:</w:t>
      </w:r>
    </w:p>
    <w:p w14:paraId="2E0CB9E3" w14:textId="77777777" w:rsidR="00DB30BA" w:rsidRDefault="00DB30BA" w:rsidP="00196A15">
      <w:pPr>
        <w:spacing w:after="0" w:line="360" w:lineRule="auto"/>
      </w:pPr>
      <w:r>
        <w:t>On behalf of my co-authors, I am pleased to submit our manuscript entitled “</w:t>
      </w:r>
      <w:r w:rsidRPr="00986A45">
        <w:rPr>
          <w:b/>
          <w:bCs/>
        </w:rPr>
        <w:t>Impact of cholera outbreak response immunization: Insights from modeling outbreaks in sub-Saharan Africa, 2010–2022</w:t>
      </w:r>
      <w:r>
        <w:t xml:space="preserve">” for consideration for publication in </w:t>
      </w:r>
      <w:r w:rsidRPr="006E6772">
        <w:rPr>
          <w:i/>
          <w:iCs/>
        </w:rPr>
        <w:t>The Lancet Global Health</w:t>
      </w:r>
      <w:r>
        <w:t>.</w:t>
      </w:r>
    </w:p>
    <w:p w14:paraId="536EEAFB" w14:textId="77777777" w:rsidR="00986A45" w:rsidRDefault="00986A45" w:rsidP="00196A15">
      <w:pPr>
        <w:spacing w:after="0" w:line="360" w:lineRule="auto"/>
      </w:pPr>
    </w:p>
    <w:p w14:paraId="16DA4254" w14:textId="270CB160" w:rsidR="00196A15" w:rsidRDefault="00986A45" w:rsidP="00196A15">
      <w:pPr>
        <w:spacing w:after="0" w:line="360" w:lineRule="auto"/>
      </w:pPr>
      <w:r w:rsidRPr="00986A45">
        <w:t>Our study analyzed over 1,600 cholera outbreaks to quantify the impact of outbreak</w:t>
      </w:r>
      <w:r w:rsidR="00196A15">
        <w:rPr>
          <w:rFonts w:hint="eastAsia"/>
        </w:rPr>
        <w:t xml:space="preserve"> </w:t>
      </w:r>
      <w:r w:rsidRPr="00986A45">
        <w:t xml:space="preserve">response immunization </w:t>
      </w:r>
      <w:r w:rsidR="00196A15">
        <w:rPr>
          <w:rFonts w:hint="eastAsia"/>
        </w:rPr>
        <w:t xml:space="preserve">(ORI) </w:t>
      </w:r>
      <w:r w:rsidRPr="00986A45">
        <w:t xml:space="preserve">using oral cholera vaccines (OCVs). </w:t>
      </w:r>
      <w:r w:rsidR="00477656">
        <w:rPr>
          <w:rFonts w:hint="eastAsia"/>
        </w:rPr>
        <w:t>W</w:t>
      </w:r>
      <w:r w:rsidRPr="00986A45">
        <w:t xml:space="preserve">e assessed how </w:t>
      </w:r>
      <w:r w:rsidR="006E6772">
        <w:rPr>
          <w:rFonts w:hint="eastAsia"/>
        </w:rPr>
        <w:t xml:space="preserve">the OCV characteristics including age-specific efficacy, </w:t>
      </w:r>
      <w:r w:rsidRPr="00986A45">
        <w:t>delays in vaccine deployment</w:t>
      </w:r>
      <w:r w:rsidR="006E6772">
        <w:rPr>
          <w:rFonts w:hint="eastAsia"/>
        </w:rPr>
        <w:t>,</w:t>
      </w:r>
      <w:r w:rsidRPr="00986A45">
        <w:t xml:space="preserve"> and real-world operational constraints </w:t>
      </w:r>
      <w:r w:rsidR="006E6772">
        <w:rPr>
          <w:rFonts w:hint="eastAsia"/>
        </w:rPr>
        <w:t>shape</w:t>
      </w:r>
      <w:r w:rsidRPr="00986A45">
        <w:t xml:space="preserve"> </w:t>
      </w:r>
      <w:r w:rsidR="00477656">
        <w:rPr>
          <w:rFonts w:hint="eastAsia"/>
        </w:rPr>
        <w:t xml:space="preserve">the OCV impact </w:t>
      </w:r>
      <w:r w:rsidRPr="00986A45">
        <w:t xml:space="preserve">and </w:t>
      </w:r>
      <w:r w:rsidR="00477656">
        <w:rPr>
          <w:rFonts w:hint="eastAsia"/>
        </w:rPr>
        <w:t>c</w:t>
      </w:r>
      <w:r w:rsidRPr="00986A45">
        <w:t>ost-effectiveness</w:t>
      </w:r>
      <w:r w:rsidR="00477656">
        <w:rPr>
          <w:rFonts w:hint="eastAsia"/>
        </w:rPr>
        <w:t xml:space="preserve">, </w:t>
      </w:r>
      <w:r w:rsidR="006E6772">
        <w:rPr>
          <w:rFonts w:hint="eastAsia"/>
        </w:rPr>
        <w:t xml:space="preserve">given the varied demography and </w:t>
      </w:r>
      <w:r w:rsidR="00477656">
        <w:rPr>
          <w:rFonts w:hint="eastAsia"/>
        </w:rPr>
        <w:t>epidemiology of</w:t>
      </w:r>
      <w:r w:rsidR="006E6772">
        <w:rPr>
          <w:rFonts w:hint="eastAsia"/>
        </w:rPr>
        <w:t xml:space="preserve"> </w:t>
      </w:r>
      <w:r w:rsidR="00477656">
        <w:rPr>
          <w:rFonts w:hint="eastAsia"/>
        </w:rPr>
        <w:t>cholera outbreak</w:t>
      </w:r>
      <w:r w:rsidR="00196A15">
        <w:rPr>
          <w:rFonts w:hint="eastAsia"/>
        </w:rPr>
        <w:t>s</w:t>
      </w:r>
      <w:r w:rsidR="00477656">
        <w:rPr>
          <w:rFonts w:hint="eastAsia"/>
        </w:rPr>
        <w:t xml:space="preserve"> </w:t>
      </w:r>
      <w:r w:rsidR="006E6772">
        <w:rPr>
          <w:rFonts w:hint="eastAsia"/>
        </w:rPr>
        <w:t>across</w:t>
      </w:r>
      <w:r w:rsidR="00477656">
        <w:rPr>
          <w:rFonts w:hint="eastAsia"/>
        </w:rPr>
        <w:t xml:space="preserve"> s</w:t>
      </w:r>
      <w:r w:rsidR="005072E4">
        <w:rPr>
          <w:rFonts w:hint="eastAsia"/>
        </w:rPr>
        <w:t>ub-Saharan Africa</w:t>
      </w:r>
      <w:r w:rsidRPr="00986A45">
        <w:t xml:space="preserve">. </w:t>
      </w:r>
    </w:p>
    <w:p w14:paraId="06E2D25A" w14:textId="77777777" w:rsidR="00196A15" w:rsidRDefault="00196A15" w:rsidP="00196A15">
      <w:pPr>
        <w:spacing w:after="0" w:line="360" w:lineRule="auto"/>
      </w:pPr>
    </w:p>
    <w:p w14:paraId="0224F56E" w14:textId="4E2F47D0" w:rsidR="00986A45" w:rsidRPr="00986A45" w:rsidRDefault="00986A45" w:rsidP="00196A15">
      <w:pPr>
        <w:spacing w:after="0" w:line="360" w:lineRule="auto"/>
      </w:pPr>
      <w:r w:rsidRPr="00986A45">
        <w:t>Key findings include:</w:t>
      </w:r>
    </w:p>
    <w:p w14:paraId="13F130E1" w14:textId="35C4CB03" w:rsidR="00986A45" w:rsidRDefault="00986A45" w:rsidP="00196A15">
      <w:pPr>
        <w:pStyle w:val="ListParagraph"/>
        <w:numPr>
          <w:ilvl w:val="0"/>
          <w:numId w:val="2"/>
        </w:numPr>
        <w:spacing w:after="0" w:line="360" w:lineRule="auto"/>
      </w:pPr>
      <w:r w:rsidRPr="00986A45">
        <w:t xml:space="preserve">Timely deployment is crucial: Campaign effectiveness </w:t>
      </w:r>
      <w:r w:rsidR="006E6772">
        <w:rPr>
          <w:rFonts w:hint="eastAsia"/>
        </w:rPr>
        <w:t>declines</w:t>
      </w:r>
      <w:r w:rsidRPr="00986A45">
        <w:t xml:space="preserve"> rapidly</w:t>
      </w:r>
      <w:r w:rsidR="005072E4">
        <w:rPr>
          <w:rFonts w:hint="eastAsia"/>
        </w:rPr>
        <w:t xml:space="preserve"> with percentage case reduction </w:t>
      </w:r>
      <w:r w:rsidR="00477656">
        <w:rPr>
          <w:rFonts w:hint="eastAsia"/>
        </w:rPr>
        <w:t>halving every two weeks</w:t>
      </w:r>
      <w:r w:rsidR="00196A15">
        <w:rPr>
          <w:rFonts w:hint="eastAsia"/>
        </w:rPr>
        <w:t xml:space="preserve"> of</w:t>
      </w:r>
      <w:r w:rsidR="00477656">
        <w:rPr>
          <w:rFonts w:hint="eastAsia"/>
        </w:rPr>
        <w:t xml:space="preserve"> delay or every 44 additional cases</w:t>
      </w:r>
      <w:r w:rsidRPr="00986A45">
        <w:t>.</w:t>
      </w:r>
    </w:p>
    <w:p w14:paraId="5F84A2CD" w14:textId="56CA1C0F" w:rsidR="00986A45" w:rsidRDefault="00986A45" w:rsidP="00196A15">
      <w:pPr>
        <w:pStyle w:val="ListParagraph"/>
        <w:numPr>
          <w:ilvl w:val="0"/>
          <w:numId w:val="2"/>
        </w:numPr>
        <w:spacing w:after="0" w:line="360" w:lineRule="auto"/>
      </w:pPr>
      <w:r w:rsidRPr="00986A45">
        <w:t xml:space="preserve">Aggregate benefits persist: Despite low impact on some smaller outbreaks, delayed vaccination can still avert substantial cases </w:t>
      </w:r>
      <w:r w:rsidR="006E6772">
        <w:rPr>
          <w:rFonts w:hint="eastAsia"/>
        </w:rPr>
        <w:t>a</w:t>
      </w:r>
      <w:r w:rsidR="006E6772" w:rsidRPr="006E6772">
        <w:t>ssessing combined effects across multiple outbreaks potentially reached by the global stockpile</w:t>
      </w:r>
      <w:r w:rsidR="006E6772">
        <w:rPr>
          <w:rFonts w:hint="eastAsia"/>
        </w:rPr>
        <w:t xml:space="preserve"> (</w:t>
      </w:r>
      <w:r w:rsidR="006E6772" w:rsidRPr="006E6772">
        <w:t>~80M doses from 2013 to 2022</w:t>
      </w:r>
      <w:r w:rsidR="006E6772">
        <w:rPr>
          <w:rFonts w:hint="eastAsia"/>
        </w:rPr>
        <w:t>)</w:t>
      </w:r>
      <w:r w:rsidR="006E6772" w:rsidRPr="006E6772">
        <w:t>.</w:t>
      </w:r>
    </w:p>
    <w:p w14:paraId="40F7F57F" w14:textId="22AC205B" w:rsidR="00986A45" w:rsidRDefault="00986A45" w:rsidP="00196A15">
      <w:pPr>
        <w:pStyle w:val="ListParagraph"/>
        <w:numPr>
          <w:ilvl w:val="0"/>
          <w:numId w:val="2"/>
        </w:numPr>
        <w:spacing w:after="0" w:line="360" w:lineRule="auto"/>
      </w:pPr>
      <w:r w:rsidRPr="00986A45">
        <w:t xml:space="preserve">Strategic targeting matters: Prioritizing larger outbreaks yields </w:t>
      </w:r>
      <w:r w:rsidR="006E6772">
        <w:rPr>
          <w:rFonts w:hint="eastAsia"/>
        </w:rPr>
        <w:t xml:space="preserve">notably </w:t>
      </w:r>
      <w:r w:rsidRPr="00986A45">
        <w:t xml:space="preserve">greater </w:t>
      </w:r>
      <w:r w:rsidR="006E6772">
        <w:rPr>
          <w:rFonts w:hint="eastAsia"/>
        </w:rPr>
        <w:t xml:space="preserve">cumulative </w:t>
      </w:r>
      <w:r w:rsidR="00477656">
        <w:rPr>
          <w:rFonts w:hint="eastAsia"/>
        </w:rPr>
        <w:t>impact</w:t>
      </w:r>
      <w:r w:rsidR="00955FE1">
        <w:rPr>
          <w:rFonts w:hint="eastAsia"/>
        </w:rPr>
        <w:t xml:space="preserve"> (</w:t>
      </w:r>
      <w:r w:rsidR="00955FE1" w:rsidRPr="005878EC">
        <w:rPr>
          <w:rFonts w:ascii="Aptos" w:hAnsi="Aptos"/>
        </w:rPr>
        <w:t xml:space="preserve">27,649 vs </w:t>
      </w:r>
      <w:r w:rsidR="00955FE1" w:rsidRPr="005878EC">
        <w:rPr>
          <w:rFonts w:ascii="Aptos" w:hAnsi="Aptos"/>
          <w:color w:val="000000"/>
        </w:rPr>
        <w:t xml:space="preserve">44,054 </w:t>
      </w:r>
      <w:r w:rsidR="00955FE1">
        <w:rPr>
          <w:rFonts w:ascii="Aptos" w:hAnsi="Aptos" w:hint="eastAsia"/>
          <w:color w:val="000000"/>
        </w:rPr>
        <w:t xml:space="preserve">cases </w:t>
      </w:r>
      <w:r w:rsidR="00955FE1" w:rsidRPr="005878EC">
        <w:rPr>
          <w:rFonts w:ascii="Aptos" w:hAnsi="Aptos"/>
          <w:color w:val="000000"/>
        </w:rPr>
        <w:t>averted</w:t>
      </w:r>
      <w:r w:rsidR="00955FE1">
        <w:rPr>
          <w:rFonts w:ascii="Aptos" w:hAnsi="Aptos" w:hint="eastAsia"/>
          <w:color w:val="000000"/>
        </w:rPr>
        <w:t>)</w:t>
      </w:r>
      <w:r w:rsidR="00477656">
        <w:rPr>
          <w:rFonts w:hint="eastAsia"/>
        </w:rPr>
        <w:t xml:space="preserve">, </w:t>
      </w:r>
      <w:r w:rsidR="006E6772">
        <w:rPr>
          <w:rFonts w:hint="eastAsia"/>
        </w:rPr>
        <w:t xml:space="preserve">improved </w:t>
      </w:r>
      <w:r w:rsidR="00477656">
        <w:rPr>
          <w:rFonts w:hint="eastAsia"/>
        </w:rPr>
        <w:t xml:space="preserve">vaccine </w:t>
      </w:r>
      <w:r w:rsidRPr="00986A45">
        <w:t>efficiency</w:t>
      </w:r>
      <w:r w:rsidR="00955FE1">
        <w:rPr>
          <w:rFonts w:hint="eastAsia"/>
        </w:rPr>
        <w:t xml:space="preserve"> (</w:t>
      </w:r>
      <w:r w:rsidR="00955FE1" w:rsidRPr="005878EC">
        <w:rPr>
          <w:rFonts w:ascii="Aptos" w:hAnsi="Aptos"/>
          <w:color w:val="000000"/>
        </w:rPr>
        <w:t>(0.63 vs 0.92 case averted per 1,000 OCVs)</w:t>
      </w:r>
      <w:r w:rsidR="00477656">
        <w:rPr>
          <w:rFonts w:hint="eastAsia"/>
        </w:rPr>
        <w:t>,</w:t>
      </w:r>
      <w:r w:rsidRPr="00986A45">
        <w:t xml:space="preserve"> and </w:t>
      </w:r>
      <w:r w:rsidR="006E6772">
        <w:rPr>
          <w:rFonts w:hint="eastAsia"/>
        </w:rPr>
        <w:t xml:space="preserve">better </w:t>
      </w:r>
      <w:r w:rsidRPr="00986A45">
        <w:t>cost-effectiveness</w:t>
      </w:r>
      <w:r w:rsidR="00955FE1">
        <w:rPr>
          <w:rFonts w:hint="eastAsia"/>
        </w:rPr>
        <w:t xml:space="preserve"> (</w:t>
      </w:r>
      <w:r w:rsidR="00955FE1" w:rsidRPr="005878EC">
        <w:rPr>
          <w:rFonts w:ascii="Aptos" w:hAnsi="Aptos"/>
          <w:color w:val="000000"/>
        </w:rPr>
        <w:t xml:space="preserve">13,071 </w:t>
      </w:r>
      <w:r w:rsidR="00955FE1">
        <w:rPr>
          <w:rFonts w:hint="eastAsia"/>
          <w:color w:val="000000"/>
        </w:rPr>
        <w:t xml:space="preserve">vs </w:t>
      </w:r>
      <w:r w:rsidR="00955FE1" w:rsidRPr="005878EC">
        <w:rPr>
          <w:rFonts w:ascii="Aptos" w:hAnsi="Aptos"/>
          <w:color w:val="000000"/>
        </w:rPr>
        <w:t>10,324 US$ per DALY averted</w:t>
      </w:r>
      <w:r w:rsidR="00955FE1">
        <w:rPr>
          <w:rFonts w:ascii="Aptos" w:hAnsi="Aptos" w:hint="eastAsia"/>
          <w:color w:val="000000"/>
        </w:rPr>
        <w:t>)</w:t>
      </w:r>
      <w:r w:rsidRPr="00986A45">
        <w:t>, helping optimize limited vaccine supplies.</w:t>
      </w:r>
    </w:p>
    <w:p w14:paraId="64C5F9E6" w14:textId="77777777" w:rsidR="00196A15" w:rsidRPr="00986A45" w:rsidRDefault="00196A15" w:rsidP="00196A15">
      <w:pPr>
        <w:pStyle w:val="ListParagraph"/>
        <w:spacing w:after="0" w:line="360" w:lineRule="auto"/>
      </w:pPr>
    </w:p>
    <w:p w14:paraId="0391D69E" w14:textId="77777777" w:rsidR="00986A45" w:rsidRPr="00986A45" w:rsidRDefault="00986A45" w:rsidP="00196A15">
      <w:pPr>
        <w:spacing w:after="0" w:line="360" w:lineRule="auto"/>
      </w:pPr>
      <w:r w:rsidRPr="00986A45">
        <w:t>These insights directly inform global cholera control strategies, offering evidence-based guidance for policymakers to enhance vaccine delivery in resource-constrained settings.</w:t>
      </w:r>
    </w:p>
    <w:p w14:paraId="7F161533" w14:textId="77777777" w:rsidR="00986A45" w:rsidRPr="00986A45" w:rsidRDefault="00986A45" w:rsidP="00196A15">
      <w:pPr>
        <w:spacing w:after="0" w:line="360" w:lineRule="auto"/>
      </w:pPr>
      <w:r w:rsidRPr="00986A45">
        <w:t>We confirm that this is original work, not under review elsewhere. All authors have approved the manuscript and disclosed any potential conflicts of interest in the submission.</w:t>
      </w:r>
    </w:p>
    <w:p w14:paraId="6CCE3E83" w14:textId="77777777" w:rsidR="00F11522" w:rsidRDefault="00F11522" w:rsidP="00196A15">
      <w:pPr>
        <w:spacing w:after="0" w:line="360" w:lineRule="auto"/>
      </w:pPr>
    </w:p>
    <w:p w14:paraId="435662FD" w14:textId="3B775A41" w:rsidR="00986A45" w:rsidRPr="00986A45" w:rsidRDefault="00986A45" w:rsidP="00196A15">
      <w:pPr>
        <w:spacing w:after="0" w:line="360" w:lineRule="auto"/>
      </w:pPr>
      <w:r w:rsidRPr="00986A45">
        <w:t>Thank you for your consideration. We look forward to your response.</w:t>
      </w:r>
    </w:p>
    <w:p w14:paraId="64206EC2" w14:textId="77777777" w:rsidR="00986A45" w:rsidRPr="00986A45" w:rsidRDefault="00986A45" w:rsidP="00196A15">
      <w:pPr>
        <w:spacing w:after="0"/>
        <w:rPr>
          <w:b/>
          <w:bCs/>
        </w:rPr>
      </w:pPr>
    </w:p>
    <w:p w14:paraId="1EF2693B" w14:textId="4B45E311" w:rsidR="00DB30BA" w:rsidRPr="00F11522" w:rsidRDefault="00986A45" w:rsidP="00196A15">
      <w:pPr>
        <w:spacing w:after="0"/>
      </w:pPr>
      <w:r w:rsidRPr="00F11522">
        <w:t>Sincerely,</w:t>
      </w:r>
    </w:p>
    <w:p w14:paraId="54BBC197" w14:textId="535CABFD" w:rsidR="00DB30BA" w:rsidRDefault="00F11522" w:rsidP="00DB30BA">
      <w:r>
        <w:rPr>
          <w:rFonts w:hint="eastAsia"/>
        </w:rPr>
        <w:t>Jong-Hoon Kim</w:t>
      </w:r>
      <w:r w:rsidR="00DB30BA">
        <w:t>, PhD</w:t>
      </w:r>
    </w:p>
    <w:p w14:paraId="54198BB3" w14:textId="77777777" w:rsidR="006E6772" w:rsidRDefault="006E6772"/>
    <w:sectPr w:rsidR="006E6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3638" w14:textId="77777777" w:rsidR="0071698A" w:rsidRDefault="0071698A" w:rsidP="00DD0158">
      <w:pPr>
        <w:spacing w:after="0" w:line="240" w:lineRule="auto"/>
      </w:pPr>
      <w:r>
        <w:separator/>
      </w:r>
    </w:p>
  </w:endnote>
  <w:endnote w:type="continuationSeparator" w:id="0">
    <w:p w14:paraId="397BC3C3" w14:textId="77777777" w:rsidR="0071698A" w:rsidRDefault="0071698A" w:rsidP="00DD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8DFA" w14:textId="77777777" w:rsidR="0071698A" w:rsidRDefault="0071698A" w:rsidP="00DD0158">
      <w:pPr>
        <w:spacing w:after="0" w:line="240" w:lineRule="auto"/>
      </w:pPr>
      <w:r>
        <w:separator/>
      </w:r>
    </w:p>
  </w:footnote>
  <w:footnote w:type="continuationSeparator" w:id="0">
    <w:p w14:paraId="3104E5D1" w14:textId="77777777" w:rsidR="0071698A" w:rsidRDefault="0071698A" w:rsidP="00DD0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E5C16"/>
    <w:multiLevelType w:val="hybridMultilevel"/>
    <w:tmpl w:val="DCD8E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34557"/>
    <w:multiLevelType w:val="hybridMultilevel"/>
    <w:tmpl w:val="200CC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408709">
    <w:abstractNumId w:val="1"/>
  </w:num>
  <w:num w:numId="2" w16cid:durableId="56113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BA"/>
    <w:rsid w:val="00196A15"/>
    <w:rsid w:val="00477656"/>
    <w:rsid w:val="005072E4"/>
    <w:rsid w:val="006E6772"/>
    <w:rsid w:val="0071698A"/>
    <w:rsid w:val="00955FE1"/>
    <w:rsid w:val="00986A45"/>
    <w:rsid w:val="009B16D5"/>
    <w:rsid w:val="00CA7A00"/>
    <w:rsid w:val="00DB30BA"/>
    <w:rsid w:val="00DD0158"/>
    <w:rsid w:val="00EC5C5A"/>
    <w:rsid w:val="00F1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BE4A0"/>
  <w15:chartTrackingRefBased/>
  <w15:docId w15:val="{9AACFFE8-3A45-4C6C-896D-2C82FBF6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158"/>
  </w:style>
  <w:style w:type="paragraph" w:styleId="Footer">
    <w:name w:val="footer"/>
    <w:basedOn w:val="Normal"/>
    <w:link w:val="FooterChar"/>
    <w:uiPriority w:val="99"/>
    <w:unhideWhenUsed/>
    <w:rsid w:val="00DD0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AC212-9362-4933-A39B-0C7F62AB1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273</Words>
  <Characters>1717</Characters>
  <Application>Microsoft Office Word</Application>
  <DocSecurity>0</DocSecurity>
  <Lines>40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3</cp:revision>
  <dcterms:created xsi:type="dcterms:W3CDTF">2025-03-17T06:56:00Z</dcterms:created>
  <dcterms:modified xsi:type="dcterms:W3CDTF">2025-11-03T14:43:00Z</dcterms:modified>
</cp:coreProperties>
</file>