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4g0hmtxs4or" w:id="0"/>
      <w:bookmarkEnd w:id="0"/>
      <w:r w:rsidDel="00000000" w:rsidR="00000000" w:rsidRPr="00000000">
        <w:rPr>
          <w:rtl w:val="0"/>
        </w:rPr>
        <w:t xml:space="preserve">Indirect vaccine effectiveness of TCV</w:t>
      </w:r>
    </w:p>
    <w:p w:rsidR="00000000" w:rsidDel="00000000" w:rsidP="00000000" w:rsidRDefault="00000000" w:rsidRPr="00000000" w14:paraId="00000002">
      <w:pPr>
        <w:rPr/>
      </w:pPr>
      <w:r w:rsidDel="00000000" w:rsidR="00000000" w:rsidRPr="00000000">
        <w:rPr>
          <w:rtl w:val="0"/>
        </w:rPr>
        <w:t xml:space="preserve">Indirect protection conferred by the Vi‑TT typhoid conjugate vaccine has been assessed in a large cluster‑randomised trial in Dhaka, Bangladesh. Conventional analysis and a subsequent “fried‑egg” re‑analysis both found modest, non‑significant IVE of 17–19% despite high total VE (85%) and overall VE (57%) in the same study </w:t>
      </w:r>
      <w:hyperlink r:id="rId6">
        <w:r w:rsidDel="00000000" w:rsidR="00000000" w:rsidRPr="00000000">
          <w:rPr>
            <w:shd w:fill="auto" w:val="clear"/>
            <w:vertAlign w:val="baseline"/>
            <w:rtl w:val="0"/>
          </w:rPr>
          <w:t xml:space="preserve">(1,2)</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the primary modelling scenario we therefore used IVE = 17%. To test the impact of more optimistic assumptions, we explored a bor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conducted a sensitivity analysis with IVE = 50%. This upper bound is informed by (i) the algebraic relationship, which yields ≈50 % at the trial’s overall population coverage (f ≈ 0.20), and (ii) the 44 % indirect protection observed for the Vi‑polysaccharide vaccine in Kolkata </w:t>
      </w:r>
      <w:hyperlink r:id="rId7">
        <w:r w:rsidDel="00000000" w:rsidR="00000000" w:rsidRPr="00000000">
          <w:rPr>
            <w:color w:val="cc2936"/>
            <w:rtl w:val="0"/>
          </w:rPr>
          <w:t xml:space="preserve">(3,4)</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IVE = (OVE -f*TVE)/(1-f), where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OVE: overall vaccine effectiveness</w:t>
      </w:r>
    </w:p>
    <w:p w:rsidR="00000000" w:rsidDel="00000000" w:rsidP="00000000" w:rsidRDefault="00000000" w:rsidRPr="00000000" w14:paraId="0000000C">
      <w:pPr>
        <w:rPr/>
      </w:pPr>
      <w:r w:rsidDel="00000000" w:rsidR="00000000" w:rsidRPr="00000000">
        <w:rPr>
          <w:rtl w:val="0"/>
        </w:rPr>
        <w:t xml:space="preserve">TVE: total vaccine effectiveness</w:t>
      </w:r>
    </w:p>
    <w:p w:rsidR="00000000" w:rsidDel="00000000" w:rsidP="00000000" w:rsidRDefault="00000000" w:rsidRPr="00000000" w14:paraId="0000000D">
      <w:pPr>
        <w:rPr/>
      </w:pPr>
      <w:r w:rsidDel="00000000" w:rsidR="00000000" w:rsidRPr="00000000">
        <w:rPr>
          <w:rtl w:val="0"/>
        </w:rPr>
        <w:t xml:space="preserve">IVE: indirect vaccine effectiveness  </w:t>
      </w:r>
    </w:p>
    <w:p w:rsidR="00000000" w:rsidDel="00000000" w:rsidP="00000000" w:rsidRDefault="00000000" w:rsidRPr="00000000" w14:paraId="0000000E">
      <w:pPr>
        <w:rPr/>
      </w:pPr>
      <w:r w:rsidDel="00000000" w:rsidR="00000000" w:rsidRPr="00000000">
        <w:rPr>
          <w:rtl w:val="0"/>
        </w:rPr>
        <w:t xml:space="preserve">f: vaccine coverage</w:t>
      </w:r>
    </w:p>
    <w:p w:rsidR="00000000" w:rsidDel="00000000" w:rsidP="00000000" w:rsidRDefault="00000000" w:rsidRPr="00000000" w14:paraId="0000000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sz w:val="22"/>
          <w:szCs w:val="22"/>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01.1764705882351"/>
        <w:gridCol w:w="1238.8235294117646"/>
        <w:gridCol w:w="1170"/>
        <w:gridCol w:w="1170"/>
        <w:tblGridChange w:id="0">
          <w:tblGrid>
            <w:gridCol w:w="1170"/>
            <w:gridCol w:w="1170"/>
            <w:gridCol w:w="1170"/>
            <w:gridCol w:w="1170"/>
            <w:gridCol w:w="1101.1764705882351"/>
            <w:gridCol w:w="1238.8235294117646"/>
            <w:gridCol w:w="1170"/>
            <w:gridCol w:w="1170"/>
          </w:tblGrid>
        </w:tblGridChange>
      </w:tblGrid>
      <w:tr>
        <w:trPr>
          <w:cantSplit w:val="0"/>
          <w:tblHeader w:val="0"/>
        </w:trPr>
        <w:tc>
          <w:tcPr>
            <w:tcMar>
              <w:top w:w="20.0" w:type="dxa"/>
              <w:left w:w="20.0" w:type="dxa"/>
              <w:right w:w="20.0" w:type="dxa"/>
            </w:tcMar>
            <w:vAlign w:val="bottom"/>
          </w:tcPr>
          <w:p w:rsidR="00000000" w:rsidDel="00000000" w:rsidP="00000000" w:rsidRDefault="00000000" w:rsidRPr="00000000" w14:paraId="00000011">
            <w:pPr>
              <w:widowControl w:val="0"/>
              <w:rPr>
                <w:rFonts w:ascii="Arial" w:cs="Arial" w:eastAsia="Arial" w:hAnsi="Arial"/>
                <w:sz w:val="22"/>
                <w:szCs w:val="22"/>
              </w:rPr>
            </w:pPr>
            <w:r w:rsidDel="00000000" w:rsidR="00000000" w:rsidRPr="00000000">
              <w:rPr>
                <w:rtl w:val="0"/>
              </w:rPr>
              <w:t xml:space="preserve">Paper</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2">
            <w:pPr>
              <w:widowControl w:val="0"/>
              <w:rPr>
                <w:rFonts w:ascii="Arial" w:cs="Arial" w:eastAsia="Arial" w:hAnsi="Arial"/>
                <w:sz w:val="22"/>
                <w:szCs w:val="22"/>
              </w:rPr>
            </w:pPr>
            <w:r w:rsidDel="00000000" w:rsidR="00000000" w:rsidRPr="00000000">
              <w:rPr>
                <w:rtl w:val="0"/>
              </w:rPr>
              <w:t xml:space="preserve">Population size</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3">
            <w:pPr>
              <w:widowControl w:val="0"/>
              <w:rPr>
                <w:rFonts w:ascii="Arial" w:cs="Arial" w:eastAsia="Arial" w:hAnsi="Arial"/>
                <w:sz w:val="22"/>
                <w:szCs w:val="22"/>
              </w:rPr>
            </w:pPr>
            <w:r w:rsidDel="00000000" w:rsidR="00000000" w:rsidRPr="00000000">
              <w:rPr>
                <w:rtl w:val="0"/>
              </w:rPr>
              <w:t xml:space="preserve">Total vaccinated</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4">
            <w:pPr>
              <w:widowControl w:val="0"/>
              <w:rPr>
                <w:rFonts w:ascii="Arial" w:cs="Arial" w:eastAsia="Arial" w:hAnsi="Arial"/>
                <w:sz w:val="22"/>
                <w:szCs w:val="22"/>
              </w:rPr>
            </w:pPr>
            <w:r w:rsidDel="00000000" w:rsidR="00000000" w:rsidRPr="00000000">
              <w:rPr>
                <w:rtl w:val="0"/>
              </w:rPr>
              <w:t xml:space="preserve">Vaccine coverage (%)</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5">
            <w:pPr>
              <w:widowControl w:val="0"/>
              <w:rPr>
                <w:rFonts w:ascii="Arial" w:cs="Arial" w:eastAsia="Arial" w:hAnsi="Arial"/>
                <w:sz w:val="22"/>
                <w:szCs w:val="22"/>
              </w:rPr>
            </w:pPr>
            <w:r w:rsidDel="00000000" w:rsidR="00000000" w:rsidRPr="00000000">
              <w:rPr>
                <w:rtl w:val="0"/>
              </w:rPr>
              <w:t xml:space="preserve">Overall VE (%)</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6">
            <w:pPr>
              <w:widowControl w:val="0"/>
              <w:rPr>
                <w:rFonts w:ascii="Arial" w:cs="Arial" w:eastAsia="Arial" w:hAnsi="Arial"/>
                <w:sz w:val="22"/>
                <w:szCs w:val="22"/>
              </w:rPr>
            </w:pPr>
            <w:r w:rsidDel="00000000" w:rsidR="00000000" w:rsidRPr="00000000">
              <w:rPr>
                <w:rtl w:val="0"/>
              </w:rPr>
              <w:t xml:space="preserve">Total VE (%)</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7">
            <w:pPr>
              <w:widowControl w:val="0"/>
              <w:rPr>
                <w:rFonts w:ascii="Arial" w:cs="Arial" w:eastAsia="Arial" w:hAnsi="Arial"/>
                <w:sz w:val="22"/>
                <w:szCs w:val="22"/>
              </w:rPr>
            </w:pPr>
            <w:r w:rsidDel="00000000" w:rsidR="00000000" w:rsidRPr="00000000">
              <w:rPr>
                <w:rtl w:val="0"/>
              </w:rPr>
              <w:t xml:space="preserve">Indirect VE (%)</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8">
            <w:pPr>
              <w:widowControl w:val="0"/>
              <w:rPr/>
            </w:pPr>
            <w:r w:rsidDel="00000000" w:rsidR="00000000" w:rsidRPr="00000000">
              <w:rPr>
                <w:rtl w:val="0"/>
              </w:rPr>
              <w:t xml:space="preserve">Ref</w:t>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019">
            <w:pPr>
              <w:widowControl w:val="0"/>
              <w:rPr>
                <w:rFonts w:ascii="Arial" w:cs="Arial" w:eastAsia="Arial" w:hAnsi="Arial"/>
                <w:sz w:val="22"/>
                <w:szCs w:val="22"/>
              </w:rPr>
            </w:pPr>
            <w:r w:rsidDel="00000000" w:rsidR="00000000" w:rsidRPr="00000000">
              <w:rPr>
                <w:rtl w:val="0"/>
              </w:rPr>
              <w:t xml:space="preserve">Ali 2020 (Vi-polysaccharide)</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A">
            <w:pPr>
              <w:widowControl w:val="0"/>
              <w:rPr>
                <w:rFonts w:ascii="Arial" w:cs="Arial" w:eastAsia="Arial" w:hAnsi="Arial"/>
                <w:sz w:val="22"/>
                <w:szCs w:val="22"/>
              </w:rPr>
            </w:pPr>
            <w:r w:rsidDel="00000000" w:rsidR="00000000" w:rsidRPr="00000000">
              <w:rPr>
                <w:rtl w:val="0"/>
              </w:rPr>
              <w:t xml:space="preserve">31075</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B">
            <w:pPr>
              <w:widowControl w:val="0"/>
              <w:rPr/>
            </w:pPr>
            <w:r w:rsidDel="00000000" w:rsidR="00000000" w:rsidRPr="00000000">
              <w:rPr>
                <w:rtl w:val="0"/>
              </w:rPr>
              <w:t xml:space="preserve">18869</w:t>
            </w:r>
          </w:p>
        </w:tc>
        <w:tc>
          <w:tcPr>
            <w:tcMar>
              <w:top w:w="20.0" w:type="dxa"/>
              <w:left w:w="20.0" w:type="dxa"/>
              <w:right w:w="20.0" w:type="dxa"/>
            </w:tcMar>
            <w:vAlign w:val="bottom"/>
          </w:tcPr>
          <w:p w:rsidR="00000000" w:rsidDel="00000000" w:rsidP="00000000" w:rsidRDefault="00000000" w:rsidRPr="00000000" w14:paraId="0000001C">
            <w:pPr>
              <w:widowControl w:val="0"/>
              <w:rPr/>
            </w:pPr>
            <w:r w:rsidDel="00000000" w:rsidR="00000000" w:rsidRPr="00000000">
              <w:rPr>
                <w:rtl w:val="0"/>
              </w:rPr>
              <w:t xml:space="preserve">61%</w:t>
            </w:r>
          </w:p>
        </w:tc>
        <w:tc>
          <w:tcPr>
            <w:tcMar>
              <w:top w:w="20.0" w:type="dxa"/>
              <w:left w:w="20.0" w:type="dxa"/>
              <w:right w:w="20.0" w:type="dxa"/>
            </w:tcMar>
            <w:vAlign w:val="bottom"/>
          </w:tcPr>
          <w:p w:rsidR="00000000" w:rsidDel="00000000" w:rsidP="00000000" w:rsidRDefault="00000000" w:rsidRPr="00000000" w14:paraId="0000001D">
            <w:pPr>
              <w:widowControl w:val="0"/>
              <w:rPr>
                <w:rFonts w:ascii="Arial" w:cs="Arial" w:eastAsia="Arial" w:hAnsi="Arial"/>
                <w:sz w:val="22"/>
                <w:szCs w:val="22"/>
              </w:rPr>
            </w:pPr>
            <w:r w:rsidDel="00000000" w:rsidR="00000000" w:rsidRPr="00000000">
              <w:rPr>
                <w:rtl w:val="0"/>
              </w:rPr>
              <w:t xml:space="preserve">57 (37-71)</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E">
            <w:pPr>
              <w:widowControl w:val="0"/>
              <w:rPr>
                <w:rFonts w:ascii="Arial" w:cs="Arial" w:eastAsia="Arial" w:hAnsi="Arial"/>
                <w:sz w:val="22"/>
                <w:szCs w:val="22"/>
              </w:rPr>
            </w:pPr>
            <w:r w:rsidDel="00000000" w:rsidR="00000000" w:rsidRPr="00000000">
              <w:rPr>
                <w:rtl w:val="0"/>
              </w:rPr>
              <w:t xml:space="preserve">61 (41-75)</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1F">
            <w:pPr>
              <w:widowControl w:val="0"/>
              <w:rPr/>
            </w:pPr>
            <w:r w:rsidDel="00000000" w:rsidR="00000000" w:rsidRPr="00000000">
              <w:rPr>
                <w:rtl w:val="0"/>
              </w:rPr>
              <w:t xml:space="preserve">44 (2-69) </w:t>
            </w:r>
          </w:p>
        </w:tc>
        <w:tc>
          <w:tcPr>
            <w:tcMar>
              <w:top w:w="20.0" w:type="dxa"/>
              <w:left w:w="20.0" w:type="dxa"/>
              <w:right w:w="20.0" w:type="dxa"/>
            </w:tcMar>
            <w:vAlign w:val="bottom"/>
          </w:tcPr>
          <w:p w:rsidR="00000000" w:rsidDel="00000000" w:rsidP="00000000" w:rsidRDefault="00000000" w:rsidRPr="00000000" w14:paraId="00000020">
            <w:pPr>
              <w:widowControl w:val="0"/>
              <w:rPr/>
            </w:pPr>
            <w:hyperlink r:id="rId8">
              <w:r w:rsidDel="00000000" w:rsidR="00000000" w:rsidRPr="00000000">
                <w:rPr>
                  <w:rtl w:val="0"/>
                </w:rPr>
                <w:t xml:space="preserve">(3)</w:t>
              </w:r>
            </w:hyperlink>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021">
            <w:pPr>
              <w:widowControl w:val="0"/>
              <w:rPr>
                <w:rFonts w:ascii="Arial" w:cs="Arial" w:eastAsia="Arial" w:hAnsi="Arial"/>
                <w:sz w:val="22"/>
                <w:szCs w:val="22"/>
              </w:rPr>
            </w:pPr>
            <w:r w:rsidDel="00000000" w:rsidR="00000000" w:rsidRPr="00000000">
              <w:rPr>
                <w:rtl w:val="0"/>
              </w:rPr>
              <w:t xml:space="preserve">Khanam 2023 (Vi-TT)</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22">
            <w:pPr>
              <w:widowControl w:val="0"/>
              <w:rPr>
                <w:rFonts w:ascii="Arial" w:cs="Arial" w:eastAsia="Arial" w:hAnsi="Arial"/>
                <w:sz w:val="22"/>
                <w:szCs w:val="22"/>
              </w:rPr>
            </w:pPr>
            <w:r w:rsidDel="00000000" w:rsidR="00000000" w:rsidRPr="00000000">
              <w:rPr>
                <w:rFonts w:ascii="Arial" w:cs="Arial" w:eastAsia="Arial" w:hAnsi="Arial"/>
                <w:color w:val="2e2e2e"/>
                <w:sz w:val="23"/>
                <w:szCs w:val="23"/>
                <w:highlight w:val="white"/>
                <w:rtl w:val="0"/>
              </w:rPr>
              <w:t xml:space="preserve">155841</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23">
            <w:pPr>
              <w:widowControl w:val="0"/>
              <w:rPr/>
            </w:pPr>
            <w:r w:rsidDel="00000000" w:rsidR="00000000" w:rsidRPr="00000000">
              <w:rPr>
                <w:rtl w:val="0"/>
              </w:rPr>
              <w:t xml:space="preserve">30882</w:t>
            </w:r>
          </w:p>
        </w:tc>
        <w:tc>
          <w:tcPr>
            <w:tcMar>
              <w:top w:w="20.0" w:type="dxa"/>
              <w:left w:w="20.0" w:type="dxa"/>
              <w:right w:w="20.0" w:type="dxa"/>
            </w:tcMar>
            <w:vAlign w:val="bottom"/>
          </w:tcPr>
          <w:p w:rsidR="00000000" w:rsidDel="00000000" w:rsidP="00000000" w:rsidRDefault="00000000" w:rsidRPr="00000000" w14:paraId="00000024">
            <w:pPr>
              <w:widowControl w:val="0"/>
              <w:rPr/>
            </w:pPr>
            <w:r w:rsidDel="00000000" w:rsidR="00000000" w:rsidRPr="00000000">
              <w:rPr>
                <w:rtl w:val="0"/>
              </w:rPr>
              <w:t xml:space="preserve">20%</w:t>
            </w:r>
          </w:p>
          <w:p w:rsidR="00000000" w:rsidDel="00000000" w:rsidP="00000000" w:rsidRDefault="00000000" w:rsidRPr="00000000" w14:paraId="00000025">
            <w:pPr>
              <w:widowControl w:val="0"/>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26">
            <w:pPr>
              <w:widowControl w:val="0"/>
              <w:rPr>
                <w:rFonts w:ascii="Arial" w:cs="Arial" w:eastAsia="Arial" w:hAnsi="Arial"/>
                <w:sz w:val="22"/>
                <w:szCs w:val="22"/>
              </w:rPr>
            </w:pPr>
            <w:r w:rsidDel="00000000" w:rsidR="00000000" w:rsidRPr="00000000">
              <w:rPr>
                <w:rtl w:val="0"/>
              </w:rPr>
              <w:t xml:space="preserve">57 (44-66)</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27">
            <w:pPr>
              <w:widowControl w:val="0"/>
              <w:rPr>
                <w:rFonts w:ascii="Arial" w:cs="Arial" w:eastAsia="Arial" w:hAnsi="Arial"/>
                <w:sz w:val="22"/>
                <w:szCs w:val="22"/>
              </w:rPr>
            </w:pPr>
            <w:r w:rsidDel="00000000" w:rsidR="00000000" w:rsidRPr="00000000">
              <w:rPr>
                <w:rtl w:val="0"/>
              </w:rPr>
              <w:t xml:space="preserve">85 (76-90)</w:t>
            </w: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028">
            <w:pPr>
              <w:widowControl w:val="0"/>
              <w:rPr/>
            </w:pPr>
            <w:r w:rsidDel="00000000" w:rsidR="00000000" w:rsidRPr="00000000">
              <w:rPr>
                <w:rtl w:val="0"/>
              </w:rPr>
              <w:t xml:space="preserve">17 (-13-40) </w:t>
            </w:r>
          </w:p>
        </w:tc>
        <w:tc>
          <w:tcPr>
            <w:tcMar>
              <w:top w:w="20.0" w:type="dxa"/>
              <w:left w:w="20.0" w:type="dxa"/>
              <w:right w:w="20.0" w:type="dxa"/>
            </w:tcMar>
            <w:vAlign w:val="bottom"/>
          </w:tcPr>
          <w:p w:rsidR="00000000" w:rsidDel="00000000" w:rsidP="00000000" w:rsidRDefault="00000000" w:rsidRPr="00000000" w14:paraId="00000029">
            <w:pPr>
              <w:widowControl w:val="0"/>
              <w:rPr>
                <w:color w:val="cc2936"/>
              </w:rPr>
            </w:pPr>
            <w:hyperlink r:id="rId9">
              <w:r w:rsidDel="00000000" w:rsidR="00000000" w:rsidRPr="00000000">
                <w:rPr>
                  <w:color w:val="cc2936"/>
                  <w:rtl w:val="0"/>
                </w:rPr>
                <w:t xml:space="preserve">(1)</w:t>
              </w:r>
            </w:hyperlink>
            <w:r w:rsidDel="00000000" w:rsidR="00000000" w:rsidRPr="00000000">
              <w:rPr>
                <w:rtl w:val="0"/>
              </w:rPr>
            </w:r>
          </w:p>
        </w:tc>
      </w:tr>
    </w:tbl>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Dhaka trial vaccinated 61 756 children among 311 289 residents, giving ≈20 % population coverage. The theoretical IVE at this coverage (≈50 %) exceeds the observed value, highlighting the limitations of the mass‑action assumption in real‑world settings with age‑restricted vaccination, substantial migration, and mixed environmental and person‑to‑person transmission. Further field studies that include adults or achieve ≥60 % population‑wide coverage are needed to quantify the true potential for Vi‑TT herd effects.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3805238" cy="235048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05238" cy="235048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pPr>
      <w:hyperlink r:id="rId11">
        <w:r w:rsidDel="00000000" w:rsidR="00000000" w:rsidRPr="00000000">
          <w:rPr>
            <w:rtl w:val="0"/>
          </w:rPr>
          <w:t xml:space="preserve">1.</w:t>
        </w:r>
      </w:hyperlink>
      <w:r w:rsidDel="00000000" w:rsidR="00000000" w:rsidRPr="00000000">
        <w:rPr>
          <w:rtl w:val="0"/>
        </w:rPr>
        <w:tab/>
      </w:r>
      <w:hyperlink r:id="rId12">
        <w:r w:rsidDel="00000000" w:rsidR="00000000" w:rsidRPr="00000000">
          <w:rPr>
            <w:rtl w:val="0"/>
          </w:rPr>
          <w:t xml:space="preserve">Khanam F, Kim DR, Liu X, Voysey M, Pitzer VE, Zaman K, et al. Assessment of vaccine herd protection in a cluster-randomised trial of Vi conjugate vaccine against typhoid fever: results of further analysis. eClinicalMedicine [Internet]. 2023 Apr 1 [cited 2025 Jul 23];58. Available from: https://www.thelancet.com/journals/eclinm/article/PIIS2589-5370(23)00102-5/fulltext </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pPr>
      <w:hyperlink r:id="rId13">
        <w:r w:rsidDel="00000000" w:rsidR="00000000" w:rsidRPr="00000000">
          <w:rPr>
            <w:rtl w:val="0"/>
          </w:rPr>
          <w:t xml:space="preserve">2.</w:t>
        </w:r>
      </w:hyperlink>
      <w:r w:rsidDel="00000000" w:rsidR="00000000" w:rsidRPr="00000000">
        <w:rPr>
          <w:rtl w:val="0"/>
        </w:rPr>
        <w:tab/>
      </w:r>
      <w:hyperlink r:id="rId14">
        <w:r w:rsidDel="00000000" w:rsidR="00000000" w:rsidRPr="00000000">
          <w:rPr>
            <w:rtl w:val="0"/>
          </w:rPr>
          <w:t xml:space="preserve">Qadri F, Khanam F, Liu X, Theiss-Nyland K, Biswas PK, Bhuiyan AI, et al. Protection by vaccination of children against typhoid fever with a Vi-tetanus toxoid conjugate vaccine in urban Bangladesh: a cluster-randomised trial. The Lancet. 2021 Aug 21;398(10301):675–84. </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pPr>
      <w:hyperlink r:id="rId15">
        <w:r w:rsidDel="00000000" w:rsidR="00000000" w:rsidRPr="00000000">
          <w:rPr>
            <w:rtl w:val="0"/>
          </w:rPr>
          <w:t xml:space="preserve">3.</w:t>
        </w:r>
      </w:hyperlink>
      <w:r w:rsidDel="00000000" w:rsidR="00000000" w:rsidRPr="00000000">
        <w:rPr>
          <w:rtl w:val="0"/>
        </w:rPr>
        <w:tab/>
      </w:r>
      <w:hyperlink r:id="rId16">
        <w:r w:rsidDel="00000000" w:rsidR="00000000" w:rsidRPr="00000000">
          <w:rPr>
            <w:rtl w:val="0"/>
          </w:rPr>
          <w:t xml:space="preserve">Ali M, Sur D, Kanungo S, Qadri F, Kim DR, Islam T, et al. Re-evaluating herd protection by Vi typhoid vaccine in a cluster randomized trial. International Health. 2020 Jan 1;12(1):36–42. </w:t>
        </w:r>
      </w:hyperlink>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zotero.org/google-docs/?JIcZJO" TargetMode="External"/><Relationship Id="rId10" Type="http://schemas.openxmlformats.org/officeDocument/2006/relationships/image" Target="media/image1.png"/><Relationship Id="rId13" Type="http://schemas.openxmlformats.org/officeDocument/2006/relationships/hyperlink" Target="https://www.zotero.org/google-docs/?JIcZJO" TargetMode="External"/><Relationship Id="rId12" Type="http://schemas.openxmlformats.org/officeDocument/2006/relationships/hyperlink" Target="https://www.zotero.org/google-docs/?JIcZJ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broken=QlI7Gc" TargetMode="External"/><Relationship Id="rId15" Type="http://schemas.openxmlformats.org/officeDocument/2006/relationships/hyperlink" Target="https://www.zotero.org/google-docs/?JIcZJO" TargetMode="External"/><Relationship Id="rId14" Type="http://schemas.openxmlformats.org/officeDocument/2006/relationships/hyperlink" Target="https://www.zotero.org/google-docs/?JIcZJO" TargetMode="External"/><Relationship Id="rId17" Type="http://schemas.openxmlformats.org/officeDocument/2006/relationships/header" Target="header1.xml"/><Relationship Id="rId16" Type="http://schemas.openxmlformats.org/officeDocument/2006/relationships/hyperlink" Target="https://www.zotero.org/google-docs/?JIcZJO" TargetMode="External"/><Relationship Id="rId5" Type="http://schemas.openxmlformats.org/officeDocument/2006/relationships/styles" Target="styles.xml"/><Relationship Id="rId6" Type="http://schemas.openxmlformats.org/officeDocument/2006/relationships/hyperlink" Target="https://www.zotero.org/google-docs/?lkJDLd" TargetMode="External"/><Relationship Id="rId7" Type="http://schemas.openxmlformats.org/officeDocument/2006/relationships/hyperlink" Target="https://www.zotero.org/google-docs/?broken=BFSRRB" TargetMode="External"/><Relationship Id="rId8" Type="http://schemas.openxmlformats.org/officeDocument/2006/relationships/hyperlink" Target="https://www.zotero.org/google-docs/?rGlPJ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