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65B5D3" w14:textId="1EE88657" w:rsidR="00917AAD" w:rsidRPr="006710C9" w:rsidRDefault="00917AAD" w:rsidP="00917AAD">
      <w:pPr>
        <w:rPr>
          <w:b/>
        </w:rPr>
      </w:pPr>
      <w:r w:rsidRPr="006710C9">
        <w:rPr>
          <w:b/>
        </w:rPr>
        <w:t xml:space="preserve">Table 1. </w:t>
      </w:r>
      <w:r w:rsidRPr="00917AAD">
        <w:t>Dynamics summary of study characteristics</w:t>
      </w:r>
    </w:p>
    <w:p w14:paraId="0215F1E4" w14:textId="6AFD29D4" w:rsidR="00917AAD" w:rsidRDefault="00917AAD" w:rsidP="00917AAD">
      <w:pPr>
        <w:rPr>
          <w:rFonts w:hint="eastAsia"/>
        </w:rPr>
      </w:pPr>
      <w:r>
        <w:rPr>
          <w:rFonts w:hint="eastAsia"/>
        </w:rPr>
        <w:t xml:space="preserve"> </w:t>
      </w:r>
    </w:p>
    <w:tbl>
      <w:tblPr>
        <w:tblW w:w="15058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737"/>
        <w:gridCol w:w="1745"/>
        <w:gridCol w:w="1606"/>
        <w:gridCol w:w="1720"/>
        <w:gridCol w:w="1521"/>
        <w:gridCol w:w="1508"/>
        <w:gridCol w:w="1586"/>
        <w:gridCol w:w="1635"/>
      </w:tblGrid>
      <w:tr w:rsidR="00E444D5" w:rsidRPr="00352396" w14:paraId="29B5B8DE" w14:textId="77777777" w:rsidTr="00AA5D31">
        <w:trPr>
          <w:trHeight w:val="460"/>
          <w:jc w:val="right"/>
        </w:trPr>
        <w:tc>
          <w:tcPr>
            <w:tcW w:w="3737" w:type="dxa"/>
            <w:shd w:val="clear" w:color="auto" w:fill="auto"/>
            <w:noWrap/>
            <w:vAlign w:val="center"/>
            <w:hideMark/>
          </w:tcPr>
          <w:p w14:paraId="656B4AEB" w14:textId="77777777" w:rsidR="00E444D5" w:rsidRPr="00E444D5" w:rsidRDefault="00E444D5" w:rsidP="00917AAD">
            <w:r w:rsidRPr="00E444D5">
              <w:t>Summary Characteristic</w:t>
            </w:r>
          </w:p>
        </w:tc>
        <w:tc>
          <w:tcPr>
            <w:tcW w:w="1745" w:type="dxa"/>
            <w:shd w:val="clear" w:color="auto" w:fill="auto"/>
            <w:noWrap/>
            <w:vAlign w:val="center"/>
            <w:hideMark/>
          </w:tcPr>
          <w:p w14:paraId="60260784" w14:textId="57927CD3" w:rsidR="00E444D5" w:rsidRPr="00E444D5" w:rsidRDefault="00E444D5" w:rsidP="00917AAD">
            <w:r w:rsidRPr="00E444D5">
              <w:t>WHO region</w:t>
            </w:r>
          </w:p>
        </w:tc>
        <w:tc>
          <w:tcPr>
            <w:tcW w:w="1606" w:type="dxa"/>
            <w:shd w:val="clear" w:color="auto" w:fill="auto"/>
            <w:noWrap/>
            <w:vAlign w:val="center"/>
            <w:hideMark/>
          </w:tcPr>
          <w:p w14:paraId="2DFB2D3E" w14:textId="77777777" w:rsidR="00E444D5" w:rsidRPr="00E444D5" w:rsidRDefault="00E444D5" w:rsidP="00917AAD"/>
        </w:tc>
        <w:tc>
          <w:tcPr>
            <w:tcW w:w="1720" w:type="dxa"/>
            <w:shd w:val="clear" w:color="auto" w:fill="auto"/>
            <w:noWrap/>
            <w:vAlign w:val="center"/>
            <w:hideMark/>
          </w:tcPr>
          <w:p w14:paraId="180378A5" w14:textId="77777777" w:rsidR="00E444D5" w:rsidRPr="00E444D5" w:rsidRDefault="00E444D5" w:rsidP="00917AAD"/>
        </w:tc>
        <w:tc>
          <w:tcPr>
            <w:tcW w:w="1521" w:type="dxa"/>
            <w:shd w:val="clear" w:color="auto" w:fill="auto"/>
            <w:noWrap/>
            <w:vAlign w:val="center"/>
            <w:hideMark/>
          </w:tcPr>
          <w:p w14:paraId="5838129A" w14:textId="77777777" w:rsidR="00E444D5" w:rsidRPr="00E444D5" w:rsidRDefault="00E444D5" w:rsidP="00917AAD"/>
        </w:tc>
        <w:tc>
          <w:tcPr>
            <w:tcW w:w="1508" w:type="dxa"/>
            <w:shd w:val="clear" w:color="auto" w:fill="auto"/>
            <w:noWrap/>
            <w:vAlign w:val="center"/>
            <w:hideMark/>
          </w:tcPr>
          <w:p w14:paraId="7A2E94C7" w14:textId="77777777" w:rsidR="00E444D5" w:rsidRPr="00E444D5" w:rsidRDefault="00E444D5" w:rsidP="00917AAD"/>
        </w:tc>
        <w:tc>
          <w:tcPr>
            <w:tcW w:w="1586" w:type="dxa"/>
            <w:shd w:val="clear" w:color="auto" w:fill="auto"/>
            <w:noWrap/>
            <w:vAlign w:val="center"/>
            <w:hideMark/>
          </w:tcPr>
          <w:p w14:paraId="680E99A4" w14:textId="77777777" w:rsidR="00E444D5" w:rsidRPr="00E444D5" w:rsidRDefault="00E444D5" w:rsidP="00917AAD"/>
        </w:tc>
        <w:tc>
          <w:tcPr>
            <w:tcW w:w="1635" w:type="dxa"/>
            <w:shd w:val="clear" w:color="auto" w:fill="auto"/>
            <w:noWrap/>
            <w:vAlign w:val="center"/>
            <w:hideMark/>
          </w:tcPr>
          <w:p w14:paraId="13291274" w14:textId="77777777" w:rsidR="00E444D5" w:rsidRPr="00E444D5" w:rsidRDefault="00E444D5" w:rsidP="00917AAD"/>
        </w:tc>
      </w:tr>
      <w:tr w:rsidR="00E444D5" w:rsidRPr="00352396" w14:paraId="57354109" w14:textId="77777777" w:rsidTr="00917AAD">
        <w:trPr>
          <w:trHeight w:val="539"/>
          <w:jc w:val="right"/>
        </w:trPr>
        <w:tc>
          <w:tcPr>
            <w:tcW w:w="3737" w:type="dxa"/>
            <w:shd w:val="clear" w:color="auto" w:fill="auto"/>
            <w:noWrap/>
            <w:vAlign w:val="center"/>
            <w:hideMark/>
          </w:tcPr>
          <w:p w14:paraId="3B81F67D" w14:textId="77777777" w:rsidR="00E444D5" w:rsidRPr="00E444D5" w:rsidRDefault="00E444D5" w:rsidP="00917AAD"/>
        </w:tc>
        <w:tc>
          <w:tcPr>
            <w:tcW w:w="1745" w:type="dxa"/>
            <w:shd w:val="clear" w:color="auto" w:fill="auto"/>
            <w:noWrap/>
            <w:vAlign w:val="center"/>
            <w:hideMark/>
          </w:tcPr>
          <w:p w14:paraId="03D9EB16" w14:textId="77777777" w:rsidR="00E444D5" w:rsidRPr="00E444D5" w:rsidRDefault="00E444D5" w:rsidP="00917AAD">
            <w:r w:rsidRPr="00E444D5">
              <w:t>African</w:t>
            </w:r>
          </w:p>
        </w:tc>
        <w:tc>
          <w:tcPr>
            <w:tcW w:w="1606" w:type="dxa"/>
            <w:shd w:val="clear" w:color="auto" w:fill="auto"/>
            <w:noWrap/>
            <w:vAlign w:val="center"/>
            <w:hideMark/>
          </w:tcPr>
          <w:p w14:paraId="5A1C5E04" w14:textId="77777777" w:rsidR="00E444D5" w:rsidRPr="00E444D5" w:rsidRDefault="00E444D5" w:rsidP="00917AAD">
            <w:r w:rsidRPr="00E444D5">
              <w:t>Region of the Americas</w:t>
            </w:r>
          </w:p>
        </w:tc>
        <w:tc>
          <w:tcPr>
            <w:tcW w:w="1720" w:type="dxa"/>
            <w:shd w:val="clear" w:color="auto" w:fill="auto"/>
            <w:noWrap/>
            <w:vAlign w:val="center"/>
            <w:hideMark/>
          </w:tcPr>
          <w:p w14:paraId="0D4FB40C" w14:textId="77777777" w:rsidR="00E444D5" w:rsidRPr="00E444D5" w:rsidRDefault="00E444D5" w:rsidP="00917AAD">
            <w:r w:rsidRPr="00E444D5">
              <w:t>Eastern Mediterranean</w:t>
            </w:r>
          </w:p>
        </w:tc>
        <w:tc>
          <w:tcPr>
            <w:tcW w:w="1521" w:type="dxa"/>
            <w:shd w:val="clear" w:color="auto" w:fill="auto"/>
            <w:noWrap/>
            <w:vAlign w:val="center"/>
            <w:hideMark/>
          </w:tcPr>
          <w:p w14:paraId="45BAD5C0" w14:textId="77777777" w:rsidR="00E444D5" w:rsidRPr="00E444D5" w:rsidRDefault="00E444D5" w:rsidP="00917AAD">
            <w:r w:rsidRPr="00E444D5">
              <w:t>European</w:t>
            </w:r>
          </w:p>
        </w:tc>
        <w:tc>
          <w:tcPr>
            <w:tcW w:w="1508" w:type="dxa"/>
            <w:shd w:val="clear" w:color="auto" w:fill="auto"/>
            <w:noWrap/>
            <w:vAlign w:val="center"/>
            <w:hideMark/>
          </w:tcPr>
          <w:p w14:paraId="2BA6F2BB" w14:textId="77777777" w:rsidR="00E444D5" w:rsidRPr="00E444D5" w:rsidRDefault="00E444D5" w:rsidP="00917AAD">
            <w:r w:rsidRPr="00E444D5">
              <w:t>Southeast Asia</w:t>
            </w:r>
          </w:p>
        </w:tc>
        <w:tc>
          <w:tcPr>
            <w:tcW w:w="1586" w:type="dxa"/>
            <w:shd w:val="clear" w:color="auto" w:fill="auto"/>
            <w:noWrap/>
            <w:vAlign w:val="center"/>
            <w:hideMark/>
          </w:tcPr>
          <w:p w14:paraId="3EBAAA74" w14:textId="77777777" w:rsidR="00E444D5" w:rsidRPr="00E444D5" w:rsidRDefault="00E444D5" w:rsidP="00917AAD">
            <w:r w:rsidRPr="00E444D5">
              <w:t>Western Pacific</w:t>
            </w:r>
          </w:p>
        </w:tc>
        <w:tc>
          <w:tcPr>
            <w:tcW w:w="1635" w:type="dxa"/>
            <w:shd w:val="clear" w:color="auto" w:fill="auto"/>
            <w:noWrap/>
            <w:vAlign w:val="center"/>
            <w:hideMark/>
          </w:tcPr>
          <w:p w14:paraId="1A29F8AA" w14:textId="77777777" w:rsidR="00E444D5" w:rsidRPr="00E444D5" w:rsidRDefault="00E444D5" w:rsidP="00917AAD">
            <w:r w:rsidRPr="00E444D5">
              <w:t>Total</w:t>
            </w:r>
          </w:p>
        </w:tc>
      </w:tr>
      <w:tr w:rsidR="00E444D5" w:rsidRPr="00352396" w14:paraId="4EBC0859" w14:textId="77777777" w:rsidTr="00AA5D31">
        <w:trPr>
          <w:trHeight w:val="440"/>
          <w:jc w:val="right"/>
        </w:trPr>
        <w:tc>
          <w:tcPr>
            <w:tcW w:w="3737" w:type="dxa"/>
            <w:shd w:val="clear" w:color="auto" w:fill="auto"/>
            <w:vAlign w:val="center"/>
            <w:hideMark/>
          </w:tcPr>
          <w:p w14:paraId="310CE7B6" w14:textId="77777777" w:rsidR="00E444D5" w:rsidRPr="00E444D5" w:rsidRDefault="00E444D5" w:rsidP="00917AAD">
            <w:r w:rsidRPr="00E444D5">
              <w:t>Outbreak years</w:t>
            </w:r>
          </w:p>
        </w:tc>
        <w:tc>
          <w:tcPr>
            <w:tcW w:w="1745" w:type="dxa"/>
            <w:shd w:val="clear" w:color="auto" w:fill="auto"/>
            <w:noWrap/>
            <w:vAlign w:val="center"/>
            <w:hideMark/>
          </w:tcPr>
          <w:p w14:paraId="57220B1B" w14:textId="77777777" w:rsidR="00E444D5" w:rsidRPr="00E444D5" w:rsidRDefault="00E444D5" w:rsidP="00917AAD">
            <w:r w:rsidRPr="00E444D5">
              <w:t>2001-2019</w:t>
            </w:r>
          </w:p>
        </w:tc>
        <w:tc>
          <w:tcPr>
            <w:tcW w:w="1606" w:type="dxa"/>
            <w:shd w:val="clear" w:color="auto" w:fill="auto"/>
            <w:noWrap/>
            <w:vAlign w:val="center"/>
            <w:hideMark/>
          </w:tcPr>
          <w:p w14:paraId="5010EA6B" w14:textId="77777777" w:rsidR="00E444D5" w:rsidRPr="00E444D5" w:rsidRDefault="00E444D5" w:rsidP="00917AAD">
            <w:r w:rsidRPr="00E444D5">
              <w:t>2015-2018</w:t>
            </w:r>
          </w:p>
        </w:tc>
        <w:tc>
          <w:tcPr>
            <w:tcW w:w="1720" w:type="dxa"/>
            <w:shd w:val="clear" w:color="auto" w:fill="auto"/>
            <w:noWrap/>
            <w:vAlign w:val="center"/>
            <w:hideMark/>
          </w:tcPr>
          <w:p w14:paraId="33FDDC05" w14:textId="77777777" w:rsidR="00E444D5" w:rsidRPr="00E444D5" w:rsidRDefault="00E444D5" w:rsidP="00917AAD">
            <w:r w:rsidRPr="00E444D5">
              <w:t>2004-2017</w:t>
            </w:r>
          </w:p>
        </w:tc>
        <w:tc>
          <w:tcPr>
            <w:tcW w:w="1521" w:type="dxa"/>
            <w:shd w:val="clear" w:color="auto" w:fill="auto"/>
            <w:noWrap/>
            <w:vAlign w:val="center"/>
            <w:hideMark/>
          </w:tcPr>
          <w:p w14:paraId="2CEE7ACB" w14:textId="77777777" w:rsidR="00E444D5" w:rsidRPr="00E444D5" w:rsidRDefault="00E444D5" w:rsidP="00917AAD">
            <w:r w:rsidRPr="00E444D5">
              <w:t>2004-2008</w:t>
            </w:r>
          </w:p>
        </w:tc>
        <w:tc>
          <w:tcPr>
            <w:tcW w:w="1508" w:type="dxa"/>
            <w:shd w:val="clear" w:color="auto" w:fill="auto"/>
            <w:noWrap/>
            <w:vAlign w:val="center"/>
            <w:hideMark/>
          </w:tcPr>
          <w:p w14:paraId="53E98274" w14:textId="77777777" w:rsidR="00E444D5" w:rsidRPr="00E444D5" w:rsidRDefault="00E444D5" w:rsidP="00917AAD">
            <w:r w:rsidRPr="00E444D5">
              <w:t>2000-2019</w:t>
            </w:r>
          </w:p>
        </w:tc>
        <w:tc>
          <w:tcPr>
            <w:tcW w:w="1586" w:type="dxa"/>
            <w:shd w:val="clear" w:color="auto" w:fill="auto"/>
            <w:noWrap/>
            <w:vAlign w:val="center"/>
            <w:hideMark/>
          </w:tcPr>
          <w:p w14:paraId="403E8BA2" w14:textId="77777777" w:rsidR="00E444D5" w:rsidRPr="00E444D5" w:rsidRDefault="00E444D5" w:rsidP="00917AAD">
            <w:r w:rsidRPr="00E444D5">
              <w:t>2008-2022</w:t>
            </w:r>
          </w:p>
        </w:tc>
        <w:tc>
          <w:tcPr>
            <w:tcW w:w="1635" w:type="dxa"/>
            <w:shd w:val="clear" w:color="auto" w:fill="auto"/>
            <w:noWrap/>
            <w:vAlign w:val="center"/>
            <w:hideMark/>
          </w:tcPr>
          <w:p w14:paraId="3A7FAA7B" w14:textId="77777777" w:rsidR="00E444D5" w:rsidRPr="00E444D5" w:rsidRDefault="00E444D5" w:rsidP="00917AAD">
            <w:r w:rsidRPr="00E444D5">
              <w:t>2000-2022</w:t>
            </w:r>
          </w:p>
        </w:tc>
      </w:tr>
      <w:tr w:rsidR="00E444D5" w:rsidRPr="00352396" w14:paraId="3389C1A2" w14:textId="77777777" w:rsidTr="00AA5D31">
        <w:trPr>
          <w:trHeight w:val="440"/>
          <w:jc w:val="right"/>
        </w:trPr>
        <w:tc>
          <w:tcPr>
            <w:tcW w:w="3737" w:type="dxa"/>
            <w:shd w:val="clear" w:color="auto" w:fill="auto"/>
            <w:vAlign w:val="center"/>
            <w:hideMark/>
          </w:tcPr>
          <w:p w14:paraId="1E992C1B" w14:textId="77777777" w:rsidR="00E444D5" w:rsidRPr="00E444D5" w:rsidRDefault="00E444D5" w:rsidP="00917AAD">
            <w:r w:rsidRPr="00E444D5">
              <w:t>Number of countries reporting outbreaks</w:t>
            </w:r>
          </w:p>
        </w:tc>
        <w:tc>
          <w:tcPr>
            <w:tcW w:w="1745" w:type="dxa"/>
            <w:shd w:val="clear" w:color="auto" w:fill="auto"/>
            <w:noWrap/>
            <w:vAlign w:val="center"/>
            <w:hideMark/>
          </w:tcPr>
          <w:p w14:paraId="753DBF41" w14:textId="77777777" w:rsidR="00E444D5" w:rsidRPr="00E444D5" w:rsidRDefault="00E444D5" w:rsidP="00917AAD">
            <w:r w:rsidRPr="00E444D5">
              <w:t>7</w:t>
            </w:r>
          </w:p>
        </w:tc>
        <w:tc>
          <w:tcPr>
            <w:tcW w:w="1606" w:type="dxa"/>
            <w:shd w:val="clear" w:color="auto" w:fill="auto"/>
            <w:noWrap/>
            <w:vAlign w:val="center"/>
            <w:hideMark/>
          </w:tcPr>
          <w:p w14:paraId="5CDF0A56" w14:textId="77777777" w:rsidR="00E444D5" w:rsidRPr="00E444D5" w:rsidRDefault="00E444D5" w:rsidP="00917AAD">
            <w:r w:rsidRPr="00E444D5">
              <w:t>2</w:t>
            </w:r>
          </w:p>
        </w:tc>
        <w:tc>
          <w:tcPr>
            <w:tcW w:w="1720" w:type="dxa"/>
            <w:shd w:val="clear" w:color="auto" w:fill="auto"/>
            <w:noWrap/>
            <w:vAlign w:val="center"/>
            <w:hideMark/>
          </w:tcPr>
          <w:p w14:paraId="739C6A78" w14:textId="77777777" w:rsidR="00E444D5" w:rsidRPr="00E444D5" w:rsidRDefault="00E444D5" w:rsidP="00917AAD">
            <w:r w:rsidRPr="00E444D5">
              <w:t>3</w:t>
            </w:r>
          </w:p>
        </w:tc>
        <w:tc>
          <w:tcPr>
            <w:tcW w:w="1521" w:type="dxa"/>
            <w:shd w:val="clear" w:color="auto" w:fill="auto"/>
            <w:noWrap/>
            <w:vAlign w:val="center"/>
            <w:hideMark/>
          </w:tcPr>
          <w:p w14:paraId="52AD66A4" w14:textId="77777777" w:rsidR="00E444D5" w:rsidRPr="00E444D5" w:rsidRDefault="00E444D5" w:rsidP="00917AAD">
            <w:r w:rsidRPr="00E444D5">
              <w:t>2</w:t>
            </w:r>
          </w:p>
        </w:tc>
        <w:tc>
          <w:tcPr>
            <w:tcW w:w="1508" w:type="dxa"/>
            <w:shd w:val="clear" w:color="auto" w:fill="auto"/>
            <w:noWrap/>
            <w:vAlign w:val="center"/>
            <w:hideMark/>
          </w:tcPr>
          <w:p w14:paraId="614794E4" w14:textId="77777777" w:rsidR="00E444D5" w:rsidRPr="00E444D5" w:rsidRDefault="00E444D5" w:rsidP="00917AAD">
            <w:r w:rsidRPr="00E444D5">
              <w:t>5</w:t>
            </w:r>
          </w:p>
        </w:tc>
        <w:tc>
          <w:tcPr>
            <w:tcW w:w="1586" w:type="dxa"/>
            <w:shd w:val="clear" w:color="auto" w:fill="auto"/>
            <w:noWrap/>
            <w:vAlign w:val="center"/>
            <w:hideMark/>
          </w:tcPr>
          <w:p w14:paraId="1227DD93" w14:textId="77777777" w:rsidR="00E444D5" w:rsidRPr="00E444D5" w:rsidRDefault="00E444D5" w:rsidP="00917AAD">
            <w:r w:rsidRPr="00E444D5">
              <w:t>2</w:t>
            </w:r>
          </w:p>
        </w:tc>
        <w:tc>
          <w:tcPr>
            <w:tcW w:w="1635" w:type="dxa"/>
            <w:shd w:val="clear" w:color="auto" w:fill="auto"/>
            <w:noWrap/>
            <w:vAlign w:val="center"/>
            <w:hideMark/>
          </w:tcPr>
          <w:p w14:paraId="1E6C15B7" w14:textId="77777777" w:rsidR="00E444D5" w:rsidRPr="00E444D5" w:rsidRDefault="00E444D5" w:rsidP="00917AAD">
            <w:r w:rsidRPr="00E444D5">
              <w:t>21</w:t>
            </w:r>
          </w:p>
        </w:tc>
      </w:tr>
      <w:tr w:rsidR="00E444D5" w:rsidRPr="00352396" w14:paraId="78464499" w14:textId="77777777" w:rsidTr="00AA5D31">
        <w:trPr>
          <w:trHeight w:val="440"/>
          <w:jc w:val="right"/>
        </w:trPr>
        <w:tc>
          <w:tcPr>
            <w:tcW w:w="3737" w:type="dxa"/>
            <w:shd w:val="clear" w:color="auto" w:fill="auto"/>
            <w:vAlign w:val="center"/>
            <w:hideMark/>
          </w:tcPr>
          <w:p w14:paraId="46D62783" w14:textId="77777777" w:rsidR="00E444D5" w:rsidRPr="00E444D5" w:rsidRDefault="00E444D5" w:rsidP="00917AAD">
            <w:r w:rsidRPr="00E444D5">
              <w:t>Number of outbreaks</w:t>
            </w:r>
          </w:p>
        </w:tc>
        <w:tc>
          <w:tcPr>
            <w:tcW w:w="1745" w:type="dxa"/>
            <w:shd w:val="clear" w:color="auto" w:fill="auto"/>
            <w:noWrap/>
            <w:vAlign w:val="center"/>
            <w:hideMark/>
          </w:tcPr>
          <w:p w14:paraId="20B6A741" w14:textId="77777777" w:rsidR="00E444D5" w:rsidRPr="00E444D5" w:rsidRDefault="00E444D5" w:rsidP="00917AAD">
            <w:r w:rsidRPr="00E444D5">
              <w:t>19</w:t>
            </w:r>
          </w:p>
        </w:tc>
        <w:tc>
          <w:tcPr>
            <w:tcW w:w="1606" w:type="dxa"/>
            <w:shd w:val="clear" w:color="auto" w:fill="auto"/>
            <w:noWrap/>
            <w:vAlign w:val="center"/>
            <w:hideMark/>
          </w:tcPr>
          <w:p w14:paraId="1A3B3A36" w14:textId="77777777" w:rsidR="00E444D5" w:rsidRPr="00E444D5" w:rsidRDefault="00E444D5" w:rsidP="00917AAD">
            <w:r w:rsidRPr="00E444D5">
              <w:t>2</w:t>
            </w:r>
          </w:p>
        </w:tc>
        <w:tc>
          <w:tcPr>
            <w:tcW w:w="1720" w:type="dxa"/>
            <w:shd w:val="clear" w:color="auto" w:fill="auto"/>
            <w:noWrap/>
            <w:vAlign w:val="center"/>
            <w:hideMark/>
          </w:tcPr>
          <w:p w14:paraId="6D34FC09" w14:textId="582CEE2A" w:rsidR="00E444D5" w:rsidRPr="00E444D5" w:rsidRDefault="004A37B8" w:rsidP="00917AAD">
            <w:r>
              <w:t>3</w:t>
            </w:r>
          </w:p>
        </w:tc>
        <w:tc>
          <w:tcPr>
            <w:tcW w:w="1521" w:type="dxa"/>
            <w:shd w:val="clear" w:color="auto" w:fill="auto"/>
            <w:noWrap/>
            <w:vAlign w:val="center"/>
            <w:hideMark/>
          </w:tcPr>
          <w:p w14:paraId="24B5DDFB" w14:textId="77777777" w:rsidR="00E444D5" w:rsidRPr="00E444D5" w:rsidRDefault="00E444D5" w:rsidP="00917AAD">
            <w:r w:rsidRPr="00E444D5">
              <w:t>2</w:t>
            </w:r>
          </w:p>
        </w:tc>
        <w:tc>
          <w:tcPr>
            <w:tcW w:w="1508" w:type="dxa"/>
            <w:shd w:val="clear" w:color="auto" w:fill="auto"/>
            <w:noWrap/>
            <w:vAlign w:val="center"/>
            <w:hideMark/>
          </w:tcPr>
          <w:p w14:paraId="7011B1A2" w14:textId="77777777" w:rsidR="00E444D5" w:rsidRPr="00E444D5" w:rsidRDefault="00E444D5" w:rsidP="00917AAD">
            <w:r w:rsidRPr="00E444D5">
              <w:t>9</w:t>
            </w:r>
          </w:p>
        </w:tc>
        <w:tc>
          <w:tcPr>
            <w:tcW w:w="1586" w:type="dxa"/>
            <w:shd w:val="clear" w:color="auto" w:fill="auto"/>
            <w:noWrap/>
            <w:vAlign w:val="center"/>
            <w:hideMark/>
          </w:tcPr>
          <w:p w14:paraId="71D890AE" w14:textId="77777777" w:rsidR="00E444D5" w:rsidRPr="00E444D5" w:rsidRDefault="00E444D5" w:rsidP="00917AAD">
            <w:r w:rsidRPr="00E444D5">
              <w:t>3</w:t>
            </w:r>
          </w:p>
        </w:tc>
        <w:tc>
          <w:tcPr>
            <w:tcW w:w="1635" w:type="dxa"/>
            <w:shd w:val="clear" w:color="auto" w:fill="auto"/>
            <w:noWrap/>
            <w:vAlign w:val="center"/>
            <w:hideMark/>
          </w:tcPr>
          <w:p w14:paraId="1C3354BB" w14:textId="43010E6D" w:rsidR="00E444D5" w:rsidRPr="00E444D5" w:rsidRDefault="00E444D5" w:rsidP="00917AAD">
            <w:r w:rsidRPr="00E444D5">
              <w:t>3</w:t>
            </w:r>
            <w:r w:rsidR="004A37B8">
              <w:t>8</w:t>
            </w:r>
          </w:p>
        </w:tc>
      </w:tr>
      <w:tr w:rsidR="00E444D5" w:rsidRPr="00352396" w14:paraId="38AFB06F" w14:textId="77777777" w:rsidTr="00AA5D31">
        <w:trPr>
          <w:trHeight w:val="440"/>
          <w:jc w:val="right"/>
        </w:trPr>
        <w:tc>
          <w:tcPr>
            <w:tcW w:w="3737" w:type="dxa"/>
            <w:shd w:val="clear" w:color="auto" w:fill="auto"/>
            <w:vAlign w:val="center"/>
            <w:hideMark/>
          </w:tcPr>
          <w:p w14:paraId="3AC2AA67" w14:textId="77777777" w:rsidR="00E444D5" w:rsidRPr="00E444D5" w:rsidRDefault="00E444D5" w:rsidP="00917AAD">
            <w:r w:rsidRPr="00E444D5">
              <w:t>Median duration weeks (range)</w:t>
            </w:r>
          </w:p>
        </w:tc>
        <w:tc>
          <w:tcPr>
            <w:tcW w:w="1745" w:type="dxa"/>
            <w:shd w:val="clear" w:color="auto" w:fill="auto"/>
            <w:noWrap/>
            <w:vAlign w:val="center"/>
            <w:hideMark/>
          </w:tcPr>
          <w:p w14:paraId="590FFEF8" w14:textId="34E772C2" w:rsidR="00E444D5" w:rsidRPr="00E444D5" w:rsidRDefault="00E444D5" w:rsidP="00917AAD">
            <w:r w:rsidRPr="00E444D5">
              <w:t>23 (3-143)</w:t>
            </w:r>
          </w:p>
        </w:tc>
        <w:tc>
          <w:tcPr>
            <w:tcW w:w="1606" w:type="dxa"/>
            <w:shd w:val="clear" w:color="auto" w:fill="auto"/>
            <w:noWrap/>
            <w:vAlign w:val="center"/>
            <w:hideMark/>
          </w:tcPr>
          <w:p w14:paraId="55B549DB" w14:textId="29D3AC60" w:rsidR="00E444D5" w:rsidRPr="00E444D5" w:rsidRDefault="00E444D5" w:rsidP="00917AAD">
            <w:r w:rsidRPr="00E444D5">
              <w:t>27 (10-44)</w:t>
            </w:r>
          </w:p>
        </w:tc>
        <w:tc>
          <w:tcPr>
            <w:tcW w:w="1720" w:type="dxa"/>
            <w:shd w:val="clear" w:color="auto" w:fill="auto"/>
            <w:noWrap/>
            <w:vAlign w:val="center"/>
            <w:hideMark/>
          </w:tcPr>
          <w:p w14:paraId="26DF47A1" w14:textId="74BC49A1" w:rsidR="00E444D5" w:rsidRPr="00E444D5" w:rsidRDefault="00E444D5" w:rsidP="00917AAD">
            <w:r w:rsidRPr="00E444D5">
              <w:t>1</w:t>
            </w:r>
            <w:r w:rsidR="00925E7E">
              <w:t>0</w:t>
            </w:r>
            <w:r w:rsidRPr="00E444D5">
              <w:t xml:space="preserve"> (9-5</w:t>
            </w:r>
            <w:r w:rsidR="000176D2">
              <w:t>8</w:t>
            </w:r>
            <w:r w:rsidRPr="00E444D5">
              <w:t>)</w:t>
            </w:r>
          </w:p>
        </w:tc>
        <w:tc>
          <w:tcPr>
            <w:tcW w:w="1521" w:type="dxa"/>
            <w:shd w:val="clear" w:color="auto" w:fill="auto"/>
            <w:noWrap/>
            <w:vAlign w:val="center"/>
            <w:hideMark/>
          </w:tcPr>
          <w:p w14:paraId="5ECBA2A2" w14:textId="77777777" w:rsidR="00E444D5" w:rsidRPr="00E444D5" w:rsidRDefault="00E444D5" w:rsidP="00917AAD">
            <w:r w:rsidRPr="00E444D5">
              <w:t>1.5 (1-2)</w:t>
            </w:r>
          </w:p>
        </w:tc>
        <w:tc>
          <w:tcPr>
            <w:tcW w:w="1508" w:type="dxa"/>
            <w:shd w:val="clear" w:color="auto" w:fill="auto"/>
            <w:noWrap/>
            <w:vAlign w:val="center"/>
            <w:hideMark/>
          </w:tcPr>
          <w:p w14:paraId="452B1511" w14:textId="40DAADDF" w:rsidR="00E444D5" w:rsidRPr="00E444D5" w:rsidRDefault="000176D2" w:rsidP="00917AAD">
            <w:r>
              <w:t>9</w:t>
            </w:r>
            <w:r w:rsidR="00E444D5" w:rsidRPr="00E444D5">
              <w:t xml:space="preserve"> (3-104)</w:t>
            </w:r>
          </w:p>
        </w:tc>
        <w:tc>
          <w:tcPr>
            <w:tcW w:w="1586" w:type="dxa"/>
            <w:shd w:val="clear" w:color="auto" w:fill="auto"/>
            <w:noWrap/>
            <w:vAlign w:val="center"/>
            <w:hideMark/>
          </w:tcPr>
          <w:p w14:paraId="20D3FC74" w14:textId="77777777" w:rsidR="00E444D5" w:rsidRPr="00E444D5" w:rsidRDefault="00E444D5" w:rsidP="00917AAD">
            <w:r w:rsidRPr="00E444D5">
              <w:t>19 (6-209)</w:t>
            </w:r>
          </w:p>
        </w:tc>
        <w:tc>
          <w:tcPr>
            <w:tcW w:w="1635" w:type="dxa"/>
            <w:shd w:val="clear" w:color="auto" w:fill="auto"/>
            <w:noWrap/>
            <w:vAlign w:val="center"/>
            <w:hideMark/>
          </w:tcPr>
          <w:p w14:paraId="7F88A85B" w14:textId="77777777" w:rsidR="00E444D5" w:rsidRPr="00E444D5" w:rsidRDefault="00E444D5" w:rsidP="00917AAD">
            <w:r w:rsidRPr="00E444D5">
              <w:t>19 (1-209)</w:t>
            </w:r>
          </w:p>
        </w:tc>
      </w:tr>
      <w:tr w:rsidR="00E444D5" w:rsidRPr="00352396" w14:paraId="0CF6B911" w14:textId="77777777" w:rsidTr="00AA5D31">
        <w:trPr>
          <w:trHeight w:val="440"/>
          <w:jc w:val="right"/>
        </w:trPr>
        <w:tc>
          <w:tcPr>
            <w:tcW w:w="3737" w:type="dxa"/>
            <w:shd w:val="clear" w:color="auto" w:fill="auto"/>
            <w:vAlign w:val="center"/>
            <w:hideMark/>
          </w:tcPr>
          <w:p w14:paraId="47105217" w14:textId="77777777" w:rsidR="00E444D5" w:rsidRPr="00E444D5" w:rsidRDefault="00E444D5" w:rsidP="00917AAD">
            <w:r w:rsidRPr="00E444D5">
              <w:t>Median time to peak weeks (range)</w:t>
            </w:r>
          </w:p>
        </w:tc>
        <w:tc>
          <w:tcPr>
            <w:tcW w:w="1745" w:type="dxa"/>
            <w:shd w:val="clear" w:color="auto" w:fill="auto"/>
            <w:noWrap/>
            <w:vAlign w:val="center"/>
            <w:hideMark/>
          </w:tcPr>
          <w:p w14:paraId="582A05EF" w14:textId="77777777" w:rsidR="00E444D5" w:rsidRPr="00E444D5" w:rsidRDefault="00E444D5" w:rsidP="00917AAD">
            <w:r w:rsidRPr="00E444D5">
              <w:t>8 (2-122)</w:t>
            </w:r>
          </w:p>
        </w:tc>
        <w:tc>
          <w:tcPr>
            <w:tcW w:w="1606" w:type="dxa"/>
            <w:shd w:val="clear" w:color="auto" w:fill="auto"/>
            <w:noWrap/>
            <w:vAlign w:val="center"/>
            <w:hideMark/>
          </w:tcPr>
          <w:p w14:paraId="5F3289E6" w14:textId="77777777" w:rsidR="00E444D5" w:rsidRPr="00E444D5" w:rsidRDefault="00E444D5" w:rsidP="00917AAD">
            <w:r w:rsidRPr="00E444D5">
              <w:t>7 (2-12)</w:t>
            </w:r>
          </w:p>
        </w:tc>
        <w:tc>
          <w:tcPr>
            <w:tcW w:w="1720" w:type="dxa"/>
            <w:shd w:val="clear" w:color="auto" w:fill="auto"/>
            <w:noWrap/>
            <w:vAlign w:val="center"/>
            <w:hideMark/>
          </w:tcPr>
          <w:p w14:paraId="30E121DC" w14:textId="19911A44" w:rsidR="00E444D5" w:rsidRPr="00E444D5" w:rsidRDefault="00D951EB" w:rsidP="00917AAD">
            <w:r>
              <w:t>6</w:t>
            </w:r>
            <w:r w:rsidR="00E444D5" w:rsidRPr="00E444D5">
              <w:t xml:space="preserve"> (4-2</w:t>
            </w:r>
            <w:r w:rsidR="002B793C">
              <w:t>6</w:t>
            </w:r>
            <w:r w:rsidR="00E444D5" w:rsidRPr="00E444D5">
              <w:t>)</w:t>
            </w:r>
          </w:p>
        </w:tc>
        <w:tc>
          <w:tcPr>
            <w:tcW w:w="1521" w:type="dxa"/>
            <w:shd w:val="clear" w:color="auto" w:fill="auto"/>
            <w:noWrap/>
            <w:vAlign w:val="center"/>
            <w:hideMark/>
          </w:tcPr>
          <w:p w14:paraId="47DCBE94" w14:textId="77777777" w:rsidR="00E444D5" w:rsidRPr="00E444D5" w:rsidRDefault="00E444D5" w:rsidP="00917AAD">
            <w:r w:rsidRPr="00E444D5">
              <w:t>1 (1-1)</w:t>
            </w:r>
          </w:p>
        </w:tc>
        <w:tc>
          <w:tcPr>
            <w:tcW w:w="1508" w:type="dxa"/>
            <w:shd w:val="clear" w:color="auto" w:fill="auto"/>
            <w:noWrap/>
            <w:vAlign w:val="center"/>
            <w:hideMark/>
          </w:tcPr>
          <w:p w14:paraId="7A87FC71" w14:textId="77777777" w:rsidR="00E444D5" w:rsidRPr="00E444D5" w:rsidRDefault="00E444D5" w:rsidP="00917AAD">
            <w:r w:rsidRPr="00E444D5">
              <w:t>4 (2-63)</w:t>
            </w:r>
          </w:p>
        </w:tc>
        <w:tc>
          <w:tcPr>
            <w:tcW w:w="1586" w:type="dxa"/>
            <w:shd w:val="clear" w:color="auto" w:fill="auto"/>
            <w:noWrap/>
            <w:vAlign w:val="center"/>
            <w:hideMark/>
          </w:tcPr>
          <w:p w14:paraId="4DEC8298" w14:textId="77777777" w:rsidR="00E444D5" w:rsidRPr="00E444D5" w:rsidRDefault="00E444D5" w:rsidP="00917AAD">
            <w:r w:rsidRPr="00E444D5">
              <w:t>17 (4-122)</w:t>
            </w:r>
          </w:p>
        </w:tc>
        <w:tc>
          <w:tcPr>
            <w:tcW w:w="1635" w:type="dxa"/>
            <w:shd w:val="clear" w:color="auto" w:fill="auto"/>
            <w:noWrap/>
            <w:vAlign w:val="center"/>
            <w:hideMark/>
          </w:tcPr>
          <w:p w14:paraId="055AF1B1" w14:textId="77777777" w:rsidR="00E444D5" w:rsidRPr="00E444D5" w:rsidRDefault="00E444D5" w:rsidP="00917AAD">
            <w:r w:rsidRPr="00E444D5">
              <w:t>7 (1-122)</w:t>
            </w:r>
          </w:p>
        </w:tc>
      </w:tr>
      <w:tr w:rsidR="00E444D5" w:rsidRPr="00352396" w14:paraId="4B7AE127" w14:textId="77777777" w:rsidTr="00AA5D31">
        <w:trPr>
          <w:trHeight w:val="440"/>
          <w:jc w:val="right"/>
        </w:trPr>
        <w:tc>
          <w:tcPr>
            <w:tcW w:w="3737" w:type="dxa"/>
            <w:shd w:val="clear" w:color="auto" w:fill="auto"/>
            <w:vAlign w:val="center"/>
            <w:hideMark/>
          </w:tcPr>
          <w:p w14:paraId="702689A1" w14:textId="77777777" w:rsidR="00E444D5" w:rsidRPr="00E444D5" w:rsidRDefault="00E444D5" w:rsidP="00917AAD">
            <w:r w:rsidRPr="00E444D5">
              <w:t>Number of multidrug resistant (MDR)*</w:t>
            </w:r>
          </w:p>
        </w:tc>
        <w:tc>
          <w:tcPr>
            <w:tcW w:w="1745" w:type="dxa"/>
            <w:shd w:val="clear" w:color="auto" w:fill="auto"/>
            <w:noWrap/>
            <w:vAlign w:val="center"/>
            <w:hideMark/>
          </w:tcPr>
          <w:p w14:paraId="117AD822" w14:textId="77777777" w:rsidR="00E444D5" w:rsidRPr="00E444D5" w:rsidRDefault="00E444D5" w:rsidP="00917AAD">
            <w:r w:rsidRPr="00E444D5">
              <w:t>9</w:t>
            </w:r>
          </w:p>
        </w:tc>
        <w:tc>
          <w:tcPr>
            <w:tcW w:w="1606" w:type="dxa"/>
            <w:shd w:val="clear" w:color="auto" w:fill="auto"/>
            <w:noWrap/>
            <w:vAlign w:val="center"/>
            <w:hideMark/>
          </w:tcPr>
          <w:p w14:paraId="30C24088" w14:textId="4F92F283" w:rsidR="00E444D5" w:rsidRPr="00E444D5" w:rsidRDefault="001B7FF0" w:rsidP="00917AAD">
            <w:r>
              <w:rPr>
                <w:rFonts w:hint="eastAsia"/>
              </w:rPr>
              <w:t>-</w:t>
            </w:r>
          </w:p>
        </w:tc>
        <w:tc>
          <w:tcPr>
            <w:tcW w:w="1720" w:type="dxa"/>
            <w:shd w:val="clear" w:color="auto" w:fill="auto"/>
            <w:noWrap/>
            <w:vAlign w:val="center"/>
            <w:hideMark/>
          </w:tcPr>
          <w:p w14:paraId="27327361" w14:textId="77777777" w:rsidR="00E444D5" w:rsidRPr="00E444D5" w:rsidRDefault="00E444D5" w:rsidP="00917AAD">
            <w:r w:rsidRPr="00E444D5">
              <w:t>1</w:t>
            </w:r>
          </w:p>
        </w:tc>
        <w:tc>
          <w:tcPr>
            <w:tcW w:w="1521" w:type="dxa"/>
            <w:shd w:val="clear" w:color="auto" w:fill="auto"/>
            <w:noWrap/>
            <w:vAlign w:val="center"/>
            <w:hideMark/>
          </w:tcPr>
          <w:p w14:paraId="55811F23" w14:textId="77777777" w:rsidR="00E444D5" w:rsidRPr="00E444D5" w:rsidRDefault="00E444D5" w:rsidP="00917AAD">
            <w:r w:rsidRPr="00E444D5">
              <w:t>1</w:t>
            </w:r>
          </w:p>
        </w:tc>
        <w:tc>
          <w:tcPr>
            <w:tcW w:w="1508" w:type="dxa"/>
            <w:shd w:val="clear" w:color="auto" w:fill="auto"/>
            <w:noWrap/>
            <w:vAlign w:val="center"/>
            <w:hideMark/>
          </w:tcPr>
          <w:p w14:paraId="559465D1" w14:textId="77777777" w:rsidR="00E444D5" w:rsidRPr="00E444D5" w:rsidRDefault="00E444D5" w:rsidP="00917AAD">
            <w:r w:rsidRPr="00E444D5">
              <w:t>2</w:t>
            </w:r>
          </w:p>
        </w:tc>
        <w:tc>
          <w:tcPr>
            <w:tcW w:w="1586" w:type="dxa"/>
            <w:shd w:val="clear" w:color="auto" w:fill="auto"/>
            <w:noWrap/>
            <w:vAlign w:val="center"/>
            <w:hideMark/>
          </w:tcPr>
          <w:p w14:paraId="3912F68A" w14:textId="7E4C8983" w:rsidR="00E444D5" w:rsidRPr="00E444D5" w:rsidRDefault="001B7FF0" w:rsidP="00917AAD">
            <w:r>
              <w:rPr>
                <w:rFonts w:hint="eastAsia"/>
              </w:rPr>
              <w:t>-</w:t>
            </w:r>
          </w:p>
        </w:tc>
        <w:tc>
          <w:tcPr>
            <w:tcW w:w="1635" w:type="dxa"/>
            <w:shd w:val="clear" w:color="auto" w:fill="auto"/>
            <w:noWrap/>
            <w:vAlign w:val="center"/>
            <w:hideMark/>
          </w:tcPr>
          <w:p w14:paraId="2788F064" w14:textId="77777777" w:rsidR="00E444D5" w:rsidRPr="00E444D5" w:rsidRDefault="00E444D5" w:rsidP="00917AAD">
            <w:r w:rsidRPr="00E444D5">
              <w:t>13</w:t>
            </w:r>
          </w:p>
        </w:tc>
      </w:tr>
      <w:tr w:rsidR="00E444D5" w:rsidRPr="00352396" w14:paraId="48179695" w14:textId="77777777" w:rsidTr="00AA5D31">
        <w:trPr>
          <w:trHeight w:val="440"/>
          <w:jc w:val="right"/>
        </w:trPr>
        <w:tc>
          <w:tcPr>
            <w:tcW w:w="3737" w:type="dxa"/>
            <w:shd w:val="clear" w:color="auto" w:fill="auto"/>
            <w:vAlign w:val="center"/>
            <w:hideMark/>
          </w:tcPr>
          <w:p w14:paraId="441C712E" w14:textId="11EC2264" w:rsidR="00E444D5" w:rsidRPr="00E444D5" w:rsidRDefault="00E444D5" w:rsidP="00917AAD">
            <w:r w:rsidRPr="00E444D5">
              <w:t>Number of Extremely</w:t>
            </w:r>
            <w:r w:rsidRPr="00352396">
              <w:t xml:space="preserve"> </w:t>
            </w:r>
            <w:r w:rsidRPr="00E444D5">
              <w:t xml:space="preserve">drug </w:t>
            </w:r>
            <w:r w:rsidR="00352396" w:rsidRPr="00E444D5">
              <w:t>resistant (</w:t>
            </w:r>
            <w:r w:rsidRPr="00E444D5">
              <w:t>XDR)*</w:t>
            </w:r>
            <w:r w:rsidR="00C30E38">
              <w:t>*</w:t>
            </w:r>
            <w:r w:rsidRPr="00E444D5">
              <w:t>!</w:t>
            </w:r>
          </w:p>
        </w:tc>
        <w:tc>
          <w:tcPr>
            <w:tcW w:w="1745" w:type="dxa"/>
            <w:shd w:val="clear" w:color="auto" w:fill="auto"/>
            <w:noWrap/>
            <w:vAlign w:val="center"/>
            <w:hideMark/>
          </w:tcPr>
          <w:p w14:paraId="122ECDA7" w14:textId="536E7CF5" w:rsidR="00E444D5" w:rsidRPr="00E444D5" w:rsidRDefault="001B7FF0" w:rsidP="00917AAD">
            <w:r>
              <w:rPr>
                <w:rFonts w:hint="eastAsia"/>
              </w:rPr>
              <w:t>-</w:t>
            </w:r>
          </w:p>
        </w:tc>
        <w:tc>
          <w:tcPr>
            <w:tcW w:w="1606" w:type="dxa"/>
            <w:shd w:val="clear" w:color="auto" w:fill="auto"/>
            <w:noWrap/>
            <w:vAlign w:val="center"/>
            <w:hideMark/>
          </w:tcPr>
          <w:p w14:paraId="28942E46" w14:textId="50BC9606" w:rsidR="00E444D5" w:rsidRPr="00E444D5" w:rsidRDefault="001B7FF0" w:rsidP="00917AAD">
            <w:pPr>
              <w:rPr>
                <w:rFonts w:ascii="Times New Roman" w:eastAsia="Times New Roman" w:hAnsi="Times New Roman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720" w:type="dxa"/>
            <w:shd w:val="clear" w:color="auto" w:fill="auto"/>
            <w:noWrap/>
            <w:vAlign w:val="center"/>
            <w:hideMark/>
          </w:tcPr>
          <w:p w14:paraId="57C00C85" w14:textId="6489C5EF" w:rsidR="00E444D5" w:rsidRPr="00E444D5" w:rsidRDefault="00A166B9" w:rsidP="00917AAD">
            <w:r>
              <w:t>1</w:t>
            </w:r>
          </w:p>
        </w:tc>
        <w:tc>
          <w:tcPr>
            <w:tcW w:w="1521" w:type="dxa"/>
            <w:shd w:val="clear" w:color="auto" w:fill="auto"/>
            <w:noWrap/>
            <w:vAlign w:val="center"/>
            <w:hideMark/>
          </w:tcPr>
          <w:p w14:paraId="7DAD2307" w14:textId="6DD447E8" w:rsidR="00E444D5" w:rsidRPr="00E444D5" w:rsidRDefault="001B7FF0" w:rsidP="00917AAD">
            <w:r>
              <w:rPr>
                <w:rFonts w:hint="eastAsia"/>
              </w:rPr>
              <w:t>-</w:t>
            </w:r>
          </w:p>
        </w:tc>
        <w:tc>
          <w:tcPr>
            <w:tcW w:w="1508" w:type="dxa"/>
            <w:shd w:val="clear" w:color="auto" w:fill="auto"/>
            <w:noWrap/>
            <w:vAlign w:val="center"/>
            <w:hideMark/>
          </w:tcPr>
          <w:p w14:paraId="7625C624" w14:textId="03D7866C" w:rsidR="00E444D5" w:rsidRPr="00E444D5" w:rsidRDefault="001B7FF0" w:rsidP="00917AAD">
            <w:pPr>
              <w:rPr>
                <w:rFonts w:ascii="Times New Roman" w:eastAsia="Times New Roman" w:hAnsi="Times New Roman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86" w:type="dxa"/>
            <w:shd w:val="clear" w:color="auto" w:fill="auto"/>
            <w:noWrap/>
            <w:vAlign w:val="center"/>
            <w:hideMark/>
          </w:tcPr>
          <w:p w14:paraId="222F43FF" w14:textId="77777777" w:rsidR="00E444D5" w:rsidRPr="00E444D5" w:rsidRDefault="00E444D5" w:rsidP="00917AAD">
            <w:r w:rsidRPr="00E444D5">
              <w:t>1</w:t>
            </w:r>
          </w:p>
        </w:tc>
        <w:tc>
          <w:tcPr>
            <w:tcW w:w="1635" w:type="dxa"/>
            <w:shd w:val="clear" w:color="auto" w:fill="auto"/>
            <w:noWrap/>
            <w:vAlign w:val="center"/>
            <w:hideMark/>
          </w:tcPr>
          <w:p w14:paraId="0A505D4A" w14:textId="77777777" w:rsidR="00E444D5" w:rsidRPr="00E444D5" w:rsidRDefault="00E444D5" w:rsidP="00917AAD">
            <w:r w:rsidRPr="00E444D5">
              <w:t>3</w:t>
            </w:r>
          </w:p>
        </w:tc>
      </w:tr>
      <w:tr w:rsidR="00E444D5" w:rsidRPr="00352396" w14:paraId="4A40EFC7" w14:textId="77777777" w:rsidTr="00AA5D31">
        <w:trPr>
          <w:trHeight w:val="440"/>
          <w:jc w:val="right"/>
        </w:trPr>
        <w:tc>
          <w:tcPr>
            <w:tcW w:w="3737" w:type="dxa"/>
            <w:shd w:val="clear" w:color="auto" w:fill="auto"/>
            <w:vAlign w:val="center"/>
            <w:hideMark/>
          </w:tcPr>
          <w:p w14:paraId="4BF89C88" w14:textId="77777777" w:rsidR="00E444D5" w:rsidRPr="00E444D5" w:rsidRDefault="00E444D5" w:rsidP="00917AAD">
            <w:r w:rsidRPr="00E444D5">
              <w:t>Total number of suspected cases</w:t>
            </w:r>
          </w:p>
        </w:tc>
        <w:tc>
          <w:tcPr>
            <w:tcW w:w="1745" w:type="dxa"/>
            <w:shd w:val="clear" w:color="auto" w:fill="auto"/>
            <w:noWrap/>
            <w:vAlign w:val="center"/>
            <w:hideMark/>
          </w:tcPr>
          <w:p w14:paraId="1B99F569" w14:textId="77777777" w:rsidR="00E444D5" w:rsidRPr="00E444D5" w:rsidRDefault="00E444D5" w:rsidP="00917AAD">
            <w:r w:rsidRPr="00E444D5">
              <w:t>29142</w:t>
            </w:r>
          </w:p>
        </w:tc>
        <w:tc>
          <w:tcPr>
            <w:tcW w:w="1606" w:type="dxa"/>
            <w:shd w:val="clear" w:color="auto" w:fill="auto"/>
            <w:noWrap/>
            <w:vAlign w:val="center"/>
            <w:hideMark/>
          </w:tcPr>
          <w:p w14:paraId="7C68751D" w14:textId="77777777" w:rsidR="00E444D5" w:rsidRPr="00E444D5" w:rsidRDefault="00E444D5" w:rsidP="00917AAD">
            <w:r w:rsidRPr="00E444D5">
              <w:t>148</w:t>
            </w:r>
          </w:p>
        </w:tc>
        <w:tc>
          <w:tcPr>
            <w:tcW w:w="1720" w:type="dxa"/>
            <w:shd w:val="clear" w:color="auto" w:fill="auto"/>
            <w:noWrap/>
            <w:vAlign w:val="center"/>
            <w:hideMark/>
          </w:tcPr>
          <w:p w14:paraId="4E61CDAC" w14:textId="04D24550" w:rsidR="00E444D5" w:rsidRPr="00E444D5" w:rsidRDefault="00A965A9" w:rsidP="00917AAD">
            <w:r w:rsidRPr="00A965A9">
              <w:t>856</w:t>
            </w:r>
          </w:p>
        </w:tc>
        <w:tc>
          <w:tcPr>
            <w:tcW w:w="1521" w:type="dxa"/>
            <w:shd w:val="clear" w:color="auto" w:fill="auto"/>
            <w:noWrap/>
            <w:vAlign w:val="center"/>
            <w:hideMark/>
          </w:tcPr>
          <w:p w14:paraId="191C2E4E" w14:textId="77777777" w:rsidR="00E444D5" w:rsidRPr="00E444D5" w:rsidRDefault="00E444D5" w:rsidP="00917AAD">
            <w:r w:rsidRPr="00E444D5">
              <w:t>643</w:t>
            </w:r>
          </w:p>
        </w:tc>
        <w:tc>
          <w:tcPr>
            <w:tcW w:w="1508" w:type="dxa"/>
            <w:shd w:val="clear" w:color="auto" w:fill="auto"/>
            <w:noWrap/>
            <w:vAlign w:val="center"/>
            <w:hideMark/>
          </w:tcPr>
          <w:p w14:paraId="6929329C" w14:textId="77777777" w:rsidR="00E444D5" w:rsidRPr="00E444D5" w:rsidRDefault="00E444D5" w:rsidP="00917AAD">
            <w:r w:rsidRPr="00E444D5">
              <w:t>7054</w:t>
            </w:r>
          </w:p>
        </w:tc>
        <w:tc>
          <w:tcPr>
            <w:tcW w:w="1586" w:type="dxa"/>
            <w:shd w:val="clear" w:color="auto" w:fill="auto"/>
            <w:noWrap/>
            <w:vAlign w:val="center"/>
            <w:hideMark/>
          </w:tcPr>
          <w:p w14:paraId="6C87876D" w14:textId="77777777" w:rsidR="00E444D5" w:rsidRPr="00E444D5" w:rsidRDefault="00E444D5" w:rsidP="00917AAD">
            <w:r w:rsidRPr="00E444D5">
              <w:t>1819</w:t>
            </w:r>
          </w:p>
        </w:tc>
        <w:tc>
          <w:tcPr>
            <w:tcW w:w="1635" w:type="dxa"/>
            <w:shd w:val="clear" w:color="auto" w:fill="auto"/>
            <w:noWrap/>
            <w:vAlign w:val="center"/>
            <w:hideMark/>
          </w:tcPr>
          <w:p w14:paraId="26634AFF" w14:textId="27A075ED" w:rsidR="00E444D5" w:rsidRPr="00E444D5" w:rsidRDefault="00B37619" w:rsidP="00917AAD">
            <w:r w:rsidRPr="00B37619">
              <w:t>39662</w:t>
            </w:r>
          </w:p>
        </w:tc>
      </w:tr>
      <w:tr w:rsidR="00E444D5" w:rsidRPr="00352396" w14:paraId="6C3B0989" w14:textId="77777777" w:rsidTr="00AA5D31">
        <w:trPr>
          <w:trHeight w:val="440"/>
          <w:jc w:val="right"/>
        </w:trPr>
        <w:tc>
          <w:tcPr>
            <w:tcW w:w="3737" w:type="dxa"/>
            <w:shd w:val="clear" w:color="auto" w:fill="auto"/>
            <w:vAlign w:val="center"/>
            <w:hideMark/>
          </w:tcPr>
          <w:p w14:paraId="383B88A6" w14:textId="77777777" w:rsidR="00E444D5" w:rsidRPr="00E444D5" w:rsidRDefault="00E444D5" w:rsidP="00917AAD">
            <w:r w:rsidRPr="00E444D5">
              <w:t>Median suspected cases (range)</w:t>
            </w:r>
          </w:p>
        </w:tc>
        <w:tc>
          <w:tcPr>
            <w:tcW w:w="1745" w:type="dxa"/>
            <w:shd w:val="clear" w:color="auto" w:fill="auto"/>
            <w:noWrap/>
            <w:vAlign w:val="center"/>
            <w:hideMark/>
          </w:tcPr>
          <w:p w14:paraId="5EF61C99" w14:textId="77777777" w:rsidR="00E444D5" w:rsidRPr="00E444D5" w:rsidRDefault="00E444D5" w:rsidP="00917AAD">
            <w:r w:rsidRPr="00E444D5">
              <w:t>860 (10-10230)</w:t>
            </w:r>
          </w:p>
        </w:tc>
        <w:tc>
          <w:tcPr>
            <w:tcW w:w="1606" w:type="dxa"/>
            <w:shd w:val="clear" w:color="auto" w:fill="auto"/>
            <w:noWrap/>
            <w:vAlign w:val="center"/>
            <w:hideMark/>
          </w:tcPr>
          <w:p w14:paraId="22B400AF" w14:textId="77777777" w:rsidR="00E444D5" w:rsidRPr="00E444D5" w:rsidRDefault="00E444D5" w:rsidP="00917AAD">
            <w:r w:rsidRPr="00E444D5">
              <w:t>74 (38-110)</w:t>
            </w:r>
          </w:p>
        </w:tc>
        <w:tc>
          <w:tcPr>
            <w:tcW w:w="1720" w:type="dxa"/>
            <w:shd w:val="clear" w:color="auto" w:fill="auto"/>
            <w:noWrap/>
            <w:vAlign w:val="center"/>
            <w:hideMark/>
          </w:tcPr>
          <w:p w14:paraId="6E8B1103" w14:textId="331E38CD" w:rsidR="00E444D5" w:rsidRPr="00E444D5" w:rsidRDefault="00E444D5" w:rsidP="00917AAD">
            <w:r w:rsidRPr="00E444D5">
              <w:t>1</w:t>
            </w:r>
            <w:r w:rsidR="00473D16">
              <w:t>87</w:t>
            </w:r>
            <w:r w:rsidRPr="00E444D5">
              <w:t xml:space="preserve"> (83-586)</w:t>
            </w:r>
          </w:p>
        </w:tc>
        <w:tc>
          <w:tcPr>
            <w:tcW w:w="1521" w:type="dxa"/>
            <w:shd w:val="clear" w:color="auto" w:fill="auto"/>
            <w:noWrap/>
            <w:vAlign w:val="center"/>
            <w:hideMark/>
          </w:tcPr>
          <w:p w14:paraId="68189F51" w14:textId="26207EEF" w:rsidR="00E444D5" w:rsidRPr="00E444D5" w:rsidRDefault="00E444D5" w:rsidP="00917AAD">
            <w:r w:rsidRPr="00E444D5">
              <w:t>32</w:t>
            </w:r>
            <w:r w:rsidR="000C641E">
              <w:t>2</w:t>
            </w:r>
            <w:r w:rsidRPr="00E444D5">
              <w:t>(6-637)</w:t>
            </w:r>
          </w:p>
        </w:tc>
        <w:tc>
          <w:tcPr>
            <w:tcW w:w="1508" w:type="dxa"/>
            <w:shd w:val="clear" w:color="auto" w:fill="auto"/>
            <w:noWrap/>
            <w:vAlign w:val="center"/>
            <w:hideMark/>
          </w:tcPr>
          <w:p w14:paraId="13A4D0C1" w14:textId="77777777" w:rsidR="00E444D5" w:rsidRPr="00E444D5" w:rsidRDefault="00E444D5" w:rsidP="00917AAD">
            <w:r w:rsidRPr="00E444D5">
              <w:t>79(9-5963)</w:t>
            </w:r>
          </w:p>
        </w:tc>
        <w:tc>
          <w:tcPr>
            <w:tcW w:w="1586" w:type="dxa"/>
            <w:shd w:val="clear" w:color="auto" w:fill="auto"/>
            <w:noWrap/>
            <w:vAlign w:val="center"/>
            <w:hideMark/>
          </w:tcPr>
          <w:p w14:paraId="34E925ED" w14:textId="77777777" w:rsidR="00E444D5" w:rsidRPr="00E444D5" w:rsidRDefault="00E444D5" w:rsidP="00917AAD">
            <w:r w:rsidRPr="00E444D5">
              <w:t>31(23-1765)</w:t>
            </w:r>
          </w:p>
        </w:tc>
        <w:tc>
          <w:tcPr>
            <w:tcW w:w="1635" w:type="dxa"/>
            <w:shd w:val="clear" w:color="auto" w:fill="auto"/>
            <w:noWrap/>
            <w:vAlign w:val="center"/>
            <w:hideMark/>
          </w:tcPr>
          <w:p w14:paraId="6F60B635" w14:textId="5DBB7AD8" w:rsidR="00E444D5" w:rsidRPr="00E444D5" w:rsidRDefault="00E444D5" w:rsidP="00917AAD">
            <w:r w:rsidRPr="00E444D5">
              <w:t>3</w:t>
            </w:r>
            <w:r w:rsidR="000D57AF">
              <w:t>96</w:t>
            </w:r>
            <w:r w:rsidRPr="00E444D5">
              <w:t xml:space="preserve"> (6-10230)</w:t>
            </w:r>
          </w:p>
        </w:tc>
      </w:tr>
      <w:tr w:rsidR="00E444D5" w:rsidRPr="00352396" w14:paraId="2124EC2C" w14:textId="77777777" w:rsidTr="00AA5D31">
        <w:trPr>
          <w:trHeight w:val="440"/>
          <w:jc w:val="right"/>
        </w:trPr>
        <w:tc>
          <w:tcPr>
            <w:tcW w:w="3737" w:type="dxa"/>
            <w:shd w:val="clear" w:color="auto" w:fill="auto"/>
            <w:vAlign w:val="center"/>
            <w:hideMark/>
          </w:tcPr>
          <w:p w14:paraId="2FE9B765" w14:textId="2063B071" w:rsidR="00E444D5" w:rsidRPr="00E444D5" w:rsidRDefault="00E444D5" w:rsidP="00917AAD">
            <w:r w:rsidRPr="00E444D5">
              <w:t xml:space="preserve">Total number </w:t>
            </w:r>
            <w:r w:rsidRPr="00352396">
              <w:t>of</w:t>
            </w:r>
            <w:r w:rsidR="004E5081">
              <w:t xml:space="preserve"> </w:t>
            </w:r>
            <w:r w:rsidR="00FA615A">
              <w:t xml:space="preserve">confirmed </w:t>
            </w:r>
            <w:r w:rsidRPr="00352396">
              <w:t>cases</w:t>
            </w:r>
          </w:p>
        </w:tc>
        <w:tc>
          <w:tcPr>
            <w:tcW w:w="1745" w:type="dxa"/>
            <w:shd w:val="clear" w:color="auto" w:fill="auto"/>
            <w:noWrap/>
            <w:vAlign w:val="center"/>
            <w:hideMark/>
          </w:tcPr>
          <w:p w14:paraId="342D6373" w14:textId="77777777" w:rsidR="00E444D5" w:rsidRPr="00E444D5" w:rsidRDefault="00E444D5" w:rsidP="00917AAD">
            <w:r w:rsidRPr="00E444D5">
              <w:t>672</w:t>
            </w:r>
          </w:p>
        </w:tc>
        <w:tc>
          <w:tcPr>
            <w:tcW w:w="1606" w:type="dxa"/>
            <w:shd w:val="clear" w:color="auto" w:fill="auto"/>
            <w:noWrap/>
            <w:vAlign w:val="center"/>
            <w:hideMark/>
          </w:tcPr>
          <w:p w14:paraId="4C4D10BD" w14:textId="77777777" w:rsidR="00E444D5" w:rsidRPr="00E444D5" w:rsidRDefault="00E444D5" w:rsidP="00917AAD">
            <w:r w:rsidRPr="00E444D5">
              <w:t>91</w:t>
            </w:r>
          </w:p>
        </w:tc>
        <w:tc>
          <w:tcPr>
            <w:tcW w:w="1720" w:type="dxa"/>
            <w:shd w:val="clear" w:color="auto" w:fill="auto"/>
            <w:noWrap/>
            <w:vAlign w:val="center"/>
            <w:hideMark/>
          </w:tcPr>
          <w:p w14:paraId="4387F3F5" w14:textId="2240C8A8" w:rsidR="00E444D5" w:rsidRPr="00E444D5" w:rsidRDefault="000D57AF" w:rsidP="00917AAD">
            <w:r w:rsidRPr="000D57AF">
              <w:t>584</w:t>
            </w:r>
          </w:p>
        </w:tc>
        <w:tc>
          <w:tcPr>
            <w:tcW w:w="1521" w:type="dxa"/>
            <w:shd w:val="clear" w:color="auto" w:fill="auto"/>
            <w:noWrap/>
            <w:vAlign w:val="center"/>
            <w:hideMark/>
          </w:tcPr>
          <w:p w14:paraId="51A6DAEA" w14:textId="77777777" w:rsidR="00E444D5" w:rsidRPr="00E444D5" w:rsidRDefault="00E444D5" w:rsidP="00917AAD">
            <w:r w:rsidRPr="00E444D5">
              <w:t>95</w:t>
            </w:r>
          </w:p>
        </w:tc>
        <w:tc>
          <w:tcPr>
            <w:tcW w:w="1508" w:type="dxa"/>
            <w:shd w:val="clear" w:color="auto" w:fill="auto"/>
            <w:noWrap/>
            <w:vAlign w:val="center"/>
            <w:hideMark/>
          </w:tcPr>
          <w:p w14:paraId="092925D8" w14:textId="77777777" w:rsidR="00E444D5" w:rsidRPr="00E444D5" w:rsidRDefault="00E444D5" w:rsidP="00917AAD">
            <w:r w:rsidRPr="00E444D5">
              <w:t>832</w:t>
            </w:r>
          </w:p>
        </w:tc>
        <w:tc>
          <w:tcPr>
            <w:tcW w:w="1586" w:type="dxa"/>
            <w:shd w:val="clear" w:color="auto" w:fill="auto"/>
            <w:noWrap/>
            <w:vAlign w:val="center"/>
            <w:hideMark/>
          </w:tcPr>
          <w:p w14:paraId="0A9D72FD" w14:textId="77777777" w:rsidR="00E444D5" w:rsidRPr="00E444D5" w:rsidRDefault="00E444D5" w:rsidP="00917AAD">
            <w:r w:rsidRPr="00E444D5">
              <w:t>1630</w:t>
            </w:r>
          </w:p>
        </w:tc>
        <w:tc>
          <w:tcPr>
            <w:tcW w:w="1635" w:type="dxa"/>
            <w:shd w:val="clear" w:color="auto" w:fill="auto"/>
            <w:noWrap/>
            <w:vAlign w:val="center"/>
            <w:hideMark/>
          </w:tcPr>
          <w:p w14:paraId="55510B22" w14:textId="378B83B9" w:rsidR="00E444D5" w:rsidRPr="00E444D5" w:rsidRDefault="00BB53E0" w:rsidP="00917AAD">
            <w:r w:rsidRPr="00BB53E0">
              <w:t>3904</w:t>
            </w:r>
          </w:p>
        </w:tc>
      </w:tr>
      <w:tr w:rsidR="00E444D5" w:rsidRPr="00352396" w14:paraId="14B1ADC1" w14:textId="77777777" w:rsidTr="00AA5D31">
        <w:trPr>
          <w:trHeight w:val="440"/>
          <w:jc w:val="right"/>
        </w:trPr>
        <w:tc>
          <w:tcPr>
            <w:tcW w:w="3737" w:type="dxa"/>
            <w:shd w:val="clear" w:color="auto" w:fill="auto"/>
            <w:vAlign w:val="center"/>
            <w:hideMark/>
          </w:tcPr>
          <w:p w14:paraId="20851F24" w14:textId="77777777" w:rsidR="00E444D5" w:rsidRPr="00E444D5" w:rsidRDefault="00E444D5" w:rsidP="00917AAD">
            <w:r w:rsidRPr="00E444D5">
              <w:t>Median confirmed cases (range)</w:t>
            </w:r>
          </w:p>
        </w:tc>
        <w:tc>
          <w:tcPr>
            <w:tcW w:w="1745" w:type="dxa"/>
            <w:shd w:val="clear" w:color="auto" w:fill="auto"/>
            <w:noWrap/>
            <w:vAlign w:val="center"/>
            <w:hideMark/>
          </w:tcPr>
          <w:p w14:paraId="2E0862AC" w14:textId="77777777" w:rsidR="00E444D5" w:rsidRPr="00E444D5" w:rsidRDefault="00E444D5" w:rsidP="00917AAD">
            <w:r w:rsidRPr="00E444D5">
              <w:t>36.5 (5-191)</w:t>
            </w:r>
          </w:p>
        </w:tc>
        <w:tc>
          <w:tcPr>
            <w:tcW w:w="1606" w:type="dxa"/>
            <w:shd w:val="clear" w:color="auto" w:fill="auto"/>
            <w:noWrap/>
            <w:vAlign w:val="center"/>
            <w:hideMark/>
          </w:tcPr>
          <w:p w14:paraId="12BE3BFA" w14:textId="77777777" w:rsidR="00E444D5" w:rsidRPr="00E444D5" w:rsidRDefault="00E444D5" w:rsidP="00917AAD">
            <w:r w:rsidRPr="00E444D5">
              <w:t>45.5 (25-66)</w:t>
            </w:r>
          </w:p>
        </w:tc>
        <w:tc>
          <w:tcPr>
            <w:tcW w:w="1720" w:type="dxa"/>
            <w:shd w:val="clear" w:color="auto" w:fill="auto"/>
            <w:noWrap/>
            <w:vAlign w:val="center"/>
            <w:hideMark/>
          </w:tcPr>
          <w:p w14:paraId="270F90FB" w14:textId="6AE634A4" w:rsidR="00E444D5" w:rsidRPr="00E444D5" w:rsidRDefault="00BA78E0" w:rsidP="00917AAD">
            <w:r w:rsidRPr="00BA78E0">
              <w:t xml:space="preserve">74 </w:t>
            </w:r>
            <w:r w:rsidR="00E444D5" w:rsidRPr="00E444D5">
              <w:t>(24-486)</w:t>
            </w:r>
          </w:p>
        </w:tc>
        <w:tc>
          <w:tcPr>
            <w:tcW w:w="1521" w:type="dxa"/>
            <w:shd w:val="clear" w:color="auto" w:fill="auto"/>
            <w:noWrap/>
            <w:vAlign w:val="center"/>
            <w:hideMark/>
          </w:tcPr>
          <w:p w14:paraId="1B39B8A4" w14:textId="77777777" w:rsidR="00E444D5" w:rsidRPr="00E444D5" w:rsidRDefault="00E444D5" w:rsidP="00917AAD">
            <w:r w:rsidRPr="00E444D5">
              <w:t>47.5 (4-91)</w:t>
            </w:r>
          </w:p>
        </w:tc>
        <w:tc>
          <w:tcPr>
            <w:tcW w:w="1508" w:type="dxa"/>
            <w:shd w:val="clear" w:color="auto" w:fill="auto"/>
            <w:noWrap/>
            <w:vAlign w:val="center"/>
            <w:hideMark/>
          </w:tcPr>
          <w:p w14:paraId="106D1BAF" w14:textId="77777777" w:rsidR="00E444D5" w:rsidRPr="00E444D5" w:rsidRDefault="00E444D5" w:rsidP="00917AAD">
            <w:r w:rsidRPr="00E444D5">
              <w:t>51 (2-288)</w:t>
            </w:r>
          </w:p>
        </w:tc>
        <w:tc>
          <w:tcPr>
            <w:tcW w:w="1586" w:type="dxa"/>
            <w:shd w:val="clear" w:color="auto" w:fill="auto"/>
            <w:noWrap/>
            <w:vAlign w:val="center"/>
            <w:hideMark/>
          </w:tcPr>
          <w:p w14:paraId="44CBD394" w14:textId="77777777" w:rsidR="00E444D5" w:rsidRPr="00E444D5" w:rsidRDefault="00E444D5" w:rsidP="00917AAD">
            <w:r w:rsidRPr="00E444D5">
              <w:t>25 (23-1582)</w:t>
            </w:r>
          </w:p>
        </w:tc>
        <w:tc>
          <w:tcPr>
            <w:tcW w:w="1635" w:type="dxa"/>
            <w:shd w:val="clear" w:color="auto" w:fill="auto"/>
            <w:noWrap/>
            <w:vAlign w:val="center"/>
            <w:hideMark/>
          </w:tcPr>
          <w:p w14:paraId="5A80A7C9" w14:textId="2D2290DE" w:rsidR="00E444D5" w:rsidRPr="00E444D5" w:rsidRDefault="00E444D5" w:rsidP="00917AAD">
            <w:r w:rsidRPr="00E444D5">
              <w:t>4</w:t>
            </w:r>
            <w:r w:rsidR="00BA78E0">
              <w:t>6</w:t>
            </w:r>
            <w:r w:rsidRPr="00E444D5">
              <w:t xml:space="preserve"> (2-1582)</w:t>
            </w:r>
          </w:p>
        </w:tc>
      </w:tr>
    </w:tbl>
    <w:p w14:paraId="04E4ACC1" w14:textId="3A807F61" w:rsidR="00FC46D1" w:rsidRPr="006710C9" w:rsidRDefault="006710C9" w:rsidP="00917AAD">
      <w:r w:rsidRPr="006710C9">
        <w:t>Table 1. Dynamics summary of study characteristics</w:t>
      </w:r>
    </w:p>
    <w:p w14:paraId="49E8BCD9" w14:textId="55A19435" w:rsidR="00C30E38" w:rsidRDefault="00C30E38" w:rsidP="00917AAD">
      <w:r w:rsidRPr="00C30E38">
        <w:t>*MDR: defined as resistant to chloramphenicol, ampicillin (penicillin), and trimethoprim-sulfamethoxazole</w:t>
      </w:r>
    </w:p>
    <w:p w14:paraId="7A2665BF" w14:textId="7C5CDF36" w:rsidR="00C30E38" w:rsidRDefault="00C30E38" w:rsidP="00917AAD">
      <w:r w:rsidRPr="00C30E38">
        <w:t>*</w:t>
      </w:r>
      <w:r>
        <w:t>*</w:t>
      </w:r>
      <w:r w:rsidRPr="00C30E38">
        <w:t>XDR: defined as resistant to chloramphenicol, ampicillin (penicillin), and trimethoprim-sulfamethoxazole, along with fluoroquinolones and third-generation cephalosporins.</w:t>
      </w:r>
    </w:p>
    <w:p w14:paraId="271E9D04" w14:textId="252CC783" w:rsidR="00F556C3" w:rsidRDefault="00F556C3" w:rsidP="00917AAD">
      <w:proofErr w:type="gramStart"/>
      <w:r w:rsidRPr="00F556C3">
        <w:t>!XDR</w:t>
      </w:r>
      <w:proofErr w:type="gramEnd"/>
      <w:r w:rsidRPr="00F556C3">
        <w:t xml:space="preserve"> outbreak occurred in Pakistan and China</w:t>
      </w:r>
    </w:p>
    <w:p w14:paraId="22D839B3" w14:textId="77777777" w:rsidR="00CD6699" w:rsidRDefault="00CD6699" w:rsidP="00917AAD"/>
    <w:p w14:paraId="5C4AA93F" w14:textId="77777777" w:rsidR="00CD6699" w:rsidRPr="00A055C6" w:rsidRDefault="00CD6699" w:rsidP="00917AAD"/>
    <w:sectPr w:rsidR="00CD6699" w:rsidRPr="00A055C6" w:rsidSect="003B4719">
      <w:pgSz w:w="16820" w:h="11900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1DE3FC" w14:textId="77777777" w:rsidR="006470E8" w:rsidRDefault="006470E8" w:rsidP="00917AAD">
      <w:r>
        <w:separator/>
      </w:r>
    </w:p>
  </w:endnote>
  <w:endnote w:type="continuationSeparator" w:id="0">
    <w:p w14:paraId="786B5335" w14:textId="77777777" w:rsidR="006470E8" w:rsidRDefault="006470E8" w:rsidP="00917A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28485C" w14:textId="77777777" w:rsidR="006470E8" w:rsidRDefault="006470E8" w:rsidP="00917AAD">
      <w:r>
        <w:separator/>
      </w:r>
    </w:p>
  </w:footnote>
  <w:footnote w:type="continuationSeparator" w:id="0">
    <w:p w14:paraId="1A178B7F" w14:textId="77777777" w:rsidR="006470E8" w:rsidRDefault="006470E8" w:rsidP="00917A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5C6"/>
    <w:rsid w:val="000176D2"/>
    <w:rsid w:val="000C641E"/>
    <w:rsid w:val="000D57AF"/>
    <w:rsid w:val="001B7FF0"/>
    <w:rsid w:val="001C6FCE"/>
    <w:rsid w:val="00221C3A"/>
    <w:rsid w:val="00254539"/>
    <w:rsid w:val="002B793C"/>
    <w:rsid w:val="00304BC4"/>
    <w:rsid w:val="00352396"/>
    <w:rsid w:val="00371FE4"/>
    <w:rsid w:val="003756AB"/>
    <w:rsid w:val="003803C6"/>
    <w:rsid w:val="0038191D"/>
    <w:rsid w:val="00383410"/>
    <w:rsid w:val="003A2A2A"/>
    <w:rsid w:val="003B4719"/>
    <w:rsid w:val="00441A2A"/>
    <w:rsid w:val="00473D16"/>
    <w:rsid w:val="00487942"/>
    <w:rsid w:val="004A37B8"/>
    <w:rsid w:val="004E5081"/>
    <w:rsid w:val="0055165F"/>
    <w:rsid w:val="00613789"/>
    <w:rsid w:val="006470E8"/>
    <w:rsid w:val="006710C9"/>
    <w:rsid w:val="00753598"/>
    <w:rsid w:val="0076061F"/>
    <w:rsid w:val="00772525"/>
    <w:rsid w:val="00783DF9"/>
    <w:rsid w:val="00830812"/>
    <w:rsid w:val="00914598"/>
    <w:rsid w:val="00917AAD"/>
    <w:rsid w:val="00925E7E"/>
    <w:rsid w:val="00931549"/>
    <w:rsid w:val="00A055C6"/>
    <w:rsid w:val="00A0644E"/>
    <w:rsid w:val="00A166B9"/>
    <w:rsid w:val="00A965A9"/>
    <w:rsid w:val="00AA4772"/>
    <w:rsid w:val="00AA5D31"/>
    <w:rsid w:val="00AC3697"/>
    <w:rsid w:val="00B37619"/>
    <w:rsid w:val="00BA3EF3"/>
    <w:rsid w:val="00BA78E0"/>
    <w:rsid w:val="00BB53E0"/>
    <w:rsid w:val="00C14A2E"/>
    <w:rsid w:val="00C30E38"/>
    <w:rsid w:val="00C463A7"/>
    <w:rsid w:val="00CD6699"/>
    <w:rsid w:val="00D504A8"/>
    <w:rsid w:val="00D951EB"/>
    <w:rsid w:val="00E444D5"/>
    <w:rsid w:val="00E565A3"/>
    <w:rsid w:val="00E927C9"/>
    <w:rsid w:val="00EC3408"/>
    <w:rsid w:val="00EC5F52"/>
    <w:rsid w:val="00F556C3"/>
    <w:rsid w:val="00FA615A"/>
    <w:rsid w:val="00FC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57742DB"/>
  <w15:chartTrackingRefBased/>
  <w15:docId w15:val="{7F90DD77-0C47-DC44-BC1D-213726B5C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AAD"/>
    <w:pPr>
      <w:widowControl w:val="0"/>
      <w:wordWrap w:val="0"/>
      <w:autoSpaceDE w:val="0"/>
      <w:autoSpaceDN w:val="0"/>
    </w:pPr>
    <w:rPr>
      <w:rFonts w:ascii="Aptos" w:hAnsi="Aptos"/>
      <w:sz w:val="24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55C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55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55C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55C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55C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55C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55C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55C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55C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5C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55C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55C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55C6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55C6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55C6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55C6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55C6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55C6"/>
    <w:rPr>
      <w:rFonts w:asciiTheme="majorHAnsi" w:eastAsiaTheme="majorEastAsia" w:hAnsiTheme="majorHAnsi" w:cstheme="majorBidi"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A055C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55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55C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55C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55C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55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55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55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55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55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55C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17A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7AAD"/>
  </w:style>
  <w:style w:type="paragraph" w:styleId="Footer">
    <w:name w:val="footer"/>
    <w:basedOn w:val="Normal"/>
    <w:link w:val="FooterChar"/>
    <w:uiPriority w:val="99"/>
    <w:unhideWhenUsed/>
    <w:rsid w:val="00917A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7A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6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고대협</dc:creator>
  <cp:keywords/>
  <dc:description/>
  <cp:lastModifiedBy>Jong-Hoon Kim</cp:lastModifiedBy>
  <cp:revision>35</cp:revision>
  <dcterms:created xsi:type="dcterms:W3CDTF">2024-03-29T07:26:00Z</dcterms:created>
  <dcterms:modified xsi:type="dcterms:W3CDTF">2024-11-28T07:09:00Z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c33d930d23860f09f6348b70e57ad9ee732a48abd4e9f33b51aac2c01b7aa90e</vt:lpwstr>
  </property>
</Properties>
</file>