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4660C" w14:textId="7467457B" w:rsidR="005F71EB" w:rsidRPr="00274614" w:rsidRDefault="005F71EB" w:rsidP="005F71EB">
      <w:pPr>
        <w:pStyle w:val="NormalWeb"/>
        <w:shd w:val="clear" w:color="auto" w:fill="FFFFFF"/>
        <w:jc w:val="both"/>
        <w:rPr>
          <w:rFonts w:asciiTheme="minorHAnsi" w:hAnsiTheme="minorHAnsi" w:cs="Calibri"/>
          <w:color w:val="242424"/>
        </w:rPr>
      </w:pPr>
      <w:r w:rsidRPr="00274614">
        <w:rPr>
          <w:rFonts w:asciiTheme="minorHAnsi" w:hAnsiTheme="minorHAnsi" w:cs="Calibri"/>
          <w:color w:val="242424"/>
        </w:rPr>
        <w:t xml:space="preserve">Outbreak response </w:t>
      </w:r>
      <w:proofErr w:type="gramStart"/>
      <w:r w:rsidRPr="00274614">
        <w:rPr>
          <w:rFonts w:asciiTheme="minorHAnsi" w:hAnsiTheme="minorHAnsi" w:cs="Calibri"/>
          <w:color w:val="242424"/>
        </w:rPr>
        <w:t>vaccination</w:t>
      </w:r>
      <w:r w:rsidR="00D342BB">
        <w:rPr>
          <w:rFonts w:asciiTheme="minorHAnsi" w:hAnsiTheme="minorHAnsi" w:cs="Calibri" w:hint="eastAsia"/>
          <w:color w:val="242424"/>
        </w:rPr>
        <w:t xml:space="preserve">  (</w:t>
      </w:r>
      <w:proofErr w:type="gramEnd"/>
      <w:r w:rsidR="00D342BB">
        <w:rPr>
          <w:rFonts w:asciiTheme="minorHAnsi" w:hAnsiTheme="minorHAnsi" w:cs="Calibri" w:hint="eastAsia"/>
          <w:color w:val="242424"/>
        </w:rPr>
        <w:t xml:space="preserve">ORV) against </w:t>
      </w:r>
      <w:r w:rsidRPr="00274614">
        <w:rPr>
          <w:rFonts w:asciiTheme="minorHAnsi" w:hAnsiTheme="minorHAnsi" w:cs="Calibri"/>
          <w:color w:val="242424"/>
        </w:rPr>
        <w:t>typhoid outbreaks.</w:t>
      </w:r>
    </w:p>
    <w:p w14:paraId="5C914B92" w14:textId="77777777" w:rsidR="005F71EB" w:rsidRDefault="005F71EB" w:rsidP="005F71EB">
      <w:pPr>
        <w:pStyle w:val="NormalWeb"/>
        <w:shd w:val="clear" w:color="auto" w:fill="FFFFFF"/>
        <w:jc w:val="both"/>
        <w:rPr>
          <w:rFonts w:asciiTheme="minorHAnsi" w:hAnsiTheme="minorHAnsi" w:cs="Calibri"/>
          <w:b/>
          <w:bCs/>
          <w:color w:val="242424"/>
        </w:rPr>
      </w:pPr>
    </w:p>
    <w:p w14:paraId="086B308E" w14:textId="76442784" w:rsidR="005F71EB" w:rsidRPr="00274614" w:rsidRDefault="005F71EB" w:rsidP="005F71EB">
      <w:pPr>
        <w:pStyle w:val="NormalWeb"/>
        <w:shd w:val="clear" w:color="auto" w:fill="FFFFFF"/>
        <w:rPr>
          <w:rFonts w:asciiTheme="minorHAnsi" w:hAnsiTheme="minorHAnsi" w:cs="Calibri" w:hint="eastAsia"/>
          <w:color w:val="242424"/>
        </w:rPr>
      </w:pPr>
      <w:r w:rsidRPr="00274614">
        <w:rPr>
          <w:rFonts w:asciiTheme="minorHAnsi" w:hAnsiTheme="minorHAnsi" w:cs="Calibri"/>
          <w:color w:val="242424"/>
        </w:rPr>
        <w:t>Typhoid fever</w:t>
      </w:r>
      <w:r w:rsidR="00EE6C4F">
        <w:rPr>
          <w:rFonts w:asciiTheme="minorHAnsi" w:hAnsiTheme="minorHAnsi" w:cs="Calibri" w:hint="eastAsia"/>
          <w:color w:val="242424"/>
        </w:rPr>
        <w:t xml:space="preserve"> is </w:t>
      </w:r>
      <w:r w:rsidRPr="00274614">
        <w:rPr>
          <w:rFonts w:asciiTheme="minorHAnsi" w:hAnsiTheme="minorHAnsi" w:cs="Calibri"/>
          <w:color w:val="242424"/>
        </w:rPr>
        <w:t xml:space="preserve">caused by the bacterium </w:t>
      </w:r>
      <w:r w:rsidRPr="0021357D">
        <w:rPr>
          <w:rFonts w:asciiTheme="minorHAnsi" w:hAnsiTheme="minorHAnsi" w:cs="Calibri"/>
          <w:i/>
          <w:iCs/>
          <w:color w:val="242424"/>
        </w:rPr>
        <w:t>Salmonella</w:t>
      </w:r>
      <w:r w:rsidRPr="00274614">
        <w:rPr>
          <w:rFonts w:asciiTheme="minorHAnsi" w:hAnsiTheme="minorHAnsi" w:cs="Calibri"/>
          <w:color w:val="242424"/>
        </w:rPr>
        <w:t xml:space="preserve"> </w:t>
      </w:r>
      <w:r w:rsidRPr="0021357D">
        <w:rPr>
          <w:rFonts w:asciiTheme="minorHAnsi" w:hAnsiTheme="minorHAnsi" w:cs="Calibri"/>
          <w:i/>
          <w:iCs/>
          <w:color w:val="242424"/>
        </w:rPr>
        <w:t>enterica</w:t>
      </w:r>
      <w:r w:rsidRPr="00274614">
        <w:rPr>
          <w:rFonts w:asciiTheme="minorHAnsi" w:hAnsiTheme="minorHAnsi" w:cs="Calibri"/>
          <w:color w:val="242424"/>
        </w:rPr>
        <w:t xml:space="preserve"> </w:t>
      </w:r>
      <w:r w:rsidRPr="0021357D">
        <w:rPr>
          <w:rFonts w:asciiTheme="minorHAnsi" w:hAnsiTheme="minorHAnsi" w:cs="Calibri"/>
          <w:i/>
          <w:iCs/>
          <w:color w:val="242424"/>
        </w:rPr>
        <w:t>serovar</w:t>
      </w:r>
      <w:r w:rsidRPr="00274614">
        <w:rPr>
          <w:rFonts w:asciiTheme="minorHAnsi" w:hAnsiTheme="minorHAnsi" w:cs="Calibri"/>
          <w:color w:val="242424"/>
        </w:rPr>
        <w:t xml:space="preserve"> Typhi</w:t>
      </w:r>
      <w:r w:rsidR="00EE6C4F">
        <w:rPr>
          <w:rFonts w:asciiTheme="minorHAnsi" w:hAnsiTheme="minorHAnsi" w:cs="Calibri" w:hint="eastAsia"/>
          <w:color w:val="242424"/>
        </w:rPr>
        <w:t xml:space="preserve">, transmitted through water and food contaminated with human feces </w:t>
      </w:r>
      <w:r w:rsidR="00EE6C4F">
        <w:rPr>
          <w:rFonts w:asciiTheme="minorHAnsi" w:hAnsiTheme="minorHAnsi" w:cs="Calibri"/>
          <w:color w:val="242424"/>
        </w:rPr>
        <w:fldChar w:fldCharType="begin"/>
      </w:r>
      <w:r w:rsidR="00EE6C4F">
        <w:rPr>
          <w:rFonts w:asciiTheme="minorHAnsi" w:hAnsiTheme="minorHAnsi" w:cs="Calibri"/>
          <w:color w:val="242424"/>
        </w:rPr>
        <w:instrText xml:space="preserve"> ADDIN ZOTERO_ITEM CSL_CITATION {"citationID":"L4UiBeX1","properties":{"formattedCitation":"(1)","plainCitation":"(1)","noteIndex":0},"citationItems":[{"id":9950,"uris":["http://zotero.org/users/7663102/items/2XDNR5F3"],"itemData":{"id":9950,"type":"article-journal","abstract":"Typhoid fever is an invasive bacterial disease associated with bloodstream infection. This Primer summarizes the epidemiology, pathophysiology, diagnosis, prevention and management of typhoid fever. This Primer also discusses how this disease affects patients’ quality of life and suggests&amp;nbsp;future research directions.","container-title":"Nature Reviews Disease Primers","DOI":"10.1038/s41572-023-00480-z","ISSN":"2056-676X","issue":"1","journalAbbreviation":"Nat Rev Dis Primers","language":"en","license":"2023 Springer Nature Limited","note":"number: 1\npublisher: Nature Publishing Group","page":"1-18","source":"www-nature-com-ssl.libproxy.snu.ac.kr","title":"Typhoid fever","volume":"9","author":[{"family":"Meiring","given":"James E."},{"family":"Khanam","given":"Farhana"},{"family":"Basnyat","given":"Buddha"},{"family":"Charles","given":"Richelle C."},{"family":"Crump","given":"John A."},{"family":"Debellut","given":"Frederic"},{"family":"Holt","given":"Kathryn E."},{"family":"Kariuki","given":"Samuel"},{"family":"Mugisha","given":"Emmanuel"},{"family":"Neuzil","given":"Kathleen M."},{"family":"Parry","given":"Christopher M."},{"family":"Pitzer","given":"Virginia E."},{"family":"Pollard","given":"Andrew J."},{"family":"Qadri","given":"Firdausi"},{"family":"Gordon","given":"Melita A."}],"issued":{"date-parts":[["2023",12,14]]}}}],"schema":"https://github.com/citation-style-language/schema/raw/master/csl-citation.json"} </w:instrText>
      </w:r>
      <w:r w:rsidR="00EE6C4F">
        <w:rPr>
          <w:rFonts w:asciiTheme="minorHAnsi" w:hAnsiTheme="minorHAnsi" w:cs="Calibri"/>
          <w:color w:val="242424"/>
        </w:rPr>
        <w:fldChar w:fldCharType="separate"/>
      </w:r>
      <w:r w:rsidR="00EE6C4F" w:rsidRPr="00EE6C4F">
        <w:t>(1)</w:t>
      </w:r>
      <w:r w:rsidR="00EE6C4F">
        <w:rPr>
          <w:rFonts w:asciiTheme="minorHAnsi" w:hAnsiTheme="minorHAnsi" w:cs="Calibri"/>
          <w:color w:val="242424"/>
        </w:rPr>
        <w:fldChar w:fldCharType="end"/>
      </w:r>
      <w:r w:rsidR="00EE6C4F">
        <w:rPr>
          <w:rFonts w:asciiTheme="minorHAnsi" w:hAnsiTheme="minorHAnsi" w:cs="Calibri" w:hint="eastAsia"/>
          <w:color w:val="242424"/>
        </w:rPr>
        <w:t xml:space="preserve">. It </w:t>
      </w:r>
      <w:r w:rsidRPr="00274614">
        <w:rPr>
          <w:rFonts w:asciiTheme="minorHAnsi" w:hAnsiTheme="minorHAnsi" w:cs="Calibri"/>
          <w:color w:val="242424"/>
        </w:rPr>
        <w:t xml:space="preserve">remains a significant </w:t>
      </w:r>
      <w:r w:rsidR="0021357D">
        <w:rPr>
          <w:rFonts w:asciiTheme="minorHAnsi" w:hAnsiTheme="minorHAnsi" w:cs="Calibri" w:hint="eastAsia"/>
          <w:color w:val="242424"/>
        </w:rPr>
        <w:t>global</w:t>
      </w:r>
      <w:r w:rsidRPr="00274614">
        <w:rPr>
          <w:rFonts w:asciiTheme="minorHAnsi" w:hAnsiTheme="minorHAnsi" w:cs="Calibri"/>
          <w:color w:val="242424"/>
        </w:rPr>
        <w:t xml:space="preserve"> public health concern, particularly in low- and middle-income countries </w:t>
      </w:r>
      <w:r w:rsidR="0021357D">
        <w:rPr>
          <w:rFonts w:asciiTheme="minorHAnsi" w:hAnsiTheme="minorHAnsi" w:cs="Calibri" w:hint="eastAsia"/>
          <w:color w:val="242424"/>
        </w:rPr>
        <w:t>(LMICs)</w:t>
      </w:r>
      <w:r w:rsidR="00EE6C4F">
        <w:rPr>
          <w:rFonts w:asciiTheme="minorHAnsi" w:hAnsiTheme="minorHAnsi" w:cs="Calibri" w:hint="eastAsia"/>
          <w:color w:val="242424"/>
        </w:rPr>
        <w:t xml:space="preserve">, </w:t>
      </w:r>
      <w:r w:rsidRPr="00274614">
        <w:rPr>
          <w:rFonts w:asciiTheme="minorHAnsi" w:hAnsiTheme="minorHAnsi" w:cs="Calibri"/>
          <w:color w:val="242424"/>
        </w:rPr>
        <w:t xml:space="preserve">where access to clean water and sanitation facilities is limited. </w:t>
      </w:r>
      <w:r w:rsidR="00282E23">
        <w:rPr>
          <w:rFonts w:asciiTheme="minorHAnsi" w:hAnsiTheme="minorHAnsi" w:cs="Calibri" w:hint="eastAsia"/>
          <w:color w:val="242424"/>
        </w:rPr>
        <w:t>Studies</w:t>
      </w:r>
      <w:r w:rsidR="000E678F" w:rsidRPr="00274614">
        <w:rPr>
          <w:rFonts w:asciiTheme="minorHAnsi" w:hAnsiTheme="minorHAnsi" w:cs="Calibri"/>
          <w:color w:val="242424"/>
        </w:rPr>
        <w:t xml:space="preserve"> </w:t>
      </w:r>
      <w:r w:rsidR="00282E23">
        <w:rPr>
          <w:rFonts w:asciiTheme="minorHAnsi" w:hAnsiTheme="minorHAnsi" w:cs="Calibri" w:hint="eastAsia"/>
          <w:color w:val="242424"/>
        </w:rPr>
        <w:t>estimate</w:t>
      </w:r>
      <w:r w:rsidR="000E678F" w:rsidRPr="00274614">
        <w:rPr>
          <w:rFonts w:asciiTheme="minorHAnsi" w:hAnsiTheme="minorHAnsi" w:cs="Calibri"/>
          <w:color w:val="242424"/>
        </w:rPr>
        <w:t xml:space="preserve"> that </w:t>
      </w:r>
      <w:r w:rsidR="0021357D">
        <w:rPr>
          <w:rFonts w:asciiTheme="minorHAnsi" w:hAnsiTheme="minorHAnsi" w:cs="Calibri" w:hint="eastAsia"/>
          <w:color w:val="242424"/>
        </w:rPr>
        <w:t>global</w:t>
      </w:r>
      <w:r w:rsidR="00EE6C4F">
        <w:rPr>
          <w:rFonts w:asciiTheme="minorHAnsi" w:hAnsiTheme="minorHAnsi" w:cs="Calibri" w:hint="eastAsia"/>
          <w:color w:val="242424"/>
        </w:rPr>
        <w:t>ly</w:t>
      </w:r>
      <w:r w:rsidR="0021357D">
        <w:rPr>
          <w:rFonts w:asciiTheme="minorHAnsi" w:hAnsiTheme="minorHAnsi" w:cs="Calibri" w:hint="eastAsia"/>
          <w:color w:val="242424"/>
        </w:rPr>
        <w:t xml:space="preserve"> </w:t>
      </w:r>
      <w:r w:rsidR="000E678F" w:rsidRPr="00274614">
        <w:rPr>
          <w:rFonts w:asciiTheme="minorHAnsi" w:hAnsiTheme="minorHAnsi" w:cs="Calibri"/>
          <w:color w:val="242424"/>
        </w:rPr>
        <w:t xml:space="preserve">over 10,000,000 </w:t>
      </w:r>
      <w:r w:rsidR="00EE6C4F">
        <w:rPr>
          <w:rFonts w:asciiTheme="minorHAnsi" w:hAnsiTheme="minorHAnsi" w:cs="Calibri" w:hint="eastAsia"/>
          <w:color w:val="242424"/>
        </w:rPr>
        <w:t xml:space="preserve">typhoid </w:t>
      </w:r>
      <w:r w:rsidR="000E678F" w:rsidRPr="00274614">
        <w:rPr>
          <w:rFonts w:asciiTheme="minorHAnsi" w:hAnsiTheme="minorHAnsi" w:cs="Calibri"/>
          <w:color w:val="242424"/>
        </w:rPr>
        <w:t>cases</w:t>
      </w:r>
      <w:r w:rsidR="00282E23">
        <w:rPr>
          <w:rFonts w:asciiTheme="minorHAnsi" w:hAnsiTheme="minorHAnsi" w:cs="Calibri" w:hint="eastAsia"/>
          <w:color w:val="242424"/>
        </w:rPr>
        <w:t xml:space="preserve"> occur</w:t>
      </w:r>
      <w:r w:rsidR="0021357D">
        <w:rPr>
          <w:rFonts w:asciiTheme="minorHAnsi" w:hAnsiTheme="minorHAnsi" w:cs="Calibri" w:hint="eastAsia"/>
          <w:color w:val="242424"/>
        </w:rPr>
        <w:t xml:space="preserve"> </w:t>
      </w:r>
      <w:r w:rsidR="00EE6C4F">
        <w:rPr>
          <w:rFonts w:asciiTheme="minorHAnsi" w:hAnsiTheme="minorHAnsi" w:cs="Calibri" w:hint="eastAsia"/>
          <w:color w:val="242424"/>
        </w:rPr>
        <w:t xml:space="preserve">every year </w:t>
      </w:r>
      <w:r w:rsidR="0021357D">
        <w:rPr>
          <w:rFonts w:asciiTheme="minorHAnsi" w:hAnsiTheme="minorHAnsi" w:cs="Calibri"/>
          <w:color w:val="242424"/>
        </w:rPr>
        <w:fldChar w:fldCharType="begin"/>
      </w:r>
      <w:r w:rsidR="00EE6C4F">
        <w:rPr>
          <w:rFonts w:asciiTheme="minorHAnsi" w:hAnsiTheme="minorHAnsi" w:cs="Calibri"/>
          <w:color w:val="242424"/>
        </w:rPr>
        <w:instrText xml:space="preserve"> ADDIN ZOTERO_ITEM CSL_CITATION {"citationID":"eN4KnYu6","properties":{"formattedCitation":"(2\\uc0\\u8211{}5)","plainCitation":"(2–5)","noteIndex":0},"citationItems":[{"id":7989,"uris":["http://zotero.org/users/7663102/items/HW54IPQZ"],"itemData":{"id":7989,"type":"article-journal","container-title":"The Lancet. Global health","DOI":"10.1016/S2214-109X(17)30328-5","ISSN":"2214-109X","issue":"10","journalAbbreviation":"Lancet Glob Health","language":"eng","note":"publisher-place: England\nPMID: 28911760","page":"e969","title":"Updated estimates of typhoid fever burden in sub-Saharan Africa.","volume":"5","author":[{"family":"Kim","given":"Jong-Hoon"},{"family":"Mogasale","given":"Vittal"},{"family":"Im","given":"Justin"},{"family":"Ramani","given":"Enusa"},{"family":"Marks","given":"Florian"}],"issued":{"date-parts":[["2017",10]]}}},{"id":6878,"uris":["http://zotero.org/users/7663102/items/R9VGB4FJ"],"itemData":{"id":6878,"type":"article-journal","abstract":"BACKGROUND: No access to safe water is an important risk factor for typhoid fever, yet risk-level heterogeneity is unaccounted for in previous global burden estimates. Since WHO has recommended risk-based use of typhoid polysaccharide vaccine, we revisited the burden of typhoid fever in low-income and middle-income countries (LMICs) after adjusting for water-related risk.\nMETHODS: We estimated the typhoid disease burden from studies done in LMICs based on blood-culture-confirmed incidence rates applied to the 2010 population, after correcting for operational issues related to surveillance, limitations of diagnostic tests, and water-related risk. We derived incidence estimates, correction factors, and mortality estimates from systematic literature reviews. We did scenario analyses for risk factors, diagnostic sensitivity, and case fatality rates, accounting for the uncertainty in these estimates and we compared them with previous disease burden estimates.\nFINDINGS: The estimated number of typhoid fever cases in LMICs in 2010 after adjusting for water-related risk was 11·9 million (95% CI 9·9-14·7) cases with 129</w:instrText>
      </w:r>
      <w:r w:rsidR="00EE6C4F">
        <w:rPr>
          <w:rFonts w:ascii="Arial" w:hAnsi="Arial" w:cs="Arial"/>
          <w:color w:val="242424"/>
        </w:rPr>
        <w:instrText> </w:instrText>
      </w:r>
      <w:r w:rsidR="00EE6C4F">
        <w:rPr>
          <w:rFonts w:asciiTheme="minorHAnsi" w:hAnsiTheme="minorHAnsi" w:cs="Calibri"/>
          <w:color w:val="242424"/>
        </w:rPr>
        <w:instrText>000 (75</w:instrText>
      </w:r>
      <w:r w:rsidR="00EE6C4F">
        <w:rPr>
          <w:rFonts w:ascii="Arial" w:hAnsi="Arial" w:cs="Arial"/>
          <w:color w:val="242424"/>
        </w:rPr>
        <w:instrText> </w:instrText>
      </w:r>
      <w:r w:rsidR="00EE6C4F">
        <w:rPr>
          <w:rFonts w:asciiTheme="minorHAnsi" w:hAnsiTheme="minorHAnsi" w:cs="Calibri"/>
          <w:color w:val="242424"/>
        </w:rPr>
        <w:instrText>000-208</w:instrText>
      </w:r>
      <w:r w:rsidR="00EE6C4F">
        <w:rPr>
          <w:rFonts w:ascii="Arial" w:hAnsi="Arial" w:cs="Arial"/>
          <w:color w:val="242424"/>
        </w:rPr>
        <w:instrText> </w:instrText>
      </w:r>
      <w:r w:rsidR="00EE6C4F">
        <w:rPr>
          <w:rFonts w:asciiTheme="minorHAnsi" w:hAnsiTheme="minorHAnsi" w:cs="Calibri"/>
          <w:color w:val="242424"/>
        </w:rPr>
        <w:instrText>000) deaths. By comparison, the estimated risk-unadjusted burden was 20</w:instrText>
      </w:r>
      <w:r w:rsidR="00EE6C4F">
        <w:rPr>
          <w:color w:val="242424"/>
        </w:rPr>
        <w:instrText>·</w:instrText>
      </w:r>
      <w:r w:rsidR="00EE6C4F">
        <w:rPr>
          <w:rFonts w:asciiTheme="minorHAnsi" w:hAnsiTheme="minorHAnsi" w:cs="Calibri"/>
          <w:color w:val="242424"/>
        </w:rPr>
        <w:instrText>6 million (17</w:instrText>
      </w:r>
      <w:r w:rsidR="00EE6C4F">
        <w:rPr>
          <w:color w:val="242424"/>
        </w:rPr>
        <w:instrText>·</w:instrText>
      </w:r>
      <w:r w:rsidR="00EE6C4F">
        <w:rPr>
          <w:rFonts w:asciiTheme="minorHAnsi" w:hAnsiTheme="minorHAnsi" w:cs="Calibri"/>
          <w:color w:val="242424"/>
        </w:rPr>
        <w:instrText>5-24</w:instrText>
      </w:r>
      <w:r w:rsidR="00EE6C4F">
        <w:rPr>
          <w:color w:val="242424"/>
        </w:rPr>
        <w:instrText>·</w:instrText>
      </w:r>
      <w:r w:rsidR="00EE6C4F">
        <w:rPr>
          <w:rFonts w:asciiTheme="minorHAnsi" w:hAnsiTheme="minorHAnsi" w:cs="Calibri"/>
          <w:color w:val="242424"/>
        </w:rPr>
        <w:instrText>2) cases and 223</w:instrText>
      </w:r>
      <w:r w:rsidR="00EE6C4F">
        <w:rPr>
          <w:rFonts w:ascii="Arial" w:hAnsi="Arial" w:cs="Arial"/>
          <w:color w:val="242424"/>
        </w:rPr>
        <w:instrText> </w:instrText>
      </w:r>
      <w:r w:rsidR="00EE6C4F">
        <w:rPr>
          <w:rFonts w:asciiTheme="minorHAnsi" w:hAnsiTheme="minorHAnsi" w:cs="Calibri"/>
          <w:color w:val="242424"/>
        </w:rPr>
        <w:instrText>000 (131</w:instrText>
      </w:r>
      <w:r w:rsidR="00EE6C4F">
        <w:rPr>
          <w:rFonts w:ascii="Arial" w:hAnsi="Arial" w:cs="Arial"/>
          <w:color w:val="242424"/>
        </w:rPr>
        <w:instrText> </w:instrText>
      </w:r>
      <w:r w:rsidR="00EE6C4F">
        <w:rPr>
          <w:rFonts w:asciiTheme="minorHAnsi" w:hAnsiTheme="minorHAnsi" w:cs="Calibri"/>
          <w:color w:val="242424"/>
        </w:rPr>
        <w:instrText>000-344</w:instrText>
      </w:r>
      <w:r w:rsidR="00EE6C4F">
        <w:rPr>
          <w:rFonts w:ascii="Arial" w:hAnsi="Arial" w:cs="Arial"/>
          <w:color w:val="242424"/>
        </w:rPr>
        <w:instrText> </w:instrText>
      </w:r>
      <w:r w:rsidR="00EE6C4F">
        <w:rPr>
          <w:rFonts w:asciiTheme="minorHAnsi" w:hAnsiTheme="minorHAnsi" w:cs="Calibri"/>
          <w:color w:val="242424"/>
        </w:rPr>
        <w:instrText>000) deaths. Scenario analyses indicated that the risk-factor adjustment and updated diagnostic test correction factor derived from systematic literature reviews were the drivers of differences between the current estimate and past estimates.\nINTERPRETATION: The risk-adjusted typhoid fever burden estimate was more conservative than previous estimates. However, by distinguishing the risk differences, it will allow assessment of the effect at the population level and will facilitate cost-effectiveness calculations for risk-based vaccination strategies for future typhoid conjugate vaccine.","container-title":"The Lancet Global Health","DOI":"10.1016/S2214-109X(14)70301-8","ISSN":"2214-109X","issue":"10","journalAbbreviation":"Lancet Glob Health","language":"eng","page":"e570-580","source":"PubMed","title":"Burden of typhoid fever in low-income and middle-income countries: a systematic, literature-based update with risk-factor adjustment","title-short":"Burden of typhoid fever in low-income and middle-income countries","volume":"2","author":[{"family":"Mogasale","given":"Vittal"},{"family":"Maskery","given":"Brian"},{"family":"Ochiai","given":"R. Leon"},{"family":"Lee","given":"Jung Seok"},{"family":"Mogasale","given":"Vijayalaxmi V."},{"family":"Ramani","given":"Enusa"},{"family":"Kim","given":"Young Eun"},{"family":"Park","given":"Jin Kyung"},{"family":"Wierzba","given":"Thomas F."}],"issued":{"date-parts":[["2014",10]]}}},{"id":6422,"uris":["http://zotero.org/users/7663102/items/8DIVP8KY"],"itemData":{"id":6422,"type":"article-journal","abstract":"BACKGROUND: Efforts to quantify the global burden of enteric fever are valuable for understanding the health lost and the large-scale spatial distribution of the disease. We present the estimates of typhoid and paratyphoid fever burden from the Global Burden of Diseases, Injuries, and Risk Factors Study (GBD) 2017, and the approach taken to produce them.\nMETHODS: For this systematic analysis we broke down the relative contributions of typhoid and paratyphoid fevers by country, year, and age, and analysed trends in incidence and mortality. We modelled the combined incidence of typhoid and paratyphoid fevers and split these total cases proportionally between typhoid and paratyphoid fevers using aetiological proportion models. We estimated deaths using vital registration data for countries with sufficiently high data completeness and using a natural history approach for other locations. We also estimated disability-adjusted life-years (DALYs) for typhoid and paratyphoid fevers.\nFINDINGS: Globally, 14·3 million (95% uncertainty interval [UI] 12·5-16·3) cases of typhoid and paratyphoid fevers occurred in 2017, a 44·6% (42·2-47·0) decline from 25·9 million (22·0-29·9) in 1990. Age-standardised incidence rates declined by 54·9% (53·4-56·5), from 439·2 (376·7-507·7) per 100</w:instrText>
      </w:r>
      <w:r w:rsidR="00EE6C4F">
        <w:rPr>
          <w:rFonts w:ascii="Arial" w:hAnsi="Arial" w:cs="Arial"/>
          <w:color w:val="242424"/>
        </w:rPr>
        <w:instrText> </w:instrText>
      </w:r>
      <w:r w:rsidR="00EE6C4F">
        <w:rPr>
          <w:rFonts w:asciiTheme="minorHAnsi" w:hAnsiTheme="minorHAnsi" w:cs="Calibri"/>
          <w:color w:val="242424"/>
        </w:rPr>
        <w:instrText>000 person-years in 1990, to 197·8 (172·0-226·2) per 100</w:instrText>
      </w:r>
      <w:r w:rsidR="00EE6C4F">
        <w:rPr>
          <w:rFonts w:ascii="Arial" w:hAnsi="Arial" w:cs="Arial"/>
          <w:color w:val="242424"/>
        </w:rPr>
        <w:instrText> </w:instrText>
      </w:r>
      <w:r w:rsidR="00EE6C4F">
        <w:rPr>
          <w:rFonts w:asciiTheme="minorHAnsi" w:hAnsiTheme="minorHAnsi" w:cs="Calibri"/>
          <w:color w:val="242424"/>
        </w:rPr>
        <w:instrText>000 person-years in 2017. In 2017, Salmonella enterica serotype Typhi caused 76</w:instrText>
      </w:r>
      <w:r w:rsidR="00EE6C4F">
        <w:rPr>
          <w:color w:val="242424"/>
        </w:rPr>
        <w:instrText>·</w:instrText>
      </w:r>
      <w:r w:rsidR="00EE6C4F">
        <w:rPr>
          <w:rFonts w:asciiTheme="minorHAnsi" w:hAnsiTheme="minorHAnsi" w:cs="Calibri"/>
          <w:color w:val="242424"/>
        </w:rPr>
        <w:instrText>3% (71</w:instrText>
      </w:r>
      <w:r w:rsidR="00EE6C4F">
        <w:rPr>
          <w:color w:val="242424"/>
        </w:rPr>
        <w:instrText>·</w:instrText>
      </w:r>
      <w:r w:rsidR="00EE6C4F">
        <w:rPr>
          <w:rFonts w:asciiTheme="minorHAnsi" w:hAnsiTheme="minorHAnsi" w:cs="Calibri"/>
          <w:color w:val="242424"/>
        </w:rPr>
        <w:instrText>8-80</w:instrText>
      </w:r>
      <w:r w:rsidR="00EE6C4F">
        <w:rPr>
          <w:color w:val="242424"/>
        </w:rPr>
        <w:instrText>·</w:instrText>
      </w:r>
      <w:r w:rsidR="00EE6C4F">
        <w:rPr>
          <w:rFonts w:asciiTheme="minorHAnsi" w:hAnsiTheme="minorHAnsi" w:cs="Calibri"/>
          <w:color w:val="242424"/>
        </w:rPr>
        <w:instrText>5) of cases of enteric fever. We estimated a global case fatality of 0</w:instrText>
      </w:r>
      <w:r w:rsidR="00EE6C4F">
        <w:rPr>
          <w:color w:val="242424"/>
        </w:rPr>
        <w:instrText>·</w:instrText>
      </w:r>
      <w:r w:rsidR="00EE6C4F">
        <w:rPr>
          <w:rFonts w:asciiTheme="minorHAnsi" w:hAnsiTheme="minorHAnsi" w:cs="Calibri"/>
          <w:color w:val="242424"/>
        </w:rPr>
        <w:instrText>95% (0</w:instrText>
      </w:r>
      <w:r w:rsidR="00EE6C4F">
        <w:rPr>
          <w:color w:val="242424"/>
        </w:rPr>
        <w:instrText>·</w:instrText>
      </w:r>
      <w:r w:rsidR="00EE6C4F">
        <w:rPr>
          <w:rFonts w:asciiTheme="minorHAnsi" w:hAnsiTheme="minorHAnsi" w:cs="Calibri"/>
          <w:color w:val="242424"/>
        </w:rPr>
        <w:instrText>54-1</w:instrText>
      </w:r>
      <w:r w:rsidR="00EE6C4F">
        <w:rPr>
          <w:color w:val="242424"/>
        </w:rPr>
        <w:instrText>·</w:instrText>
      </w:r>
      <w:r w:rsidR="00EE6C4F">
        <w:rPr>
          <w:rFonts w:asciiTheme="minorHAnsi" w:hAnsiTheme="minorHAnsi" w:cs="Calibri"/>
          <w:color w:val="242424"/>
        </w:rPr>
        <w:instrText>53) in 2017, with higher case fatality estimates among children and older adults, and among those living in lower-income countries. We therefore estimated 135</w:instrText>
      </w:r>
      <w:r w:rsidR="00EE6C4F">
        <w:rPr>
          <w:color w:val="242424"/>
        </w:rPr>
        <w:instrText>·</w:instrText>
      </w:r>
      <w:r w:rsidR="00EE6C4F">
        <w:rPr>
          <w:rFonts w:asciiTheme="minorHAnsi" w:hAnsiTheme="minorHAnsi" w:cs="Calibri"/>
          <w:color w:val="242424"/>
        </w:rPr>
        <w:instrText>9 thousand (76</w:instrText>
      </w:r>
      <w:r w:rsidR="00EE6C4F">
        <w:rPr>
          <w:color w:val="242424"/>
        </w:rPr>
        <w:instrText>·</w:instrText>
      </w:r>
      <w:r w:rsidR="00EE6C4F">
        <w:rPr>
          <w:rFonts w:asciiTheme="minorHAnsi" w:hAnsiTheme="minorHAnsi" w:cs="Calibri"/>
          <w:color w:val="242424"/>
        </w:rPr>
        <w:instrText>9-218</w:instrText>
      </w:r>
      <w:r w:rsidR="00EE6C4F">
        <w:rPr>
          <w:color w:val="242424"/>
        </w:rPr>
        <w:instrText>·</w:instrText>
      </w:r>
      <w:r w:rsidR="00EE6C4F">
        <w:rPr>
          <w:rFonts w:asciiTheme="minorHAnsi" w:hAnsiTheme="minorHAnsi" w:cs="Calibri"/>
          <w:color w:val="242424"/>
        </w:rPr>
        <w:instrText>9) deaths from typhoid and paratyphoid fever globally in 2017, a 41</w:instrText>
      </w:r>
      <w:r w:rsidR="00EE6C4F">
        <w:rPr>
          <w:color w:val="242424"/>
        </w:rPr>
        <w:instrText>·</w:instrText>
      </w:r>
      <w:r w:rsidR="00EE6C4F">
        <w:rPr>
          <w:rFonts w:asciiTheme="minorHAnsi" w:hAnsiTheme="minorHAnsi" w:cs="Calibri"/>
          <w:color w:val="242424"/>
        </w:rPr>
        <w:instrText>0% (33</w:instrText>
      </w:r>
      <w:r w:rsidR="00EE6C4F">
        <w:rPr>
          <w:color w:val="242424"/>
        </w:rPr>
        <w:instrText>·</w:instrText>
      </w:r>
      <w:r w:rsidR="00EE6C4F">
        <w:rPr>
          <w:rFonts w:asciiTheme="minorHAnsi" w:hAnsiTheme="minorHAnsi" w:cs="Calibri"/>
          <w:color w:val="242424"/>
        </w:rPr>
        <w:instrText>6-48</w:instrText>
      </w:r>
      <w:r w:rsidR="00EE6C4F">
        <w:rPr>
          <w:color w:val="242424"/>
        </w:rPr>
        <w:instrText>·</w:instrText>
      </w:r>
      <w:r w:rsidR="00EE6C4F">
        <w:rPr>
          <w:rFonts w:asciiTheme="minorHAnsi" w:hAnsiTheme="minorHAnsi" w:cs="Calibri"/>
          <w:color w:val="242424"/>
        </w:rPr>
        <w:instrText>3) decline from 230</w:instrText>
      </w:r>
      <w:r w:rsidR="00EE6C4F">
        <w:rPr>
          <w:color w:val="242424"/>
        </w:rPr>
        <w:instrText>·</w:instrText>
      </w:r>
      <w:r w:rsidR="00EE6C4F">
        <w:rPr>
          <w:rFonts w:asciiTheme="minorHAnsi" w:hAnsiTheme="minorHAnsi" w:cs="Calibri"/>
          <w:color w:val="242424"/>
        </w:rPr>
        <w:instrText xml:space="preserve">5 thousand (131·2-372·6) in 1990. Overall, typhoid and paratyphoid fevers were responsible for 9·8 million (5·6-15·8) DALYs in 2017, down 43·0% (35·5-50·6) from 17·2 million (9·9-27·8) DALYs in 1990.\nINTERPRETATION: Despite notable progress, typhoid and paratyphoid fevers remain major causes of disability and death, with billions of people likely to be exposed to the pathogens. Although improvements in water and sanitation remain essential, increased vaccine use (including with typhoid conjugate vaccines that are effective in infants and young children and protective for longer periods) and improved data and surveillance to inform vaccine rollout are likely to drive the greatest improvements in the global burden of the disease.\nFUNDING: Bill &amp; Melinda Gates Foundation.","container-title":"The Lancet. Infectious Diseases","DOI":"10.1016/S1473-3099(18)30685-6","ISSN":"1474-4457","issue":"4","journalAbbreviation":"Lancet Infect Dis","language":"eng","page":"369-381","source":"PubMed","title":"The global burden of typhoid and paratyphoid fevers: a systematic analysis for the Global Burden of Disease Study 2017","title-short":"The global burden of typhoid and paratyphoid fevers","volume":"19","author":[{"literal":"GBD 2017 Typhoid and Paratyphoid Collaborators"}],"issued":{"date-parts":[["2019",4]]}}},{"id":5304,"uris":["http://zotero.org/users/7663102/items/NSUCMDEX"],"itemData":{"id":5304,"type":"article-journal","abstract":"Background Upcoming vaccination efforts against typhoid fever require an assessment of the baseline burden of disease in countries at risk. There are no typhoid incidence data from most low- and middle-income countries (LMICs), so model-based estimates offer insights for decision-makers in the absence of readily available data. Methods We developed a mixed-effects model fit to data from 32 population-based studies of typhoid incidence in 22 locations in 14 countries. We tested the contribution of economic and environmental indices for predicting typhoid incidence using a stochastic search variable selection algorithm. We performed out-of-sample validation to assess the predictive performance of the model. Results We estimated that 17.8 million cases of typhoid fever occur each year in LMICs (95% credible interval: 6.9–48.4 million). Central Africa was predicted to experience the highest incidence of typhoid, followed by select countries in Central, South, and Southeast Asia. Incidence typically peaked in the 2–4 year old age group. Models incorporating widely available economic and environmental indicators were found to describe incidence better than null models. Conclusions Recent estimates of typhoid burden may under-estimate the number of cases and magnitude of uncertainty in typhoid incidence. Our analysis permits prediction of overall as well as age-specific incidence of typhoid fever in LMICs, and incorporates uncertainty around the model structure and estimates of the predictors. Future studies are needed to further validate and refine model predictions and better understand year-to-year variation in cases.","container-title":"PLoS Negl Trop Dis","DOI":"10.1371/journal.pntd.0005376","ISSN":"1935-2735","issue":"2","journalAbbreviation":"PLoS Negl Trop Dis","language":"en","page":"e0005376","source":"PLoS Journals","title":"The burden of typhoid fever in low- and middle-income countries: A meta-regression approach","title-short":"The burden of typhoid fever in low- and middle-income countries","volume":"11","author":[{"family":"Antillón","given":"Marina"},{"family":"Warren","given":"Joshua L."},{"family":"Crawford","given":"Forrest W."},{"family":"Weinberger","given":"Daniel M."},{"family":"Kürüm","given":"Esra"},{"family":"Pak","given":"Gi Deok"},{"family":"Marks","given":"Florian"},{"family":"Pitzer","given":"Virginia E."}],"issued":{"date-parts":[["2017",2,27]]}}}],"schema":"https://github.com/citation-style-language/schema/raw/master/csl-citation.json"} </w:instrText>
      </w:r>
      <w:r w:rsidR="0021357D">
        <w:rPr>
          <w:rFonts w:asciiTheme="minorHAnsi" w:hAnsiTheme="minorHAnsi" w:cs="Calibri"/>
          <w:color w:val="242424"/>
        </w:rPr>
        <w:fldChar w:fldCharType="separate"/>
      </w:r>
      <w:r w:rsidR="00EE6C4F" w:rsidRPr="00EE6C4F">
        <w:rPr>
          <w:rFonts w:cs="Times New Roman"/>
        </w:rPr>
        <w:t>(2–5)</w:t>
      </w:r>
      <w:r w:rsidR="0021357D">
        <w:rPr>
          <w:rFonts w:asciiTheme="minorHAnsi" w:hAnsiTheme="minorHAnsi" w:cs="Calibri"/>
          <w:color w:val="242424"/>
        </w:rPr>
        <w:fldChar w:fldCharType="end"/>
      </w:r>
      <w:r w:rsidR="00EE6C4F">
        <w:rPr>
          <w:rFonts w:asciiTheme="minorHAnsi" w:hAnsiTheme="minorHAnsi" w:cs="Calibri" w:hint="eastAsia"/>
          <w:color w:val="242424"/>
        </w:rPr>
        <w:t xml:space="preserve"> with around 1% of those cases being potentially fatal.</w:t>
      </w:r>
    </w:p>
    <w:p w14:paraId="26B47645" w14:textId="77777777" w:rsidR="00282E23" w:rsidRDefault="00282E23" w:rsidP="005F71EB">
      <w:pPr>
        <w:pStyle w:val="NormalWeb"/>
        <w:shd w:val="clear" w:color="auto" w:fill="FFFFFF"/>
        <w:rPr>
          <w:rFonts w:asciiTheme="minorHAnsi" w:hAnsiTheme="minorHAnsi" w:cs="Calibri"/>
          <w:color w:val="242424"/>
        </w:rPr>
      </w:pPr>
    </w:p>
    <w:p w14:paraId="7AB6D09E" w14:textId="66F3D4A8" w:rsidR="001573CD" w:rsidRDefault="00F23C2F" w:rsidP="00282E23">
      <w:pPr>
        <w:pStyle w:val="NormalWeb"/>
        <w:shd w:val="clear" w:color="auto" w:fill="FFFFFF"/>
        <w:rPr>
          <w:rFonts w:asciiTheme="minorHAnsi" w:hAnsiTheme="minorHAnsi" w:cs="Calibri"/>
          <w:color w:val="242424"/>
        </w:rPr>
      </w:pPr>
      <w:r>
        <w:rPr>
          <w:rFonts w:asciiTheme="minorHAnsi" w:hAnsiTheme="minorHAnsi" w:cs="Calibri" w:hint="eastAsia"/>
          <w:color w:val="242424"/>
        </w:rPr>
        <w:t xml:space="preserve">In addition to </w:t>
      </w:r>
      <w:r>
        <w:rPr>
          <w:rFonts w:asciiTheme="minorHAnsi" w:hAnsiTheme="minorHAnsi" w:cs="Calibri"/>
          <w:color w:val="242424"/>
        </w:rPr>
        <w:t>improv</w:t>
      </w:r>
      <w:r>
        <w:rPr>
          <w:rFonts w:asciiTheme="minorHAnsi" w:hAnsiTheme="minorHAnsi" w:cs="Calibri" w:hint="eastAsia"/>
          <w:color w:val="242424"/>
        </w:rPr>
        <w:t>ing water, sanitation, and hygiene, v</w:t>
      </w:r>
      <w:r w:rsidR="00282E23">
        <w:rPr>
          <w:rFonts w:asciiTheme="minorHAnsi" w:hAnsiTheme="minorHAnsi" w:cs="Calibri" w:hint="eastAsia"/>
          <w:color w:val="242424"/>
        </w:rPr>
        <w:t>accine</w:t>
      </w:r>
      <w:r w:rsidR="007F74D2">
        <w:rPr>
          <w:rFonts w:asciiTheme="minorHAnsi" w:hAnsiTheme="minorHAnsi" w:cs="Calibri" w:hint="eastAsia"/>
          <w:color w:val="242424"/>
        </w:rPr>
        <w:t>s</w:t>
      </w:r>
      <w:r>
        <w:rPr>
          <w:rFonts w:asciiTheme="minorHAnsi" w:hAnsiTheme="minorHAnsi" w:cs="Calibri" w:hint="eastAsia"/>
          <w:color w:val="242424"/>
        </w:rPr>
        <w:t xml:space="preserve"> provide a nearer-term solution to typhoid fever</w:t>
      </w:r>
      <w:r w:rsidR="007056AF">
        <w:rPr>
          <w:rFonts w:asciiTheme="minorHAnsi" w:hAnsiTheme="minorHAnsi" w:cs="Calibri" w:hint="eastAsia"/>
          <w:color w:val="242424"/>
        </w:rPr>
        <w:t xml:space="preserve">, specifically with emergence of drug-resistant </w:t>
      </w:r>
      <w:r w:rsidR="007056AF" w:rsidRPr="007056AF">
        <w:rPr>
          <w:rFonts w:asciiTheme="minorHAnsi" w:hAnsiTheme="minorHAnsi" w:cs="Calibri" w:hint="eastAsia"/>
          <w:i/>
          <w:iCs/>
          <w:color w:val="242424"/>
        </w:rPr>
        <w:t>S</w:t>
      </w:r>
      <w:r w:rsidR="007056AF">
        <w:rPr>
          <w:rFonts w:asciiTheme="minorHAnsi" w:hAnsiTheme="minorHAnsi" w:cs="Calibri" w:hint="eastAsia"/>
          <w:color w:val="242424"/>
        </w:rPr>
        <w:t>. Typhi</w:t>
      </w:r>
      <w:r w:rsidR="007F74D2">
        <w:rPr>
          <w:rFonts w:asciiTheme="minorHAnsi" w:hAnsiTheme="minorHAnsi" w:cs="Calibri" w:hint="eastAsia"/>
          <w:color w:val="242424"/>
        </w:rPr>
        <w:t>. Typhoid conjugate vaccines</w:t>
      </w:r>
      <w:r w:rsidR="0085299B">
        <w:rPr>
          <w:rFonts w:asciiTheme="minorHAnsi" w:hAnsiTheme="minorHAnsi" w:cs="Calibri" w:hint="eastAsia"/>
          <w:color w:val="242424"/>
        </w:rPr>
        <w:t xml:space="preserve"> (TCVs) are suitable </w:t>
      </w:r>
      <w:r w:rsidR="0085299B" w:rsidRPr="0085299B">
        <w:rPr>
          <w:rFonts w:asciiTheme="minorHAnsi" w:hAnsiTheme="minorHAnsi" w:cs="Calibri"/>
          <w:color w:val="242424"/>
        </w:rPr>
        <w:t>for children from six months</w:t>
      </w:r>
      <w:r w:rsidR="0085299B">
        <w:rPr>
          <w:rFonts w:asciiTheme="minorHAnsi" w:hAnsiTheme="minorHAnsi" w:cs="Calibri" w:hint="eastAsia"/>
          <w:color w:val="242424"/>
        </w:rPr>
        <w:t xml:space="preserve"> and adults </w:t>
      </w:r>
      <w:r>
        <w:rPr>
          <w:rFonts w:asciiTheme="minorHAnsi" w:hAnsiTheme="minorHAnsi" w:cs="Calibri" w:hint="eastAsia"/>
          <w:color w:val="242424"/>
        </w:rPr>
        <w:t xml:space="preserve">up to 45 years </w:t>
      </w:r>
      <w:r w:rsidR="006C7737">
        <w:rPr>
          <w:rFonts w:asciiTheme="minorHAnsi" w:hAnsiTheme="minorHAnsi" w:cs="Calibri" w:hint="eastAsia"/>
          <w:color w:val="242424"/>
        </w:rPr>
        <w:t xml:space="preserve">of age </w:t>
      </w:r>
      <w:r>
        <w:rPr>
          <w:rFonts w:asciiTheme="minorHAnsi" w:hAnsiTheme="minorHAnsi" w:cs="Calibri"/>
          <w:color w:val="242424"/>
        </w:rPr>
        <w:fldChar w:fldCharType="begin"/>
      </w:r>
      <w:r>
        <w:rPr>
          <w:rFonts w:asciiTheme="minorHAnsi" w:hAnsiTheme="minorHAnsi" w:cs="Calibri"/>
          <w:color w:val="242424"/>
        </w:rPr>
        <w:instrText xml:space="preserve"> ADDIN ZOTERO_ITEM CSL_CITATION {"citationID":"awxjkmRj","properties":{"formattedCitation":"(6)","plainCitation":"(6)","noteIndex":0},"citationItems":[{"id":11707,"uris":["http://zotero.org/users/7663102/items/6KXBWJZB"],"itemData":{"id":11707,"type":"article-journal","abstract":"This article presented the World Health Organization's (WHO) recommendations on the use of Typhoid vaccines excerpted from the Typhoid vaccines: WHO position paper - March 2018 published in the Weekly Epidemiological Record (World Health Organization, 2018) [1]. This position paper replaces the 2008 WHO position paper on typhoid vaccines (WHO, 2008) [2]. It re-emphasizes the importance of vaccination to control typhoid fever and presents the WHO recommendations on the use of a new generation of typhoid conjugate vaccines. Footnotes to this paper provide a number of core references including references to grading tables that assess the quality of the scientific evidence, and to the evidence-to-recommendation tables. In accordance with its mandate to provide guidance to Member States on health policy matters, WHO issues a series of regularly updated position papers on vaccines and combinations of vaccines against diseases that have an international public health impact. These papers are concerned primarily with the use of vaccines in large-scale immunization programmes; they summarize essential background information on diseases and vaccines, and conclude with WHO's current position on the use of vaccines in the global context. Recommendations on the use of cholera vaccines were discussed by the Strategic Advisory Group of Experts (SAGE) in October 2017; evidence presented at these meetings can be accessed at: http://www.who.int/immunization/sage/meetings/2017/October/presentations_background_docs/en/.","container-title":"Vaccine","DOI":"10.1016/j.vaccine.2018.04.022","ISSN":"1873-2518","issue":"2","journalAbbreviation":"Vaccine","language":"eng","note":"PMID: 29661581","page":"214-216","source":"PubMed","title":"Typhoid vaccines: WHO position paper, March 2018 - Recommendations","title-short":"Typhoid vaccines","volume":"37","author":[{"family":"World Health Organization","given":"null"}],"issued":{"date-parts":[["2019",1,7]]}}}],"schema":"https://github.com/citation-style-language/schema/raw/master/csl-citation.json"} </w:instrText>
      </w:r>
      <w:r>
        <w:rPr>
          <w:rFonts w:asciiTheme="minorHAnsi" w:hAnsiTheme="minorHAnsi" w:cs="Calibri"/>
          <w:color w:val="242424"/>
        </w:rPr>
        <w:fldChar w:fldCharType="separate"/>
      </w:r>
      <w:r w:rsidRPr="00F23C2F">
        <w:t>(6)</w:t>
      </w:r>
      <w:r>
        <w:rPr>
          <w:rFonts w:asciiTheme="minorHAnsi" w:hAnsiTheme="minorHAnsi" w:cs="Calibri"/>
          <w:color w:val="242424"/>
        </w:rPr>
        <w:fldChar w:fldCharType="end"/>
      </w:r>
      <w:r w:rsidR="006C7737">
        <w:rPr>
          <w:rFonts w:asciiTheme="minorHAnsi" w:hAnsiTheme="minorHAnsi" w:cs="Calibri" w:hint="eastAsia"/>
          <w:color w:val="242424"/>
        </w:rPr>
        <w:t xml:space="preserve">. They </w:t>
      </w:r>
      <w:r w:rsidR="00282E23">
        <w:rPr>
          <w:rFonts w:asciiTheme="minorHAnsi" w:hAnsiTheme="minorHAnsi" w:cs="Calibri" w:hint="eastAsia"/>
          <w:color w:val="242424"/>
        </w:rPr>
        <w:t xml:space="preserve">have been proven to be </w:t>
      </w:r>
      <w:r w:rsidR="00282E23">
        <w:rPr>
          <w:rFonts w:asciiTheme="minorHAnsi" w:hAnsiTheme="minorHAnsi" w:cs="Calibri"/>
          <w:color w:val="242424"/>
        </w:rPr>
        <w:t>effective</w:t>
      </w:r>
      <w:r w:rsidR="00282E23">
        <w:rPr>
          <w:rFonts w:asciiTheme="minorHAnsi" w:hAnsiTheme="minorHAnsi" w:cs="Calibri" w:hint="eastAsia"/>
          <w:color w:val="242424"/>
        </w:rPr>
        <w:t xml:space="preserve"> </w:t>
      </w:r>
      <w:r w:rsidR="007056AF">
        <w:rPr>
          <w:rFonts w:asciiTheme="minorHAnsi" w:hAnsiTheme="minorHAnsi" w:cs="Calibri" w:hint="eastAsia"/>
          <w:color w:val="242424"/>
        </w:rPr>
        <w:t xml:space="preserve">in </w:t>
      </w:r>
      <w:r w:rsidR="00282E23">
        <w:rPr>
          <w:rFonts w:asciiTheme="minorHAnsi" w:hAnsiTheme="minorHAnsi" w:cs="Calibri" w:hint="eastAsia"/>
          <w:color w:val="242424"/>
        </w:rPr>
        <w:t xml:space="preserve">randomized </w:t>
      </w:r>
      <w:r w:rsidR="007056AF">
        <w:rPr>
          <w:rFonts w:asciiTheme="minorHAnsi" w:hAnsiTheme="minorHAnsi" w:cs="Calibri" w:hint="eastAsia"/>
          <w:color w:val="242424"/>
        </w:rPr>
        <w:t xml:space="preserve">controlled trials </w:t>
      </w:r>
      <w:r w:rsidR="007056AF">
        <w:rPr>
          <w:rFonts w:asciiTheme="minorHAnsi" w:hAnsiTheme="minorHAnsi" w:cs="Calibri"/>
          <w:color w:val="242424"/>
        </w:rPr>
        <w:fldChar w:fldCharType="begin"/>
      </w:r>
      <w:r w:rsidR="009F391F">
        <w:rPr>
          <w:rFonts w:asciiTheme="minorHAnsi" w:hAnsiTheme="minorHAnsi" w:cs="Calibri"/>
          <w:color w:val="242424"/>
        </w:rPr>
        <w:instrText xml:space="preserve"> ADDIN ZOTERO_ITEM CSL_CITATION {"citationID":"ri4qcDtW","properties":{"formattedCitation":"(7\\uc0\\u8211{}9)","plainCitation":"(7–9)","noteIndex":0},"citationItems":[{"id":6200,"uris":["http://zotero.org/users/7663102/items/DH5LVVXA"],"itemData":{"id":6200,"type":"article-journal","abstract":"BACKGROUND: Typhoid fever is a major public health problem in low-resource settings. Vaccination can help curb the disease and might reduce transmission. We have  previously reported an interim analysis of the efficacy of typhoid conjugate vaccine  (TCV) in Nepali children. Here we report the final results after 2 years of  follow-up. METHODS: We did a participant-masked and observer-masked individually  randomised trial in Lalitpur, Nepal, in which 20</w:instrText>
      </w:r>
      <w:r w:rsidR="009F391F">
        <w:rPr>
          <w:rFonts w:ascii="Arial" w:hAnsi="Arial" w:cs="Arial"/>
          <w:color w:val="242424"/>
        </w:rPr>
        <w:instrText> </w:instrText>
      </w:r>
      <w:r w:rsidR="009F391F">
        <w:rPr>
          <w:rFonts w:asciiTheme="minorHAnsi" w:hAnsiTheme="minorHAnsi" w:cs="Calibri"/>
          <w:color w:val="242424"/>
        </w:rPr>
        <w:instrText>019 children aged 9 months to  younger than 16 years were randomly assigned in a 1:1 ratio to receive a single dose  of TCV (Typbar TCV, Bharat Biotech International, India) or capsular group A  meningococcal conjugate vaccine (MenA). Participants were followed up until April 9,  2020. The primary outcome was blood culture-confirmed typhoid fever. Cases were  captured via passive surveillance and active telephone surveillance followed by  medical record review. The trial is registered at ISRCTN registry, ISRCTN43385161  and is ongoing. FINDINGS: From Nov 20, 2017, to April 9, 2018, of 20</w:instrText>
      </w:r>
      <w:r w:rsidR="009F391F">
        <w:rPr>
          <w:rFonts w:ascii="Arial" w:hAnsi="Arial" w:cs="Arial"/>
          <w:color w:val="242424"/>
        </w:rPr>
        <w:instrText> </w:instrText>
      </w:r>
      <w:r w:rsidR="009F391F">
        <w:rPr>
          <w:rFonts w:asciiTheme="minorHAnsi" w:hAnsiTheme="minorHAnsi" w:cs="Calibri"/>
          <w:color w:val="242424"/>
        </w:rPr>
        <w:instrText>119 children  screened, 20</w:instrText>
      </w:r>
      <w:r w:rsidR="009F391F">
        <w:rPr>
          <w:rFonts w:ascii="Arial" w:hAnsi="Arial" w:cs="Arial"/>
          <w:color w:val="242424"/>
        </w:rPr>
        <w:instrText> </w:instrText>
      </w:r>
      <w:r w:rsidR="009F391F">
        <w:rPr>
          <w:rFonts w:asciiTheme="minorHAnsi" w:hAnsiTheme="minorHAnsi" w:cs="Calibri"/>
          <w:color w:val="242424"/>
        </w:rPr>
        <w:instrText>019 participants were randomly assigned to receive TCV or MenA vaccine.  There were 75 cases of blood culture-confirmed typhoid fever included in the  analysis (13 in the TCV group and 62 in the MenA group) over the 2-year period. The  protective efficacy of TCV against blood culture-confirmed typhoid fever at 2 years  was 79·0% (95% CI 61·9-88·5; p&lt;0·0001). The incidence of typhoid fever was 72 (95%  CI 38-123) cases per 100</w:instrText>
      </w:r>
      <w:r w:rsidR="009F391F">
        <w:rPr>
          <w:rFonts w:ascii="Arial" w:hAnsi="Arial" w:cs="Arial"/>
          <w:color w:val="242424"/>
        </w:rPr>
        <w:instrText> </w:instrText>
      </w:r>
      <w:r w:rsidR="009F391F">
        <w:rPr>
          <w:rFonts w:asciiTheme="minorHAnsi" w:hAnsiTheme="minorHAnsi" w:cs="Calibri"/>
          <w:color w:val="242424"/>
        </w:rPr>
        <w:instrText>000 person-years in the TCV group and 342 (95% CI 262-438)  cases per 100</w:instrText>
      </w:r>
      <w:r w:rsidR="009F391F">
        <w:rPr>
          <w:rFonts w:ascii="Arial" w:hAnsi="Arial" w:cs="Arial"/>
          <w:color w:val="242424"/>
        </w:rPr>
        <w:instrText> </w:instrText>
      </w:r>
      <w:r w:rsidR="009F391F">
        <w:rPr>
          <w:rFonts w:asciiTheme="minorHAnsi" w:hAnsiTheme="minorHAnsi" w:cs="Calibri"/>
          <w:color w:val="242424"/>
        </w:rPr>
        <w:instrText xml:space="preserve">000 person-years in the MenA group. Adverse events occurring within  the first 7 days post-vaccination were reported previously. INTERPRETATION: The  final results of this randomised, controlled trial are in keeping with the results  of our published interim analysis. There is no evidence of waning protection over a  2-year period. These findings add further support for the WHO recommendations on  control of enteric fever. FUNDING: Bill &amp; Melinda Gates Foundation.","container-title":"The Lancet. Global health","DOI":"10.1016/S2214-109X(21)00346-6","ISSN":"2214-109X","issue":"11","journalAbbreviation":"Lancet Glob Health","language":"eng","page":"e1561-e1568","title":"Efficacy of typhoid conjugate vaccine in Nepal: final results of a phase 3, randomised, controlled trial.","volume":"9","author":[{"family":"Shakya","given":"Mila"},{"family":"Voysey","given":"Merryn"},{"family":"Theiss-Nyland","given":"Katherine"},{"family":"Colin-Jones","given":"Rachel"},{"family":"Pant","given":"Dikshya"},{"family":"Adhikari","given":"Anup"},{"family":"Tonks","given":"Susan"},{"family":"Mujadidi","given":"Yama F."},{"family":"O'Reilly","given":"Peter"},{"family":"Mazur","given":"Olga"},{"family":"Kelly","given":"Sarah"},{"family":"Liu","given":"Xinxue"},{"family":"Maharjan","given":"Archana"},{"family":"Dahal","given":"Ashata"},{"family":"Haque","given":"Naheeda"},{"family":"Pradhan","given":"Anisha"},{"family":"Shrestha","given":"Suchita"},{"family":"Joshi","given":"Manij"},{"family":"Smith","given":"Nicola"},{"family":"Hill","given":"Jennifer"},{"family":"Clarke","given":"Jenny"},{"family":"Stockdale","given":"Lisa"},{"family":"Jones","given":"Elizabeth"},{"family":"Lubinda","given":"Timothy"},{"family":"Bajracharya","given":"Binod"},{"family":"Dongol","given":"Sabina"},{"family":"Karkey","given":"Abhilasha"},{"family":"Baker","given":"Stephen"},{"family":"Dougan","given":"Gordan"},{"family":"Pitzer","given":"Virginia E."},{"family":"Neuzil","given":"Kathleen M."},{"family":"Shrestha","given":"Shrijana"},{"family":"Basnyat","given":"Buddha"},{"family":"Pollard","given":"Andrew J."}],"issued":{"date-parts":[["2021",11]]}}},{"id":11022,"uris":["http://zotero.org/users/7663102/items/R5BUE4EC"],"itemData":{"id":11022,"type":"article-journal","container-title":"New England Journal of Medicine","DOI":"10.1056/NEJMoa2035916","ISSN":"0028-4793","issue":"12","journalAbbreviation":"N Engl J Med","note":"publisher: Massachusetts Medical Society\n_eprint: https://doi.org/10.1056/NEJMoa2035916\nPMID: 34525285","page":"1104-1115","source":"Taylor and Francis+NEJM","title":"Safety and Efficacy of a Typhoid Conjugate Vaccine in Malawian Children","volume":"385","author":[{"family":"Patel","given":"Priyanka D."},{"family":"Patel","given":"Pratiksha"},{"family":"Liang","given":"Yuanyuan"},{"family":"Meiring","given":"James E."},{"family":"Misiri","given":"Theresa"},{"family":"Mwakiseghile","given":"Felistas"},{"family":"Tracy","given":"J. Kathleen"},{"family":"Masesa","given":"Clemens"},{"family":"Msuku","given":"Harrison"},{"family":"Banda","given":"David"},{"family":"Mbewe","given":"Maurice"},{"family":"Henrion","given":"Marc"},{"family":"Adetunji","given":"Fiyinfolu"},{"family":"Simiyu","given":"Kenneth"},{"family":"Rotrosen","given":"Elizabeth"},{"family":"Birkhold","given":"Megan"},{"family":"Nampota","given":"Nginache"},{"family":"Nyirenda","given":"Osward M."},{"family":"Kotloff","given":"Karen"},{"family":"Gmeiner","given":"Markus"},{"family":"Dube","given":"Queen"},{"family":"Kawalazira","given":"Gift"},{"family":"Laurens","given":"Matthew B."},{"family":"Heyderman","given":"Robert S."},{"family":"Gordon","given":"Melita A."},{"family":"Neuzil","given":"Kathleen M."}],"issued":{"date-parts":[["2021",9,16]]}}},{"id":6527,"uris":["http://zotero.org/users/7663102/items/7GF4TN54"],"itemData":{"id":6527,"type":"article-journal","container-title":"The Lancet","DOI":"10.1016/S0140-6736(21)01124-7","ISSN":"0140-6736, 1474-547X","issue":"10301","journalAbbreviation":"The Lancet","language":"English","page":"675-684","source":"www.thelancet.com","title":"Protection by vaccination of children against typhoid fever with a Vi-tetanus toxoid conjugate vaccine in urban Bangladesh: a cluster-randomised trial","title-short":"Protection by vaccination of children against typhoid fever with a Vi-tetanus toxoid conjugate vaccine in urban Bangladesh","volume":"398","author":[{"family":"Qadri","given":"Firdausi"},{"family":"Khanam","given":"Farhana"},{"family":"Liu","given":"Xinxue"},{"family":"Theiss-Nyland","given":"Katherine"},{"family":"Biswas","given":"Prasanta Kumar"},{"family":"Bhuiyan","given":"Amirul Islam"},{"family":"Ahmmed","given":"Faisal"},{"family":"Colin-Jones","given":"Rachel"},{"family":"Smith","given":"Nicola"},{"family":"Tonks","given":"Susan"},{"family":"Voysey","given":"Merryn"},{"family":"Mujadidi","given":"Yama F."},{"family":"Mazur","given":"Olga"},{"family":"Rajib","given":"Nazmul Hasan"},{"family":"Hossen","given":"Md Ismail"},{"family":"Ahmed","given":"Shams Uddin"},{"family":"Khan","given":"Arifuzzaman"},{"family":"Rahman","given":"Nazia"},{"family":"Babu","given":"Golap"},{"family":"Greenland","given":"Melanie"},{"family":"Kelly","given":"Sarah"},{"family":"Ireen","given":"Mahzabeen"},{"family":"Islam","given":"Kamrul"},{"family":"O'Reilly","given":"Peter"},{"family":"Scherrer","given":"Karin Sofia"},{"family":"Pitzer","given":"Virginia E."},{"family":"Neuzil","given":"Kathleen M."},{"family":"Zaman","given":"K."},{"family":"Pollard","given":"Andrew J."},{"family":"Clemens","given":"John D."}],"issued":{"date-parts":[["2021",8,21]]}}}],"schema":"https://github.com/citation-style-language/schema/raw/master/csl-citation.json"} </w:instrText>
      </w:r>
      <w:r w:rsidR="007056AF">
        <w:rPr>
          <w:rFonts w:asciiTheme="minorHAnsi" w:hAnsiTheme="minorHAnsi" w:cs="Calibri"/>
          <w:color w:val="242424"/>
        </w:rPr>
        <w:fldChar w:fldCharType="separate"/>
      </w:r>
      <w:r w:rsidR="009F391F" w:rsidRPr="009F391F">
        <w:rPr>
          <w:rFonts w:cs="Times New Roman"/>
        </w:rPr>
        <w:t>(7–9)</w:t>
      </w:r>
      <w:r w:rsidR="007056AF">
        <w:rPr>
          <w:rFonts w:asciiTheme="minorHAnsi" w:hAnsiTheme="minorHAnsi" w:cs="Calibri"/>
          <w:color w:val="242424"/>
        </w:rPr>
        <w:fldChar w:fldCharType="end"/>
      </w:r>
      <w:r w:rsidR="007056AF">
        <w:rPr>
          <w:rFonts w:asciiTheme="minorHAnsi" w:hAnsiTheme="minorHAnsi" w:cs="Calibri" w:hint="eastAsia"/>
          <w:color w:val="242424"/>
        </w:rPr>
        <w:t xml:space="preserve"> and </w:t>
      </w:r>
      <w:r w:rsidR="007056AF">
        <w:rPr>
          <w:rFonts w:asciiTheme="minorHAnsi" w:hAnsiTheme="minorHAnsi" w:cs="Calibri" w:hint="eastAsia"/>
          <w:color w:val="242424"/>
        </w:rPr>
        <w:t>during outbreaks</w:t>
      </w:r>
      <w:r w:rsidR="007056AF">
        <w:rPr>
          <w:rFonts w:asciiTheme="minorHAnsi" w:hAnsiTheme="minorHAnsi" w:cs="Calibri" w:hint="eastAsia"/>
          <w:color w:val="242424"/>
        </w:rPr>
        <w:t xml:space="preserve"> by drug-resistant </w:t>
      </w:r>
      <w:r w:rsidR="007056AF" w:rsidRPr="007056AF">
        <w:rPr>
          <w:rFonts w:asciiTheme="minorHAnsi" w:hAnsiTheme="minorHAnsi" w:cs="Calibri" w:hint="eastAsia"/>
          <w:i/>
          <w:iCs/>
          <w:color w:val="242424"/>
        </w:rPr>
        <w:t>S</w:t>
      </w:r>
      <w:r w:rsidR="007056AF">
        <w:rPr>
          <w:rFonts w:asciiTheme="minorHAnsi" w:hAnsiTheme="minorHAnsi" w:cs="Calibri" w:hint="eastAsia"/>
          <w:color w:val="242424"/>
        </w:rPr>
        <w:t>. Typhi</w:t>
      </w:r>
      <w:r w:rsidR="007056AF">
        <w:rPr>
          <w:rFonts w:asciiTheme="minorHAnsi" w:hAnsiTheme="minorHAnsi" w:cs="Calibri" w:hint="eastAsia"/>
          <w:color w:val="242424"/>
        </w:rPr>
        <w:t xml:space="preserve"> </w:t>
      </w:r>
      <w:r w:rsidR="007056AF" w:rsidRPr="0021357D">
        <w:rPr>
          <w:rFonts w:asciiTheme="minorHAnsi" w:hAnsiTheme="minorHAnsi" w:cs="Calibri"/>
          <w:color w:val="242424"/>
        </w:rPr>
        <w:fldChar w:fldCharType="begin"/>
      </w:r>
      <w:r w:rsidR="009F391F">
        <w:rPr>
          <w:rFonts w:asciiTheme="minorHAnsi" w:hAnsiTheme="minorHAnsi" w:cs="Calibri"/>
          <w:color w:val="242424"/>
        </w:rPr>
        <w:instrText xml:space="preserve"> ADDIN ZOTERO_ITEM CSL_CITATION {"citationID":"yDJ3lwUe","properties":{"formattedCitation":"(10,11)","plainCitation":"(10,11)","noteIndex":0},"citationItems":[{"id":9364,"uris":["http://zotero.org/users/7663102/items/N762YITY"],"itemData":{"id":9364,"type":"article-journal","abstract":"Background\nSalmonella enterica serotype Typhi (S Typhi) is a major public health problem in low-income and middle-income countries. We aimed to investigate the effectiveness and impact of the typhoid conjugate vaccine Typbar-TCV against S Typhi among children in an outbreak setting of extensively drug-resistant (XDR) S Typhi in Pakistan.\n\nMethods\nThis cohort study was done from Feb 21, 2018, to Dec 31, 2019. A census survey of all households located in the Qasimabad and Latifabad subdistricts of Hyderabad, Pakistan, was done at baseline, and 174</w:instrText>
      </w:r>
      <w:r w:rsidR="009F391F">
        <w:rPr>
          <w:rFonts w:ascii="Arial" w:hAnsi="Arial" w:cs="Arial"/>
          <w:color w:val="242424"/>
        </w:rPr>
        <w:instrText> </w:instrText>
      </w:r>
      <w:r w:rsidR="009F391F">
        <w:rPr>
          <w:rFonts w:asciiTheme="minorHAnsi" w:hAnsiTheme="minorHAnsi" w:cs="Calibri"/>
          <w:color w:val="242424"/>
        </w:rPr>
        <w:instrText>005 households were registered in the census. The Typbar-TCV immunisation campaign was initiated at temporary vaccination centres and 207</w:instrText>
      </w:r>
      <w:r w:rsidR="009F391F">
        <w:rPr>
          <w:rFonts w:ascii="Arial" w:hAnsi="Arial" w:cs="Arial"/>
          <w:color w:val="242424"/>
        </w:rPr>
        <w:instrText> </w:instrText>
      </w:r>
      <w:r w:rsidR="009F391F">
        <w:rPr>
          <w:rFonts w:asciiTheme="minorHAnsi" w:hAnsiTheme="minorHAnsi" w:cs="Calibri"/>
          <w:color w:val="242424"/>
        </w:rPr>
        <w:instrText>000 children aged 6 months to 10 years were vaccinated from Feb 21, 2018, to Dec 31, 2018. Social mobilisers informed parents about the vaccination process. Vaccination records were maintained electronically and linked with the household census surveys. Active surveillance for suspected and blood-culture-confirmed S Typhi was established in hospitals, clinics, and laboratories to assess the following outcomes: cases of suspected typhoid fever, culture-confirmed S Typhi, and antimicrobial resistance. An age-stratified cohort of 1100 vaccinated children was randomly selected from the vaccination registry, tested for Vi-IgG antibodies (data not reported), and followed up fortnightly (via telephone calls or household visits) until Dec 31, 2019, for ascertainment of outcomes during the study period. 20</w:instrText>
      </w:r>
      <w:r w:rsidR="009F391F">
        <w:rPr>
          <w:rFonts w:ascii="Arial" w:hAnsi="Arial" w:cs="Arial"/>
          <w:color w:val="242424"/>
        </w:rPr>
        <w:instrText> </w:instrText>
      </w:r>
      <w:r w:rsidR="009F391F">
        <w:rPr>
          <w:rFonts w:asciiTheme="minorHAnsi" w:hAnsiTheme="minorHAnsi" w:cs="Calibri"/>
          <w:color w:val="242424"/>
        </w:rPr>
        <w:instrText>847 vaccinated and unvaccinated children were randomly selected from the census registry as a quality control cohort and followed up from Oct 1 to Dec 31, 2019, for ascertainment of outcomes. Vaccine effectiveness against suspected, culture-confirmed, and XDR S Typhi was calculated.\n\nFindings\n23</w:instrText>
      </w:r>
      <w:r w:rsidR="009F391F">
        <w:rPr>
          <w:rFonts w:ascii="Arial" w:hAnsi="Arial" w:cs="Arial"/>
          <w:color w:val="242424"/>
        </w:rPr>
        <w:instrText> </w:instrText>
      </w:r>
      <w:r w:rsidR="009F391F">
        <w:rPr>
          <w:rFonts w:asciiTheme="minorHAnsi" w:hAnsiTheme="minorHAnsi" w:cs="Calibri"/>
          <w:color w:val="242424"/>
        </w:rPr>
        <w:instrText>407 children from the census registry and surveillance system were included in the vaccine effectiveness analysis. 13</w:instrText>
      </w:r>
      <w:r w:rsidR="009F391F">
        <w:rPr>
          <w:rFonts w:ascii="Arial" w:hAnsi="Arial" w:cs="Arial"/>
          <w:color w:val="242424"/>
        </w:rPr>
        <w:instrText> </w:instrText>
      </w:r>
      <w:r w:rsidR="009F391F">
        <w:rPr>
          <w:rFonts w:asciiTheme="minorHAnsi" w:hAnsiTheme="minorHAnsi" w:cs="Calibri"/>
          <w:color w:val="242424"/>
        </w:rPr>
        <w:instrText>436 (57</w:instrText>
      </w:r>
      <w:r w:rsidR="009F391F">
        <w:rPr>
          <w:color w:val="242424"/>
        </w:rPr>
        <w:instrText>·</w:instrText>
      </w:r>
      <w:r w:rsidR="009F391F">
        <w:rPr>
          <w:rFonts w:asciiTheme="minorHAnsi" w:hAnsiTheme="minorHAnsi" w:cs="Calibri"/>
          <w:color w:val="242424"/>
        </w:rPr>
        <w:instrText>4%) children were vaccinated, 12</w:instrText>
      </w:r>
      <w:r w:rsidR="009F391F">
        <w:rPr>
          <w:rFonts w:ascii="Arial" w:hAnsi="Arial" w:cs="Arial"/>
          <w:color w:val="242424"/>
        </w:rPr>
        <w:instrText> </w:instrText>
      </w:r>
      <w:r w:rsidR="009F391F">
        <w:rPr>
          <w:rFonts w:asciiTheme="minorHAnsi" w:hAnsiTheme="minorHAnsi" w:cs="Calibri"/>
          <w:color w:val="242424"/>
        </w:rPr>
        <w:instrText>214 (52</w:instrText>
      </w:r>
      <w:r w:rsidR="009F391F">
        <w:rPr>
          <w:color w:val="242424"/>
        </w:rPr>
        <w:instrText>·</w:instrText>
      </w:r>
      <w:r w:rsidR="009F391F">
        <w:rPr>
          <w:rFonts w:asciiTheme="minorHAnsi" w:hAnsiTheme="minorHAnsi" w:cs="Calibri"/>
          <w:color w:val="242424"/>
        </w:rPr>
        <w:instrText>2%) were male, and 10</w:instrText>
      </w:r>
      <w:r w:rsidR="009F391F">
        <w:rPr>
          <w:rFonts w:ascii="Arial" w:hAnsi="Arial" w:cs="Arial"/>
          <w:color w:val="242424"/>
        </w:rPr>
        <w:instrText> </w:instrText>
      </w:r>
      <w:r w:rsidR="009F391F">
        <w:rPr>
          <w:rFonts w:asciiTheme="minorHAnsi" w:hAnsiTheme="minorHAnsi" w:cs="Calibri"/>
          <w:color w:val="242424"/>
        </w:rPr>
        <w:instrText>168 (43</w:instrText>
      </w:r>
      <w:r w:rsidR="009F391F">
        <w:rPr>
          <w:color w:val="242424"/>
        </w:rPr>
        <w:instrText>·</w:instrText>
      </w:r>
      <w:r w:rsidR="009F391F">
        <w:rPr>
          <w:rFonts w:asciiTheme="minorHAnsi" w:hAnsiTheme="minorHAnsi" w:cs="Calibri"/>
          <w:color w:val="242424"/>
        </w:rPr>
        <w:instrText>4%) were aged 6</w:instrText>
      </w:r>
      <w:r w:rsidR="009F391F">
        <w:rPr>
          <w:color w:val="242424"/>
        </w:rPr>
        <w:instrText>–</w:instrText>
      </w:r>
      <w:r w:rsidR="009F391F">
        <w:rPr>
          <w:rFonts w:asciiTheme="minorHAnsi" w:hAnsiTheme="minorHAnsi" w:cs="Calibri"/>
          <w:color w:val="242424"/>
        </w:rPr>
        <w:instrText>59 months. 5378 (23</w:instrText>
      </w:r>
      <w:r w:rsidR="009F391F">
        <w:rPr>
          <w:color w:val="242424"/>
        </w:rPr>
        <w:instrText>·</w:instrText>
      </w:r>
      <w:r w:rsidR="009F391F">
        <w:rPr>
          <w:rFonts w:asciiTheme="minorHAnsi" w:hAnsiTheme="minorHAnsi" w:cs="Calibri"/>
          <w:color w:val="242424"/>
        </w:rPr>
        <w:instrText>0%) of 23</w:instrText>
      </w:r>
      <w:r w:rsidR="009F391F">
        <w:rPr>
          <w:rFonts w:ascii="Arial" w:hAnsi="Arial" w:cs="Arial"/>
          <w:color w:val="242424"/>
        </w:rPr>
        <w:instrText> </w:instrText>
      </w:r>
      <w:r w:rsidR="009F391F">
        <w:rPr>
          <w:rFonts w:asciiTheme="minorHAnsi" w:hAnsiTheme="minorHAnsi" w:cs="Calibri"/>
          <w:color w:val="242424"/>
        </w:rPr>
        <w:instrText>407 children had suspected S Typhi, among whom 775 (14</w:instrText>
      </w:r>
      <w:r w:rsidR="009F391F">
        <w:rPr>
          <w:color w:val="242424"/>
        </w:rPr>
        <w:instrText>·</w:instrText>
      </w:r>
      <w:r w:rsidR="009F391F">
        <w:rPr>
          <w:rFonts w:asciiTheme="minorHAnsi" w:hAnsiTheme="minorHAnsi" w:cs="Calibri"/>
          <w:color w:val="242424"/>
        </w:rPr>
        <w:instrText>4%) had culture-confirmed S Typhi and 361 (68</w:instrText>
      </w:r>
      <w:r w:rsidR="009F391F">
        <w:rPr>
          <w:color w:val="242424"/>
        </w:rPr>
        <w:instrText>·</w:instrText>
      </w:r>
      <w:r w:rsidR="009F391F">
        <w:rPr>
          <w:rFonts w:asciiTheme="minorHAnsi" w:hAnsiTheme="minorHAnsi" w:cs="Calibri"/>
          <w:color w:val="242424"/>
        </w:rPr>
        <w:instrText>6%) of 526 had XDR S Typhi. Vaccine effectiveness was 55% (95% CI 52</w:instrText>
      </w:r>
      <w:r w:rsidR="009F391F">
        <w:rPr>
          <w:color w:val="242424"/>
        </w:rPr>
        <w:instrText>–</w:instrText>
      </w:r>
      <w:r w:rsidR="009F391F">
        <w:rPr>
          <w:rFonts w:asciiTheme="minorHAnsi" w:hAnsiTheme="minorHAnsi" w:cs="Calibri"/>
          <w:color w:val="242424"/>
        </w:rPr>
        <w:instrText xml:space="preserve">57) against suspected S Typhi (regardless of culture confirmation), 95% (93–96) against culture-confirmed S Typhi, and 97% (95–98) against XDR S Typhi.\n\nInterpretation\nTypbar-TCV is effective in protecting children against S Typhi infection in an outbreak setting, and was able, with moderate deployment, to curtail a major XDR S Typhi outbreak in a densely populated setting. The vaccine shows efficacy against S Typhi irrespective of antimicrobial resistance.\n\nFunding\nBill &amp; Melinda Gates Foundation.","container-title":"The Lancet. Global Health","DOI":"10.1016/S2214-109X(21)00255-2","ISSN":"2214-109X","issue":"8","journalAbbreviation":"Lancet Glob Health","note":"PMID: 34297962\nPMCID: PMC8315145","page":"e1154-e1162","source":"PubMed Central","title":"Effectiveness of typhoid conjugate vaccine against culture-confirmed Salmonella enterica serotype Typhi in an extensively drug-resistant outbreak setting of Hyderabad, Pakistan: a cohort study","title-short":"Effectiveness of typhoid conjugate vaccine against culture-confirmed Salmonella enterica serotype Typhi in an extensively drug-resistant outbreak setting of Hyderabad, Pakistan","volume":"9","author":[{"family":"Yousafzai","given":"Mohammad Tahir"},{"family":"Karim","given":"Sultan"},{"family":"Qureshi","given":"Sonia"},{"family":"Kazi","given":"Momin"},{"family":"Memon","given":"Hina"},{"family":"Junejo","given":"Amber"},{"family":"Khawaja","given":"Zohra"},{"family":"Ur Rehman","given":"Najeeb"},{"family":"Ansari","given":"Muhammad Sajid"},{"family":"Ali","given":"Rafey"},{"family":"Ujjan","given":"Ikram Uddin"},{"family":"Lohana","given":"Heera Mani"},{"family":"Memon","given":"Naveed M"},{"family":"Hussain","given":"Mudassar"},{"family":"Nigar","given":"Roohi"},{"family":"Bar-Zeev","given":"Naor"},{"family":"Qamar","given":"Farah Naz"}],"issued":{"date-parts":[["2021",7,21]]}}},{"id":11699,"uris":["http://zotero.org/users/7663102/items/PIZ3D5SZ"],"itemData":{"id":11699,"type":"article-journal","abstract":"BACKGROUND: Enteric fever, caused by Salmonella Typhi and S. Paratyphi, is a cause of high morbidity and mortality among children in South Asia. Rising antimicrobial resistance presents an additional challenge. Typhoid Conjugate Vaccines (TCV) are recommended by the World Health Organization for use among people 6 months to 45 years old living in endemic settings. This study aimed to assess the effectiveness of TCV against culture-confirmed S. Typhi in Lyari Town, Karachi, Pakistan. This peri-urban town was one of the worst affected by the outbreak of extensively drug resistant (XDR) typhoid that started in November 2016.\nMETHODS: A matched case-control study was conducted following a mass immunization campaign with TCV at three key hospitals in Lyari Town Karachi, Pakistan. Children aged 6 months to 15 years presenting with culture-confirmed S. Typhi were enrolled as cases. For each case, at least 1 age-matched hospital control and two age-matched community controls were enrolled. Adjusted odds ratios with 95% confidence intervals (CIs) were calculated using conditional logistic regression.\nRESULTS: Of 82 typhoid fever patients enrolled from August 2019 through December 2019, 8 (9·8%) had received vaccine for typhoid. Of the 164 community controls and 82 hospital controls enrolled, 38 (23·2%) community controls and 27 (32·9%) hospital controls were vaccinated for typhoid. The age and sex-adjusted vaccine effectiveness was found to be 72% (95% CI: 34% - 88%). The consumption of meals prepared outside home more than once per month (adjusted odds ratio: 3·72, 95% CI: 1·55- 8·94; p-value: 0·003) was associated with the development of culture-confirmed typhoid.\nCONCLUSION: A single dose of TCV is effective against culture confirmed typhoid among children aged 6 months to 15 years old in an XDR typhoid outbreak setting of a peri-urban community in Karachi, Pakistan.","container-title":"Vaccine","DOI":"10.1016/j.vaccine.2021.08.051","ISSN":"1873-2518","issue":"40","journalAbbreviation":"Vaccine","language":"eng","note":"PMID: 34465474","page":"5858-5865","source":"PubMed","title":"Effectiveness of typhoid conjugate vaccine against culture-confirmed typhoid in a peri-urban setting in Karachi: A case-control study","title-short":"Effectiveness of typhoid conjugate vaccine against culture-confirmed typhoid in a peri-urban setting in Karachi","volume":"39","author":[{"family":"Batool","given":"Rabab"},{"family":"Tahir Yousafzai","given":"Mohammad"},{"family":"Qureshi","given":"Sonia"},{"family":"Ali","given":"Miqdad"},{"family":"Sadaf","given":"Tahira"},{"family":"Mehmood","given":"Junaid"},{"family":"Ashorn","given":"Per"},{"family":"Naz Qamar","given":"Farah"}],"issued":{"date-parts":[["2021",9,24]]}}}],"schema":"https://github.com/citation-style-language/schema/raw/master/csl-citation.json"} </w:instrText>
      </w:r>
      <w:r w:rsidR="007056AF" w:rsidRPr="0021357D">
        <w:rPr>
          <w:rFonts w:asciiTheme="minorHAnsi" w:hAnsiTheme="minorHAnsi" w:cs="Calibri"/>
          <w:color w:val="242424"/>
        </w:rPr>
        <w:fldChar w:fldCharType="separate"/>
      </w:r>
      <w:r w:rsidR="009F391F" w:rsidRPr="009F391F">
        <w:t>(10,11)</w:t>
      </w:r>
      <w:r w:rsidR="007056AF" w:rsidRPr="0021357D">
        <w:rPr>
          <w:rFonts w:asciiTheme="minorHAnsi" w:hAnsiTheme="minorHAnsi" w:cs="Calibri"/>
          <w:color w:val="242424"/>
        </w:rPr>
        <w:fldChar w:fldCharType="end"/>
      </w:r>
      <w:r w:rsidR="00282E23">
        <w:rPr>
          <w:rFonts w:asciiTheme="minorHAnsi" w:hAnsiTheme="minorHAnsi" w:cs="Calibri" w:hint="eastAsia"/>
          <w:color w:val="242424"/>
        </w:rPr>
        <w:t xml:space="preserve">. </w:t>
      </w:r>
      <w:r w:rsidR="0085299B" w:rsidRPr="00274614">
        <w:rPr>
          <w:rFonts w:asciiTheme="minorHAnsi" w:hAnsiTheme="minorHAnsi" w:cs="Calibri"/>
          <w:color w:val="242424"/>
        </w:rPr>
        <w:t>As of February 2024, three TCVs</w:t>
      </w:r>
      <w:r w:rsidR="001573CD">
        <w:rPr>
          <w:rFonts w:asciiTheme="minorHAnsi" w:hAnsiTheme="minorHAnsi" w:cs="Calibri"/>
          <w:color w:val="242424"/>
        </w:rPr>
        <w:t>—</w:t>
      </w:r>
    </w:p>
    <w:p w14:paraId="27DFB0B7" w14:textId="35B2C4D8" w:rsidR="001573CD" w:rsidRDefault="006C7737" w:rsidP="00282E23">
      <w:pPr>
        <w:pStyle w:val="NormalWeb"/>
        <w:shd w:val="clear" w:color="auto" w:fill="FFFFFF"/>
        <w:rPr>
          <w:rFonts w:asciiTheme="minorHAnsi" w:hAnsiTheme="minorHAnsi" w:cs="Calibri"/>
          <w:color w:val="242424"/>
        </w:rPr>
      </w:pPr>
      <w:proofErr w:type="spellStart"/>
      <w:r w:rsidRPr="00274614">
        <w:rPr>
          <w:rFonts w:asciiTheme="minorHAnsi" w:hAnsiTheme="minorHAnsi" w:cs="Calibri"/>
          <w:color w:val="242424"/>
        </w:rPr>
        <w:t>Typbar</w:t>
      </w:r>
      <w:proofErr w:type="spellEnd"/>
      <w:r w:rsidRPr="00274614">
        <w:rPr>
          <w:rFonts w:asciiTheme="minorHAnsi" w:hAnsiTheme="minorHAnsi" w:cs="Calibri"/>
          <w:color w:val="242424"/>
        </w:rPr>
        <w:t xml:space="preserve">-TCV (Bharat Biotech), TYPHIBEV (Biological E), and </w:t>
      </w:r>
      <w:proofErr w:type="spellStart"/>
      <w:r w:rsidRPr="00274614">
        <w:rPr>
          <w:rFonts w:asciiTheme="minorHAnsi" w:hAnsiTheme="minorHAnsi" w:cs="Calibri"/>
          <w:color w:val="242424"/>
        </w:rPr>
        <w:t>SKYTyphoid</w:t>
      </w:r>
      <w:proofErr w:type="spellEnd"/>
      <w:r w:rsidRPr="00274614">
        <w:rPr>
          <w:rFonts w:asciiTheme="minorHAnsi" w:hAnsiTheme="minorHAnsi" w:cs="Calibri"/>
          <w:color w:val="242424"/>
        </w:rPr>
        <w:t xml:space="preserve"> (SK Bioscience)</w:t>
      </w:r>
      <w:r w:rsidR="001573CD">
        <w:rPr>
          <w:rFonts w:asciiTheme="minorHAnsi" w:hAnsiTheme="minorHAnsi" w:cs="Calibri"/>
          <w:color w:val="242424"/>
        </w:rPr>
        <w:t>—</w:t>
      </w:r>
    </w:p>
    <w:p w14:paraId="1ECCE085" w14:textId="263656E1" w:rsidR="007F74D2" w:rsidRDefault="0085299B" w:rsidP="00282E23">
      <w:pPr>
        <w:pStyle w:val="NormalWeb"/>
        <w:shd w:val="clear" w:color="auto" w:fill="FFFFFF"/>
        <w:rPr>
          <w:rFonts w:asciiTheme="minorHAnsi" w:hAnsiTheme="minorHAnsi" w:cs="Calibri"/>
          <w:color w:val="242424"/>
        </w:rPr>
      </w:pPr>
      <w:r w:rsidRPr="00274614">
        <w:rPr>
          <w:rFonts w:asciiTheme="minorHAnsi" w:hAnsiTheme="minorHAnsi" w:cs="Calibri"/>
          <w:color w:val="242424"/>
        </w:rPr>
        <w:t>have been prequalified by WHO</w:t>
      </w:r>
      <w:r w:rsidRPr="00274614">
        <w:rPr>
          <w:rFonts w:asciiTheme="minorHAnsi" w:hAnsiTheme="minorHAnsi"/>
        </w:rPr>
        <w:t xml:space="preserve"> and are therefore eligible for </w:t>
      </w:r>
      <w:r w:rsidRPr="00274614">
        <w:rPr>
          <w:rFonts w:asciiTheme="minorHAnsi" w:hAnsiTheme="minorHAnsi" w:cs="Calibri"/>
          <w:color w:val="242424"/>
        </w:rPr>
        <w:t>public procurement by UN organizations. Multiple LMICs</w:t>
      </w:r>
      <w:r w:rsidR="00830409">
        <w:rPr>
          <w:rFonts w:asciiTheme="minorHAnsi" w:hAnsiTheme="minorHAnsi" w:cs="Calibri" w:hint="eastAsia"/>
          <w:color w:val="242424"/>
        </w:rPr>
        <w:t xml:space="preserve"> including Pakistan, Nepal, Zimbabwe, Liberia, ana Samoa</w:t>
      </w:r>
      <w:r w:rsidRPr="00274614">
        <w:rPr>
          <w:rFonts w:asciiTheme="minorHAnsi" w:hAnsiTheme="minorHAnsi" w:cs="Calibri"/>
          <w:color w:val="242424"/>
        </w:rPr>
        <w:t xml:space="preserve">, with Gavi’s support, have introduced typhoid conjugate vaccines in their routine immunization programs along with catch-up campaigns </w:t>
      </w:r>
      <w:r w:rsidRPr="00274614">
        <w:rPr>
          <w:rFonts w:asciiTheme="minorHAnsi" w:hAnsiTheme="minorHAnsi" w:cs="Calibri"/>
          <w:color w:val="242424"/>
        </w:rPr>
        <w:fldChar w:fldCharType="begin"/>
      </w:r>
      <w:r w:rsidR="00F23C2F">
        <w:rPr>
          <w:rFonts w:asciiTheme="minorHAnsi" w:hAnsiTheme="minorHAnsi" w:cs="Calibri"/>
          <w:color w:val="242424"/>
        </w:rPr>
        <w:instrText xml:space="preserve"> ADDIN ZOTERO_ITEM CSL_CITATION {"citationID":"j0LCd9LD","properties":{"formattedCitation":"(12)","plainCitation":"(12)","noteIndex":0},"citationItems":[{"id":9266,"uris":["http://zotero.org/users/7663102/items/N7BYG2FA"],"itemData":{"id":9266,"type":"article-journal","abstract":"Typhoid fever, an acute febrile illness caused by Salmonella enterica serovar Typhi (S. Typhi), is endemic in many low- and middle-income countries(†) (1). In  2015, an estimated 11-21 million typhoid fever cases and 148,000-161,000  associated deaths occurred worldwide (2). Effective prevention strategies include  improved access to and use of infrastructure supporting safe water, sanitation,  and hygiene (WASH); health education; and vaccination (1). The World Health  Organization (WHO) recommends programmatic use of typhoid conjugate vaccines for  typhoid fever control and prioritization of vaccine introduction in countries  with the highest typhoid fever incidence or high prevalence of  antimicrobial-resistant S. Typhi (1). This report describes typhoid fever  surveillance, incidence estimates, and the status of typhoid conjugate vaccine  introduction during 2018-2022. Because routine surveillance for typhoid fever has  low sensitivity, population-based studies have guided estimates of case counts  and incidence in 10 countries since 2016 (3-6). In 2019, an updated modeling  study estimated that 9.2 million (95% CI = 5.9-14.1) typhoid fever cases and  110,000 (95% CI = 53,000-191,000) deaths occurred worldwide, with the highest  estimated incidence in the WHO South-East Asian (306 cases per 100,000 persons),  Eastern Mediterranean (187), and African (111) regions (7). Since 2018, five  countries (Liberia, Nepal, Pakistan, Samoa [based on self-assessment], and  Zimbabwe) with </w:instrText>
      </w:r>
      <w:r w:rsidR="00F23C2F">
        <w:rPr>
          <w:rFonts w:asciiTheme="minorHAnsi" w:hAnsiTheme="minorHAnsi" w:cs="Calibri" w:hint="eastAsia"/>
          <w:color w:val="242424"/>
        </w:rPr>
        <w:instrText>estimated high typhoid fever incidence (</w:instrText>
      </w:r>
      <w:r w:rsidR="00F23C2F">
        <w:rPr>
          <w:rFonts w:asciiTheme="minorHAnsi" w:hAnsiTheme="minorHAnsi" w:cs="Calibri" w:hint="eastAsia"/>
          <w:color w:val="242424"/>
        </w:rPr>
        <w:instrText>≥</w:instrText>
      </w:r>
      <w:r w:rsidR="00F23C2F">
        <w:rPr>
          <w:rFonts w:asciiTheme="minorHAnsi" w:hAnsiTheme="minorHAnsi" w:cs="Calibri" w:hint="eastAsia"/>
          <w:color w:val="242424"/>
        </w:rPr>
        <w:instrText xml:space="preserve">100 cases per 100,000  population per year) (8), high antimicrobial resistance prevalence, or recent  outbreaks introduced typhoid conjugate vaccines into their routine immunization  programs (2). To guide vaccine </w:instrText>
      </w:r>
      <w:r w:rsidR="00F23C2F">
        <w:rPr>
          <w:rFonts w:asciiTheme="minorHAnsi" w:hAnsiTheme="minorHAnsi" w:cs="Calibri"/>
          <w:color w:val="242424"/>
        </w:rPr>
        <w:instrText xml:space="preserve">introduction decisions, countries should consider  all available information, including surveillance of laboratory-confirmed cases,  population-based and modeling studies, and outbreak reports. Establishing and  strengthening typhoid fever surveillance will be important to measure vaccine  impact.","container-title":"MMWR. Morbidity and mortality weekly report","DOI":"10.15585/mmwr.mm7207a2","ISSN":"1545-861X 0149-2195","issue":"7","journalAbbreviation":"MMWR Morb Mortal Wkly Rep","language":"eng","note":"publisher-place: United States\nPMID: 36795626 \nPMCID: PMC9949843","page":"171-176","title":"Typhoid Fever Surveillance, Incidence Estimates, and Progress Toward Typhoid Conjugate Vaccine Introduction - Worldwide, 2018-2022.","volume":"72","author":[{"family":"Hancuh","given":"Molly"},{"family":"Walldorf","given":"Jenny"},{"family":"Minta","given":"Anna A."},{"family":"Tevi-Benissan","given":"Carol"},{"family":"Christian","given":"Kira A."},{"family":"Nedelec","given":"Yoann"},{"family":"Heitzinger","given":"Kristen"},{"family":"Mikoleit","given":"Matthew"},{"family":"Tiffany","given":"Amanda"},{"family":"Bentsi-Enchill","given":"Adwoa D."},{"family":"Breakwell","given":"Lucy"}],"issued":{"date-parts":[["2023",2,17]]}}}],"schema":"https://github.com/citation-style-language/schema/raw/master/csl-citation.json"} </w:instrText>
      </w:r>
      <w:r w:rsidRPr="00274614">
        <w:rPr>
          <w:rFonts w:asciiTheme="minorHAnsi" w:hAnsiTheme="minorHAnsi" w:cs="Calibri"/>
          <w:color w:val="242424"/>
        </w:rPr>
        <w:fldChar w:fldCharType="separate"/>
      </w:r>
      <w:r w:rsidR="00F23C2F" w:rsidRPr="00F23C2F">
        <w:t>(12)</w:t>
      </w:r>
      <w:r w:rsidRPr="00274614">
        <w:rPr>
          <w:rFonts w:asciiTheme="minorHAnsi" w:hAnsiTheme="minorHAnsi" w:cs="Calibri"/>
          <w:color w:val="242424"/>
        </w:rPr>
        <w:fldChar w:fldCharType="end"/>
      </w:r>
      <w:r w:rsidRPr="00274614">
        <w:rPr>
          <w:rFonts w:asciiTheme="minorHAnsi" w:hAnsiTheme="minorHAnsi" w:cs="Calibri"/>
          <w:color w:val="242424"/>
        </w:rPr>
        <w:t>.</w:t>
      </w:r>
    </w:p>
    <w:p w14:paraId="584F0933" w14:textId="77777777" w:rsidR="007F74D2" w:rsidRDefault="007F74D2" w:rsidP="00282E23">
      <w:pPr>
        <w:pStyle w:val="NormalWeb"/>
        <w:shd w:val="clear" w:color="auto" w:fill="FFFFFF"/>
        <w:rPr>
          <w:rFonts w:asciiTheme="minorHAnsi" w:hAnsiTheme="minorHAnsi" w:cs="Calibri"/>
          <w:color w:val="242424"/>
        </w:rPr>
      </w:pPr>
    </w:p>
    <w:p w14:paraId="7BBC7D3A" w14:textId="344013AD" w:rsidR="006C7737" w:rsidRDefault="00282E23" w:rsidP="00830409">
      <w:pPr>
        <w:pStyle w:val="NormalWeb"/>
        <w:shd w:val="clear" w:color="auto" w:fill="FFFFFF"/>
        <w:rPr>
          <w:rFonts w:asciiTheme="minorHAnsi" w:hAnsiTheme="minorHAnsi" w:cs="Calibri"/>
          <w:color w:val="242424"/>
        </w:rPr>
      </w:pPr>
      <w:r w:rsidRPr="00274614">
        <w:rPr>
          <w:rFonts w:asciiTheme="minorHAnsi" w:hAnsiTheme="minorHAnsi" w:cs="Calibri"/>
          <w:color w:val="242424"/>
        </w:rPr>
        <w:t xml:space="preserve">While WHO recommends the use of TCVs </w:t>
      </w:r>
      <w:r w:rsidR="006C7737">
        <w:rPr>
          <w:rFonts w:asciiTheme="minorHAnsi" w:hAnsiTheme="minorHAnsi" w:cs="Calibri" w:hint="eastAsia"/>
          <w:color w:val="242424"/>
        </w:rPr>
        <w:t>during</w:t>
      </w:r>
      <w:r w:rsidRPr="00274614">
        <w:rPr>
          <w:rFonts w:asciiTheme="minorHAnsi" w:hAnsiTheme="minorHAnsi" w:cs="Calibri"/>
          <w:color w:val="242424"/>
        </w:rPr>
        <w:t xml:space="preserve"> confirmed outbreaks of typhoid fever, data on </w:t>
      </w:r>
      <w:r w:rsidR="00F23C2F">
        <w:rPr>
          <w:rFonts w:asciiTheme="minorHAnsi" w:hAnsiTheme="minorHAnsi" w:cs="Calibri" w:hint="eastAsia"/>
          <w:color w:val="242424"/>
        </w:rPr>
        <w:t>the</w:t>
      </w:r>
      <w:r w:rsidR="006C7737">
        <w:rPr>
          <w:rFonts w:asciiTheme="minorHAnsi" w:hAnsiTheme="minorHAnsi" w:cs="Calibri" w:hint="eastAsia"/>
          <w:color w:val="242424"/>
        </w:rPr>
        <w:t>ir</w:t>
      </w:r>
      <w:r w:rsidR="00F23C2F">
        <w:rPr>
          <w:rFonts w:asciiTheme="minorHAnsi" w:hAnsiTheme="minorHAnsi" w:cs="Calibri" w:hint="eastAsia"/>
          <w:color w:val="242424"/>
        </w:rPr>
        <w:t xml:space="preserve"> </w:t>
      </w:r>
      <w:r w:rsidRPr="00274614">
        <w:rPr>
          <w:rFonts w:asciiTheme="minorHAnsi" w:hAnsiTheme="minorHAnsi" w:cs="Calibri"/>
          <w:color w:val="242424"/>
        </w:rPr>
        <w:t xml:space="preserve">value </w:t>
      </w:r>
      <w:r w:rsidR="006C7737">
        <w:rPr>
          <w:rFonts w:asciiTheme="minorHAnsi" w:hAnsiTheme="minorHAnsi" w:cs="Calibri" w:hint="eastAsia"/>
          <w:color w:val="242424"/>
        </w:rPr>
        <w:t xml:space="preserve">in outbreak response </w:t>
      </w:r>
      <w:r w:rsidRPr="00274614">
        <w:rPr>
          <w:rFonts w:asciiTheme="minorHAnsi" w:hAnsiTheme="minorHAnsi" w:cs="Calibri"/>
          <w:color w:val="242424"/>
        </w:rPr>
        <w:t>is limited</w:t>
      </w:r>
      <w:r w:rsidR="00F23C2F">
        <w:rPr>
          <w:rFonts w:asciiTheme="minorHAnsi" w:hAnsiTheme="minorHAnsi" w:cs="Calibri" w:hint="eastAsia"/>
          <w:color w:val="242424"/>
        </w:rPr>
        <w:t xml:space="preserve"> </w:t>
      </w:r>
      <w:r w:rsidRPr="00274614">
        <w:rPr>
          <w:rFonts w:asciiTheme="minorHAnsi" w:hAnsiTheme="minorHAnsi" w:cs="Calibri"/>
          <w:color w:val="242424"/>
        </w:rPr>
        <w:fldChar w:fldCharType="begin"/>
      </w:r>
      <w:r w:rsidR="00F23C2F">
        <w:rPr>
          <w:rFonts w:asciiTheme="minorHAnsi" w:hAnsiTheme="minorHAnsi" w:cs="Calibri"/>
          <w:color w:val="242424"/>
        </w:rPr>
        <w:instrText xml:space="preserve"> ADDIN ZOTERO_ITEM CSL_CITATION {"citationID":"rjuSUzOt","properties":{"formattedCitation":"(6)","plainCitation":"(6)","noteIndex":0},"citationItems":[{"id":11707,"uris":["http://zotero.org/users/7663102/items/6KXBWJZB"],"itemData":{"id":11707,"type":"article-journal","abstract":"This article presented the World Health Organization's (WHO) recommendations on the use of Typhoid vaccines excerpted from the Typhoid vaccines: WHO position paper - March 2018 published in the Weekly Epidemiological Record (World Health Organization, 2018) [1]. This position paper replaces the 2008 WHO position paper on typhoid vaccines (WHO, 2008) [2]. It re-emphasizes the importance of vaccination to control typhoid fever and presents the WHO recommendations on the use of a new generation of typhoid conjugate vaccines. Footnotes to this paper provide a number of core references including references to grading tables that assess the quality of the scientific evidence, and to the evidence-to-recommendation tables. In accordance with its mandate to provide guidance to Member States on health policy matters, WHO issues a series of regularly updated position papers on vaccines and combinations of vaccines against diseases that have an international public health impact. These papers are concerned primarily with the use of vaccines in large-scale immunization programmes; they summarize essential background information on diseases and vaccines, and conclude with WHO's current position on the use of vaccines in the global context. Recommendations on the use of cholera vaccines were discussed by the Strategic Advisory Group of Experts (SAGE) in October 2017; evidence presented at these meetings can be accessed at: http://www.who.int/immunization/sage/meetings/2017/October/presentations_background_docs/en/.","container-title":"Vaccine","DOI":"10.1016/j.vaccine.2018.04.022","ISSN":"1873-2518","issue":"2","journalAbbreviation":"Vaccine","language":"eng","note":"PMID: 29661581","page":"214-216","source":"PubMed","title":"Typhoid vaccines: WHO position paper, March 2018 - Recommendations","title-short":"Typhoid vaccines","volume":"37","author":[{"family":"World Health Organization","given":"null"}],"issued":{"date-parts":[["2019",1,7]]}}}],"schema":"https://github.com/citation-style-language/schema/raw/master/csl-citation.json"} </w:instrText>
      </w:r>
      <w:r w:rsidRPr="00274614">
        <w:rPr>
          <w:rFonts w:asciiTheme="minorHAnsi" w:hAnsiTheme="minorHAnsi" w:cs="Calibri"/>
          <w:color w:val="242424"/>
        </w:rPr>
        <w:fldChar w:fldCharType="separate"/>
      </w:r>
      <w:r w:rsidR="00F23C2F" w:rsidRPr="00F23C2F">
        <w:t>(6)</w:t>
      </w:r>
      <w:r w:rsidRPr="00274614">
        <w:rPr>
          <w:rFonts w:asciiTheme="minorHAnsi" w:hAnsiTheme="minorHAnsi" w:cs="Calibri"/>
          <w:color w:val="242424"/>
        </w:rPr>
        <w:fldChar w:fldCharType="end"/>
      </w:r>
      <w:r w:rsidRPr="00274614">
        <w:rPr>
          <w:rFonts w:asciiTheme="minorHAnsi" w:hAnsiTheme="minorHAnsi" w:cs="Calibri"/>
          <w:color w:val="242424"/>
        </w:rPr>
        <w:t xml:space="preserve">. </w:t>
      </w:r>
      <w:r w:rsidR="006C7737">
        <w:rPr>
          <w:rFonts w:asciiTheme="minorHAnsi" w:hAnsiTheme="minorHAnsi" w:cs="Calibri" w:hint="eastAsia"/>
          <w:color w:val="242424"/>
        </w:rPr>
        <w:t xml:space="preserve">Historically, </w:t>
      </w:r>
      <w:r w:rsidR="006C7737" w:rsidRPr="006C7737">
        <w:rPr>
          <w:rFonts w:asciiTheme="minorHAnsi" w:hAnsiTheme="minorHAnsi" w:cs="Calibri"/>
          <w:color w:val="242424"/>
        </w:rPr>
        <w:t>typhoid outbreaks in LMICs, reported from 1989 to 2018, have been large and prolonged</w:t>
      </w:r>
      <w:r w:rsidR="006C7737">
        <w:rPr>
          <w:rFonts w:asciiTheme="minorHAnsi" w:hAnsiTheme="minorHAnsi" w:cs="Calibri" w:hint="eastAsia"/>
          <w:color w:val="242424"/>
        </w:rPr>
        <w:t xml:space="preserve"> </w:t>
      </w:r>
      <w:r w:rsidR="009F391F">
        <w:rPr>
          <w:rFonts w:asciiTheme="minorHAnsi" w:hAnsiTheme="minorHAnsi" w:cs="Calibri"/>
          <w:color w:val="242424"/>
        </w:rPr>
        <w:fldChar w:fldCharType="begin"/>
      </w:r>
      <w:r w:rsidR="009F391F">
        <w:rPr>
          <w:rFonts w:asciiTheme="minorHAnsi" w:hAnsiTheme="minorHAnsi" w:cs="Calibri"/>
          <w:color w:val="242424"/>
        </w:rPr>
        <w:instrText xml:space="preserve"> ADDIN ZOTERO_ITEM CSL_CITATION {"citationID":"pqcdIe8S","properties":{"formattedCitation":"(13)","plainCitation":"(13)","noteIndex":0},"citationItems":[{"id":6725,"uris":["http://zotero.org/users/7663102/items/BIQAMYRN"],"itemData":{"id":6725,"type":"article-journal","abstract":"Typhoid fever remains an important public health problem in low- and middle-income countries, with large outbreaks reported from Africa and Asia. Although the WHO recommends typhoid vaccination for control of confirmed outbreaks, there are limited data on the epidemiologic characteristics of outbreaks to inform vaccine use in outbreak settings. We conducted a literature review for typhoid outbreaks published since 1990. We found 47 publications describing 45,215 cases in outbreaks occurring in 25 countries from 1989 through 2018. Outbreak characteristics varied considerably by WHO region, with median outbreak size ranging from 12 to 1,101 cases, median duration from 23 to 140 days, and median case fatality ratio from 0% to 1%. The largest number of outbreaks occurred in WHO Southeast Asia, 13 (28%), and African regions, 12 (26%). Among 43 outbreaks reporting a mode of disease transmission, 24 (56%) were waterborne, 17 (40%) were foodborne, and two (5%) were by direct contact transmission. Among the 34 outbreaks with antimicrobial resistance data, 11 (32%) reported Typhi non-susceptible to ciprofloxacin, 16 (47%) reported multidrug-resistant (MDR) strains, and one reported extensively drug-resistant strains. Our review showed a longer median duration of outbreaks caused by MDR strains (148 days versus 34 days for susceptible strains), although this difference was not statistically significant. Control strategies focused on water, sanitation, and food safety, with vaccine use described in only six (13%) outbreaks. As typhoid conjugate vaccines become more widely used, their potential role and impact in outbreak control warrant further evaluation.","container-title":"The American Journal of Tropical Medicine and Hygiene","DOI":"10.4269/ajtmh.19-0624","ISSN":"1476-1645","issue":"6","journalAbbreviation":"Am J Trop Med Hyg","language":"eng","page":"1296-1305","source":"PubMed","title":"Typhoid Outbreaks, 1989-2018: Implications for Prevention and Control","title-short":"Typhoid Outbreaks, 1989-2018","volume":"102","author":[{"family":"Appiah","given":"Grace D."},{"family":"Chung","given":"Alexandria"},{"family":"Bentsi-Enchill","given":"Adwoa D."},{"family":"Kim","given":"Sunkyung"},{"family":"Crump","given":"John A."},{"family":"Mogasale","given":"Vittal"},{"family":"Pellegrino","given":"Rachael"},{"family":"Slayton","given":"Rachel B."},{"family":"Mintz","given":"Eric D."}],"issued":{"date-parts":[["2020",6]]}}}],"schema":"https://github.com/citation-style-language/schema/raw/master/csl-citation.json"} </w:instrText>
      </w:r>
      <w:r w:rsidR="009F391F">
        <w:rPr>
          <w:rFonts w:asciiTheme="minorHAnsi" w:hAnsiTheme="minorHAnsi" w:cs="Calibri"/>
          <w:color w:val="242424"/>
        </w:rPr>
        <w:fldChar w:fldCharType="separate"/>
      </w:r>
      <w:r w:rsidR="009F391F" w:rsidRPr="009F391F">
        <w:t>(13)</w:t>
      </w:r>
      <w:r w:rsidR="009F391F">
        <w:rPr>
          <w:rFonts w:asciiTheme="minorHAnsi" w:hAnsiTheme="minorHAnsi" w:cs="Calibri"/>
          <w:color w:val="242424"/>
        </w:rPr>
        <w:fldChar w:fldCharType="end"/>
      </w:r>
      <w:r w:rsidR="00F23C2F">
        <w:rPr>
          <w:rFonts w:asciiTheme="minorHAnsi" w:hAnsiTheme="minorHAnsi" w:cs="Calibri" w:hint="eastAsia"/>
          <w:color w:val="242424"/>
        </w:rPr>
        <w:t>.</w:t>
      </w:r>
      <w:r w:rsidR="00956F92">
        <w:rPr>
          <w:rFonts w:asciiTheme="minorHAnsi" w:hAnsiTheme="minorHAnsi" w:cs="Calibri" w:hint="eastAsia"/>
          <w:color w:val="242424"/>
        </w:rPr>
        <w:t xml:space="preserve"> This highlights ORVs</w:t>
      </w:r>
      <w:r w:rsidR="00F23C2F">
        <w:rPr>
          <w:rFonts w:asciiTheme="minorHAnsi" w:hAnsiTheme="minorHAnsi" w:cs="Calibri" w:hint="eastAsia"/>
          <w:color w:val="242424"/>
        </w:rPr>
        <w:t xml:space="preserve"> </w:t>
      </w:r>
      <w:r w:rsidR="001573CD">
        <w:rPr>
          <w:rFonts w:asciiTheme="minorHAnsi" w:hAnsiTheme="minorHAnsi" w:cs="Calibri" w:hint="eastAsia"/>
          <w:color w:val="242424"/>
        </w:rPr>
        <w:t xml:space="preserve">can </w:t>
      </w:r>
      <w:r w:rsidR="006C7737" w:rsidRPr="006C7737">
        <w:rPr>
          <w:rFonts w:asciiTheme="minorHAnsi" w:hAnsiTheme="minorHAnsi" w:cs="Calibri"/>
          <w:color w:val="242424"/>
        </w:rPr>
        <w:t>be particularly beneficial in these settings</w:t>
      </w:r>
      <w:r w:rsidR="00956F92">
        <w:rPr>
          <w:rFonts w:asciiTheme="minorHAnsi" w:hAnsiTheme="minorHAnsi" w:cs="Calibri" w:hint="eastAsia"/>
          <w:color w:val="242424"/>
        </w:rPr>
        <w:t xml:space="preserve"> and necessitate</w:t>
      </w:r>
      <w:r w:rsidR="001573CD">
        <w:rPr>
          <w:rFonts w:asciiTheme="minorHAnsi" w:hAnsiTheme="minorHAnsi" w:cs="Calibri" w:hint="eastAsia"/>
          <w:color w:val="242424"/>
        </w:rPr>
        <w:t>s</w:t>
      </w:r>
      <w:r w:rsidR="00956F92">
        <w:rPr>
          <w:rFonts w:asciiTheme="minorHAnsi" w:hAnsiTheme="minorHAnsi" w:cs="Calibri" w:hint="eastAsia"/>
          <w:color w:val="242424"/>
        </w:rPr>
        <w:t xml:space="preserve"> the exploration of </w:t>
      </w:r>
      <w:r w:rsidR="001573CD">
        <w:rPr>
          <w:rFonts w:asciiTheme="minorHAnsi" w:hAnsiTheme="minorHAnsi" w:cs="Calibri" w:hint="eastAsia"/>
          <w:color w:val="242424"/>
        </w:rPr>
        <w:t xml:space="preserve">effective </w:t>
      </w:r>
      <w:r w:rsidR="00956F92">
        <w:rPr>
          <w:rFonts w:asciiTheme="minorHAnsi" w:hAnsiTheme="minorHAnsi" w:cs="Calibri" w:hint="eastAsia"/>
          <w:color w:val="242424"/>
        </w:rPr>
        <w:t>ORV strategies</w:t>
      </w:r>
      <w:r w:rsidR="006C7737" w:rsidRPr="006C7737">
        <w:rPr>
          <w:rFonts w:asciiTheme="minorHAnsi" w:hAnsiTheme="minorHAnsi" w:cs="Calibri"/>
          <w:color w:val="242424"/>
        </w:rPr>
        <w:t xml:space="preserve">. </w:t>
      </w:r>
      <w:r w:rsidR="001573CD">
        <w:rPr>
          <w:rFonts w:asciiTheme="minorHAnsi" w:hAnsiTheme="minorHAnsi" w:cs="Calibri" w:hint="eastAsia"/>
          <w:color w:val="242424"/>
        </w:rPr>
        <w:t>Also, t</w:t>
      </w:r>
      <w:r w:rsidR="006C7737" w:rsidRPr="006C7737">
        <w:rPr>
          <w:rFonts w:asciiTheme="minorHAnsi" w:hAnsiTheme="minorHAnsi" w:cs="Calibri"/>
          <w:color w:val="242424"/>
        </w:rPr>
        <w:t xml:space="preserve">he presence of drug-resistant </w:t>
      </w:r>
      <w:r w:rsidR="006C7737" w:rsidRPr="00956F92">
        <w:rPr>
          <w:rFonts w:asciiTheme="minorHAnsi" w:hAnsiTheme="minorHAnsi" w:cs="Calibri"/>
          <w:i/>
          <w:iCs/>
          <w:color w:val="242424"/>
        </w:rPr>
        <w:t>S</w:t>
      </w:r>
      <w:r w:rsidR="006C7737" w:rsidRPr="006C7737">
        <w:rPr>
          <w:rFonts w:asciiTheme="minorHAnsi" w:hAnsiTheme="minorHAnsi" w:cs="Calibri"/>
          <w:color w:val="242424"/>
        </w:rPr>
        <w:t>. Typhi</w:t>
      </w:r>
      <w:r w:rsidR="001573CD">
        <w:rPr>
          <w:rFonts w:asciiTheme="minorHAnsi" w:hAnsiTheme="minorHAnsi" w:cs="Calibri" w:hint="eastAsia"/>
          <w:color w:val="242424"/>
        </w:rPr>
        <w:t xml:space="preserve">, </w:t>
      </w:r>
      <w:proofErr w:type="spellStart"/>
      <w:r w:rsidR="001573CD">
        <w:rPr>
          <w:rFonts w:asciiTheme="minorHAnsi" w:hAnsiTheme="minorHAnsi" w:cs="Calibri" w:hint="eastAsia"/>
          <w:color w:val="242424"/>
        </w:rPr>
        <w:t>wihch</w:t>
      </w:r>
      <w:proofErr w:type="spellEnd"/>
      <w:r w:rsidR="006C7737" w:rsidRPr="006C7737">
        <w:rPr>
          <w:rFonts w:asciiTheme="minorHAnsi" w:hAnsiTheme="minorHAnsi" w:cs="Calibri"/>
          <w:color w:val="242424"/>
        </w:rPr>
        <w:t xml:space="preserve"> can lead to more severe and longer-lasting outbreaks, underscor</w:t>
      </w:r>
      <w:r w:rsidR="001573CD">
        <w:rPr>
          <w:rFonts w:asciiTheme="minorHAnsi" w:hAnsiTheme="minorHAnsi" w:cs="Calibri" w:hint="eastAsia"/>
          <w:color w:val="242424"/>
        </w:rPr>
        <w:t>es</w:t>
      </w:r>
      <w:r w:rsidR="006C7737" w:rsidRPr="006C7737">
        <w:rPr>
          <w:rFonts w:asciiTheme="minorHAnsi" w:hAnsiTheme="minorHAnsi" w:cs="Calibri"/>
          <w:color w:val="242424"/>
        </w:rPr>
        <w:t xml:space="preserve"> the critical need for effective </w:t>
      </w:r>
      <w:r w:rsidR="00956F92">
        <w:rPr>
          <w:rFonts w:asciiTheme="minorHAnsi" w:hAnsiTheme="minorHAnsi" w:cs="Calibri" w:hint="eastAsia"/>
          <w:color w:val="242424"/>
        </w:rPr>
        <w:t xml:space="preserve">ORV </w:t>
      </w:r>
      <w:r w:rsidR="006C7737" w:rsidRPr="006C7737">
        <w:rPr>
          <w:rFonts w:asciiTheme="minorHAnsi" w:hAnsiTheme="minorHAnsi" w:cs="Calibri"/>
          <w:color w:val="242424"/>
        </w:rPr>
        <w:t>strategies.</w:t>
      </w:r>
    </w:p>
    <w:p w14:paraId="069EF7BA" w14:textId="77777777" w:rsidR="001573CD" w:rsidRDefault="001573CD" w:rsidP="00830409">
      <w:pPr>
        <w:pStyle w:val="NormalWeb"/>
        <w:shd w:val="clear" w:color="auto" w:fill="FFFFFF"/>
        <w:rPr>
          <w:rFonts w:asciiTheme="minorHAnsi" w:hAnsiTheme="minorHAnsi" w:cs="Calibri"/>
          <w:color w:val="242424"/>
        </w:rPr>
      </w:pPr>
    </w:p>
    <w:p w14:paraId="6AB6342E" w14:textId="28A2A326" w:rsidR="001573CD" w:rsidRDefault="001573CD" w:rsidP="00830409">
      <w:pPr>
        <w:pStyle w:val="NormalWeb"/>
        <w:shd w:val="clear" w:color="auto" w:fill="FFFFFF"/>
        <w:rPr>
          <w:rFonts w:asciiTheme="minorHAnsi" w:hAnsiTheme="minorHAnsi" w:cs="Calibri"/>
          <w:color w:val="242424"/>
        </w:rPr>
      </w:pPr>
      <w:r>
        <w:rPr>
          <w:rFonts w:asciiTheme="minorHAnsi" w:hAnsiTheme="minorHAnsi" w:cs="Calibri" w:hint="eastAsia"/>
          <w:color w:val="242424"/>
        </w:rPr>
        <w:t>E</w:t>
      </w:r>
      <w:r>
        <w:rPr>
          <w:rFonts w:asciiTheme="minorHAnsi" w:hAnsiTheme="minorHAnsi" w:cs="Calibri" w:hint="eastAsia"/>
          <w:color w:val="242424"/>
        </w:rPr>
        <w:t>ffective ORV strategies will likely vary by setting and</w:t>
      </w:r>
      <w:r>
        <w:rPr>
          <w:rFonts w:asciiTheme="minorHAnsi" w:hAnsiTheme="minorHAnsi" w:cs="Calibri" w:hint="eastAsia"/>
          <w:color w:val="242424"/>
        </w:rPr>
        <w:t xml:space="preserve"> exploring various options can be facilitated by more detailed epidemiologic information. Few time series data are available </w:t>
      </w:r>
      <w:r w:rsidR="00AF6BF9">
        <w:rPr>
          <w:rFonts w:asciiTheme="minorHAnsi" w:hAnsiTheme="minorHAnsi" w:cs="Calibri" w:hint="eastAsia"/>
          <w:color w:val="242424"/>
        </w:rPr>
        <w:t xml:space="preserve">for </w:t>
      </w:r>
      <w:r>
        <w:rPr>
          <w:rFonts w:asciiTheme="minorHAnsi" w:hAnsiTheme="minorHAnsi" w:cs="Calibri" w:hint="eastAsia"/>
          <w:color w:val="242424"/>
        </w:rPr>
        <w:t xml:space="preserve">existing typhoid outbreaks. </w:t>
      </w:r>
      <w:r w:rsidR="00AF6BF9">
        <w:rPr>
          <w:rFonts w:asciiTheme="minorHAnsi" w:hAnsiTheme="minorHAnsi" w:cs="Calibri" w:hint="eastAsia"/>
          <w:color w:val="242424"/>
        </w:rPr>
        <w:t>The s</w:t>
      </w:r>
      <w:r>
        <w:rPr>
          <w:rFonts w:asciiTheme="minorHAnsi" w:hAnsiTheme="minorHAnsi" w:cs="Calibri" w:hint="eastAsia"/>
          <w:color w:val="242424"/>
        </w:rPr>
        <w:t xml:space="preserve">triking difference </w:t>
      </w:r>
      <w:r>
        <w:rPr>
          <w:rFonts w:asciiTheme="minorHAnsi" w:hAnsiTheme="minorHAnsi" w:cs="Calibri"/>
          <w:color w:val="242424"/>
        </w:rPr>
        <w:t>between</w:t>
      </w:r>
      <w:r>
        <w:rPr>
          <w:rFonts w:asciiTheme="minorHAnsi" w:hAnsiTheme="minorHAnsi" w:cs="Calibri" w:hint="eastAsia"/>
          <w:color w:val="242424"/>
        </w:rPr>
        <w:t xml:space="preserve"> </w:t>
      </w:r>
      <w:r w:rsidRPr="00282E23">
        <w:rPr>
          <w:rFonts w:asciiTheme="minorHAnsi" w:hAnsiTheme="minorHAnsi" w:cs="Calibri"/>
          <w:color w:val="242424"/>
        </w:rPr>
        <w:t>45,215 cases</w:t>
      </w:r>
      <w:r>
        <w:rPr>
          <w:rFonts w:asciiTheme="minorHAnsi" w:hAnsiTheme="minorHAnsi" w:cs="Calibri" w:hint="eastAsia"/>
          <w:color w:val="242424"/>
        </w:rPr>
        <w:t xml:space="preserve"> from</w:t>
      </w:r>
      <w:r w:rsidRPr="00282E23">
        <w:rPr>
          <w:rFonts w:asciiTheme="minorHAnsi" w:hAnsiTheme="minorHAnsi" w:cs="Calibri"/>
          <w:color w:val="242424"/>
        </w:rPr>
        <w:t xml:space="preserve"> 25 countries</w:t>
      </w:r>
      <w:r>
        <w:rPr>
          <w:rFonts w:asciiTheme="minorHAnsi" w:hAnsiTheme="minorHAnsi" w:cs="Calibri" w:hint="eastAsia"/>
          <w:color w:val="242424"/>
        </w:rPr>
        <w:t xml:space="preserve"> reported during outbreak from </w:t>
      </w:r>
      <w:r>
        <w:rPr>
          <w:rStyle w:val="fontstyle01"/>
          <w:rFonts w:asciiTheme="minorHAnsi" w:hAnsiTheme="minorHAnsi" w:hint="eastAsia"/>
          <w:sz w:val="24"/>
          <w:szCs w:val="24"/>
        </w:rPr>
        <w:t>1</w:t>
      </w:r>
      <w:r w:rsidRPr="00DC0CDA">
        <w:rPr>
          <w:rStyle w:val="fontstyle01"/>
          <w:rFonts w:asciiTheme="minorHAnsi" w:hAnsiTheme="minorHAnsi"/>
          <w:sz w:val="24"/>
          <w:szCs w:val="24"/>
        </w:rPr>
        <w:t>989 to 2018</w:t>
      </w:r>
      <w:r>
        <w:rPr>
          <w:rStyle w:val="fontstyle01"/>
          <w:rFonts w:asciiTheme="minorHAnsi" w:hAnsiTheme="minorHAnsi" w:hint="eastAsia"/>
          <w:sz w:val="24"/>
          <w:szCs w:val="24"/>
        </w:rPr>
        <w:t xml:space="preserve"> </w:t>
      </w:r>
      <w:r>
        <w:rPr>
          <w:rStyle w:val="fontstyle01"/>
          <w:rFonts w:asciiTheme="minorHAnsi" w:hAnsiTheme="minorHAnsi"/>
          <w:sz w:val="24"/>
          <w:szCs w:val="24"/>
        </w:rPr>
        <w:fldChar w:fldCharType="begin"/>
      </w:r>
      <w:r>
        <w:rPr>
          <w:rStyle w:val="fontstyle01"/>
          <w:rFonts w:asciiTheme="minorHAnsi" w:hAnsiTheme="minorHAnsi"/>
          <w:sz w:val="24"/>
          <w:szCs w:val="24"/>
        </w:rPr>
        <w:instrText xml:space="preserve"> ADDIN ZOTERO_ITEM CSL_CITATION {"citationID":"f78vQKC1","properties":{"formattedCitation":"(13)","plainCitation":"(13)","noteIndex":0},"citationItems":[{"id":6725,"uris":["http://zotero.org/users/7663102/items/BIQAMYRN"],"itemData":{"id":6725,"type":"article-journal","abstract":"Typhoid fever remains an important public health problem in low- and middle-income countries, with large outbreaks reported from Africa and Asia. Although the WHO recommends typhoid vaccination for control of confirmed outbreaks, there are limited data on the epidemiologic characteristics of outbreaks to inform vaccine use in outbreak settings. We conducted a literature review for typhoid outbreaks published since 1990. We found 47 publications describing 45,215 cases in outbreaks occurring in 25 countries from 1989 through 2018. Outbreak characteristics varied considerably by WHO region, with median outbreak size ranging from 12 to 1,101 cases, median duration from 23 to 140 days, and median case fatality ratio from 0% to 1%. The largest number of outbreaks occurred in WHO Southeast Asia, 13 (28%), and African regions, 12 (26%). Among 43 outbreaks reporting a mode of disease transmission, 24 (56%) were waterborne, 17 (40%) were foodborne, and two (5%) were by direct contact transmission. Among the 34 outbreaks with antimicrobial resistance data, 11 (32%) reported Typhi non-susceptible to ciprofloxacin, 16 (47%) reported multidrug-resistant (MDR) strains, and one reported extensively drug-resistant strains. Our review showed a longer median duration of outbreaks caused by MDR strains (148 days versus 34 days for susceptible strains), although this difference was not statistically significant. Control strategies focused on water, sanitation, and food safety, with vaccine use described in only six (13%) outbreaks. As typhoid conjugate vaccines become more widely used, their potential role and impact in outbreak control warrant further evaluation.","container-title":"The American Journal of Tropical Medicine and Hygiene","DOI":"10.4269/ajtmh.19-0624","ISSN":"1476-1645","issue":"6","journalAbbreviation":"Am J Trop Med Hyg","language":"eng","page":"1296-1305","source":"PubMed","title":"Typhoid Outbreaks, 1989-2018: Implications for Prevention and Control","title-short":"Typhoid Outbreaks, 1989-2018","volume":"102","author":[{"family":"Appiah","given":"Grace D."},{"family":"Chung","given":"Alexandria"},{"family":"Bentsi-Enchill","given":"Adwoa D."},{"family":"Kim","given":"Sunkyung"},{"family":"Crump","given":"John A."},{"family":"Mogasale","given":"Vittal"},{"family":"Pellegrino","given":"Rachael"},{"family":"Slayton","given":"Rachel B."},{"family":"Mintz","given":"Eric D."}],"issued":{"date-parts":[["2020",6]]}}}],"schema":"https://github.com/citation-style-language/schema/raw/master/csl-citation.json"} </w:instrText>
      </w:r>
      <w:r>
        <w:rPr>
          <w:rStyle w:val="fontstyle01"/>
          <w:rFonts w:asciiTheme="minorHAnsi" w:hAnsiTheme="minorHAnsi"/>
          <w:sz w:val="24"/>
          <w:szCs w:val="24"/>
        </w:rPr>
        <w:fldChar w:fldCharType="separate"/>
      </w:r>
      <w:r w:rsidRPr="00F23C2F">
        <w:t>(13)</w:t>
      </w:r>
      <w:r>
        <w:rPr>
          <w:rStyle w:val="fontstyle01"/>
          <w:rFonts w:asciiTheme="minorHAnsi" w:hAnsiTheme="minorHAnsi"/>
          <w:sz w:val="24"/>
          <w:szCs w:val="24"/>
        </w:rPr>
        <w:fldChar w:fldCharType="end"/>
      </w:r>
      <w:r>
        <w:rPr>
          <w:rStyle w:val="fontstyle01"/>
          <w:rFonts w:asciiTheme="minorHAnsi" w:hAnsiTheme="minorHAnsi" w:hint="eastAsia"/>
          <w:sz w:val="24"/>
          <w:szCs w:val="24"/>
        </w:rPr>
        <w:t xml:space="preserve"> and </w:t>
      </w:r>
      <w:r w:rsidR="00AF6BF9">
        <w:rPr>
          <w:rStyle w:val="fontstyle01"/>
          <w:rFonts w:asciiTheme="minorHAnsi" w:hAnsiTheme="minorHAnsi" w:hint="eastAsia"/>
          <w:sz w:val="24"/>
          <w:szCs w:val="24"/>
        </w:rPr>
        <w:t xml:space="preserve">the </w:t>
      </w:r>
      <w:r>
        <w:rPr>
          <w:rStyle w:val="fontstyle01"/>
          <w:rFonts w:asciiTheme="minorHAnsi" w:hAnsiTheme="minorHAnsi" w:hint="eastAsia"/>
          <w:sz w:val="24"/>
          <w:szCs w:val="24"/>
        </w:rPr>
        <w:t xml:space="preserve">estimated </w:t>
      </w:r>
      <w:r>
        <w:rPr>
          <w:rStyle w:val="fontstyle01"/>
          <w:rFonts w:asciiTheme="minorHAnsi" w:hAnsiTheme="minorHAnsi" w:hint="eastAsia"/>
          <w:sz w:val="24"/>
          <w:szCs w:val="24"/>
        </w:rPr>
        <w:t xml:space="preserve">over </w:t>
      </w:r>
      <w:r>
        <w:rPr>
          <w:rStyle w:val="fontstyle01"/>
          <w:rFonts w:asciiTheme="minorHAnsi" w:hAnsiTheme="minorHAnsi" w:hint="eastAsia"/>
          <w:sz w:val="24"/>
          <w:szCs w:val="24"/>
        </w:rPr>
        <w:t xml:space="preserve">10,000,000 cases per year may imply that potentially </w:t>
      </w:r>
      <w:r>
        <w:rPr>
          <w:rStyle w:val="fontstyle01"/>
          <w:rFonts w:asciiTheme="minorHAnsi" w:hAnsiTheme="minorHAnsi" w:hint="eastAsia"/>
          <w:sz w:val="24"/>
          <w:szCs w:val="24"/>
        </w:rPr>
        <w:t xml:space="preserve">many </w:t>
      </w:r>
      <w:r>
        <w:rPr>
          <w:rStyle w:val="fontstyle01"/>
          <w:rFonts w:asciiTheme="minorHAnsi" w:hAnsiTheme="minorHAnsi" w:hint="eastAsia"/>
          <w:sz w:val="24"/>
          <w:szCs w:val="24"/>
        </w:rPr>
        <w:t xml:space="preserve">outbreaks are not detected.  </w:t>
      </w:r>
    </w:p>
    <w:p w14:paraId="7D899820" w14:textId="77777777" w:rsidR="001573CD" w:rsidRDefault="001573CD" w:rsidP="00830409">
      <w:pPr>
        <w:pStyle w:val="NormalWeb"/>
        <w:shd w:val="clear" w:color="auto" w:fill="FFFFFF"/>
        <w:rPr>
          <w:rFonts w:asciiTheme="minorHAnsi" w:hAnsiTheme="minorHAnsi" w:cs="Calibri"/>
          <w:color w:val="242424"/>
        </w:rPr>
      </w:pPr>
    </w:p>
    <w:p w14:paraId="33DD9EFC" w14:textId="66502D40" w:rsidR="00D342BB" w:rsidRDefault="001573CD" w:rsidP="00956F92">
      <w:pPr>
        <w:pStyle w:val="NormalWeb"/>
        <w:shd w:val="clear" w:color="auto" w:fill="FFFFFF"/>
        <w:rPr>
          <w:rFonts w:asciiTheme="minorHAnsi" w:hAnsiTheme="minorHAnsi" w:cs="Calibri" w:hint="eastAsia"/>
          <w:color w:val="242424"/>
        </w:rPr>
      </w:pPr>
      <w:r>
        <w:rPr>
          <w:rFonts w:asciiTheme="minorHAnsi" w:hAnsiTheme="minorHAnsi" w:cs="Calibri" w:hint="eastAsia"/>
          <w:color w:val="242424"/>
        </w:rPr>
        <w:t xml:space="preserve">Modeling can be useful in exploring </w:t>
      </w:r>
      <w:r w:rsidR="00D342BB">
        <w:rPr>
          <w:rFonts w:asciiTheme="minorHAnsi" w:hAnsiTheme="minorHAnsi" w:cs="Calibri" w:hint="eastAsia"/>
          <w:color w:val="242424"/>
        </w:rPr>
        <w:t>the potential impact across various strategies</w:t>
      </w:r>
      <w:r w:rsidR="00AF6BF9">
        <w:rPr>
          <w:rFonts w:asciiTheme="minorHAnsi" w:hAnsiTheme="minorHAnsi" w:cs="Calibri" w:hint="eastAsia"/>
          <w:color w:val="242424"/>
        </w:rPr>
        <w:t>,</w:t>
      </w:r>
      <w:r>
        <w:rPr>
          <w:rFonts w:asciiTheme="minorHAnsi" w:hAnsiTheme="minorHAnsi" w:cs="Calibri" w:hint="eastAsia"/>
          <w:color w:val="242424"/>
        </w:rPr>
        <w:t xml:space="preserve"> such as targeting high-risk populations and </w:t>
      </w:r>
      <w:r w:rsidR="00D342BB">
        <w:rPr>
          <w:rFonts w:asciiTheme="minorHAnsi" w:hAnsiTheme="minorHAnsi" w:cs="Calibri" w:hint="eastAsia"/>
          <w:color w:val="242424"/>
        </w:rPr>
        <w:t xml:space="preserve">differing age groups. More </w:t>
      </w:r>
      <w:r w:rsidR="00D342BB">
        <w:rPr>
          <w:rFonts w:asciiTheme="minorHAnsi" w:hAnsiTheme="minorHAnsi" w:cs="Calibri"/>
          <w:color w:val="242424"/>
        </w:rPr>
        <w:t>contextualized</w:t>
      </w:r>
      <w:r w:rsidR="00D342BB">
        <w:rPr>
          <w:rFonts w:asciiTheme="minorHAnsi" w:hAnsiTheme="minorHAnsi" w:cs="Calibri" w:hint="eastAsia"/>
          <w:color w:val="242424"/>
        </w:rPr>
        <w:t xml:space="preserve"> strategies can be developed with added information. </w:t>
      </w:r>
      <w:r w:rsidR="00AF6BF9" w:rsidRPr="00AF6BF9">
        <w:rPr>
          <w:rFonts w:asciiTheme="minorHAnsi" w:hAnsiTheme="minorHAnsi" w:cs="Calibri"/>
          <w:color w:val="242424"/>
        </w:rPr>
        <w:t xml:space="preserve">Modeling can also be used to examine longer-term and broader benefits on healthcare systems and communities and the impact on preventing future outbreaks, </w:t>
      </w:r>
      <w:r w:rsidR="00D342BB">
        <w:rPr>
          <w:rFonts w:asciiTheme="minorHAnsi" w:hAnsiTheme="minorHAnsi" w:cs="Calibri" w:hint="eastAsia"/>
          <w:color w:val="242424"/>
        </w:rPr>
        <w:t xml:space="preserve">rather than focusing </w:t>
      </w:r>
      <w:r w:rsidR="00AF6BF9">
        <w:rPr>
          <w:rFonts w:asciiTheme="minorHAnsi" w:hAnsiTheme="minorHAnsi" w:cs="Calibri" w:hint="eastAsia"/>
          <w:color w:val="242424"/>
        </w:rPr>
        <w:t xml:space="preserve">solely </w:t>
      </w:r>
      <w:r w:rsidR="00D342BB">
        <w:rPr>
          <w:rFonts w:asciiTheme="minorHAnsi" w:hAnsiTheme="minorHAnsi" w:cs="Calibri" w:hint="eastAsia"/>
          <w:color w:val="242424"/>
        </w:rPr>
        <w:t xml:space="preserve">on the averted number of cases and deaths from the outbreak. </w:t>
      </w:r>
      <w:r w:rsidR="00AF6BF9">
        <w:rPr>
          <w:rFonts w:asciiTheme="minorHAnsi" w:hAnsiTheme="minorHAnsi" w:cs="Calibri"/>
          <w:color w:val="242424"/>
        </w:rPr>
        <w:t>The</w:t>
      </w:r>
      <w:r w:rsidR="00AF6BF9">
        <w:rPr>
          <w:rFonts w:asciiTheme="minorHAnsi" w:hAnsiTheme="minorHAnsi" w:cs="Calibri" w:hint="eastAsia"/>
          <w:color w:val="242424"/>
        </w:rPr>
        <w:t xml:space="preserve"> t</w:t>
      </w:r>
      <w:r w:rsidR="00D342BB">
        <w:rPr>
          <w:rFonts w:asciiTheme="minorHAnsi" w:hAnsiTheme="minorHAnsi" w:cs="Calibri" w:hint="eastAsia"/>
          <w:color w:val="242424"/>
        </w:rPr>
        <w:t xml:space="preserve">iming of vaccination will be critical in determining the impact of ORVs and therefore potential benefits of maintaining </w:t>
      </w:r>
      <w:r w:rsidR="00AF6BF9">
        <w:rPr>
          <w:rFonts w:asciiTheme="minorHAnsi" w:hAnsiTheme="minorHAnsi" w:cs="Calibri" w:hint="eastAsia"/>
          <w:color w:val="242424"/>
        </w:rPr>
        <w:t xml:space="preserve">a </w:t>
      </w:r>
      <w:r w:rsidR="00D342BB">
        <w:rPr>
          <w:rFonts w:asciiTheme="minorHAnsi" w:hAnsiTheme="minorHAnsi" w:cs="Calibri" w:hint="eastAsia"/>
          <w:color w:val="242424"/>
        </w:rPr>
        <w:t xml:space="preserve">stockpile may be explored. </w:t>
      </w:r>
    </w:p>
    <w:p w14:paraId="74E25DED" w14:textId="77777777" w:rsidR="00D342BB" w:rsidRDefault="00D342BB" w:rsidP="00956F92">
      <w:pPr>
        <w:pStyle w:val="NormalWeb"/>
        <w:shd w:val="clear" w:color="auto" w:fill="FFFFFF"/>
        <w:rPr>
          <w:rFonts w:asciiTheme="minorHAnsi" w:hAnsiTheme="minorHAnsi" w:cs="Calibri"/>
          <w:color w:val="242424"/>
        </w:rPr>
      </w:pPr>
    </w:p>
    <w:p w14:paraId="34AD9723" w14:textId="77777777" w:rsidR="00274614" w:rsidRPr="00D342BB" w:rsidRDefault="00274614" w:rsidP="005F71EB">
      <w:pPr>
        <w:pStyle w:val="NormalWeb"/>
        <w:shd w:val="clear" w:color="auto" w:fill="FFFFFF"/>
        <w:jc w:val="both"/>
        <w:rPr>
          <w:rFonts w:ascii="Calibri" w:hAnsi="Calibri" w:cs="Calibri"/>
          <w:b/>
          <w:bCs/>
          <w:color w:val="242424"/>
          <w:sz w:val="20"/>
          <w:szCs w:val="20"/>
        </w:rPr>
      </w:pPr>
    </w:p>
    <w:p w14:paraId="65A8AC36" w14:textId="77777777" w:rsidR="00AF6BF9" w:rsidRPr="00AF6BF9" w:rsidRDefault="00AF6BF9" w:rsidP="00AF6BF9">
      <w:pPr>
        <w:pStyle w:val="Bibliography"/>
        <w:rPr>
          <w:rFonts w:ascii="Calibri" w:hAnsi="Calibri" w:cs="Calibri"/>
          <w:sz w:val="20"/>
        </w:rPr>
      </w:pPr>
      <w:r>
        <w:rPr>
          <w:rFonts w:ascii="Calibri" w:hAnsi="Calibri" w:cs="Calibri"/>
          <w:b/>
          <w:bCs/>
          <w:color w:val="242424"/>
          <w:sz w:val="20"/>
          <w:szCs w:val="20"/>
        </w:rPr>
        <w:lastRenderedPageBreak/>
        <w:fldChar w:fldCharType="begin"/>
      </w:r>
      <w:r w:rsidRPr="00AF6BF9">
        <w:rPr>
          <w:rFonts w:ascii="Calibri" w:hAnsi="Calibri" w:cs="Calibri"/>
          <w:b/>
          <w:bCs/>
          <w:color w:val="242424"/>
          <w:sz w:val="20"/>
          <w:szCs w:val="20"/>
          <w:lang w:val="de-DE"/>
        </w:rPr>
        <w:instrText xml:space="preserve"> ADDIN ZOTERO_BIBL {"uncited":[],"omitted":[],"custom":[]} CSL_BIBLIOGRAPHY </w:instrText>
      </w:r>
      <w:r>
        <w:rPr>
          <w:rFonts w:ascii="Calibri" w:hAnsi="Calibri" w:cs="Calibri"/>
          <w:b/>
          <w:bCs/>
          <w:color w:val="242424"/>
          <w:sz w:val="20"/>
          <w:szCs w:val="20"/>
        </w:rPr>
        <w:fldChar w:fldCharType="separate"/>
      </w:r>
      <w:r w:rsidRPr="00AF6BF9">
        <w:rPr>
          <w:rFonts w:ascii="Calibri" w:hAnsi="Calibri" w:cs="Calibri"/>
          <w:sz w:val="20"/>
          <w:lang w:val="de-DE"/>
        </w:rPr>
        <w:t>1.</w:t>
      </w:r>
      <w:r w:rsidRPr="00AF6BF9">
        <w:rPr>
          <w:rFonts w:ascii="Calibri" w:hAnsi="Calibri" w:cs="Calibri"/>
          <w:sz w:val="20"/>
          <w:lang w:val="de-DE"/>
        </w:rPr>
        <w:tab/>
        <w:t xml:space="preserve">Meiring JE, Khanam F, Basnyat B, Charles RC, Crump JA, Debellut F, et al. </w:t>
      </w:r>
      <w:r w:rsidRPr="00AF6BF9">
        <w:rPr>
          <w:rFonts w:ascii="Calibri" w:hAnsi="Calibri" w:cs="Calibri"/>
          <w:sz w:val="20"/>
        </w:rPr>
        <w:t xml:space="preserve">Typhoid fever. Nat Rev Dis Primers. 2023 Dec 14;9(1):1–18. </w:t>
      </w:r>
    </w:p>
    <w:p w14:paraId="12E374BA" w14:textId="77777777" w:rsidR="00AF6BF9" w:rsidRPr="00AF6BF9" w:rsidRDefault="00AF6BF9" w:rsidP="00AF6BF9">
      <w:pPr>
        <w:pStyle w:val="Bibliography"/>
        <w:rPr>
          <w:rFonts w:ascii="Calibri" w:hAnsi="Calibri" w:cs="Calibri"/>
          <w:sz w:val="20"/>
        </w:rPr>
      </w:pPr>
      <w:r w:rsidRPr="00AF6BF9">
        <w:rPr>
          <w:rFonts w:ascii="Calibri" w:hAnsi="Calibri" w:cs="Calibri"/>
          <w:sz w:val="20"/>
        </w:rPr>
        <w:t>2.</w:t>
      </w:r>
      <w:r w:rsidRPr="00AF6BF9">
        <w:rPr>
          <w:rFonts w:ascii="Calibri" w:hAnsi="Calibri" w:cs="Calibri"/>
          <w:sz w:val="20"/>
        </w:rPr>
        <w:tab/>
        <w:t>Kim JH, Mogasale V, Im J, Ramani E, Marks F. Updated estimates of typhoid fever burden in sub-Saharan Africa. Lancet Glob Health. 2017 Oct;5(10</w:t>
      </w:r>
      <w:proofErr w:type="gramStart"/>
      <w:r w:rsidRPr="00AF6BF9">
        <w:rPr>
          <w:rFonts w:ascii="Calibri" w:hAnsi="Calibri" w:cs="Calibri"/>
          <w:sz w:val="20"/>
        </w:rPr>
        <w:t>):e</w:t>
      </w:r>
      <w:proofErr w:type="gramEnd"/>
      <w:r w:rsidRPr="00AF6BF9">
        <w:rPr>
          <w:rFonts w:ascii="Calibri" w:hAnsi="Calibri" w:cs="Calibri"/>
          <w:sz w:val="20"/>
        </w:rPr>
        <w:t xml:space="preserve">969. </w:t>
      </w:r>
    </w:p>
    <w:p w14:paraId="3B01C6A2" w14:textId="77777777" w:rsidR="00AF6BF9" w:rsidRPr="00AF6BF9" w:rsidRDefault="00AF6BF9" w:rsidP="00AF6BF9">
      <w:pPr>
        <w:pStyle w:val="Bibliography"/>
        <w:rPr>
          <w:rFonts w:ascii="Calibri" w:hAnsi="Calibri" w:cs="Calibri"/>
          <w:sz w:val="20"/>
        </w:rPr>
      </w:pPr>
      <w:r w:rsidRPr="00AF6BF9">
        <w:rPr>
          <w:rFonts w:ascii="Calibri" w:hAnsi="Calibri" w:cs="Calibri"/>
          <w:sz w:val="20"/>
        </w:rPr>
        <w:t>3.</w:t>
      </w:r>
      <w:r w:rsidRPr="00AF6BF9">
        <w:rPr>
          <w:rFonts w:ascii="Calibri" w:hAnsi="Calibri" w:cs="Calibri"/>
          <w:sz w:val="20"/>
        </w:rPr>
        <w:tab/>
        <w:t xml:space="preserve">Mogasale V, </w:t>
      </w:r>
      <w:proofErr w:type="spellStart"/>
      <w:r w:rsidRPr="00AF6BF9">
        <w:rPr>
          <w:rFonts w:ascii="Calibri" w:hAnsi="Calibri" w:cs="Calibri"/>
          <w:sz w:val="20"/>
        </w:rPr>
        <w:t>Maskery</w:t>
      </w:r>
      <w:proofErr w:type="spellEnd"/>
      <w:r w:rsidRPr="00AF6BF9">
        <w:rPr>
          <w:rFonts w:ascii="Calibri" w:hAnsi="Calibri" w:cs="Calibri"/>
          <w:sz w:val="20"/>
        </w:rPr>
        <w:t xml:space="preserve"> B, Ochiai RL, Lee JS, Mogasale VV, Ramani E, et al. Burden of typhoid fever in low-income and middle-income countries: a systematic, literature-based update with risk-factor adjustment. Lancet Glob Health. 2014 Oct;2(10</w:t>
      </w:r>
      <w:proofErr w:type="gramStart"/>
      <w:r w:rsidRPr="00AF6BF9">
        <w:rPr>
          <w:rFonts w:ascii="Calibri" w:hAnsi="Calibri" w:cs="Calibri"/>
          <w:sz w:val="20"/>
        </w:rPr>
        <w:t>):e</w:t>
      </w:r>
      <w:proofErr w:type="gramEnd"/>
      <w:r w:rsidRPr="00AF6BF9">
        <w:rPr>
          <w:rFonts w:ascii="Calibri" w:hAnsi="Calibri" w:cs="Calibri"/>
          <w:sz w:val="20"/>
        </w:rPr>
        <w:t xml:space="preserve">570-580. </w:t>
      </w:r>
    </w:p>
    <w:p w14:paraId="4E2DFE22" w14:textId="77777777" w:rsidR="00AF6BF9" w:rsidRPr="00AF6BF9" w:rsidRDefault="00AF6BF9" w:rsidP="00AF6BF9">
      <w:pPr>
        <w:pStyle w:val="Bibliography"/>
        <w:rPr>
          <w:rFonts w:ascii="Calibri" w:hAnsi="Calibri" w:cs="Calibri"/>
          <w:sz w:val="20"/>
          <w:lang w:val="de-DE"/>
        </w:rPr>
      </w:pPr>
      <w:r w:rsidRPr="00AF6BF9">
        <w:rPr>
          <w:rFonts w:ascii="Calibri" w:hAnsi="Calibri" w:cs="Calibri"/>
          <w:sz w:val="20"/>
        </w:rPr>
        <w:t>4.</w:t>
      </w:r>
      <w:r w:rsidRPr="00AF6BF9">
        <w:rPr>
          <w:rFonts w:ascii="Calibri" w:hAnsi="Calibri" w:cs="Calibri"/>
          <w:sz w:val="20"/>
        </w:rPr>
        <w:tab/>
        <w:t xml:space="preserve">GBD 2017 Typhoid and Paratyphoid Collaborators. The global burden of typhoid and paratyphoid fevers: a systematic analysis for the Global Burden of Disease Study 2017. </w:t>
      </w:r>
      <w:r w:rsidRPr="00AF6BF9">
        <w:rPr>
          <w:rFonts w:ascii="Calibri" w:hAnsi="Calibri" w:cs="Calibri"/>
          <w:sz w:val="20"/>
          <w:lang w:val="de-DE"/>
        </w:rPr>
        <w:t xml:space="preserve">Lancet Infect Dis. 2019 Apr;19(4):369–81. </w:t>
      </w:r>
    </w:p>
    <w:p w14:paraId="557B2A8D" w14:textId="77777777" w:rsidR="00AF6BF9" w:rsidRPr="00AF6BF9" w:rsidRDefault="00AF6BF9" w:rsidP="00AF6BF9">
      <w:pPr>
        <w:pStyle w:val="Bibliography"/>
        <w:rPr>
          <w:rFonts w:ascii="Calibri" w:hAnsi="Calibri" w:cs="Calibri"/>
          <w:sz w:val="20"/>
        </w:rPr>
      </w:pPr>
      <w:r w:rsidRPr="00AF6BF9">
        <w:rPr>
          <w:rFonts w:ascii="Calibri" w:hAnsi="Calibri" w:cs="Calibri"/>
          <w:sz w:val="20"/>
          <w:lang w:val="de-DE"/>
        </w:rPr>
        <w:t>5.</w:t>
      </w:r>
      <w:r w:rsidRPr="00AF6BF9">
        <w:rPr>
          <w:rFonts w:ascii="Calibri" w:hAnsi="Calibri" w:cs="Calibri"/>
          <w:sz w:val="20"/>
          <w:lang w:val="de-DE"/>
        </w:rPr>
        <w:tab/>
        <w:t xml:space="preserve">Antillón M, Warren JL, Crawford FW, Weinberger DM, Kürüm E, Pak GD, et al. </w:t>
      </w:r>
      <w:r w:rsidRPr="00AF6BF9">
        <w:rPr>
          <w:rFonts w:ascii="Calibri" w:hAnsi="Calibri" w:cs="Calibri"/>
          <w:sz w:val="20"/>
        </w:rPr>
        <w:t xml:space="preserve">The burden of typhoid fever in low- and middle-income countries: A meta-regression approach. </w:t>
      </w:r>
      <w:proofErr w:type="spellStart"/>
      <w:r w:rsidRPr="00AF6BF9">
        <w:rPr>
          <w:rFonts w:ascii="Calibri" w:hAnsi="Calibri" w:cs="Calibri"/>
          <w:sz w:val="20"/>
        </w:rPr>
        <w:t>PLoS</w:t>
      </w:r>
      <w:proofErr w:type="spellEnd"/>
      <w:r w:rsidRPr="00AF6BF9">
        <w:rPr>
          <w:rFonts w:ascii="Calibri" w:hAnsi="Calibri" w:cs="Calibri"/>
          <w:sz w:val="20"/>
        </w:rPr>
        <w:t xml:space="preserve"> </w:t>
      </w:r>
      <w:proofErr w:type="spellStart"/>
      <w:r w:rsidRPr="00AF6BF9">
        <w:rPr>
          <w:rFonts w:ascii="Calibri" w:hAnsi="Calibri" w:cs="Calibri"/>
          <w:sz w:val="20"/>
        </w:rPr>
        <w:t>Negl</w:t>
      </w:r>
      <w:proofErr w:type="spellEnd"/>
      <w:r w:rsidRPr="00AF6BF9">
        <w:rPr>
          <w:rFonts w:ascii="Calibri" w:hAnsi="Calibri" w:cs="Calibri"/>
          <w:sz w:val="20"/>
        </w:rPr>
        <w:t xml:space="preserve"> Trop Dis. 2017 Feb 27;11(2</w:t>
      </w:r>
      <w:proofErr w:type="gramStart"/>
      <w:r w:rsidRPr="00AF6BF9">
        <w:rPr>
          <w:rFonts w:ascii="Calibri" w:hAnsi="Calibri" w:cs="Calibri"/>
          <w:sz w:val="20"/>
        </w:rPr>
        <w:t>):e</w:t>
      </w:r>
      <w:proofErr w:type="gramEnd"/>
      <w:r w:rsidRPr="00AF6BF9">
        <w:rPr>
          <w:rFonts w:ascii="Calibri" w:hAnsi="Calibri" w:cs="Calibri"/>
          <w:sz w:val="20"/>
        </w:rPr>
        <w:t xml:space="preserve">0005376. </w:t>
      </w:r>
    </w:p>
    <w:p w14:paraId="711C5902" w14:textId="77777777" w:rsidR="00AF6BF9" w:rsidRPr="00AF6BF9" w:rsidRDefault="00AF6BF9" w:rsidP="00AF6BF9">
      <w:pPr>
        <w:pStyle w:val="Bibliography"/>
        <w:rPr>
          <w:rFonts w:ascii="Calibri" w:hAnsi="Calibri" w:cs="Calibri"/>
          <w:sz w:val="20"/>
        </w:rPr>
      </w:pPr>
      <w:r w:rsidRPr="00AF6BF9">
        <w:rPr>
          <w:rFonts w:ascii="Calibri" w:hAnsi="Calibri" w:cs="Calibri"/>
          <w:sz w:val="20"/>
        </w:rPr>
        <w:t>6.</w:t>
      </w:r>
      <w:r w:rsidRPr="00AF6BF9">
        <w:rPr>
          <w:rFonts w:ascii="Calibri" w:hAnsi="Calibri" w:cs="Calibri"/>
          <w:sz w:val="20"/>
        </w:rPr>
        <w:tab/>
        <w:t xml:space="preserve">World Health </w:t>
      </w:r>
      <w:proofErr w:type="gramStart"/>
      <w:r w:rsidRPr="00AF6BF9">
        <w:rPr>
          <w:rFonts w:ascii="Calibri" w:hAnsi="Calibri" w:cs="Calibri"/>
          <w:sz w:val="20"/>
        </w:rPr>
        <w:t>Organization  null</w:t>
      </w:r>
      <w:proofErr w:type="gramEnd"/>
      <w:r w:rsidRPr="00AF6BF9">
        <w:rPr>
          <w:rFonts w:ascii="Calibri" w:hAnsi="Calibri" w:cs="Calibri"/>
          <w:sz w:val="20"/>
        </w:rPr>
        <w:t xml:space="preserve">. Typhoid vaccines: WHO position paper, March 2018 - Recommendations. Vaccine. 2019 Jan 7;37(2):214–6. </w:t>
      </w:r>
    </w:p>
    <w:p w14:paraId="678F903E" w14:textId="77777777" w:rsidR="00AF6BF9" w:rsidRPr="00AF6BF9" w:rsidRDefault="00AF6BF9" w:rsidP="00AF6BF9">
      <w:pPr>
        <w:pStyle w:val="Bibliography"/>
        <w:rPr>
          <w:rFonts w:ascii="Calibri" w:hAnsi="Calibri" w:cs="Calibri"/>
          <w:sz w:val="20"/>
        </w:rPr>
      </w:pPr>
      <w:r w:rsidRPr="00AF6BF9">
        <w:rPr>
          <w:rFonts w:ascii="Calibri" w:hAnsi="Calibri" w:cs="Calibri"/>
          <w:sz w:val="20"/>
        </w:rPr>
        <w:t>7.</w:t>
      </w:r>
      <w:r w:rsidRPr="00AF6BF9">
        <w:rPr>
          <w:rFonts w:ascii="Calibri" w:hAnsi="Calibri" w:cs="Calibri"/>
          <w:sz w:val="20"/>
        </w:rPr>
        <w:tab/>
        <w:t xml:space="preserve">Shakya M, Voysey M, Theiss-Nyland K, Colin-Jones R, Pant D, Adhikari A, et al. Efficacy of typhoid conjugate vaccine in Nepal: </w:t>
      </w:r>
      <w:proofErr w:type="gramStart"/>
      <w:r w:rsidRPr="00AF6BF9">
        <w:rPr>
          <w:rFonts w:ascii="Calibri" w:hAnsi="Calibri" w:cs="Calibri"/>
          <w:sz w:val="20"/>
        </w:rPr>
        <w:t>final results</w:t>
      </w:r>
      <w:proofErr w:type="gramEnd"/>
      <w:r w:rsidRPr="00AF6BF9">
        <w:rPr>
          <w:rFonts w:ascii="Calibri" w:hAnsi="Calibri" w:cs="Calibri"/>
          <w:sz w:val="20"/>
        </w:rPr>
        <w:t xml:space="preserve"> of a phase 3, </w:t>
      </w:r>
      <w:proofErr w:type="spellStart"/>
      <w:r w:rsidRPr="00AF6BF9">
        <w:rPr>
          <w:rFonts w:ascii="Calibri" w:hAnsi="Calibri" w:cs="Calibri"/>
          <w:sz w:val="20"/>
        </w:rPr>
        <w:t>randomised</w:t>
      </w:r>
      <w:proofErr w:type="spellEnd"/>
      <w:r w:rsidRPr="00AF6BF9">
        <w:rPr>
          <w:rFonts w:ascii="Calibri" w:hAnsi="Calibri" w:cs="Calibri"/>
          <w:sz w:val="20"/>
        </w:rPr>
        <w:t>, controlled trial. Lancet Glob Health. 2021 Nov;9(11</w:t>
      </w:r>
      <w:proofErr w:type="gramStart"/>
      <w:r w:rsidRPr="00AF6BF9">
        <w:rPr>
          <w:rFonts w:ascii="Calibri" w:hAnsi="Calibri" w:cs="Calibri"/>
          <w:sz w:val="20"/>
        </w:rPr>
        <w:t>):e</w:t>
      </w:r>
      <w:proofErr w:type="gramEnd"/>
      <w:r w:rsidRPr="00AF6BF9">
        <w:rPr>
          <w:rFonts w:ascii="Calibri" w:hAnsi="Calibri" w:cs="Calibri"/>
          <w:sz w:val="20"/>
        </w:rPr>
        <w:t xml:space="preserve">1561–8. </w:t>
      </w:r>
    </w:p>
    <w:p w14:paraId="099D97BB" w14:textId="77777777" w:rsidR="00AF6BF9" w:rsidRPr="00AF6BF9" w:rsidRDefault="00AF6BF9" w:rsidP="00AF6BF9">
      <w:pPr>
        <w:pStyle w:val="Bibliography"/>
        <w:rPr>
          <w:rFonts w:ascii="Calibri" w:hAnsi="Calibri" w:cs="Calibri"/>
          <w:sz w:val="20"/>
        </w:rPr>
      </w:pPr>
      <w:r w:rsidRPr="00AF6BF9">
        <w:rPr>
          <w:rFonts w:ascii="Calibri" w:hAnsi="Calibri" w:cs="Calibri"/>
          <w:sz w:val="20"/>
        </w:rPr>
        <w:t>8.</w:t>
      </w:r>
      <w:r w:rsidRPr="00AF6BF9">
        <w:rPr>
          <w:rFonts w:ascii="Calibri" w:hAnsi="Calibri" w:cs="Calibri"/>
          <w:sz w:val="20"/>
        </w:rPr>
        <w:tab/>
        <w:t xml:space="preserve">Patel PD, Patel P, Liang Y, Meiring JE, </w:t>
      </w:r>
      <w:proofErr w:type="spellStart"/>
      <w:r w:rsidRPr="00AF6BF9">
        <w:rPr>
          <w:rFonts w:ascii="Calibri" w:hAnsi="Calibri" w:cs="Calibri"/>
          <w:sz w:val="20"/>
        </w:rPr>
        <w:t>Misiri</w:t>
      </w:r>
      <w:proofErr w:type="spellEnd"/>
      <w:r w:rsidRPr="00AF6BF9">
        <w:rPr>
          <w:rFonts w:ascii="Calibri" w:hAnsi="Calibri" w:cs="Calibri"/>
          <w:sz w:val="20"/>
        </w:rPr>
        <w:t xml:space="preserve"> T, </w:t>
      </w:r>
      <w:proofErr w:type="spellStart"/>
      <w:r w:rsidRPr="00AF6BF9">
        <w:rPr>
          <w:rFonts w:ascii="Calibri" w:hAnsi="Calibri" w:cs="Calibri"/>
          <w:sz w:val="20"/>
        </w:rPr>
        <w:t>Mwakiseghile</w:t>
      </w:r>
      <w:proofErr w:type="spellEnd"/>
      <w:r w:rsidRPr="00AF6BF9">
        <w:rPr>
          <w:rFonts w:ascii="Calibri" w:hAnsi="Calibri" w:cs="Calibri"/>
          <w:sz w:val="20"/>
        </w:rPr>
        <w:t xml:space="preserve"> F, et al. Safety and Efficacy of a Typhoid Conjugate Vaccine in Malawian Children. N Engl J Med. 2021 Sep 16;385(12):1104–15. </w:t>
      </w:r>
    </w:p>
    <w:p w14:paraId="7DD2A869" w14:textId="77777777" w:rsidR="00AF6BF9" w:rsidRPr="00AF6BF9" w:rsidRDefault="00AF6BF9" w:rsidP="00AF6BF9">
      <w:pPr>
        <w:pStyle w:val="Bibliography"/>
        <w:rPr>
          <w:rFonts w:ascii="Calibri" w:hAnsi="Calibri" w:cs="Calibri"/>
          <w:sz w:val="20"/>
        </w:rPr>
      </w:pPr>
      <w:r w:rsidRPr="00AF6BF9">
        <w:rPr>
          <w:rFonts w:ascii="Calibri" w:hAnsi="Calibri" w:cs="Calibri"/>
          <w:sz w:val="20"/>
        </w:rPr>
        <w:t>9.</w:t>
      </w:r>
      <w:r w:rsidRPr="00AF6BF9">
        <w:rPr>
          <w:rFonts w:ascii="Calibri" w:hAnsi="Calibri" w:cs="Calibri"/>
          <w:sz w:val="20"/>
        </w:rPr>
        <w:tab/>
        <w:t>Qadri F, Khanam F, Liu X, Theiss-Nyland K, Biswas PK, Bhuiyan AI, et al. Protection by vaccination of children against typhoid fever with a Vi-tetanus toxoid conjugate vaccine in urban Bangladesh: a cluster-</w:t>
      </w:r>
      <w:proofErr w:type="spellStart"/>
      <w:r w:rsidRPr="00AF6BF9">
        <w:rPr>
          <w:rFonts w:ascii="Calibri" w:hAnsi="Calibri" w:cs="Calibri"/>
          <w:sz w:val="20"/>
        </w:rPr>
        <w:t>randomised</w:t>
      </w:r>
      <w:proofErr w:type="spellEnd"/>
      <w:r w:rsidRPr="00AF6BF9">
        <w:rPr>
          <w:rFonts w:ascii="Calibri" w:hAnsi="Calibri" w:cs="Calibri"/>
          <w:sz w:val="20"/>
        </w:rPr>
        <w:t xml:space="preserve"> trial. The Lancet. 2021 Aug 21;398(10301):675–84. </w:t>
      </w:r>
    </w:p>
    <w:p w14:paraId="1593CF4A" w14:textId="77777777" w:rsidR="00AF6BF9" w:rsidRPr="00AF6BF9" w:rsidRDefault="00AF6BF9" w:rsidP="00AF6BF9">
      <w:pPr>
        <w:pStyle w:val="Bibliography"/>
        <w:rPr>
          <w:rFonts w:ascii="Calibri" w:hAnsi="Calibri" w:cs="Calibri"/>
          <w:sz w:val="20"/>
        </w:rPr>
      </w:pPr>
      <w:r w:rsidRPr="00AF6BF9">
        <w:rPr>
          <w:rFonts w:ascii="Calibri" w:hAnsi="Calibri" w:cs="Calibri"/>
          <w:sz w:val="20"/>
        </w:rPr>
        <w:t>10.</w:t>
      </w:r>
      <w:r w:rsidRPr="00AF6BF9">
        <w:rPr>
          <w:rFonts w:ascii="Calibri" w:hAnsi="Calibri" w:cs="Calibri"/>
          <w:sz w:val="20"/>
        </w:rPr>
        <w:tab/>
        <w:t>Yousafzai MT, Karim S, Qureshi S, Kazi M, Memon H, Junejo A, et al. Effectiveness of typhoid conjugate vaccine against culture-confirmed Salmonella enterica serotype Typhi in an extensively drug-resistant outbreak setting of Hyderabad, Pakistan: a cohort study. Lancet Glob Health. 2021 Jul 21;9(8</w:t>
      </w:r>
      <w:proofErr w:type="gramStart"/>
      <w:r w:rsidRPr="00AF6BF9">
        <w:rPr>
          <w:rFonts w:ascii="Calibri" w:hAnsi="Calibri" w:cs="Calibri"/>
          <w:sz w:val="20"/>
        </w:rPr>
        <w:t>):e</w:t>
      </w:r>
      <w:proofErr w:type="gramEnd"/>
      <w:r w:rsidRPr="00AF6BF9">
        <w:rPr>
          <w:rFonts w:ascii="Calibri" w:hAnsi="Calibri" w:cs="Calibri"/>
          <w:sz w:val="20"/>
        </w:rPr>
        <w:t xml:space="preserve">1154–62. </w:t>
      </w:r>
    </w:p>
    <w:p w14:paraId="62840932" w14:textId="77777777" w:rsidR="00AF6BF9" w:rsidRPr="00AF6BF9" w:rsidRDefault="00AF6BF9" w:rsidP="00AF6BF9">
      <w:pPr>
        <w:pStyle w:val="Bibliography"/>
        <w:rPr>
          <w:rFonts w:ascii="Calibri" w:hAnsi="Calibri" w:cs="Calibri"/>
          <w:sz w:val="20"/>
        </w:rPr>
      </w:pPr>
      <w:r w:rsidRPr="00AF6BF9">
        <w:rPr>
          <w:rFonts w:ascii="Calibri" w:hAnsi="Calibri" w:cs="Calibri"/>
          <w:sz w:val="20"/>
        </w:rPr>
        <w:t>11.</w:t>
      </w:r>
      <w:r w:rsidRPr="00AF6BF9">
        <w:rPr>
          <w:rFonts w:ascii="Calibri" w:hAnsi="Calibri" w:cs="Calibri"/>
          <w:sz w:val="20"/>
        </w:rPr>
        <w:tab/>
        <w:t xml:space="preserve">Batool R, Tahir Yousafzai M, Qureshi S, Ali M, Sadaf T, Mehmood J, et al. Effectiveness of typhoid conjugate vaccine against culture-confirmed typhoid in a peri-urban setting in Karachi: A case-control study. Vaccine. 2021 Sep 24;39(40):5858–65. </w:t>
      </w:r>
    </w:p>
    <w:p w14:paraId="7E61AFA8" w14:textId="77777777" w:rsidR="00AF6BF9" w:rsidRPr="00AF6BF9" w:rsidRDefault="00AF6BF9" w:rsidP="00AF6BF9">
      <w:pPr>
        <w:pStyle w:val="Bibliography"/>
        <w:rPr>
          <w:rFonts w:ascii="Calibri" w:hAnsi="Calibri" w:cs="Calibri"/>
          <w:sz w:val="20"/>
        </w:rPr>
      </w:pPr>
      <w:r w:rsidRPr="00AF6BF9">
        <w:rPr>
          <w:rFonts w:ascii="Calibri" w:hAnsi="Calibri" w:cs="Calibri"/>
          <w:sz w:val="20"/>
        </w:rPr>
        <w:t>12.</w:t>
      </w:r>
      <w:r w:rsidRPr="00AF6BF9">
        <w:rPr>
          <w:rFonts w:ascii="Calibri" w:hAnsi="Calibri" w:cs="Calibri"/>
          <w:sz w:val="20"/>
        </w:rPr>
        <w:tab/>
      </w:r>
      <w:proofErr w:type="spellStart"/>
      <w:r w:rsidRPr="00AF6BF9">
        <w:rPr>
          <w:rFonts w:ascii="Calibri" w:hAnsi="Calibri" w:cs="Calibri"/>
          <w:sz w:val="20"/>
        </w:rPr>
        <w:t>Hancuh</w:t>
      </w:r>
      <w:proofErr w:type="spellEnd"/>
      <w:r w:rsidRPr="00AF6BF9">
        <w:rPr>
          <w:rFonts w:ascii="Calibri" w:hAnsi="Calibri" w:cs="Calibri"/>
          <w:sz w:val="20"/>
        </w:rPr>
        <w:t xml:space="preserve"> M, Walldorf J, Minta AA, Tevi-Benissan C, Christian KA, </w:t>
      </w:r>
      <w:proofErr w:type="spellStart"/>
      <w:r w:rsidRPr="00AF6BF9">
        <w:rPr>
          <w:rFonts w:ascii="Calibri" w:hAnsi="Calibri" w:cs="Calibri"/>
          <w:sz w:val="20"/>
        </w:rPr>
        <w:t>Nedelec</w:t>
      </w:r>
      <w:proofErr w:type="spellEnd"/>
      <w:r w:rsidRPr="00AF6BF9">
        <w:rPr>
          <w:rFonts w:ascii="Calibri" w:hAnsi="Calibri" w:cs="Calibri"/>
          <w:sz w:val="20"/>
        </w:rPr>
        <w:t xml:space="preserve"> Y, et al. Typhoid Fever Surveillance, Incidence Estimates, and Progress Toward Typhoid Conjugate Vaccine Introduction - Worldwide, 2018-2022. MMWR </w:t>
      </w:r>
      <w:proofErr w:type="spellStart"/>
      <w:r w:rsidRPr="00AF6BF9">
        <w:rPr>
          <w:rFonts w:ascii="Calibri" w:hAnsi="Calibri" w:cs="Calibri"/>
          <w:sz w:val="20"/>
        </w:rPr>
        <w:t>Morb</w:t>
      </w:r>
      <w:proofErr w:type="spellEnd"/>
      <w:r w:rsidRPr="00AF6BF9">
        <w:rPr>
          <w:rFonts w:ascii="Calibri" w:hAnsi="Calibri" w:cs="Calibri"/>
          <w:sz w:val="20"/>
        </w:rPr>
        <w:t xml:space="preserve"> Mortal </w:t>
      </w:r>
      <w:proofErr w:type="spellStart"/>
      <w:r w:rsidRPr="00AF6BF9">
        <w:rPr>
          <w:rFonts w:ascii="Calibri" w:hAnsi="Calibri" w:cs="Calibri"/>
          <w:sz w:val="20"/>
        </w:rPr>
        <w:t>Wkly</w:t>
      </w:r>
      <w:proofErr w:type="spellEnd"/>
      <w:r w:rsidRPr="00AF6BF9">
        <w:rPr>
          <w:rFonts w:ascii="Calibri" w:hAnsi="Calibri" w:cs="Calibri"/>
          <w:sz w:val="20"/>
        </w:rPr>
        <w:t xml:space="preserve"> Rep. 2023 Feb 17;72(7):171–6. </w:t>
      </w:r>
    </w:p>
    <w:p w14:paraId="049CC0D6" w14:textId="77777777" w:rsidR="00AF6BF9" w:rsidRPr="00AF6BF9" w:rsidRDefault="00AF6BF9" w:rsidP="00AF6BF9">
      <w:pPr>
        <w:pStyle w:val="Bibliography"/>
        <w:rPr>
          <w:rFonts w:ascii="Calibri" w:hAnsi="Calibri" w:cs="Calibri"/>
          <w:sz w:val="20"/>
        </w:rPr>
      </w:pPr>
      <w:r w:rsidRPr="00AF6BF9">
        <w:rPr>
          <w:rFonts w:ascii="Calibri" w:hAnsi="Calibri" w:cs="Calibri"/>
          <w:sz w:val="20"/>
        </w:rPr>
        <w:t>13.</w:t>
      </w:r>
      <w:r w:rsidRPr="00AF6BF9">
        <w:rPr>
          <w:rFonts w:ascii="Calibri" w:hAnsi="Calibri" w:cs="Calibri"/>
          <w:sz w:val="20"/>
        </w:rPr>
        <w:tab/>
        <w:t xml:space="preserve">Appiah GD, Chung A, </w:t>
      </w:r>
      <w:proofErr w:type="spellStart"/>
      <w:r w:rsidRPr="00AF6BF9">
        <w:rPr>
          <w:rFonts w:ascii="Calibri" w:hAnsi="Calibri" w:cs="Calibri"/>
          <w:sz w:val="20"/>
        </w:rPr>
        <w:t>Bentsi-Enchill</w:t>
      </w:r>
      <w:proofErr w:type="spellEnd"/>
      <w:r w:rsidRPr="00AF6BF9">
        <w:rPr>
          <w:rFonts w:ascii="Calibri" w:hAnsi="Calibri" w:cs="Calibri"/>
          <w:sz w:val="20"/>
        </w:rPr>
        <w:t xml:space="preserve"> AD, Kim S, Crump JA, Mogasale V, et al. Typhoid Outbreaks, 1989-2018: Implications for Prevention and Control. Am J Trop Med </w:t>
      </w:r>
      <w:proofErr w:type="spellStart"/>
      <w:r w:rsidRPr="00AF6BF9">
        <w:rPr>
          <w:rFonts w:ascii="Calibri" w:hAnsi="Calibri" w:cs="Calibri"/>
          <w:sz w:val="20"/>
        </w:rPr>
        <w:t>Hyg</w:t>
      </w:r>
      <w:proofErr w:type="spellEnd"/>
      <w:r w:rsidRPr="00AF6BF9">
        <w:rPr>
          <w:rFonts w:ascii="Calibri" w:hAnsi="Calibri" w:cs="Calibri"/>
          <w:sz w:val="20"/>
        </w:rPr>
        <w:t xml:space="preserve">. 2020 Jun;102(6):1296–305. </w:t>
      </w:r>
    </w:p>
    <w:p w14:paraId="0C9E8E83" w14:textId="77777777" w:rsidR="00AF6BF9" w:rsidRPr="00AF6BF9" w:rsidRDefault="00AF6BF9" w:rsidP="00AF6BF9">
      <w:pPr>
        <w:pStyle w:val="Bibliography"/>
        <w:rPr>
          <w:rFonts w:ascii="Calibri" w:hAnsi="Calibri" w:cs="Calibri"/>
          <w:sz w:val="20"/>
        </w:rPr>
      </w:pPr>
      <w:r w:rsidRPr="00AF6BF9">
        <w:rPr>
          <w:rFonts w:ascii="Calibri" w:hAnsi="Calibri" w:cs="Calibri"/>
          <w:sz w:val="20"/>
        </w:rPr>
        <w:t>14.</w:t>
      </w:r>
      <w:r w:rsidRPr="00AF6BF9">
        <w:rPr>
          <w:rFonts w:ascii="Calibri" w:hAnsi="Calibri" w:cs="Calibri"/>
          <w:sz w:val="20"/>
        </w:rPr>
        <w:tab/>
        <w:t xml:space="preserve">Poncin M, </w:t>
      </w:r>
      <w:proofErr w:type="spellStart"/>
      <w:r w:rsidRPr="00AF6BF9">
        <w:rPr>
          <w:rFonts w:ascii="Calibri" w:hAnsi="Calibri" w:cs="Calibri"/>
          <w:sz w:val="20"/>
        </w:rPr>
        <w:t>Marembo</w:t>
      </w:r>
      <w:proofErr w:type="spellEnd"/>
      <w:r w:rsidRPr="00AF6BF9">
        <w:rPr>
          <w:rFonts w:ascii="Calibri" w:hAnsi="Calibri" w:cs="Calibri"/>
          <w:sz w:val="20"/>
        </w:rPr>
        <w:t xml:space="preserve"> J, </w:t>
      </w:r>
      <w:proofErr w:type="spellStart"/>
      <w:r w:rsidRPr="00AF6BF9">
        <w:rPr>
          <w:rFonts w:ascii="Calibri" w:hAnsi="Calibri" w:cs="Calibri"/>
          <w:sz w:val="20"/>
        </w:rPr>
        <w:t>Chitando</w:t>
      </w:r>
      <w:proofErr w:type="spellEnd"/>
      <w:r w:rsidRPr="00AF6BF9">
        <w:rPr>
          <w:rFonts w:ascii="Calibri" w:hAnsi="Calibri" w:cs="Calibri"/>
          <w:sz w:val="20"/>
        </w:rPr>
        <w:t xml:space="preserve"> P, Sreenivasan N, Makwara I, </w:t>
      </w:r>
      <w:proofErr w:type="spellStart"/>
      <w:r w:rsidRPr="00AF6BF9">
        <w:rPr>
          <w:rFonts w:ascii="Calibri" w:hAnsi="Calibri" w:cs="Calibri"/>
          <w:sz w:val="20"/>
        </w:rPr>
        <w:t>Machekanyanga</w:t>
      </w:r>
      <w:proofErr w:type="spellEnd"/>
      <w:r w:rsidRPr="00AF6BF9">
        <w:rPr>
          <w:rFonts w:ascii="Calibri" w:hAnsi="Calibri" w:cs="Calibri"/>
          <w:sz w:val="20"/>
        </w:rPr>
        <w:t xml:space="preserve"> Z, et al. Implementation of an outbreak response vaccination campaign with typhoid conjugate vaccine - Harare, Zimbabwe, 2019. Vaccine X. 2022 </w:t>
      </w:r>
      <w:proofErr w:type="gramStart"/>
      <w:r w:rsidRPr="00AF6BF9">
        <w:rPr>
          <w:rFonts w:ascii="Calibri" w:hAnsi="Calibri" w:cs="Calibri"/>
          <w:sz w:val="20"/>
        </w:rPr>
        <w:t>Dec;12:100201</w:t>
      </w:r>
      <w:proofErr w:type="gramEnd"/>
      <w:r w:rsidRPr="00AF6BF9">
        <w:rPr>
          <w:rFonts w:ascii="Calibri" w:hAnsi="Calibri" w:cs="Calibri"/>
          <w:sz w:val="20"/>
        </w:rPr>
        <w:t xml:space="preserve">. </w:t>
      </w:r>
    </w:p>
    <w:p w14:paraId="4E647C40" w14:textId="73786ED6" w:rsidR="00274614" w:rsidRPr="00D342BB" w:rsidRDefault="00AF6BF9" w:rsidP="005F71EB">
      <w:pPr>
        <w:pStyle w:val="NormalWeb"/>
        <w:shd w:val="clear" w:color="auto" w:fill="FFFFFF"/>
        <w:jc w:val="both"/>
        <w:rPr>
          <w:rFonts w:ascii="Calibri" w:hAnsi="Calibri" w:cs="Calibri"/>
          <w:b/>
          <w:bCs/>
          <w:color w:val="242424"/>
          <w:sz w:val="20"/>
          <w:szCs w:val="20"/>
        </w:rPr>
      </w:pPr>
      <w:r>
        <w:rPr>
          <w:rFonts w:ascii="Calibri" w:hAnsi="Calibri" w:cs="Calibri"/>
          <w:b/>
          <w:bCs/>
          <w:color w:val="242424"/>
          <w:sz w:val="20"/>
          <w:szCs w:val="20"/>
        </w:rPr>
        <w:fldChar w:fldCharType="end"/>
      </w:r>
    </w:p>
    <w:sectPr w:rsidR="00274614" w:rsidRPr="00D34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dvOT7fe89a09">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12CE3"/>
    <w:multiLevelType w:val="multilevel"/>
    <w:tmpl w:val="68400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D2C97"/>
    <w:multiLevelType w:val="multilevel"/>
    <w:tmpl w:val="90E41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22D0B"/>
    <w:multiLevelType w:val="hybridMultilevel"/>
    <w:tmpl w:val="DAE4E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E56ECA"/>
    <w:multiLevelType w:val="hybridMultilevel"/>
    <w:tmpl w:val="C1382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E7134D"/>
    <w:multiLevelType w:val="multilevel"/>
    <w:tmpl w:val="679C2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FF21B4"/>
    <w:multiLevelType w:val="multilevel"/>
    <w:tmpl w:val="3A542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6D6108"/>
    <w:multiLevelType w:val="multilevel"/>
    <w:tmpl w:val="85E07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D301CD"/>
    <w:multiLevelType w:val="multilevel"/>
    <w:tmpl w:val="91A03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672E2A"/>
    <w:multiLevelType w:val="multilevel"/>
    <w:tmpl w:val="65C6D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53364775">
    <w:abstractNumId w:val="6"/>
  </w:num>
  <w:num w:numId="2" w16cid:durableId="188567437">
    <w:abstractNumId w:val="1"/>
  </w:num>
  <w:num w:numId="3" w16cid:durableId="1681807888">
    <w:abstractNumId w:val="5"/>
  </w:num>
  <w:num w:numId="4" w16cid:durableId="1676572920">
    <w:abstractNumId w:val="8"/>
  </w:num>
  <w:num w:numId="5" w16cid:durableId="339547581">
    <w:abstractNumId w:val="0"/>
  </w:num>
  <w:num w:numId="6" w16cid:durableId="1670019705">
    <w:abstractNumId w:val="4"/>
  </w:num>
  <w:num w:numId="7" w16cid:durableId="1086655599">
    <w:abstractNumId w:val="7"/>
  </w:num>
  <w:num w:numId="8" w16cid:durableId="806626412">
    <w:abstractNumId w:val="2"/>
  </w:num>
  <w:num w:numId="9" w16cid:durableId="1532314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1EB"/>
    <w:rsid w:val="000E678F"/>
    <w:rsid w:val="001573CD"/>
    <w:rsid w:val="001C0386"/>
    <w:rsid w:val="0021357D"/>
    <w:rsid w:val="00274614"/>
    <w:rsid w:val="00282E23"/>
    <w:rsid w:val="00313AD5"/>
    <w:rsid w:val="003D2551"/>
    <w:rsid w:val="00437765"/>
    <w:rsid w:val="005D7731"/>
    <w:rsid w:val="005F71EB"/>
    <w:rsid w:val="006B6A38"/>
    <w:rsid w:val="006C7737"/>
    <w:rsid w:val="007056AF"/>
    <w:rsid w:val="007F74D2"/>
    <w:rsid w:val="00830409"/>
    <w:rsid w:val="0085299B"/>
    <w:rsid w:val="00956F92"/>
    <w:rsid w:val="009F391F"/>
    <w:rsid w:val="00A3419C"/>
    <w:rsid w:val="00AF6BF9"/>
    <w:rsid w:val="00B274F3"/>
    <w:rsid w:val="00C735C8"/>
    <w:rsid w:val="00CE430E"/>
    <w:rsid w:val="00D342BB"/>
    <w:rsid w:val="00D44478"/>
    <w:rsid w:val="00DA7036"/>
    <w:rsid w:val="00DC0CDA"/>
    <w:rsid w:val="00EE6C4F"/>
    <w:rsid w:val="00F23C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3C2F3"/>
  <w15:chartTrackingRefBased/>
  <w15:docId w15:val="{293EE395-844D-48F4-AA57-CB6E4B484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1EB"/>
    <w:pPr>
      <w:spacing w:after="0" w:line="240" w:lineRule="auto"/>
    </w:pPr>
    <w:rPr>
      <w:rFonts w:ascii="Aptos" w:hAnsi="Aptos" w:cs="Aptos"/>
      <w:kern w:val="0"/>
      <w14:ligatures w14:val="none"/>
    </w:rPr>
  </w:style>
  <w:style w:type="paragraph" w:styleId="Heading1">
    <w:name w:val="heading 1"/>
    <w:basedOn w:val="Normal"/>
    <w:next w:val="Normal"/>
    <w:link w:val="Heading1Char"/>
    <w:uiPriority w:val="9"/>
    <w:qFormat/>
    <w:rsid w:val="005F7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7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7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7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7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71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71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71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71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7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7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7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7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7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7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7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71EB"/>
    <w:rPr>
      <w:rFonts w:eastAsiaTheme="majorEastAsia" w:cstheme="majorBidi"/>
      <w:color w:val="272727" w:themeColor="text1" w:themeTint="D8"/>
    </w:rPr>
  </w:style>
  <w:style w:type="paragraph" w:styleId="Title">
    <w:name w:val="Title"/>
    <w:basedOn w:val="Normal"/>
    <w:next w:val="Normal"/>
    <w:link w:val="TitleChar"/>
    <w:uiPriority w:val="10"/>
    <w:qFormat/>
    <w:rsid w:val="005F71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7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71EB"/>
    <w:pPr>
      <w:spacing w:before="160"/>
      <w:jc w:val="center"/>
    </w:pPr>
    <w:rPr>
      <w:i/>
      <w:iCs/>
      <w:color w:val="404040" w:themeColor="text1" w:themeTint="BF"/>
    </w:rPr>
  </w:style>
  <w:style w:type="character" w:customStyle="1" w:styleId="QuoteChar">
    <w:name w:val="Quote Char"/>
    <w:basedOn w:val="DefaultParagraphFont"/>
    <w:link w:val="Quote"/>
    <w:uiPriority w:val="29"/>
    <w:rsid w:val="005F71EB"/>
    <w:rPr>
      <w:i/>
      <w:iCs/>
      <w:color w:val="404040" w:themeColor="text1" w:themeTint="BF"/>
    </w:rPr>
  </w:style>
  <w:style w:type="paragraph" w:styleId="ListParagraph">
    <w:name w:val="List Paragraph"/>
    <w:basedOn w:val="Normal"/>
    <w:uiPriority w:val="34"/>
    <w:qFormat/>
    <w:rsid w:val="005F71EB"/>
    <w:pPr>
      <w:ind w:left="720"/>
      <w:contextualSpacing/>
    </w:pPr>
  </w:style>
  <w:style w:type="character" w:styleId="IntenseEmphasis">
    <w:name w:val="Intense Emphasis"/>
    <w:basedOn w:val="DefaultParagraphFont"/>
    <w:uiPriority w:val="21"/>
    <w:qFormat/>
    <w:rsid w:val="005F71EB"/>
    <w:rPr>
      <w:i/>
      <w:iCs/>
      <w:color w:val="0F4761" w:themeColor="accent1" w:themeShade="BF"/>
    </w:rPr>
  </w:style>
  <w:style w:type="paragraph" w:styleId="IntenseQuote">
    <w:name w:val="Intense Quote"/>
    <w:basedOn w:val="Normal"/>
    <w:next w:val="Normal"/>
    <w:link w:val="IntenseQuoteChar"/>
    <w:uiPriority w:val="30"/>
    <w:qFormat/>
    <w:rsid w:val="005F7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71EB"/>
    <w:rPr>
      <w:i/>
      <w:iCs/>
      <w:color w:val="0F4761" w:themeColor="accent1" w:themeShade="BF"/>
    </w:rPr>
  </w:style>
  <w:style w:type="character" w:styleId="IntenseReference">
    <w:name w:val="Intense Reference"/>
    <w:basedOn w:val="DefaultParagraphFont"/>
    <w:uiPriority w:val="32"/>
    <w:qFormat/>
    <w:rsid w:val="005F71EB"/>
    <w:rPr>
      <w:b/>
      <w:bCs/>
      <w:smallCaps/>
      <w:color w:val="0F4761" w:themeColor="accent1" w:themeShade="BF"/>
      <w:spacing w:val="5"/>
    </w:rPr>
  </w:style>
  <w:style w:type="paragraph" w:styleId="NormalWeb">
    <w:name w:val="Normal (Web)"/>
    <w:basedOn w:val="Normal"/>
    <w:uiPriority w:val="99"/>
    <w:unhideWhenUsed/>
    <w:rsid w:val="005F71EB"/>
  </w:style>
  <w:style w:type="character" w:customStyle="1" w:styleId="fontstyle01">
    <w:name w:val="fontstyle01"/>
    <w:basedOn w:val="DefaultParagraphFont"/>
    <w:rsid w:val="00DC0CDA"/>
    <w:rPr>
      <w:rFonts w:ascii="AdvOT7fe89a09" w:hAnsi="AdvOT7fe89a09" w:hint="default"/>
      <w:b w:val="0"/>
      <w:bCs w:val="0"/>
      <w:i w:val="0"/>
      <w:iCs w:val="0"/>
      <w:color w:val="000000"/>
      <w:sz w:val="18"/>
      <w:szCs w:val="18"/>
    </w:rPr>
  </w:style>
  <w:style w:type="paragraph" w:styleId="Bibliography">
    <w:name w:val="Bibliography"/>
    <w:basedOn w:val="Normal"/>
    <w:next w:val="Normal"/>
    <w:uiPriority w:val="37"/>
    <w:unhideWhenUsed/>
    <w:rsid w:val="00F23C2F"/>
    <w:pPr>
      <w:tabs>
        <w:tab w:val="left" w:pos="384"/>
      </w:tabs>
      <w:spacing w:after="240"/>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17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447</TotalTime>
  <Pages>2</Pages>
  <Words>6881</Words>
  <Characters>39227</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Jong-Hoon Kim</dc:creator>
  <cp:keywords/>
  <dc:description/>
  <cp:lastModifiedBy>Jong-Hoon Kim</cp:lastModifiedBy>
  <cp:revision>3</cp:revision>
  <dcterms:created xsi:type="dcterms:W3CDTF">2024-05-31T01:19:00Z</dcterms:created>
  <dcterms:modified xsi:type="dcterms:W3CDTF">2024-05-31T08:49:00Z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id="28zRTtD6"/&gt;&lt;style id="http://www.zotero.org/styles/vancouver" locale="en-US" hasBibliography="1" bibliographyStyleHasBeenSet="1"/&gt;&lt;prefs&gt;&lt;pref name="fieldType" value="Field"/&gt;&lt;/prefs&gt;&lt;/data&gt;</vt:lpwstr>
  </property>
</Properties>
</file>