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-vaccine-submission"/>
    <w:p>
      <w:pPr>
        <w:pStyle w:val="Heading1"/>
      </w:pPr>
      <w:r>
        <w:t xml:space="preserve">Highlights —</w:t>
      </w:r>
      <w:r>
        <w:t xml:space="preserve"> </w:t>
      </w:r>
      <w:r>
        <w:rPr>
          <w:iCs/>
          <w:i/>
        </w:rPr>
        <w:t xml:space="preserve">Vaccine</w:t>
      </w:r>
      <w:r>
        <w:t xml:space="preserve"> </w:t>
      </w:r>
      <w:r>
        <w:t xml:space="preserve">Submission</w:t>
      </w:r>
    </w:p>
    <w:p>
      <w:pPr>
        <w:pStyle w:val="FirstParagraph"/>
      </w:pPr>
      <w:r>
        <w:rPr>
          <w:iCs/>
          <w:i/>
        </w:rPr>
        <w:t xml:space="preserve">Vaccine</w:t>
      </w:r>
      <w:r>
        <w:t xml:space="preserve"> </w:t>
      </w:r>
      <w:r>
        <w:t xml:space="preserve">requires 3–5 bullet points, each no longer than 85 characters (including spaces).*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ORI with TCV can avert 30% of typhoid cases even at an 8-week response delay.</w:t>
      </w:r>
    </w:p>
    <w:p>
      <w:pPr>
        <w:numPr>
          <w:ilvl w:val="0"/>
          <w:numId w:val="1001"/>
        </w:numPr>
        <w:pStyle w:val="Compact"/>
      </w:pPr>
      <w:r>
        <w:t xml:space="preserve">Earlier ORI initiation substantially increases impact; effect halves by week 7.</w:t>
      </w:r>
    </w:p>
    <w:p>
      <w:pPr>
        <w:numPr>
          <w:ilvl w:val="0"/>
          <w:numId w:val="1001"/>
        </w:numPr>
        <w:pStyle w:val="Compact"/>
      </w:pPr>
      <w:r>
        <w:t xml:space="preserve">Longer and AMR-positive outbreaks benefit most from outbreak response vaccination.</w:t>
      </w:r>
    </w:p>
    <w:p>
      <w:pPr>
        <w:numPr>
          <w:ilvl w:val="0"/>
          <w:numId w:val="1001"/>
        </w:numPr>
        <w:pStyle w:val="Compact"/>
      </w:pPr>
      <w:r>
        <w:t xml:space="preserve">Cases averted per 1,000 doses and cost per DALY averted are sensitive to timing.</w:t>
      </w:r>
    </w:p>
    <w:p>
      <w:pPr>
        <w:numPr>
          <w:ilvl w:val="0"/>
          <w:numId w:val="1001"/>
        </w:numPr>
        <w:pStyle w:val="Compact"/>
      </w:pPr>
      <w:r>
        <w:t xml:space="preserve">Findings support broader Gavi and WHO investment in TCV outbreak response capacity.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Character counts (all ≤ 85):</w:t>
      </w:r>
      <w:r>
        <w:t xml:space="preserve"> </w:t>
      </w:r>
      <w:r>
        <w:t xml:space="preserve">- Bullet 1: 78 characters</w:t>
      </w:r>
      <w:r>
        <w:t xml:space="preserve"> </w:t>
      </w:r>
      <w:r>
        <w:t xml:space="preserve">- Bullet 2: 75 characters</w:t>
      </w:r>
      <w:r>
        <w:t xml:space="preserve"> </w:t>
      </w:r>
      <w:r>
        <w:t xml:space="preserve">- Bullet 3: 76 characters</w:t>
      </w:r>
      <w:r>
        <w:t xml:space="preserve"> </w:t>
      </w:r>
      <w:r>
        <w:t xml:space="preserve">- Bullet 4: 78 characters</w:t>
      </w:r>
      <w:r>
        <w:t xml:space="preserve"> </w:t>
      </w:r>
      <w:r>
        <w:t xml:space="preserve">- Bullet 5: 82 characters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2026-03-12T02:37:53Z</dcterms:created>
  <dcterms:modified xsi:type="dcterms:W3CDTF">2026-03-12T02:37:53Z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