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Main-manuscript Methods and Results: PPV adjustment</w:t>
      </w:r>
    </w:p>
    <w:p>
      <w:pPr>
        <w:pStyle w:val="Subtitle"/>
      </w:pPr>
      <w:r>
        <w:t xml:space="preserve">Draft text and proposed main figures</w:t>
      </w:r>
    </w:p>
    <w:bookmarkStart w:id="11" w:name="methods"/>
    <w:p>
      <w:pPr>
        <w:pStyle w:val="Heading1"/>
      </w:pPr>
      <w:r>
        <w:t xml:space="preserve">Methods</w:t>
      </w:r>
    </w:p>
    <w:bookmarkStart w:id="9" w:name="X6158ba22f3950eff1f1d5f97b009f7523e97389"/>
    <w:p>
      <w:pPr>
        <w:pStyle w:val="Heading2"/>
      </w:pPr>
      <w:r>
        <w:t xml:space="preserve">Adjustment for the positive predictive value of suspected cases</w:t>
      </w:r>
    </w:p>
    <w:p>
      <w:pPr>
        <w:pStyle w:val="FirstParagraph"/>
      </w:pPr>
      <w:r>
        <w:t xml:space="preserve">The outbreak time series used in the outbreak-response immunization (ORI) model comprised suspected</w:t>
      </w:r>
      <w:r>
        <w:t xml:space="preserve"> </w:t>
      </w:r>
      <w:r>
        <w:t xml:space="preserve">cases meeting study-specific clinical definitions. We therefore defined the relevant positive</w:t>
      </w:r>
      <w:r>
        <w:t xml:space="preserve"> </w:t>
      </w:r>
      <w:r>
        <w:t xml:space="preserve">predictive value (PPV) as the probability of latent true typhoid among all suspected cases in an</w:t>
      </w:r>
      <w:r>
        <w:t xml:space="preserve"> </w:t>
      </w:r>
      <w:r>
        <w:t xml:space="preserve">outbreak,</w:t>
      </w:r>
      <w:r>
        <w:t xml:space="preserve"> </w:t>
      </w:r>
      <m:oMath>
        <m:sSub>
          <m:e>
            <m:r>
              <m:t>π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)</m:t>
        </m:r>
      </m:oMath>
      <w:r>
        <w:t xml:space="preserve">, rather than the proportion positive among patients selected for</w:t>
      </w:r>
      <w:r>
        <w:t xml:space="preserve"> </w:t>
      </w:r>
      <w:r>
        <w:t xml:space="preserve">blood culture. Blood-culture positivity is an imperfect proxy for this estimand because blood culture</w:t>
      </w:r>
      <w:r>
        <w:t xml:space="preserve"> </w:t>
      </w:r>
      <w:r>
        <w:t xml:space="preserve">has incomplete, volume-dependent sensitivity and patients selected for culture may differ from those</w:t>
      </w:r>
      <w:r>
        <w:t xml:space="preserve"> </w:t>
      </w:r>
      <w:r>
        <w:t xml:space="preserve">not tested.</w:t>
      </w:r>
    </w:p>
    <w:p>
      <w:pPr>
        <w:pStyle w:val="BodyText"/>
      </w:pPr>
      <w:r>
        <w:t xml:space="preserve">We estimated blood-culture sensitivity and outbreak-specific PPV jointly in a Bayesian latent-class</w:t>
      </w:r>
      <w:r>
        <w:t xml:space="preserve"> </w:t>
      </w:r>
      <w:r>
        <w:t xml:space="preserve">model. The culture-accuracy layer included nine historical studies (577 patients) in which blood and</w:t>
      </w:r>
      <w:r>
        <w:t xml:space="preserve"> </w:t>
      </w:r>
      <w:r>
        <w:t xml:space="preserve">bone-marrow cultures were performed in the same patients. Joint outcomes—blood positive/bone-marrow</w:t>
      </w:r>
      <w:r>
        <w:t xml:space="preserve"> </w:t>
      </w:r>
      <w:r>
        <w:t xml:space="preserve">positive, blood positive/bone-marrow negative, blood negative/bone-marrow positive, and negative by</w:t>
      </w:r>
      <w:r>
        <w:t xml:space="preserve"> </w:t>
      </w:r>
      <w:r>
        <w:t xml:space="preserve">both—were modeled with a multinomial likelihood conditional on latent disease status. Blood-culture</w:t>
      </w:r>
      <w:r>
        <w:t xml:space="preserve"> </w:t>
      </w:r>
      <w:r>
        <w:t xml:space="preserve">sensitivity in study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was modeled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S</m:t>
          </m:r>
          <m:sSub>
            <m:e>
              <m:r>
                <m:t>e</m:t>
              </m:r>
            </m:e>
            <m:sub>
              <m:r>
                <m:t>B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τ</m:t>
          </m:r>
          <m:sSub>
            <m:e>
              <m:r>
                <m:t>u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was cultured blood volume 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represented residual between-study heterogeneity.</w:t>
      </w:r>
      <w:r>
        <w:t xml:space="preserve"> </w:t>
      </w:r>
      <w:r>
        <w:t xml:space="preserve">The prior for the log-volume slope was informed by the Antillón et al. meta-regression. Blood- and</w:t>
      </w:r>
      <w:r>
        <w:t xml:space="preserve"> </w:t>
      </w:r>
      <w:r>
        <w:t xml:space="preserve">bone-marrow-culture specificities were assigned priors concentrated near one, while bone-marrow</w:t>
      </w:r>
      <w:r>
        <w:t xml:space="preserve"> </w:t>
      </w:r>
      <w:r>
        <w:t xml:space="preserve">sensitivity was estimated rather than treated as a perfect reference standard. Vallenas (1985) was</w:t>
      </w:r>
      <w:r>
        <w:t xml:space="preserve"> </w:t>
      </w:r>
      <w:r>
        <w:t xml:space="preserve">excluded because the joint cells reported in the source review were inconsistent with the primary</w:t>
      </w:r>
      <w:r>
        <w:t xml:space="preserve"> </w:t>
      </w:r>
      <w:r>
        <w:t xml:space="preserve">paper’s marginal yields and did not identify a defensible both-negative cell.</w:t>
      </w:r>
    </w:p>
    <w:p>
      <w:pPr>
        <w:pStyle w:val="BodyText"/>
      </w:pPr>
      <w:r>
        <w:t xml:space="preserve">Community PPV evidence was assembled from 107 candidate outbreak records identified through the Koh</w:t>
      </w:r>
      <w:r>
        <w:t xml:space="preserve"> </w:t>
      </w:r>
      <w:r>
        <w:t xml:space="preserve">et al. and Appiah et al. outbreak reviews. Eight independent outbreaks supplied a clinically defined</w:t>
      </w:r>
      <w:r>
        <w:t xml:space="preserve"> </w:t>
      </w:r>
      <w:r>
        <w:t xml:space="preserve">suspected-case denominator, a blood-culture-specific tested count drawn from that denominator, and a</w:t>
      </w:r>
      <w:r>
        <w:t xml:space="preserve"> </w:t>
      </w:r>
      <w:r>
        <w:t xml:space="preserve">blood-culture-positive count from the same tested subset. The audit classified 80 records as</w:t>
      </w:r>
      <w:r>
        <w:t xml:space="preserve"> </w:t>
      </w:r>
      <w:r>
        <w:t xml:space="preserve">ineligible, retained 14 for sensitivity analyses, and held five pending source reconstruction or</w:t>
      </w:r>
      <w:r>
        <w:t xml:space="preserve"> </w:t>
      </w:r>
      <w:r>
        <w:t xml:space="preserve">retrieval. Counts were corrected to blood-specific values where supported by primary reports,</w:t>
      </w:r>
      <w:r>
        <w:t xml:space="preserve"> </w:t>
      </w:r>
      <w:r>
        <w:t xml:space="preserve">including 19/54 for Neil (2012) and 56/364 for Kabwama (2017).</w:t>
      </w:r>
    </w:p>
    <w:p>
      <w:pPr>
        <w:pStyle w:val="BodyText"/>
      </w:pPr>
      <w:r>
        <w:t xml:space="preserve">Population PPV was modeled hierarchically: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σ</m:t>
              </m:r>
            </m:e>
            <m:sub>
              <m:r>
                <m:t>π</m:t>
              </m:r>
            </m:sub>
          </m:sSub>
          <m:sSub>
            <m:e>
              <m:r>
                <m:t>z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z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 allow preferential verification,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  <m:r>
              <m:t>o</m:t>
            </m:r>
          </m:sub>
        </m:sSub>
      </m:oMath>
      <w:r>
        <w:t xml:space="preserve"> </w:t>
      </w:r>
      <w:r>
        <w:t xml:space="preserve">denoted the probabilities of culture among</w:t>
      </w:r>
      <w:r>
        <w:t xml:space="preserve"> </w:t>
      </w:r>
      <w:r>
        <w:t xml:space="preserve">true-typhoid and non-typhoid suspected cases. Their log-odds difference was modeled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1</m:t>
              </m:r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0</m:t>
              </m:r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δ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b</m:t>
              </m:r>
              <m:r>
                <m:t>i</m:t>
              </m:r>
              <m:r>
                <m:t>a</m:t>
              </m:r>
              <m:r>
                <m:t>s</m:t>
              </m:r>
            </m:sub>
          </m:sSub>
          <m:sSub>
            <m:e>
              <m:r>
                <m:t>B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σ</m:t>
              </m:r>
            </m:e>
            <m:sub>
              <m:r>
                <m:t>δ</m:t>
              </m:r>
            </m:sub>
          </m:sSub>
          <m:sSub>
            <m:e>
              <m:r>
                <m:t>z</m:t>
              </m:r>
            </m:e>
            <m:sub>
              <m:r>
                <m:t>δ</m:t>
              </m:r>
              <m:r>
                <m:t>o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prespecified audit grade</w:t>
      </w:r>
      <w:r>
        <w:t xml:space="preserve"> </w:t>
      </w:r>
      <m:oMath>
        <m:sSub>
          <m:e>
            <m:r>
              <m:t>B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was coded 0, 1, or 2 for negligible/low, moderate, or major</w:t>
      </w:r>
      <w:r>
        <w:t xml:space="preserve"> </w:t>
      </w:r>
      <w:r>
        <w:t xml:space="preserve">verification concern. Culture-positive, culture-negative, and untested counts followed a</w:t>
      </w:r>
      <w:r>
        <w:t xml:space="preserve"> </w:t>
      </w:r>
      <w:r>
        <w:t xml:space="preserve">three-category multinomial likelihood. Because aggregate testing counts do not separately identify</w:t>
      </w:r>
      <w:r>
        <w:t xml:space="preserve"> </w:t>
      </w:r>
      <w:r>
        <w:t xml:space="preserve">population PPV and preferential selection, the selection component was interpreted as</w:t>
      </w:r>
      <w:r>
        <w:t xml:space="preserve"> </w:t>
      </w:r>
      <w:r>
        <w:t xml:space="preserve">prior-dependent and evaluated under six structural assumptions: no enrichment, skeptical, base, and</w:t>
      </w:r>
      <w:r>
        <w:t xml:space="preserve"> </w:t>
      </w:r>
      <w:r>
        <w:t xml:space="preserve">permissive priors, binary rather than ordinal grades, and no grade effect.</w:t>
      </w:r>
    </w:p>
    <w:p>
      <w:pPr>
        <w:pStyle w:val="BodyText"/>
      </w:pPr>
      <w:r>
        <w:t xml:space="preserve">Models were fitted in Stan using four chains, 1,500 warm-up and 1,500 retained iterations per chain,</w:t>
      </w:r>
      <w:r>
        <w:t xml:space="preserve"> </w:t>
      </w:r>
      <w:r>
        <w:t xml:space="preserve">seed 2026, target acceptance probability 0.98, and maximum tree depth 12. We report posterior medians</w:t>
      </w:r>
      <w:r>
        <w:t xml:space="preserve"> </w:t>
      </w:r>
      <w:r>
        <w:t xml:space="preserve">and 90% credible intervals (CrIs). The main fit had no divergent transitions, maximum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r>
        <w:t xml:space="preserve">1.004, and minimum bulk and tail effective sample sizes of 1,704 and 1,631, respectively.</w:t>
      </w:r>
    </w:p>
    <w:bookmarkEnd w:id="9"/>
    <w:bookmarkStart w:id="10" w:name="propagation-into-the-ori-model"/>
    <w:p>
      <w:pPr>
        <w:pStyle w:val="Heading2"/>
      </w:pPr>
      <w:r>
        <w:t xml:space="preserve">Propagation into the ORI model</w:t>
      </w:r>
    </w:p>
    <w:p>
      <w:pPr>
        <w:pStyle w:val="FirstParagraph"/>
      </w:pPr>
      <w:r>
        <w:t xml:space="preserve">The complete PPV posterior, rather than posterior medians, was propagated jointly with vaccine</w:t>
      </w:r>
      <w:r>
        <w:t xml:space="preserve"> </w:t>
      </w:r>
      <w:r>
        <w:t xml:space="preserve">efficacy and campaign-timing uncertainty. ORI outbreaks matching a PPV study identifier received</w:t>
      </w:r>
      <w:r>
        <w:t xml:space="preserve"> </w:t>
      </w:r>
      <w:r>
        <w:t xml:space="preserve">draws from their local</w:t>
      </w:r>
      <w:r>
        <w:t xml:space="preserve"> </w:t>
      </w:r>
      <m:oMath>
        <m:sSub>
          <m:e>
            <m:r>
              <m:t>π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posterior. For outbreaks without a direct anchor, each iteration drew</w:t>
      </w:r>
      <w:r>
        <w:t xml:space="preserve"> </w:t>
      </w:r>
      <w:r>
        <w:t xml:space="preserve">an outbreak-specific PPV from the fitted logit-normal population distribution conditional on that</w:t>
      </w:r>
      <w:r>
        <w:t xml:space="preserve"> </w:t>
      </w:r>
      <w:r>
        <w:t xml:space="preserve">iteration’s</w:t>
      </w:r>
      <w:r>
        <w:t xml:space="preserve"> </w:t>
      </w:r>
      <m:oMath>
        <m:sSub>
          <m:e>
            <m:r>
              <m:t>μ</m:t>
            </m:r>
          </m:e>
          <m:sub>
            <m:r>
              <m:t>π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π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primary analysis used an additive observation model,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was observed</w:t>
      </w:r>
      <w:r>
        <w:t xml:space="preserve"> </w:t>
      </w:r>
      <w:r>
        <w:t xml:space="preserve">suspected incidence,</w:t>
      </w:r>
      <w:r>
        <w:t xml:space="preserve"> </w:t>
      </w:r>
      <m:oMath>
        <m:sSub>
          <m:e>
            <m:r>
              <m:t>I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was latent true-typhoid incidence, and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was a constant non-typhoid</w:t>
      </w:r>
      <w:r>
        <w:t xml:space="preserve"> </w:t>
      </w:r>
      <w:r>
        <w:t xml:space="preserve">febrile background. For each PPV draw,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was subtracted from the suspected curve,</w:t>
      </w:r>
      <w:r>
        <w:t xml:space="preserve"> </w:t>
      </w:r>
      <w:r>
        <w:t xml:space="preserve">negative values were truncated, and the resulting curve was renormalized so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sSub>
              <m:e>
                <m:r>
                  <m:t>I</m:t>
                </m:r>
              </m:e>
              <m:sub>
                <m:r>
                  <m:t>t</m:t>
                </m:r>
              </m:sub>
            </m:sSub>
          </m:e>
        </m:nary>
        <m:r>
          <m:rPr>
            <m:sty m:val="p"/>
          </m:rPr>
          <m:t>=</m:t>
        </m:r>
        <m:r>
          <m:t>π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sSub>
              <m:e>
                <m:r>
                  <m:t>S</m:t>
                </m:r>
              </m:e>
              <m:sub>
                <m:r>
                  <m:t>t</m:t>
                </m:r>
              </m:sub>
            </m:sSub>
          </m:e>
        </m:nary>
      </m:oMath>
      <w:r>
        <w:t xml:space="preserve">. The vaccine acted only on</w:t>
      </w:r>
      <w:r>
        <w:t xml:space="preserve"> </w:t>
      </w:r>
      <m:oMath>
        <m:sSub>
          <m:e>
            <m:r>
              <m:t>I</m:t>
            </m:r>
          </m:e>
          <m:sub>
            <m:r>
              <m:t>t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At a second additive level, true typhoid was represented as</w:t>
      </w:r>
      <w:r>
        <w:t xml:space="preserve"> </w:t>
      </w:r>
      <m:oMath>
        <m:sSub>
          <m:e>
            <m:r>
              <m:t>I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, with</w:t>
      </w:r>
      <w:r>
        <w:t xml:space="preserve"> </w:t>
      </w:r>
      <w:r>
        <w:t xml:space="preserve">background/common-source typhoid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propagated typhoid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Sup>
          <m:e>
            <m:r>
              <m:t>R</m:t>
            </m:r>
          </m:e>
          <m:sub>
            <m:r>
              <m:t>t</m:t>
            </m:r>
          </m:sub>
          <m:sup>
            <m:r>
              <m:t>P</m:t>
            </m:r>
          </m:sup>
        </m:sSubSup>
        <m:nary>
          <m:naryPr>
            <m:chr m:val="∑"/>
            <m:limLoc m:val="undOvr"/>
            <m:subHide m:val="off"/>
            <m:supHide m:val="on"/>
          </m:naryPr>
          <m:sub>
            <m:r>
              <m:t>u</m:t>
            </m:r>
            <m:r>
              <m:rPr>
                <m:sty m:val="p"/>
              </m:rPr>
              <m:t>≥</m:t>
            </m:r>
            <m:r>
              <m:t>1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u</m:t>
                </m:r>
              </m:sub>
            </m:sSub>
          </m:e>
        </m:nary>
        <m:sSub>
          <m:e>
            <m:r>
              <m:t>I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u</m:t>
            </m:r>
          </m:sub>
        </m:sSub>
      </m:oMath>
      <w:r>
        <w:t xml:space="preserve">. Vaccination reduced both components directly, whereas only</w:t>
      </w:r>
      <w:r>
        <w:t xml:space="preserve"> </w:t>
      </w:r>
      <w:r>
        <w:t xml:space="preserve">propagated cases generated feedback through the renewal recursion. The source fraction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allocated baseline incidence inside that shared recursion. The former post hoc calculation</w:t>
      </w:r>
      <w:r>
        <w:t xml:space="preserve"> </w:t>
      </w:r>
      <m:oMath>
        <m:r>
          <m:t>θ</m:t>
        </m:r>
        <m:sSub>
          <m:e>
            <m:r>
              <m:t>A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  <m:sSub>
          <m:e>
            <m:r>
              <m:t>A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was retained only as a paired historical</w:t>
      </w:r>
      <w:r>
        <w:t xml:space="preserve"> </w:t>
      </w:r>
      <w:r>
        <w:t xml:space="preserve">comparator, using the same PPV-adjusted curve and parameter draws. We distinguished the percentage reduction in</w:t>
      </w:r>
      <w:r>
        <w:t xml:space="preserve"> </w:t>
      </w:r>
      <w:r>
        <w:t xml:space="preserve">latent true typhoid from the smaller percentage reduction observable in all-cause suspected-case</w:t>
      </w:r>
      <w:r>
        <w:t xml:space="preserve"> </w:t>
      </w:r>
      <w:r>
        <w:t xml:space="preserve">surveillance. Typhoid-attributed deaths were treated as disease-specific and were not multiplied by</w:t>
      </w:r>
      <w:r>
        <w:t xml:space="preserve"> </w:t>
      </w:r>
      <w:r>
        <w:t xml:space="preserve">PPV; non-fatal cases, years lived with disability, treatment costs, and antimicrobial-resistance case</w:t>
      </w:r>
      <w:r>
        <w:t xml:space="preserve"> </w:t>
      </w:r>
      <w:r>
        <w:t xml:space="preserve">counts were PPV-adjusted.</w:t>
      </w:r>
    </w:p>
    <w:bookmarkEnd w:id="10"/>
    <w:bookmarkEnd w:id="11"/>
    <w:bookmarkStart w:id="22" w:name="results"/>
    <w:p>
      <w:pPr>
        <w:pStyle w:val="Heading1"/>
      </w:pPr>
      <w:r>
        <w:t xml:space="preserve">Results</w:t>
      </w:r>
    </w:p>
    <w:bookmarkStart w:id="16" w:name="culture-sensitivity-and-outbreak-ppv"/>
    <w:p>
      <w:pPr>
        <w:pStyle w:val="Heading2"/>
      </w:pPr>
      <w:r>
        <w:t xml:space="preserve">Culture sensitivity and outbreak PPV</w:t>
      </w:r>
    </w:p>
    <w:p>
      <w:pPr>
        <w:pStyle w:val="FirstParagraph"/>
      </w:pPr>
      <w:r>
        <w:t xml:space="preserve">Estimated blood-culture sensitivity increased from 0.56 (90% CrI 0.46–0.66) at 2 mL to 0.65</w:t>
      </w:r>
      <w:r>
        <w:t xml:space="preserve"> </w:t>
      </w:r>
      <w:r>
        <w:t xml:space="preserve">(0.56–0.73) at 5 mL and 0.72 (0.62–0.80) at 10 mL. Estimated bone-marrow-culture sensitivity was</w:t>
      </w:r>
      <w:r>
        <w:t xml:space="preserve"> </w:t>
      </w:r>
      <w:r>
        <w:t xml:space="preserve">0.92 (0.90–0.94). These results imply that observed blood-culture positivity systematically</w:t>
      </w:r>
      <w:r>
        <w:t xml:space="preserve"> </w:t>
      </w:r>
      <w:r>
        <w:t xml:space="preserve">understates the proportion of suspected patients with true typhoid.</w:t>
      </w:r>
    </w:p>
    <w:p>
      <w:pPr>
        <w:pStyle w:val="BodyText"/>
      </w:pPr>
      <w:r>
        <w:t xml:space="preserve">Community PPV was strongly heterogeneous. Study-specific posterior medians ranged from 0.10 for</w:t>
      </w:r>
      <w:r>
        <w:t xml:space="preserve"> </w:t>
      </w:r>
      <w:r>
        <w:t xml:space="preserve">Dhadwal (2008) to 0.86 for Hu (2022). The fitted median PPV for a typical outbreak was 0.31 (90% CrI</w:t>
      </w:r>
      <w:r>
        <w:t xml:space="preserve"> </w:t>
      </w:r>
      <w:r>
        <w:t xml:space="preserve">0.16–0.52), with a between-outbreak logit-scale standard deviation of 1.35 (0.85–2.03). The</w:t>
      </w:r>
      <w:r>
        <w:t xml:space="preserve"> </w:t>
      </w:r>
      <w:r>
        <w:t xml:space="preserve">audit-grade selection coefficient was positive (median 0.39, 90% CrI 0.05–0.94), but the selection</w:t>
      </w:r>
      <w:r>
        <w:t xml:space="preserve"> </w:t>
      </w:r>
      <w:r>
        <w:t xml:space="preserve">hyperparameters remained substantially prior-dependent and were not interpreted as empirical proof</w:t>
      </w:r>
      <w:r>
        <w:t xml:space="preserve"> </w:t>
      </w:r>
      <w:r>
        <w:t xml:space="preserve">of preferential culture.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main-ppv-evidence"/>
          <w:p>
            <w:pPr>
              <w:pStyle w:val="Compact"/>
              <w:jc w:val="center"/>
            </w:pPr>
            <w:r>
              <w:drawing>
                <wp:inline>
                  <wp:extent cx="5067300" cy="3523465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figures/fig_main_ppv_evidenc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523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blood-culture positivity, PPV among cultured suspects, and selection-adjusted PPV among all suspected cases. Points show posterior medians and horizontal bars show 90% CrIs; observed positivity is plotted without an interval.</w:t>
            </w:r>
          </w:p>
          <w:bookmarkEnd w:id="15"/>
        </w:tc>
      </w:tr>
    </w:tbl>
    <w:p>
      <w:pPr>
        <w:pStyle w:val="BodyText"/>
      </w:pPr>
      <w:r>
        <w:t xml:space="preserve">Figure</w:t>
      </w:r>
      <w:r>
        <w:t xml:space="preserve"> </w:t>
      </w:r>
      <w:hyperlink w:anchor="fig-main-ppv-evide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separates three quantities that are often conflated. Correcting only</w:t>
      </w:r>
      <w:r>
        <w:t xml:space="preserve"> </w:t>
      </w:r>
      <w:r>
        <w:t xml:space="preserve">for imperfect blood-culture sensitivity raises the estimated PPV among cultured patients, while the</w:t>
      </w:r>
      <w:r>
        <w:t xml:space="preserve"> </w:t>
      </w:r>
      <w:r>
        <w:t xml:space="preserve">selection model can lower the corresponding PPV among all suspected cases when true typhoid is</w:t>
      </w:r>
      <w:r>
        <w:t xml:space="preserve"> </w:t>
      </w:r>
      <w:r>
        <w:t xml:space="preserve">preferentially cultured. The difference was largest in outbreaks assigned major verification</w:t>
      </w:r>
      <w:r>
        <w:t xml:space="preserve"> </w:t>
      </w:r>
      <w:r>
        <w:t xml:space="preserve">concern, although intervals remained wide.</w:t>
      </w:r>
    </w:p>
    <w:bookmarkEnd w:id="16"/>
    <w:bookmarkStart w:id="21" w:name="effect-on-estimated-ori-impact"/>
    <w:p>
      <w:pPr>
        <w:pStyle w:val="Heading2"/>
      </w:pPr>
      <w:r>
        <w:t xml:space="preserve">Effect on estimated ORI impact</w:t>
      </w:r>
    </w:p>
    <w:p>
      <w:pPr>
        <w:pStyle w:val="FirstParagraph"/>
      </w:pPr>
      <w:r>
        <w:t xml:space="preserve">In the base-case two-level additive analysis, ORI averted a pooled median 1,846 true typhoid cases</w:t>
      </w:r>
      <w:r>
        <w:t xml:space="preserve"> </w:t>
      </w:r>
      <w:r>
        <w:t xml:space="preserve">(95% simulation interval 644–3,742), corresponding to a 25.6% reduction in latent true typhoid and</w:t>
      </w:r>
      <w:r>
        <w:t xml:space="preserve"> </w:t>
      </w:r>
      <w:r>
        <w:t xml:space="preserve">a 7.0% reduction observable in suspected-case surveillance. The historical</w:t>
      </w:r>
      <w:r>
        <w:t xml:space="preserve"> </w:t>
      </w:r>
      <m:oMath>
        <m:r>
          <m:t>θ</m:t>
        </m:r>
      </m:oMath>
      <w:r>
        <w:t xml:space="preserve">-weighted</w:t>
      </w:r>
      <w:r>
        <w:t xml:space="preserve"> </w:t>
      </w:r>
      <w:r>
        <w:t xml:space="preserve">calculation gave 25.9%; the paired additive-minus-weighted difference was −0.5 percentage points</w:t>
      </w:r>
      <w:r>
        <w:t xml:space="preserve"> </w:t>
      </w:r>
      <w:r>
        <w:t xml:space="preserve">(−2.4 to 0.7) or −37 cases (−212 to 52). The similar pooled estimates mask larger</w:t>
      </w:r>
      <w:r>
        <w:t xml:space="preserve"> </w:t>
      </w:r>
      <w:r>
        <w:t xml:space="preserve">outbreak-specific differences and do not make the two formulations mechanistically equivalent.</w:t>
      </w:r>
    </w:p>
    <w:p>
      <w:pPr>
        <w:pStyle w:val="BodyText"/>
      </w:pPr>
      <w:r>
        <w:t xml:space="preserve">In a separate observation-layer sensitivity using the pure-renewal propagation workflow, selection</w:t>
      </w:r>
      <w:r>
        <w:t xml:space="preserve"> </w:t>
      </w:r>
      <w:r>
        <w:t xml:space="preserve">assumptions changed estimated true cases averted from 1,511 to 2,277, while the true-typhoid</w:t>
      </w:r>
      <w:r>
        <w:t xml:space="preserve"> </w:t>
      </w:r>
      <w:r>
        <w:t xml:space="preserve">percentage reduction remained between 29.8% and 30.7% and the apparent suspected-case reduction</w:t>
      </w:r>
      <w:r>
        <w:t xml:space="preserve"> </w:t>
      </w:r>
      <w:r>
        <w:t xml:space="preserve">ranged from 5.5% to 8.9%. These values quantify PPV-selection sensitivity conditional on that</w:t>
      </w:r>
      <w:r>
        <w:t xml:space="preserve"> </w:t>
      </w:r>
      <w:r>
        <w:t xml:space="preserve">propagation workflow; they are not uncertainty limits for the primary source-plus-propagated model.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main-ppv-impact"/>
          <w:p>
            <w:pPr>
              <w:pStyle w:val="Compact"/>
              <w:jc w:val="center"/>
            </w:pPr>
            <w:r>
              <w:drawing>
                <wp:inline>
                  <wp:extent cx="5334000" cy="2643808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figures/fig_main_ppv_impact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438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Two-level additive ORI model versus the historical theta-weighted calculation. Panel A compares true typhoid cases averted using paired inputs and 95% simulation intervals. Panel B contrasts reductions in latent true typhoid with reductions observable in suspected-case surveillance.</w:t>
            </w:r>
          </w:p>
          <w:bookmarkEnd w:id="20"/>
        </w:tc>
      </w:tr>
    </w:tbl>
    <w:p>
      <w:pPr>
        <w:pStyle w:val="BodyText"/>
      </w:pPr>
      <w:r>
        <w:t xml:space="preserve">Four of eight direct PPV anchors matched renewal time series. Their diagnostic-testing frames were</w:t>
      </w:r>
      <w:r>
        <w:t xml:space="preserve"> </w:t>
      </w:r>
      <w:r>
        <w:t xml:space="preserve">not always numerically or temporally identical to the corresponding incidence curves; the largest</w:t>
      </w:r>
      <w:r>
        <w:t xml:space="preserve"> </w:t>
      </w:r>
      <w:r>
        <w:t xml:space="preserve">mismatch was N’Cho (2019), whose hospital testing frame contained 583 suspected patients while the</w:t>
      </w:r>
      <w:r>
        <w:t xml:space="preserve"> </w:t>
      </w:r>
      <w:r>
        <w:t xml:space="preserve">canonical outbreak curve summed to 2,744 cases. This transport step, together with the</w:t>
      </w:r>
      <w:r>
        <w:t xml:space="preserve"> </w:t>
      </w:r>
      <w:r>
        <w:t xml:space="preserve">prior-dependence of preferential verification and the assumption of a constant non-typhoid</w:t>
      </w:r>
      <w:r>
        <w:t xml:space="preserve"> </w:t>
      </w:r>
      <w:r>
        <w:t xml:space="preserve">background, remains an important limitation of the adjusted impact estimates.</w:t>
      </w:r>
    </w:p>
    <w:bookmarkEnd w:id="21"/>
    <w:bookmarkEnd w:id="22"/>
    <w:bookmarkStart w:id="23" w:name="proposed-figure-placement"/>
    <w:p>
      <w:pPr>
        <w:pStyle w:val="Heading1"/>
      </w:pPr>
      <w:r>
        <w:t xml:space="preserve">Proposed figure placement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Main Figure:</w:t>
      </w:r>
      <w:r>
        <w:t xml:space="preserve"> </w:t>
      </w:r>
      <w:r>
        <w:t xml:space="preserve">Figure</w:t>
      </w:r>
      <w:r>
        <w:t xml:space="preserve"> </w:t>
      </w:r>
      <w:hyperlink w:anchor="fig-main-ppv-impact">
        <w:r>
          <w:rPr>
            <w:rStyle w:val="Hyperlink"/>
          </w:rPr>
          <w:t xml:space="preserve">Figure 2</w:t>
        </w:r>
      </w:hyperlink>
      <w:r>
        <w:t xml:space="preserve">. It communicates the manuscript-level policy result:</w:t>
      </w:r>
      <w:r>
        <w:t xml:space="preserve"> </w:t>
      </w:r>
      <w:r>
        <w:t xml:space="preserve">suspected-case surveillance can substantially overstate absolute vaccine-preventable burden while</w:t>
      </w:r>
      <w:r>
        <w:t xml:space="preserve"> </w:t>
      </w:r>
      <w:r>
        <w:t xml:space="preserve">understating the relative effect observable after vaccination.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Main or extended-data figure:</w:t>
      </w:r>
      <w:r>
        <w:t xml:space="preserve"> </w:t>
      </w:r>
      <w:r>
        <w:t xml:space="preserve">Figure</w:t>
      </w:r>
      <w:r>
        <w:t xml:space="preserve"> </w:t>
      </w:r>
      <w:hyperlink w:anchor="fig-main-ppv-evidence">
        <w:r>
          <w:rPr>
            <w:rStyle w:val="Hyperlink"/>
          </w:rPr>
          <w:t xml:space="preserve">Figure 1</w:t>
        </w:r>
      </w:hyperlink>
      <w:r>
        <w:t xml:space="preserve">. It makes the diagnostic argument</w:t>
      </w:r>
      <w:r>
        <w:t xml:space="preserve"> </w:t>
      </w:r>
      <w:r>
        <w:t xml:space="preserve">visually explicit and prevents readers from interpreting blood-culture positivity as PPV.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Supplement:</w:t>
      </w:r>
      <w:r>
        <w:t xml:space="preserve"> </w:t>
      </w:r>
      <w:r>
        <w:t xml:space="preserve">retain the blood-volume sensitivity curve and detailed hospital/community PPV</w:t>
      </w:r>
      <w:r>
        <w:t xml:space="preserve"> </w:t>
      </w:r>
      <w:r>
        <w:t xml:space="preserve">forest plot, which are important for validation but less direct for the main ORI narrative.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Main-manuscript Methods and Results: PPV adjustment</dc:title>
  <dc:creator/>
  <cp:keywords/>
  <dcterms:created xsi:type="dcterms:W3CDTF">2026-08-01T02:25:47Z</dcterms:created>
  <dcterms:modified xsi:type="dcterms:W3CDTF">2026-08-01T02:25:47Z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Draft text and proposed main figures</vt:lpwstr>
  </property>
  <property fmtid="{D5CDD505-2E9C-101B-9397-08002B2CF9AE}" pid="9" name="toc-title">
    <vt:lpwstr>Table of contents</vt:lpwstr>
  </property>
</Properties>
</file>