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 1. Epidemiologic features and transmission classification of the modeled typhoid outbreaks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3"/>
        <w:gridCol w:w="1033"/>
        <w:gridCol w:w="319"/>
        <w:gridCol w:w="516"/>
        <w:gridCol w:w="516"/>
        <w:gridCol w:w="787"/>
        <w:gridCol w:w="319"/>
        <w:gridCol w:w="541"/>
        <w:gridCol w:w="418"/>
        <w:gridCol w:w="1106"/>
        <w:gridCol w:w="295"/>
        <w:gridCol w:w="614"/>
        <w:gridCol w:w="7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Location, 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/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(water)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Person-to-person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theta (mode)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Lewis 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Kathmandu, Nepal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culture-confirmed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municipal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(A common-source)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Aye 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Madaya, Mandalay, Myanmar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Myaung River water +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(C mixed)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Static-lean 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Muyembe-Tamfum 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Kinshasa, DR Congo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peritonitis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11/16 (peritonitis)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Presumed municipal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 (A common-source)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(complications)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Kikwit, DR Congo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culture-confirmed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 water + overcrowding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(C mixed)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(+spatial)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Kabwama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Kampala, Uganda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Jan-Jun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56/364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Vended/spring water (recurrent)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(C mixed)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Lutterloh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Neno/Tsangano (border), Malawi/Mozambique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Mar-Nov 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 (C mixed)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fortnightly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Hendriksen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Lusaka, Zambia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2010-2012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 isolates (pooled)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Water/sanitation (endemic)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 (C mixed)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only (+ODE)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Davis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Harare, 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borehole-linked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 (A common-source)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(+ODE)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Harare-recurrent (season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N’Cho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Harare, 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74/286 (mixed spec.)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Boreholes/shallow wells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(A common-source)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(+ODE)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Harare-recurrent (season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Neil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Kasese, Uganda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709 (+ IP-heavy)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vehicle implicated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(B propagated)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KASESE-UGANDA (canonical)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Walters 2014 (Kasese)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Kasese, Uganda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water (taps/rivers)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(B propagated (=Neil))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(redundant)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KASESE-UGANDA (=Neil)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Walters 2014 (Bundibugyo)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Bundibugyo, Uganda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Gravity-flow-scheme piped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(A common-source)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KASESE-UGANDA (linked spread)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Polonsky 2014 (Dzivaresekwa)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(Dzivaresekwa), 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pooled/3,795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(C mixed (propagated-lean))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Renewal-lean 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2011-12 (canonical)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Polonsky 2014 (Kuwadzana)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(Kuwadzana), 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(pooled)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(C mixed)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2011-12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Muti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(Dzivaresekwa), 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pooled/1,078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(C mixed)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(redundant)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2011-12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Imanishi 2014 (Dzivaresekwa)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(Dzivaresekwa), 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4,181 (Harare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pooled/4,181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Boreholes/shallow wells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(A/C 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(redundant)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2011-12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Imanishi 2014 (Kuwadzana)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(Kuwadzana), 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4,181 (Harare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(pooled)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Boreholes/shallow wells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(A/C 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(redundant)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2011-12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Qamar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Hyderabad, Pakistan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70/170 (XDR)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Sewage-contaminated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(C mixed (propagated, data theta 0.05))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HYDERABAD-XDR (canonical)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Yousafzai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Hyderabad, Pakistan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(confirmed)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101/101 (confirmed)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Sewage-contaminated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(C mixed (propagated, data theta 0.38))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Renewal-lean (redundant)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HYDERABAD-XDR</w:t>
            </w:r>
          </w:p>
        </w:tc>
      </w:tr>
    </w:tbl>
    <w:p>
      <w:pPr>
        <w:pStyle w:val="BodyText"/>
      </w:pPr>
      <w:r>
        <w:rPr>
          <w:b/>
          <w:bCs/>
        </w:rPr>
        <w:t xml:space="preserve">Route indicators:</w:t>
      </w:r>
      <w:r>
        <w:t xml:space="preserve"> </w:t>
      </w:r>
      <w:r>
        <w:t xml:space="preserve">● primary/strong · ◐ contributory · – not evidenced.</w:t>
      </w:r>
      <w:r>
        <w:t xml:space="preserve"> </w:t>
      </w:r>
      <w:r>
        <w:rPr>
          <w:b/>
          <w:bCs/>
        </w:rPr>
        <w:t xml:space="preserve">θ</w:t>
      </w:r>
      <w:r>
        <w:t xml:space="preserve"> </w:t>
      </w:r>
      <w:r>
        <w:t xml:space="preserve">= inferred common-source fraction (source-decomposition); 1 − θ = propagated (person-to-person).</w:t>
      </w:r>
      <w:r>
        <w:t xml:space="preserve"> </w:t>
      </w:r>
      <w:r>
        <w:rPr>
          <w:b/>
          <w:bCs/>
        </w:rPr>
        <w:t xml:space="preserve">Model:</w:t>
      </w:r>
      <w:r>
        <w:t xml:space="preserve"> </w:t>
      </w:r>
      <w:r>
        <w:t xml:space="preserve">static (common-source), renewal (propagated), combined (θ-weighted static + renewal);</w:t>
      </w:r>
      <w:r>
        <w:t xml:space="preserve"> </w:t>
      </w:r>
      <w:r>
        <w:t xml:space="preserve">monthly/fortnightly resolution → static only (renewal R_t is unidentifiable below μ_g/Δ ≈ 2).</w:t>
      </w:r>
      <w:r>
        <w:t xml:space="preserve"> </w:t>
      </w:r>
      <w:r>
        <w:rPr>
          <w:b/>
          <w:bCs/>
        </w:rPr>
        <w:t xml:space="preserve">Independence:</w:t>
      </w:r>
      <w:r>
        <w:t xml:space="preserve"> </w:t>
      </w:r>
      <w:r>
        <w:t xml:space="preserve">19 reported series correspond to</w:t>
      </w:r>
      <w:r>
        <w:t xml:space="preserve"> </w:t>
      </w:r>
      <w:r>
        <w:rPr>
          <w:b/>
          <w:bCs/>
        </w:rPr>
        <w:t xml:space="preserve">~12 independent epidemics</w:t>
      </w:r>
      <w:r>
        <w:t xml:space="preserve">; the Kasese-Uganda</w:t>
      </w:r>
      <w:r>
        <w:t xml:space="preserve"> </w:t>
      </w:r>
      <w:r>
        <w:t xml:space="preserve">(Neil + Walters ×2), Harare 2011–12 (Polonsky ×2 + Muti + Imanishi ×2) and Hyderabad-XDR</w:t>
      </w:r>
      <w:r>
        <w:t xml:space="preserve"> </w:t>
      </w:r>
      <w:r>
        <w:t xml:space="preserve">(Qamar + Yousafzai) groups each collapse multiple reports of one epidemic, and Muyembe-Tamfum 2009</w:t>
      </w:r>
      <w:r>
        <w:t xml:space="preserve"> </w:t>
      </w:r>
      <w:r>
        <w:t xml:space="preserve">is excluded from incidence modeling as a delayed intestinal-perforation (complications) series.</w:t>
      </w:r>
    </w:p>
    <w:p>
      <w:r>
        <w:br w:type="page"/>
      </w:r>
    </w:p>
    <w:bookmarkStart w:id="9" w:name="Xed28b2da097af896f02f33031e72bc0bc05f6da"/>
    <w:p>
      <w:pPr>
        <w:pStyle w:val="Heading2"/>
      </w:pPr>
      <w:r>
        <w:t xml:space="preserve">Table 1b. Classifying evidence (per outbreak)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0"/>
        <w:gridCol w:w="58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Classifying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Lewis 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S. Typhi from tap PFGE-matched to cases; ended on chlorination (point-source)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Aye 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aOR 12.5 AND person-to-person aOR 22; small township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Muyembe-Tamfum 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Untested; severe peritonitis case series (different estimand)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Military-camp water then dissemination to general population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Kabwama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Recurrent contamination sustained transmission over months; adults 15-59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Lutterloh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 coli in springs; single PFGE clone (35/42); prolonged ~8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Hendriksen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H58 clone 83%; multi-peak 33-month endemic/propagated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Davis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 boreholes fecal-coliform+; declined after repair (common-source)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N’Cho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Boreholes/wells amid water shortage; WASH-terminated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Neil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vehicle; multi-strain PFGE; prolonged ~19 mo; propagated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Walters 2014 (Kasese)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 coli taps/rivers; NO clustering by water source; continuous multi-year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Walters 2014 (Bundibugyo)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GFS implicated; clustering; E. coli intake-&gt;taps (common-source)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Polonsky 2014 (Dzivaresekwa)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Borehole;</w:t>
            </w:r>
            <w:r>
              <w:t xml:space="preserve"> </w:t>
            </w:r>
            <w:r>
              <w:t xml:space="preserve">‘long-cycle transmission predominated’</w:t>
            </w:r>
            <w:r>
              <w:t xml:space="preserve">; poor common-source fit (r2 0.07)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Polonsky 2014 (Kuwadzana)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Borehole; epicentre shifted here; long-cycle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Muti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 E. coli (8/8) AND home-contact aOR 8.3 (propagated)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Imanishi 2014 (Dzivaresekwa)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Case-control implicated water; boreholes E. coli; no secondary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Imanishi 2014 (Kuwadzana)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(Harare 2011-12 epidemic)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Qamar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Sewage S. Typhi DNA; 2-weekly growing peaks -&gt; strongly propagated (r2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Yousafzai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Cyclical curve -&gt; propagated XDR clone</w:t>
            </w:r>
          </w:p>
        </w:tc>
      </w:tr>
    </w:tbl>
    <w:bookmarkEnd w:id="9"/>
    <w:sectPr>
      <w:footnotePr>
        <w:numRestart w:val="eachSect"/>
      </w:footnotePr>
      <w:pgSz w:w="15840" w:h="12240" w:orient="landscape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1. Epidemiologic features and transmission classification of the modeled typhoid outbreaks</dc:title>
  <dc:creator/>
  <cp:keywords/>
  <dcterms:created xsi:type="dcterms:W3CDTF">2026-07-21T06:26:46Z</dcterms:created>
  <dcterms:modified xsi:type="dcterms:W3CDTF">2026-07-21T06:26:46Z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