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 1. Epidemiologic features and transmission classification of the modeled typhoid outbreaks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955"/>
        <w:gridCol w:w="295"/>
        <w:gridCol w:w="477"/>
        <w:gridCol w:w="477"/>
        <w:gridCol w:w="728"/>
        <w:gridCol w:w="295"/>
        <w:gridCol w:w="500"/>
        <w:gridCol w:w="386"/>
        <w:gridCol w:w="1024"/>
        <w:gridCol w:w="273"/>
        <w:gridCol w:w="1160"/>
        <w:gridCol w:w="6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Location, 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/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(water)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Person-to-person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theta (mode)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Lewis 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Kathmandu, Nepal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culture-confirmed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municipal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(A common-source)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renewal-with-source (source-dominant)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Aye 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Madaya, Mandalay, Myanmar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Myaung River water +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(C mixed)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renewal-with-source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Muyembe-Tamfum 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Kinshasa, DR Congo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peritonitis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11/16 (peritonitis)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Presumed municipal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 (A common-source)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(complications)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Kikwit, DR Congo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culture-confirmed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 water + overcrowding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(C mixed)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renewal-with-source (+spatial)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Kabwama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Kampala, Uganda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Jan-Jun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56/364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Vended/spring water (recurrent)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(C mixed)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renewal-with-source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Lutterloh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Neno/Tsangano (border), Malawi/Mozambique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Mar-Nov 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 (C mixed)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fortnightly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Hendriksen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Lusaka, Zambia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2010-2012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 isolates (pooled)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Water/sanitation (endemic)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 (C mixed)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only (+ODE)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Davis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Harare, 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borehole-linked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 (A common-source)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renewal-with-source (+ODE)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Harare-recurrent (season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N’Cho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Harare, 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74/286 (mixed spec.)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Boreholes/shallow wells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(A common-source)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renewal-with-source (+ODE)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Harare-recurrent (season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Neil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Kasese, Uganda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709 (+ IP-heavy)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vehicle implicated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(B propagated)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renewal-with-source (propagated-dominant)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KASESE-UGANDA (canonical)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Walters 2014 (Kasese)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Kasese, Uganda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water (taps/rivers)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(B propagated (=Neil))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(redundant)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KASESE-UGANDA (=Neil)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Walters 2014 (Bundibugyo)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Bundibugyo, Uganda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Gravity-flow-scheme piped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 (A common-source)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KASESE-UGANDA (linked spread)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Polonsky 2014 (Dzivaresekwa)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(Dzivaresekwa), 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pooled/3,795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(C mixed (propagated-lean))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renewal-with-source (propagated-lean)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2011-12 (canonical)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Polonsky 2014 (Kuwadzana)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(Kuwadzana), 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(pooled)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(C mixed)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renewal-with-source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2011-12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Muti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(Dzivaresekwa), 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pooled/1,078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(C mixed)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renewal-with-source (redundant)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2011-12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Imanishi 2014 (Dzivaresekwa)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(Dzivaresekwa), 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4,181 (Harare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pooled/4,181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Boreholes/shallow wells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(A/C 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(redundant)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2011-12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Imanishi 2014 (Kuwadzana)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(Kuwadzana), 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4,181 (Harare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(pooled)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Boreholes/shallow wells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(A/C 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(redundant)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HARARE 2011-12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Qamar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Hyderabad, Pakistan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70/170 (XDR)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Sewage-contaminated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(C mixed (propagated, data theta 0.05))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renewal-with-source (propagated-lean)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HYDERABAD-XDR (canonical)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Yousafzai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Hyderabad, Pakistan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(confirmed)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101/101 (confirmed)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Sewage-contaminated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(C mixed (propagated, data theta 0.38))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renewal-with-source (redundant)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HYDERABAD-XDR</w:t>
            </w:r>
          </w:p>
        </w:tc>
      </w:tr>
    </w:tbl>
    <w:p>
      <w:pPr>
        <w:pStyle w:val="BodyText"/>
      </w:pPr>
      <w:r>
        <w:rPr>
          <w:b/>
          <w:bCs/>
        </w:rPr>
        <w:t xml:space="preserve">Route indicators:</w:t>
      </w:r>
      <w:r>
        <w:t xml:space="preserve"> </w:t>
      </w:r>
      <w:r>
        <w:t xml:space="preserve">● primary/strong · ◐ contributory · – not evidenced.</w:t>
      </w:r>
      <w:r>
        <w:t xml:space="preserve"> </w:t>
      </w:r>
      <w:r>
        <w:rPr>
          <w:b/>
          <w:bCs/>
        </w:rPr>
        <w:t xml:space="preserve">θ</w:t>
      </w:r>
      <w:r>
        <w:t xml:space="preserve"> </w:t>
      </w:r>
      <w:r>
        <w:t xml:space="preserve">= inferred common-source fraction (source-decomposition); 1 − θ = propagated (person-to-person).</w:t>
      </w:r>
      <w:r>
        <w:t xml:space="preserve"> </w:t>
      </w:r>
      <w:r>
        <w:rPr>
          <w:b/>
          <w:bCs/>
        </w:rPr>
        <w:t xml:space="preserve">Model:</w:t>
      </w:r>
      <w:r>
        <w:t xml:space="preserve"> </w:t>
      </w:r>
      <w:r>
        <w:t xml:space="preserve">resolution-eligible outbreaks use one additive renewal-with-source recursion;</w:t>
      </w:r>
      <w:r>
        <w:t xml:space="preserve"> </w:t>
      </w:r>
      <w:r>
        <w:t xml:space="preserve">θ allocates baseline true typhoid between source and propagated components rather than weighting</w:t>
      </w:r>
      <w:r>
        <w:t xml:space="preserve"> </w:t>
      </w:r>
      <w:r>
        <w:t xml:space="preserve">completed static and renewal outcomes. Monthly/fortnightly resolution → static only (renewal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unidentifiable below μ_g/Δ ≈ 2).</w:t>
      </w:r>
      <w:r>
        <w:t xml:space="preserve"> </w:t>
      </w:r>
      <w:r>
        <w:rPr>
          <w:b/>
          <w:bCs/>
        </w:rPr>
        <w:t xml:space="preserve">Independence:</w:t>
      </w:r>
      <w:r>
        <w:t xml:space="preserve"> </w:t>
      </w:r>
      <w:r>
        <w:t xml:space="preserve">19 reported series correspond to</w:t>
      </w:r>
      <w:r>
        <w:t xml:space="preserve"> </w:t>
      </w:r>
      <w:r>
        <w:rPr>
          <w:b/>
          <w:bCs/>
        </w:rPr>
        <w:t xml:space="preserve">~12 independent epidemics</w:t>
      </w:r>
      <w:r>
        <w:t xml:space="preserve">; the Kasese-Uganda</w:t>
      </w:r>
      <w:r>
        <w:t xml:space="preserve"> </w:t>
      </w:r>
      <w:r>
        <w:t xml:space="preserve">(Neil + Walters ×2), Harare 2011–12 (Polonsky ×2 + Muti + Imanishi ×2) and Hyderabad-XDR</w:t>
      </w:r>
      <w:r>
        <w:t xml:space="preserve"> </w:t>
      </w:r>
      <w:r>
        <w:t xml:space="preserve">(Qamar + Yousafzai) groups each collapse multiple reports of one epidemic, and Muyembe-Tamfum 2009</w:t>
      </w:r>
      <w:r>
        <w:t xml:space="preserve"> </w:t>
      </w:r>
      <w:r>
        <w:t xml:space="preserve">is excluded from incidence modeling as a delayed intestinal-perforation (complications) series.</w:t>
      </w:r>
    </w:p>
    <w:p>
      <w:r>
        <w:br w:type="page"/>
      </w:r>
    </w:p>
    <w:bookmarkStart w:id="9" w:name="Xed28b2da097af896f02f33031e72bc0bc05f6da"/>
    <w:p>
      <w:pPr>
        <w:pStyle w:val="Heading2"/>
      </w:pPr>
      <w:r>
        <w:t xml:space="preserve">Table 1b. Classifying evidence (per outbreak)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0"/>
        <w:gridCol w:w="58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Classifying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Lewis 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S. Typhi from tap PFGE-matched to cases; ended on chlorination (point-source)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Aye 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aOR 12.5 AND person-to-person aOR 22; small township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Muyembe-Tamfum 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Untested; severe peritonitis case series (different estimand)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Military-camp water then dissemination to general population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Kabwama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Recurrent contamination sustained transmission over months; adults 15-59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Lutterloh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 coli in springs; single PFGE clone (35/42); prolonged ~8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Hendriksen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H58 clone 83%; multi-peak 33-month endemic/propagated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Davis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 boreholes fecal-coliform+; declined after repair (common-source)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N’Cho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Boreholes/wells amid water shortage; WASH-terminated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Neil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vehicle; multi-strain PFGE; prolonged ~19 mo; propagated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Walters 2014 (Kasese)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 coli taps/rivers; NO clustering by water source; continuous multi-year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Walters 2014 (Bundibugyo)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GFS implicated; clustering; E. coli intake-&gt;taps (common-source)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Polonsky 2014 (Dzivaresekwa)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Borehole;</w:t>
            </w:r>
            <w:r>
              <w:t xml:space="preserve"> </w:t>
            </w:r>
            <w:r>
              <w:t xml:space="preserve">‘long-cycle transmission predominated’</w:t>
            </w:r>
            <w:r>
              <w:t xml:space="preserve">; poor common-source fit (r2 0.07)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Polonsky 2014 (Kuwadzana)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Borehole; epicentre shifted here; long-cycle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Muti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Wells E. coli (8/8) AND home-contact aOR 8.3 (propagated)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Imanishi 2014 (Dzivaresekwa)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Case-control implicated water; boreholes E. coli; no secondary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Imanishi 2014 (Kuwadzana)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(Harare 2011-12 epidemic)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Qamar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Sewage S. Typhi DNA; 2-weekly growing peaks -&gt; strongly propagated (r2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Yousafzai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Cyclical curve -&gt; propagated XDR clone</w:t>
            </w:r>
          </w:p>
        </w:tc>
      </w:tr>
    </w:tbl>
    <w:bookmarkEnd w:id="9"/>
    <w:sectPr>
      <w:footnotePr>
        <w:numRestart w:val="eachSect"/>
      </w:footnotePr>
      <w:pgSz w:h="12240" w:orient="landscape" w:w="158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1f3f5" w:val="clear"/>
    </w:p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1. Epidemiologic features and transmission classification of the modeled typhoid outbreaks</dc:title>
  <dc:creator/>
  <cp:keywords/>
  <dcterms:created xsi:type="dcterms:W3CDTF">2026-08-01T02:08:09Z</dcterms:created>
  <dcterms:modified xsi:type="dcterms:W3CDTF">2026-08-01T02:08:09Z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