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Methods and Results: Adjustment for the Positive Predictive Value of Suspected Typhoid Case Definitions</w:t>
      </w:r>
    </w:p>
    <w:p>
      <w:pPr>
        <w:pStyle w:val="Subtitle"/>
      </w:pPr>
      <w:r>
        <w:t xml:space="preserve">Supporting the outbreak-response immunization impact analysis</w:t>
      </w:r>
    </w:p>
    <w:p>
      <w:pPr>
        <w:pStyle w:val="Author"/>
      </w:pPr>
    </w:p>
    <w:p>
      <w:pPr>
        <w:pStyle w:val="Date"/>
      </w:pPr>
      <w:r>
        <w:t xml:space="preserve">2026-07-31</w:t>
      </w:r>
    </w:p>
    <w:bookmarkStart w:id="9" w:name="s1.-purpose-and-estimand"/>
    <w:p>
      <w:pPr>
        <w:pStyle w:val="Heading1"/>
      </w:pPr>
      <w:r>
        <w:t xml:space="preserve">1. S1. Purpose and estimand</w:t>
      </w:r>
    </w:p>
    <w:p>
      <w:pPr>
        <w:pStyle w:val="FirstParagraph"/>
      </w:pPr>
      <w:r>
        <w:t xml:space="preserve">The outbreak time series used in the outbreak-response immunization (ORI) analysis contain</w:t>
      </w:r>
      <w:r>
        <w:t xml:space="preserve"> </w:t>
      </w:r>
      <w:r>
        <w:t xml:space="preserve">predominantly</w:t>
      </w:r>
      <w:r>
        <w:t xml:space="preserve"> </w:t>
      </w:r>
      <w:r>
        <w:rPr>
          <w:b/>
          <w:bCs/>
        </w:rPr>
        <w:t xml:space="preserve">suspected</w:t>
      </w:r>
      <w:r>
        <w:t xml:space="preserve"> </w:t>
      </w:r>
      <w:r>
        <w:t xml:space="preserve">typhoid cases. Suspected-case definitions are designed for sensitive</w:t>
      </w:r>
      <w:r>
        <w:t xml:space="preserve"> </w:t>
      </w:r>
      <w:r>
        <w:t xml:space="preserve">outbreak detection and may include patients with other febrile illnesses. Consequently, not every</w:t>
      </w:r>
      <w:r>
        <w:t xml:space="preserve"> </w:t>
      </w:r>
      <w:r>
        <w:t xml:space="preserve">reported suspected case represents vaccine-preventable</w:t>
      </w:r>
      <w:r>
        <w:t xml:space="preserve"> </w:t>
      </w:r>
      <w:r>
        <w:rPr>
          <w:i/>
          <w:iCs/>
        </w:rPr>
        <w:t xml:space="preserve">Salmonella enterica</w:t>
      </w:r>
      <w:r>
        <w:t xml:space="preserve"> </w:t>
      </w:r>
      <w:r>
        <w:t xml:space="preserve">serovar Typhi</w:t>
      </w:r>
      <w:r>
        <w:t xml:space="preserve"> </w:t>
      </w:r>
      <w:r>
        <w:t xml:space="preserve">infection.</w:t>
      </w:r>
    </w:p>
    <w:p>
      <w:pPr>
        <w:pStyle w:val="BodyText"/>
      </w:pPr>
      <w:r>
        <w:t xml:space="preserve">We define the positive predictive value (PPV) of the suspected clinical case definition in setting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denotes latent true typhoid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denotes satisfaction of the study’s suspected-case</w:t>
      </w:r>
      <w:r>
        <w:t xml:space="preserve"> </w:t>
      </w:r>
      <w:r>
        <w:t xml:space="preserve">definition. This quantity is the prevalence of true typhoid among suspected cases, not the PPV of</w:t>
      </w:r>
      <w:r>
        <w:t xml:space="preserve"> </w:t>
      </w:r>
      <w:r>
        <w:t xml:space="preserve">blood culture. It is setting-dependent because it reflects the local ratio of typhoid to other</w:t>
      </w:r>
      <w:r>
        <w:t xml:space="preserve"> </w:t>
      </w:r>
      <w:r>
        <w:t xml:space="preserve">febrile illnesses, the breadth of the clinical definition, care-seeking, and surveillance practice.</w:t>
      </w:r>
    </w:p>
    <w:p>
      <w:pPr>
        <w:pStyle w:val="BodyText"/>
      </w:pPr>
      <w:r>
        <w:t xml:space="preserve">The purpose of this analysis was to propagate uncertainty in</w:t>
      </w:r>
      <w:r>
        <w:t xml:space="preserve"> </w:t>
      </w:r>
      <m:oMath>
        <m:sSub>
          <m:e>
            <m:r>
              <m:t>π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into estimates of absolute true</w:t>
      </w:r>
      <w:r>
        <w:t xml:space="preserve"> </w:t>
      </w:r>
      <w:r>
        <w:t xml:space="preserve">typhoid cases averted, morbidity, treatment costs, and cases averted per vaccine dose. This targeted</w:t>
      </w:r>
      <w:r>
        <w:t xml:space="preserve"> </w:t>
      </w:r>
      <w:r>
        <w:t xml:space="preserve">evidence synthesis was constructed as an observation model for the ORI analysis. It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systematic review of all typhoid clinical case definitions; a broader PRISMA-DTA review is planned as</w:t>
      </w:r>
      <w:r>
        <w:t xml:space="preserve"> </w:t>
      </w:r>
      <w:r>
        <w:t xml:space="preserve">a separate study.</w:t>
      </w:r>
    </w:p>
    <w:bookmarkEnd w:id="9"/>
    <w:bookmarkStart w:id="16" w:name="s2.-evidence-inputs"/>
    <w:p>
      <w:pPr>
        <w:pStyle w:val="Heading1"/>
      </w:pPr>
      <w:r>
        <w:t xml:space="preserve">2. S2. Evidence inputs</w:t>
      </w:r>
    </w:p>
    <w:bookmarkStart w:id="11" w:name="X570baaad47469cc61f6b32659f08a05846fe6be"/>
    <w:p>
      <w:pPr>
        <w:pStyle w:val="Heading2"/>
      </w:pPr>
      <w:r>
        <w:t xml:space="preserve">2.1 S2.1 Paired blood- and bone-marrow-culture studies</w:t>
      </w:r>
    </w:p>
    <w:p>
      <w:pPr>
        <w:pStyle w:val="FirstParagraph"/>
      </w:pPr>
      <w:r>
        <w:t xml:space="preserve">Blood culture is highly specific but incompletely sensitive, so culture positivity alone cannot be</w:t>
      </w:r>
      <w:r>
        <w:t xml:space="preserve"> </w:t>
      </w:r>
      <w:r>
        <w:t xml:space="preserve">equated with the PPV of a clinical definition. We used nine historic studies, consolidated from</w:t>
      </w:r>
      <w:r>
        <w:t xml:space="preserve"> </w:t>
      </w:r>
      <w:r>
        <w:t xml:space="preserve">Mogasale et al. (2016), in which the same suspected patients received both blood culture and</w:t>
      </w:r>
      <w:r>
        <w:t xml:space="preserve"> </w:t>
      </w:r>
      <w:r>
        <w:t xml:space="preserve">bone-marrow culture. These studies supplied the four joint outcomes BC+BM+, BC+BM-, BC-BM+, and</w:t>
      </w:r>
      <w:r>
        <w:t xml:space="preserve"> </w:t>
      </w:r>
      <w:r>
        <w:t xml:space="preserve">BC-BM-. Together they included 577 paired observations.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paired-eviden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Paired blood- and bone-marrow-culture evidence used in the latent-class model.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16"/>
              <w:gridCol w:w="1535"/>
              <w:gridCol w:w="646"/>
              <w:gridCol w:w="646"/>
              <w:gridCol w:w="646"/>
              <w:gridCol w:w="646"/>
              <w:gridCol w:w="323"/>
              <w:gridCol w:w="185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BC+ BM+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BC+ BM-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BC- BM+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BC- BM-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Blood volume used (mL)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Akoh 1991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Zaria Nigeria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Hirsowitz 1951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Transvaal S.Africa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Farooqui 1991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Karachi Pakistan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Gasem 1995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Semarang Indonesia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Gasem 2002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Semarang Indonesia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Chaicumpa 1992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Jakarta Indonesia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Wain 2008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Dong Thap Vietnam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Gilman 1975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Mexico City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Guerra-Caceres 1979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Lima Peru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5.0</w:t>
                  </w:r>
                </w:p>
              </w:tc>
            </w:tr>
          </w:tbl>
          <w:bookmarkEnd w:id="10"/>
          <w:p/>
        </w:tc>
      </w:tr>
    </w:tbl>
    <w:p>
      <w:pPr>
        <w:pStyle w:val="BodyText"/>
      </w:pPr>
      <w:r>
        <w:t xml:space="preserve">Blood volume was not reported for Hirsowitz (1951) and was imputed at the median of the reported</w:t>
      </w:r>
      <w:r>
        <w:t xml:space="preserve"> </w:t>
      </w:r>
      <w:r>
        <w:t xml:space="preserve">study volumes (4 mL). Gasem (1995) cultured 3 mL and 10 mL blood volumes, but its available</w:t>
      </w:r>
      <w:r>
        <w:t xml:space="preserve"> </w:t>
      </w:r>
      <w:r>
        <w:t xml:space="preserve">aggregate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could not be separated by volume, so the consolidated analysis used 3</w:t>
      </w:r>
      <w:r>
        <w:t xml:space="preserve"> </w:t>
      </w:r>
      <w:r>
        <w:t xml:space="preserve">mL. Wain (2008) reported separate paired comparisons for 5 mL and 15 mL blood cultures; the analysis</w:t>
      </w:r>
      <w:r>
        <w:t xml:space="preserve"> </w:t>
      </w:r>
      <w:r>
        <w:t xml:space="preserve">used its 5 mL comparison. Vallenas (1985) was excluded because its primary report supplied</w:t>
      </w:r>
      <w:r>
        <w:t xml:space="preserve"> </w:t>
      </w:r>
      <w:r>
        <w:t xml:space="preserve">only marginal blood- and bone-marrow-culture yields, while the joint cells reported by Mogasale et</w:t>
      </w:r>
      <w:r>
        <w:t xml:space="preserve"> </w:t>
      </w:r>
      <w:r>
        <w:t xml:space="preserve">al. were internally inconsistent with those marginals and did not establish a defensible</w:t>
      </w:r>
      <w:r>
        <w:t xml:space="preserve"> </w:t>
      </w:r>
      <w:r>
        <w:t xml:space="preserve">both-negative cell. The remaining volume decisions were treated as data-quality limitations rather</w:t>
      </w:r>
      <w:r>
        <w:t xml:space="preserve"> </w:t>
      </w:r>
      <w:r>
        <w:t xml:space="preserve">than known without error.</w:t>
      </w:r>
    </w:p>
    <w:bookmarkEnd w:id="11"/>
    <w:bookmarkStart w:id="12" w:name="s2.2-blood-volume-information"/>
    <w:p>
      <w:pPr>
        <w:pStyle w:val="Heading2"/>
      </w:pPr>
      <w:r>
        <w:t xml:space="preserve">2.2 S2.2 Blood-volume information</w:t>
      </w:r>
    </w:p>
    <w:p>
      <w:pPr>
        <w:pStyle w:val="FirstParagraph"/>
      </w:pPr>
      <w:r>
        <w:t xml:space="preserve">The prior for the effect of blood volume on blood-culture sensitivity was informed by the</w:t>
      </w:r>
      <w:r>
        <w:t xml:space="preserve"> </w:t>
      </w:r>
      <w:r>
        <w:t xml:space="preserve">meta-regression of Antillón et al. (2018), which demonstrated increasing sensitivity with cultured</w:t>
      </w:r>
      <w:r>
        <w:t xml:space="preserve"> </w:t>
      </w:r>
      <w:r>
        <w:t xml:space="preserve">blood volume. The model used a Normal(0.36, 0.15) prior for the log-volume slope. The Antillón</w:t>
      </w:r>
      <w:r>
        <w:t xml:space="preserve"> </w:t>
      </w:r>
      <w:r>
        <w:t xml:space="preserve">study-level observations informed this slope prior rather than entering the paired-test likelihood</w:t>
      </w:r>
      <w:r>
        <w:t xml:space="preserve"> </w:t>
      </w:r>
      <w:r>
        <w:t xml:space="preserve">as independent patients.</w:t>
      </w:r>
    </w:p>
    <w:bookmarkEnd w:id="12"/>
    <w:bookmarkStart w:id="15" w:name="s2.3-community-outbreak-observations"/>
    <w:p>
      <w:pPr>
        <w:pStyle w:val="Heading2"/>
      </w:pPr>
      <w:r>
        <w:t xml:space="preserve">2.3 S2.3 Community outbreak observations</w:t>
      </w:r>
    </w:p>
    <w:p>
      <w:pPr>
        <w:pStyle w:val="FirstParagraph"/>
      </w:pPr>
      <w:r>
        <w:t xml:space="preserve">The community layer estimates the positive predictive value of the clinical</w:t>
      </w:r>
      <w:r>
        <w:t xml:space="preserve"> </w:t>
      </w:r>
      <w:r>
        <w:rPr>
          <w:i/>
          <w:iCs/>
        </w:rPr>
        <w:t xml:space="preserve">suspected</w:t>
      </w:r>
      <w:r>
        <w:t xml:space="preserve">-case</w:t>
      </w:r>
      <w:r>
        <w:t xml:space="preserve"> </w:t>
      </w:r>
      <w:r>
        <w:t xml:space="preserve">definition — the probability</w:t>
      </w:r>
      <w:r>
        <w:t xml:space="preserve"> </w:t>
      </w:r>
      <m:oMath>
        <m:sSub>
          <m:e>
            <m:r>
              <m:t>π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true typhoid</m:t>
        </m:r>
        <m:r>
          <m:rPr>
            <m:sty m:val="p"/>
          </m:rPr>
          <m:t>∣</m:t>
        </m:r>
        <m:r>
          <m:rPr>
            <m:nor/>
            <m:sty m:val="p"/>
          </m:rPr>
          <m:t>suspected</m:t>
        </m:r>
        <m:r>
          <m:rPr>
            <m:sty m:val="p"/>
          </m:rPr>
          <m:t>)</m:t>
        </m:r>
      </m:oMath>
      <w:r>
        <w:t xml:space="preserve"> </w:t>
      </w:r>
      <w:r>
        <w:t xml:space="preserve">among all</w:t>
      </w:r>
      <w:r>
        <w:t xml:space="preserve"> </w:t>
      </w:r>
      <w:r>
        <w:t xml:space="preserve">suspected cases in outbreak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— because the renewal impact model scales suspected-case incidence</w:t>
      </w:r>
      <w:r>
        <w:t xml:space="preserve"> </w:t>
      </w:r>
      <w:r>
        <w:t xml:space="preserve">curves rather than culture-confirmed counts. Admissibility for this estimand, rather than culture</w:t>
      </w:r>
      <w:r>
        <w:t xml:space="preserve"> </w:t>
      </w:r>
      <w:r>
        <w:t xml:space="preserve">positivity itself, governed selection: a report had to provide a syndromic suspected-case</w:t>
      </w:r>
      <w:r>
        <w:t xml:space="preserve"> </w:t>
      </w:r>
      <w:r>
        <w:t xml:space="preserve">denominator, a blood-culture-specific tested count drawn from that denominator, and a</w:t>
      </w:r>
      <w:r>
        <w:t xml:space="preserve"> </w:t>
      </w:r>
      <w:r>
        <w:t xml:space="preserve">blood-culture-positive count.</w:t>
      </w:r>
    </w:p>
    <w:p>
      <w:pPr>
        <w:pStyle w:val="BodyText"/>
      </w:pPr>
      <w:r>
        <w:t xml:space="preserve">Candidate outbreaks were pooled from two systematic reviews of typhoid outbreaks. Koh et al. (2025)</w:t>
      </w:r>
      <w:r>
        <w:t xml:space="preserve"> </w:t>
      </w:r>
      <w:r>
        <w:t xml:space="preserve">contributed its outbreaks with usable time series together with reports it had excluded for lacking</w:t>
      </w:r>
      <w:r>
        <w:t xml:space="preserve"> </w:t>
      </w:r>
      <w:r>
        <w:t xml:space="preserve">time-series data, which we re-screened specifically for PPV eligibility; Appiah et al. (2020)</w:t>
      </w:r>
      <w:r>
        <w:t xml:space="preserve"> </w:t>
      </w:r>
      <w:r>
        <w:t xml:space="preserve">contributed further records not already represented. After de-duplication at the publication level</w:t>
      </w:r>
      <w:r>
        <w:t xml:space="preserve"> </w:t>
      </w:r>
      <w:r>
        <w:t xml:space="preserve">this yielded 107 candidate outbreak records. Primary full texts were audited where retrievable;</w:t>
      </w:r>
      <w:r>
        <w:t xml:space="preserve"> </w:t>
      </w:r>
      <w:r>
        <w:t xml:space="preserve">review tables, indexed abstracts, and existing project extractions were used for the remainder, and</w:t>
      </w:r>
      <w:r>
        <w:t xml:space="preserve"> </w:t>
      </w:r>
      <w:r>
        <w:t xml:space="preserve">records whose structure could not be resolved were held pending rather than assumed eligible.</w:t>
      </w:r>
    </w:p>
    <w:p>
      <w:pPr>
        <w:pStyle w:val="BodyText"/>
      </w:pPr>
      <w:r>
        <w:t xml:space="preserve">A record entered the primary community model only if it satisfied all of: (1) a suspected-case count</w:t>
      </w:r>
      <w:r>
        <w:t xml:space="preserve"> </w:t>
      </w:r>
      <w:r>
        <w:t xml:space="preserve">defined by a clinical case definition independently of culture result, rather than a confirmed-case</w:t>
      </w:r>
      <w:r>
        <w:t xml:space="preserve"> </w:t>
      </w:r>
      <w:r>
        <w:t xml:space="preserve">or isolate series; (2) a blood-culture-specific tested count, not pooled across blood, stool, urine,</w:t>
      </w:r>
      <w:r>
        <w:t xml:space="preserve"> </w:t>
      </w:r>
      <w:r>
        <w:t xml:space="preserve">or bone marrow; (3) a blood-culture-positive count from the same cultured subset; and (4) outbreak</w:t>
      </w:r>
      <w:r>
        <w:t xml:space="preserve"> </w:t>
      </w:r>
      <w:r>
        <w:t xml:space="preserve">independence, that is, a single observation per epidemic. Small samples were retained where the</w:t>
      </w:r>
      <w:r>
        <w:t xml:space="preserve"> </w:t>
      </w:r>
      <w:r>
        <w:t xml:space="preserve">denominator and the culture-selection mechanism were sound, with uncertainty propagated through the</w:t>
      </w:r>
      <w:r>
        <w:t xml:space="preserve"> </w:t>
      </w:r>
      <w:r>
        <w:t xml:space="preserve">binomial likelihood rather than removed by a fixed sample-size threshold. Small records were placed</w:t>
      </w:r>
      <w:r>
        <w:t xml:space="preserve"> </w:t>
      </w:r>
      <w:r>
        <w:t xml:space="preserve">in sensitivity analysis or excluded when they also had unresolved or inferred denominators, unclear</w:t>
      </w:r>
      <w:r>
        <w:t xml:space="preserve"> </w:t>
      </w:r>
      <w:r>
        <w:t xml:space="preserve">specimen scope, or poorly characterized culture selection.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community-selec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Selection of community outbreak observations for PPV estimation.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568"/>
              <w:gridCol w:w="35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Candidate outbreak records (Koh 2025 review + no-time-series re-screen + Appiah 2020)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Excluded from PPV modeling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 for sensitivity analysis only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Awaiting primary-source retrieval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Included in the primary community PPV 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Exclusions fell into recurring classes: confirmed-only or culture-defined case series with no</w:t>
      </w:r>
      <w:r>
        <w:t xml:space="preserve"> </w:t>
      </w:r>
      <w:r>
        <w:t xml:space="preserve">independent syndromic denominator; pooled-specimen or non-blood tested denominators, for which</w:t>
      </w:r>
      <w:r>
        <w:t xml:space="preserve"> </w:t>
      </w:r>
      <w:r>
        <w:t xml:space="preserve">positivity does not equal blood-culture PPV; hospital, phase-specific, or severity-gated frames whose</w:t>
      </w:r>
      <w:r>
        <w:t xml:space="preserve"> </w:t>
      </w:r>
      <w:r>
        <w:t xml:space="preserve">estimand differs from all suspected outbreak cases; and off-target records such as genomic</w:t>
      </w:r>
      <w:r>
        <w:t xml:space="preserve"> </w:t>
      </w:r>
      <w:r>
        <w:t xml:space="preserve">isolate-characterization or water-sanitation survey papers carrying no testing flow. A full-text</w:t>
      </w:r>
      <w:r>
        <w:t xml:space="preserve"> </w:t>
      </w:r>
      <w:r>
        <w:t xml:space="preserve">reconstruction audit of the records whose summary counts were ambiguous confirmed that none yielded</w:t>
      </w:r>
      <w:r>
        <w:t xml:space="preserve"> </w:t>
      </w:r>
      <w:r>
        <w:t xml:space="preserve">an admissible blood-culture-specific triple—the dominant failure modes being pooled-specimen</w:t>
      </w:r>
      <w:r>
        <w:t xml:space="preserve"> </w:t>
      </w:r>
      <w:r>
        <w:t xml:space="preserve">confirmation and absent tested denominators. Qamar (2018) yielded a flagged pair retained for</w:t>
      </w:r>
      <w:r>
        <w:t xml:space="preserve"> </w:t>
      </w:r>
      <w:r>
        <w:t xml:space="preserve">sensitivity analysis; Al-Sanouri (2008) remained excluded because its tested denominator was inferred</w:t>
      </w:r>
      <w:r>
        <w:t xml:space="preserve"> </w:t>
      </w:r>
      <w:r>
        <w:t xml:space="preserve">rather than reported. Five records remained pending source reconstruction or retrieval.</w:t>
      </w:r>
    </w:p>
    <w:p>
      <w:pPr>
        <w:pStyle w:val="BodyText"/>
      </w:pPr>
      <w:r>
        <w:t xml:space="preserve">The 107 records resolved to 103 independence groups. Three duplicate families accounted for the</w:t>
      </w:r>
      <w:r>
        <w:t xml:space="preserve"> </w:t>
      </w:r>
      <w:r>
        <w:t xml:space="preserve">difference: the Limpitikul 2014 period-1, period-2, and total records; the two Baddam 2012 records; and</w:t>
      </w:r>
      <w:r>
        <w:t xml:space="preserve"> </w:t>
      </w:r>
      <w:r>
        <w:t xml:space="preserve">the overlapping N’Cho 2019 and Poncin 2022 reports of the 2017–2018 Harare outbreak. All Limpitikul</w:t>
      </w:r>
      <w:r>
        <w:t xml:space="preserve"> </w:t>
      </w:r>
      <w:r>
        <w:t xml:space="preserve">and Baddam observations were excluded. For Harare, N’Cho supplied the only compatible</w:t>
      </w:r>
      <w:r>
        <w:t xml:space="preserve"> </w:t>
      </w:r>
      <w:r>
        <w:t xml:space="preserve">blood-culture-tested denominator and was retained; Poncin lacked a corresponding tested denominator</w:t>
      </w:r>
      <w:r>
        <w:t xml:space="preserve"> </w:t>
      </w:r>
      <w:r>
        <w:t xml:space="preserve">and was excluded from the likelihood. Where the primary paper permitted, blood-culture counts were</w:t>
      </w:r>
      <w:r>
        <w:t xml:space="preserve"> </w:t>
      </w:r>
      <w:r>
        <w:t xml:space="preserve">corrected at extraction to their blood-specific values—for example, Neil 2012 as 19/54 rather than</w:t>
      </w:r>
      <w:r>
        <w:t xml:space="preserve"> </w:t>
      </w:r>
      <w:r>
        <w:t xml:space="preserve">the pooled 25/63, and Kabwama 2017 as 56/364 rather than a stale 51/364.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community-eviden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Community outbreak evidence used to estimate suspected-case-definition PPV.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7"/>
              <w:gridCol w:w="2960"/>
              <w:gridCol w:w="384"/>
              <w:gridCol w:w="384"/>
              <w:gridCol w:w="346"/>
              <w:gridCol w:w="653"/>
              <w:gridCol w:w="768"/>
              <w:gridCol w:w="161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Suspected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Cultured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Culture positive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 positivity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Latent true-typhoid PPV, median [90% CrI]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Aye 2004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Madaya, Myanmar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0.19 [0.06, 0.47]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Neil 2012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Kasese, Uganda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2007-2009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0.38 [0.14, 0.75]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Kabwama 2017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Kampala, Uganda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10230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0.15 [0.04, 0.42]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Hu 2022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Lanling, China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0.774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0.86 [0.69, 0.97]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Makungo 2020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Makhuduthamaga, South Africa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0.16 [0.07, 0.39]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N’Cho 2019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Harare, Zimbabwe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2017-2018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0.259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0.32 [0.19, 0.58]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Dhadwal 2008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School, military station, central India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0.10 [0.04, 0.24]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Swaddiwudhipong 2001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Rural village, Poppra District, Tak Province, Thailand (Thai-Myanmar border)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0.60 [0.30, 0.89]</w:t>
                  </w:r>
                </w:p>
              </w:tc>
            </w:tr>
          </w:tbl>
          <w:bookmarkEnd w:id="14"/>
          <w:p/>
        </w:tc>
      </w:tr>
    </w:tbl>
    <w:p>
      <w:pPr>
        <w:pStyle w:val="BodyText"/>
      </w:pPr>
      <w:r>
        <w:t xml:space="preserve">The eight included outbreaks span three verification-adjustment grades — four major (Aye 2004,</w:t>
      </w:r>
      <w:r>
        <w:t xml:space="preserve"> </w:t>
      </w:r>
      <w:r>
        <w:t xml:space="preserve">Neil 2012, Kabwama 2017, N’Cho 2019), one moderate (Makungo 2020), and three negligible or low</w:t>
      </w:r>
      <w:r>
        <w:t xml:space="preserve"> </w:t>
      </w:r>
      <w:r>
        <w:t xml:space="preserve">(Hu 2022, Dhadwal 2008, Swaddiwudhipong 2001) — reflecting how far each cultured subset departs from</w:t>
      </w:r>
      <w:r>
        <w:t xml:space="preserve"> </w:t>
      </w:r>
      <w:r>
        <w:t xml:space="preserve">a random sample of all suspected cases. Six derive from the Koh 2025 review; Dhadwal 2008 and</w:t>
      </w:r>
      <w:r>
        <w:t xml:space="preserve"> </w:t>
      </w:r>
      <w:r>
        <w:t xml:space="preserve">Swaddiwudhipong 2001 were recovered from its no-time-series re-screen. Because blood volume was not</w:t>
      </w:r>
      <w:r>
        <w:t xml:space="preserve"> </w:t>
      </w:r>
      <w:r>
        <w:t xml:space="preserve">reported in any of the eight, the primary fit assumed 5 mL and varied this assumption from 3 to</w:t>
      </w:r>
      <w:r>
        <w:t xml:space="preserve"> </w:t>
      </w:r>
      <w:r>
        <w:t xml:space="preserve">10 mL as its principal structural sensitivity.</w:t>
      </w:r>
    </w:p>
    <w:p>
      <w:pPr>
        <w:pStyle w:val="BodyText"/>
      </w:pPr>
      <w:r>
        <w:t xml:space="preserve">Two limitations are quantified rather than assumed. The verification-adjustment grade enters a</w:t>
      </w:r>
      <w:r>
        <w:t xml:space="preserve"> </w:t>
      </w:r>
      <w:r>
        <w:t xml:space="preserve">selection sub-model whose magnitude is prior-dominated (Section S5.4), and the suspected-case</w:t>
      </w:r>
      <w:r>
        <w:t xml:space="preserve"> </w:t>
      </w:r>
      <w:r>
        <w:t xml:space="preserve">denominator is not always the same population as the renewal time-series curve it scales, as</w:t>
      </w:r>
      <w:r>
        <w:t xml:space="preserve"> </w:t>
      </w:r>
      <w:r>
        <w:t xml:space="preserve">reported in the denominator-frame alignment table (Section S5). One retained anchor carries a</w:t>
      </w:r>
      <w:r>
        <w:t xml:space="preserve"> </w:t>
      </w:r>
      <w:r>
        <w:t xml:space="preserve">specimen caveat: N’Cho 2019’s 74/286 is reported as</w:t>
      </w:r>
      <w:r>
        <w:t xml:space="preserve"> </w:t>
      </w:r>
      <w:r>
        <w:t xml:space="preserve">“cultures processed,”</w:t>
      </w:r>
      <w:r>
        <w:t xml:space="preserve"> </w:t>
      </w:r>
      <w:r>
        <w:t xml:space="preserve">not disaggregated to</w:t>
      </w:r>
      <w:r>
        <w:t xml:space="preserve"> </w:t>
      </w:r>
      <w:r>
        <w:t xml:space="preserve">blood culture, under a blood, stool, or rectal-swab confirmation definition. It is retained as a</w:t>
      </w:r>
      <w:r>
        <w:t xml:space="preserve"> </w:t>
      </w:r>
      <w:r>
        <w:t xml:space="preserve">genuine tested and positive pair within its 583-patient hospital frame, with a leave-N’Cho-out</w:t>
      </w:r>
      <w:r>
        <w:t xml:space="preserve"> </w:t>
      </w:r>
      <w:r>
        <w:t xml:space="preserve">sensitivity analysis to bound its influence.</w:t>
      </w:r>
    </w:p>
    <w:bookmarkEnd w:id="15"/>
    <w:bookmarkEnd w:id="16"/>
    <w:bookmarkStart w:id="22" w:name="s3.-latent-class-model"/>
    <w:p>
      <w:pPr>
        <w:pStyle w:val="Heading1"/>
      </w:pPr>
      <w:r>
        <w:t xml:space="preserve">3. S3. Latent-class model</w:t>
      </w:r>
    </w:p>
    <w:bookmarkStart w:id="17" w:name="s3.1-blood-culture-sensitivity"/>
    <w:p>
      <w:pPr>
        <w:pStyle w:val="Heading2"/>
      </w:pPr>
      <w:r>
        <w:t xml:space="preserve">3.1 S3.1 Blood-culture sensitivity</w:t>
      </w:r>
    </w:p>
    <w:p>
      <w:pPr>
        <w:pStyle w:val="FirstParagraph"/>
      </w:pPr>
      <w:r>
        <w:t xml:space="preserve">For paired study</w:t>
      </w:r>
      <w:r>
        <w:t xml:space="preserve"> </w:t>
      </w:r>
      <m:oMath>
        <m:r>
          <m:t>s</m:t>
        </m:r>
      </m:oMath>
      <w:r>
        <w:t xml:space="preserve">, blood-culture sensitivity was modeled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S</m:t>
          </m:r>
          <m:sSub>
            <m:e>
              <m:r>
                <m:t>e</m:t>
              </m:r>
            </m:e>
            <m:sub>
              <m:r>
                <m:t>B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τ</m:t>
          </m:r>
          <m:sSub>
            <m:e>
              <m:r>
                <m:t>u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Normal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blood volume,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sensitivity level,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volume slope,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residual between-study heterogeneity. Bone-marrow sensitivity (</w:t>
      </w:r>
      <m:oMath>
        <m:r>
          <m:t>S</m:t>
        </m:r>
        <m:sSub>
          <m:e>
            <m:r>
              <m:t>e</m:t>
            </m:r>
          </m:e>
          <m:sub>
            <m:r>
              <m:t>B</m:t>
            </m:r>
            <m:r>
              <m:t>M</m:t>
            </m:r>
          </m:sub>
        </m:sSub>
      </m:oMath>
      <w:r>
        <w:t xml:space="preserve">) was</w:t>
      </w:r>
      <w:r>
        <w:t xml:space="preserve"> </w:t>
      </w:r>
      <w:r>
        <w:t xml:space="preserve">estimated rather than fixed, acknowledging that bone marrow is a better but imperfect reference.</w:t>
      </w:r>
    </w:p>
    <w:bookmarkEnd w:id="17"/>
    <w:bookmarkStart w:id="18" w:name="s3.2-paired-test-likelihood"/>
    <w:p>
      <w:pPr>
        <w:pStyle w:val="Heading2"/>
      </w:pPr>
      <w:r>
        <w:t xml:space="preserve">3.2 S3.2 Paired-test likelihood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ϕ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latent true-typhoid prevalence among the hospital-referred</w:t>
      </w:r>
      <w:r>
        <w:t xml:space="preserve"> </w:t>
      </w:r>
      <w:r>
        <w:t xml:space="preserve">suspected patients in paired study</w:t>
      </w:r>
      <w:r>
        <w:t xml:space="preserve"> </w:t>
      </w:r>
      <m:oMath>
        <m:r>
          <m:t>s</m:t>
        </m:r>
      </m:oMath>
      <w:r>
        <w:t xml:space="preserve">. Under conditional independence of blood and bone-marrow</w:t>
      </w:r>
      <w:r>
        <w:t xml:space="preserve"> </w:t>
      </w:r>
      <w:r>
        <w:t xml:space="preserve">culture given latent disease status, the four cell probabilities were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+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−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+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−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observed four-cell vector followed a multinomial distribution. The paired layer identifies the</w:t>
      </w:r>
      <w:r>
        <w:t xml:space="preserve"> </w:t>
      </w:r>
      <w:r>
        <w:t xml:space="preserve">sensitivity of both cultures and the study-specific hospital PPV without treating either culture as</w:t>
      </w:r>
      <w:r>
        <w:t xml:space="preserve"> </w:t>
      </w:r>
      <w:r>
        <w:t xml:space="preserve">a perfect gold standard.</w:t>
      </w:r>
    </w:p>
    <w:bookmarkEnd w:id="18"/>
    <w:bookmarkStart w:id="19" w:name="s3.3-community-likelihood"/>
    <w:p>
      <w:pPr>
        <w:pStyle w:val="Heading2"/>
      </w:pPr>
      <w:r>
        <w:t xml:space="preserve">3.3 S3.3 Community likelihood</w:t>
      </w:r>
    </w:p>
    <w:p>
      <w:pPr>
        <w:pStyle w:val="FirstParagraph"/>
      </w:pPr>
      <w:r>
        <w:t xml:space="preserve">For community outbreak</w:t>
      </w:r>
      <w:r>
        <w:t xml:space="preserve"> </w:t>
      </w:r>
      <m:oMath>
        <m:r>
          <m:t>o</m:t>
        </m:r>
      </m:oMath>
      <w:r>
        <w:t xml:space="preserve">, let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be all suspected cases,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the number cultured, and</w:t>
      </w:r>
      <w:r>
        <w:t xml:space="preserve"> </w:t>
      </w:r>
      <m:oMath>
        <m:sSub>
          <m:e>
            <m:r>
              <m:t>k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the number culture-positive. PPV among all suspected cases was modeled hierarchically: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π</m:t>
              </m:r>
            </m:sub>
          </m:sSub>
          <m:sSub>
            <m:e>
              <m:r>
                <m:t>z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Normal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 represent preferential verification,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  <m:r>
              <m:t>o</m:t>
            </m:r>
          </m:sub>
        </m:sSub>
      </m:oMath>
      <w:r>
        <w:t xml:space="preserve"> </w:t>
      </w:r>
      <w:r>
        <w:t xml:space="preserve">denote the probabilities of culture</w:t>
      </w:r>
      <w:r>
        <w:t xml:space="preserve"> </w:t>
      </w:r>
      <w:r>
        <w:t xml:space="preserve">among true-typhoid and non-typhoid suspected cases. Their log-odds difference was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1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δ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b</m:t>
              </m:r>
              <m:r>
                <m:t>i</m:t>
              </m:r>
              <m:r>
                <m:t>a</m:t>
              </m:r>
              <m:r>
                <m:t>s</m:t>
              </m:r>
            </m:sub>
          </m:sSub>
          <m:sSub>
            <m:e>
              <m:r>
                <m:t>B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δ</m:t>
              </m:r>
            </m:sub>
          </m:sSub>
          <m:sSub>
            <m:e>
              <m:r>
                <m:t>z</m:t>
              </m:r>
            </m:e>
            <m:sub>
              <m:r>
                <m:t>δ</m:t>
              </m:r>
              <m:r>
                <m:t>o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o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is the prespecified audit grade for low, moderate, or major verification</w:t>
      </w:r>
      <w:r>
        <w:t xml:space="preserve"> </w:t>
      </w:r>
      <w:r>
        <w:t xml:space="preserve">concern. Counts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o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o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followed a multinomial distribution for culture-positive,</w:t>
      </w:r>
      <w:r>
        <w:t xml:space="preserve"> </w:t>
      </w:r>
      <w:r>
        <w:t xml:space="preserve">culture-negative, and untested suspected cases. Thus, both testing fraction and positivity inform</w:t>
      </w:r>
      <w:r>
        <w:t xml:space="preserve"> </w:t>
      </w:r>
      <w:r>
        <w:t xml:space="preserve">the model, while true cases may be preferentially cultured. Structured priors remain necessary</w:t>
      </w:r>
      <w:r>
        <w:t xml:space="preserve"> </w:t>
      </w:r>
      <w:r>
        <w:t xml:space="preserve">because selection and population PPV are not identified by these counts alone.</w:t>
      </w:r>
    </w:p>
    <w:bookmarkEnd w:id="19"/>
    <w:bookmarkStart w:id="21" w:name="s3.4-priors-and-computation"/>
    <w:p>
      <w:pPr>
        <w:pStyle w:val="Heading2"/>
      </w:pPr>
      <w:r>
        <w:t xml:space="preserve">3.4 S3.4 Priors and computation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prio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Priors used in the final latent-class model.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42"/>
              <w:gridCol w:w="283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Rationale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Blood-culture intercept, alpha0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Normal(0, 1.5)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Weakly informative sensitivity level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Log-volume slope, alpha1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Normal(0.36, 0.15)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Antillon-informed volume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Between-study Se SD, tau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half-Normal(0, 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sensitivity heterogeneity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Bone-marrow sensitivity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Beta(12, 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but imperfect sensitivity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specificities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Beta(200, 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positive culture is highly specific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 PPV, phi_s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Beta(1, 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Local paired-study prevalence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Population logit-PPV mean, mu_pi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Normal(logit(0.25), 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Weakly informative population PPV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Between-outbreak PPV SD, sigma_pi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half-Normal(0, 0.8)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Genuine between-outbreak PPV variation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Baseline selection, mu_delta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Normal(0, 0.5)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baseline enrichment favored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Bias-grade slope, beta_bias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Normal+(0.5, 0.4)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Higher audit concern permits enrichment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selection SD, sigma_delta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half-Normal(0, 0.5)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Unmeasured selection heterogeneity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Non-typhoid testing logit, logit(q0)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Normal(logit observed testing fraction, 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Anchors testing to observed coverage</w:t>
                  </w:r>
                </w:p>
              </w:tc>
            </w:tr>
          </w:tbl>
          <w:bookmarkEnd w:id="20"/>
          <w:p/>
        </w:tc>
      </w:tr>
    </w:tbl>
    <w:p>
      <w:pPr>
        <w:pStyle w:val="BodyText"/>
      </w:pPr>
      <w:r>
        <w:t xml:space="preserve">The model was fitted in Stan using four chains, 1,500 warm-up iterations and 1,500 retained</w:t>
      </w:r>
      <w:r>
        <w:t xml:space="preserve"> </w:t>
      </w:r>
      <w:r>
        <w:t xml:space="preserve">iterations per chain, seed 2026, target acceptance probability 0.98, and maximum tree depth 12.</w:t>
      </w:r>
      <w:r>
        <w:t xml:space="preserve"> </w:t>
      </w:r>
      <w:r>
        <w:t xml:space="preserve">Posterior summaries are medians and 90% credible intervals (CrIs).</w:t>
      </w:r>
      <w:r>
        <w:t xml:space="preserve"> </w:t>
      </w:r>
      <w:r>
        <w:t xml:space="preserve">Structural selection sensitivities used two chains with 800 warm-up and 800 retained iterations per</w:t>
      </w:r>
      <w:r>
        <w:t xml:space="preserve"> </w:t>
      </w:r>
      <w:r>
        <w:t xml:space="preserve">chain. Their maximum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was 1.014; the main four-chain</w:t>
      </w:r>
      <w:r>
        <w:t xml:space="preserve"> </w:t>
      </w:r>
      <w:r>
        <w:t xml:space="preserve">fit’s maximum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reported separately below.</w:t>
      </w:r>
    </w:p>
    <w:bookmarkEnd w:id="21"/>
    <w:bookmarkEnd w:id="22"/>
    <w:bookmarkStart w:id="23" w:name="s4.-model-validation-and-diagnostics"/>
    <w:p>
      <w:pPr>
        <w:pStyle w:val="Heading1"/>
      </w:pPr>
      <w:r>
        <w:t xml:space="preserve">4. S4. Model validation and diagnostics</w:t>
      </w:r>
    </w:p>
    <w:p>
      <w:pPr>
        <w:pStyle w:val="FirstParagraph"/>
      </w:pPr>
      <w:r>
        <w:t xml:space="preserve">The final fit produced 0 divergent transitions; the maximum rank-normalized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was 1.004, and the minimum bulk effective sample size was</w:t>
      </w:r>
      <w:r>
        <w:t xml:space="preserve"> </w:t>
      </w:r>
      <w:r>
        <w:t xml:space="preserve">1704. These diagnostics indicated satisfactory sampling.</w:t>
      </w:r>
    </w:p>
    <w:p>
      <w:pPr>
        <w:pStyle w:val="BodyText"/>
      </w:pPr>
      <w:r>
        <w:t xml:space="preserve">Simulation studies evaluated recovery of the shared sensitivity parameters and local PPVs. The</w:t>
      </w:r>
      <w:r>
        <w:t xml:space="preserve"> </w:t>
      </w:r>
      <w:r>
        <w:t xml:space="preserve">identifiable parameters were recovered with the generating values inside their 90% CrIs under the</w:t>
      </w:r>
      <w:r>
        <w:t xml:space="preserve"> </w:t>
      </w:r>
      <w:r>
        <w:t xml:space="preserve">tested design. A single-test demonstration reproduced the expected PPV–sensitivity ridge: PPV and</w:t>
      </w:r>
      <w:r>
        <w:t xml:space="preserve"> </w:t>
      </w:r>
      <w:r>
        <w:t xml:space="preserve">blood-culture sensitivity were individually weakly identified, while their product was precise.</w:t>
      </w:r>
      <w:r>
        <w:t xml:space="preserve"> </w:t>
      </w:r>
      <w:r>
        <w:t xml:space="preserve">The paired-test layer removed this ridge. An earlier severity offset was not identified because the</w:t>
      </w:r>
      <w:r>
        <w:t xml:space="preserve"> </w:t>
      </w:r>
      <w:r>
        <w:t xml:space="preserve">paired blood/bone-marrow evidence came from hospital populations and no comparable paired evidence</w:t>
      </w:r>
      <w:r>
        <w:t xml:space="preserve"> </w:t>
      </w:r>
      <w:r>
        <w:t xml:space="preserve">exists for ambulatory disease. The final model therefore omitted a severity term and transferred</w:t>
      </w:r>
      <w:r>
        <w:t xml:space="preserve"> </w:t>
      </w:r>
      <w:r>
        <w:t xml:space="preserve">blood-culture sensitivity through observed or assumed blood volume plus residual heterogeneity.</w:t>
      </w:r>
    </w:p>
    <w:p>
      <w:pPr>
        <w:pStyle w:val="BodyText"/>
      </w:pPr>
      <w:r>
        <w:t xml:space="preserve">In a stress test, data generated with positive conditional dependence between blood and</w:t>
      </w:r>
      <w:r>
        <w:t xml:space="preserve"> </w:t>
      </w:r>
      <w:r>
        <w:t xml:space="preserve">bone-marrow culture but fitted under independence increased estimated blood-culture sensitivity by</w:t>
      </w:r>
      <w:r>
        <w:t xml:space="preserve"> </w:t>
      </w:r>
      <w:r>
        <w:t xml:space="preserve">approximately 0.08 and decreased PPV by approximately 0.08. Conditional independence is therefore a</w:t>
      </w:r>
      <w:r>
        <w:t xml:space="preserve"> </w:t>
      </w:r>
      <w:r>
        <w:t xml:space="preserve">directional limitation: shared culture failure, for example after antibiotic exposure, could make</w:t>
      </w:r>
      <w:r>
        <w:t xml:space="preserve"> </w:t>
      </w:r>
      <w:r>
        <w:t xml:space="preserve">the primary model overestimate sensitivity and underestimate PPV.</w:t>
      </w:r>
    </w:p>
    <w:bookmarkEnd w:id="23"/>
    <w:bookmarkStart w:id="41" w:name="s5.-results"/>
    <w:p>
      <w:pPr>
        <w:pStyle w:val="Heading1"/>
      </w:pPr>
      <w:r>
        <w:t xml:space="preserve">5. S5. Results</w:t>
      </w:r>
    </w:p>
    <w:bookmarkStart w:id="29" w:name="s5.1-culture-accuracy"/>
    <w:p>
      <w:pPr>
        <w:pStyle w:val="Heading2"/>
      </w:pPr>
      <w:r>
        <w:t xml:space="preserve">5.1 S5.1 Culture accuracy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accuracy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Posterior estimates of culture-accuracy parameters.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 [90% CrI]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Blood-culture sensitivity at 2 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0.56 [0.46, 0.66]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Blood-culture sensitivity at 5 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0.65 [0.56, 0.73]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Blood-culture sensitivity at 10 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 [0.62, 0.80]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Bone-marrow-culture sensitivity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0.92 [0.90, 0.94]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Blood-culture specificity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1.00 [0.98, 1.00]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Log-volume slope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0.42 [0.18, 0.66]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Between-study SD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0.54 [0.28, 1.00]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At the assumed 5 mL community blood volume, blood culture detected an estimated 0.65 of latent true</w:t>
      </w:r>
      <w:r>
        <w:t xml:space="preserve"> </w:t>
      </w:r>
      <w:r>
        <w:t xml:space="preserve">typhoid infections. Sensitivity increased with cultured volume, while estimated bone-marrow</w:t>
      </w:r>
      <w:r>
        <w:t xml:space="preserve"> </w:t>
      </w:r>
      <w:r>
        <w:t xml:space="preserve">sensitivity was approximately 0.92. Thus, raw culture positivity materially underestimated the</w:t>
      </w:r>
      <w:r>
        <w:t xml:space="preserve"> </w:t>
      </w:r>
      <w:r>
        <w:t xml:space="preserve">proportion of suspected patients with true typhoid.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se-volume"/>
          <w:p>
            <w:pPr>
              <w:pStyle w:val="Compact"/>
              <w:jc w:val="center"/>
            </w:pPr>
            <w:r>
              <w:drawing>
                <wp:inline>
                  <wp:extent cx="4533900" cy="291465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latent_class_ppv/figures/fig_final_se_volum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914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Posterior blood-culture sensitivity by cultured blood volume. The line and band show the posterior median and 90% CrI; points show raw paired-study detection proportions.</w:t>
            </w:r>
          </w:p>
          <w:bookmarkEnd w:id="28"/>
        </w:tc>
      </w:tr>
    </w:tbl>
    <w:bookmarkEnd w:id="29"/>
    <w:bookmarkStart w:id="36" w:name="s5.2-hospital-and-community-ppv"/>
    <w:p>
      <w:pPr>
        <w:pStyle w:val="Heading2"/>
      </w:pPr>
      <w:r>
        <w:t xml:space="preserve">5.2 S5.2 Hospital and community PPV</w:t>
      </w:r>
    </w:p>
    <w:p>
      <w:pPr>
        <w:pStyle w:val="FirstParagraph"/>
      </w:pPr>
      <w:r>
        <w:t xml:space="preserve">Hospital-referred PPVs across the nine paired studies ranged from 0.65 to</w:t>
      </w:r>
      <w:r>
        <w:t xml:space="preserve"> </w:t>
      </w:r>
      <w:r>
        <w:t xml:space="preserve">0.99 (median 0.89). Community outbreak PPV was</w:t>
      </w:r>
      <w:r>
        <w:t xml:space="preserve"> </w:t>
      </w:r>
      <w:r>
        <w:t xml:space="preserve">heterogeneous across 8 audited, independence-checked observations, ranging from</w:t>
      </w:r>
      <w:r>
        <w:t xml:space="preserve"> </w:t>
      </w:r>
      <w:r>
        <w:t xml:space="preserve">0.10 to 0.86. These are local estimates and</w:t>
      </w:r>
      <w:r>
        <w:t xml:space="preserve"> </w:t>
      </w:r>
      <w:r>
        <w:t xml:space="preserve">should not be interpreted as a universal PPV for typhoid surveillance. In particular, N’Cho 2019</w:t>
      </w:r>
      <w:r>
        <w:t xml:space="preserve"> </w:t>
      </w:r>
      <w:r>
        <w:t xml:space="preserve">is the sole diagnostic-yield observation retained from the 2017–2018 Harare outbreak; Poncin 2022</w:t>
      </w:r>
      <w:r>
        <w:t xml:space="preserve"> </w:t>
      </w:r>
      <w:r>
        <w:t xml:space="preserve">summarizes overlapping historical counts but supplies no blood-culture-tested denominator.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pv-setting"/>
          <w:p>
            <w:pPr>
              <w:pStyle w:val="Compact"/>
              <w:jc w:val="center"/>
            </w:pPr>
            <w:r>
              <w:drawing>
                <wp:inline>
                  <wp:extent cx="4800600" cy="352043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latent_class_ppv/figures/fig_final_ppv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520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Posterior PPV of the suspected clinical definition in hospital-referred and community outbreak populations. PPVs are study-specific; intervals are 90% CrIs.</w:t>
            </w:r>
          </w:p>
          <w:bookmarkEnd w:id="33"/>
        </w:tc>
      </w:tr>
    </w:tbl>
    <w:p>
      <w:pPr>
        <w:pStyle w:val="BodyText"/>
      </w:pPr>
      <w:r>
        <w:t xml:space="preserve">The fitted population median PPV was</w:t>
      </w:r>
      <w:r>
        <w:t xml:space="preserve"> </w:t>
      </w:r>
      <w:r>
        <w:t xml:space="preserve">0.31 [0.16, 0.52],</w:t>
      </w:r>
      <w:r>
        <w:t xml:space="preserve"> </w:t>
      </w:r>
      <w:r>
        <w:t xml:space="preserve">and the genuine between-outbreak logit-scale SD was</w:t>
      </w:r>
      <w:r>
        <w:t xml:space="preserve"> </w:t>
      </w:r>
      <w:r>
        <w:t xml:space="preserve">1.35 [0.85, 2.03].</w:t>
      </w:r>
      <w:r>
        <w:t xml:space="preserve"> </w:t>
      </w:r>
      <w:r>
        <w:t xml:space="preserve">The audit-grade selection coefficient was positive:</w:t>
      </w:r>
      <w:r>
        <w:t xml:space="preserve"> </w:t>
      </w:r>
      <w:r>
        <w:t xml:space="preserve">0.39 [0.05, 0.94].</w:t>
      </w:r>
      <w:r>
        <w:t xml:space="preserve"> </w:t>
      </w:r>
      <w:r>
        <w:t xml:space="preserve">This should not be interpreted as data-driven evidence for enrichment: the selection hyperparameters</w:t>
      </w:r>
      <w:r>
        <w:t xml:space="preserve"> </w:t>
      </w:r>
      <w:r>
        <w:t xml:space="preserve">changed little from their priors, unlike the clearly updated between-outbreak PPV SD.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selec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Posterior culture-selection probabilities among true and non-typhoid suspected cases.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7"/>
              <w:gridCol w:w="2329"/>
              <w:gridCol w:w="2063"/>
              <w:gridCol w:w="212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Selection log-OR, median [90% CrI]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P(cultured | non-typhoid)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P(cultured | true typhoid)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Aye 2004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0.73 [-0.49, 2.20]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0.42 [0.30, 0.55]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0.60 [0.34, 0.87]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Neil 2012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0.78 [-0.32, 2.16]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0.07 [0.04, 0.11]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0.13 [0.08, 0.32]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Kabwama 2017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0.69 [-0.47, 2.06]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0.03 [0.02, 0.04]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0.06 [0.03, 0.18]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Hu 2022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 [-0.91, 1.08]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0.99 [0.96, 1.00]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0.99 [0.96, 1.00]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Makungo 2020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0.36 [-0.71, 1.46]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0.52 [0.44, 0.61]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0.61 [0.39, 0.81]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N’Cho 2019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0.77 [-0.35, 2.24]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0.43 [0.34, 0.53]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0.61 [0.44, 0.85]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Dhadwal 2008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-0.05 [-1.05, 0.99]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0.94 [0.90, 0.97]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0.94 [0.84, 0.98]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Swaddiwudhipong 2001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 [-0.93, 1.03]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0.90 [0.75, 0.97]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0.90 [0.73, 0.98]</w:t>
                  </w:r>
                </w:p>
              </w:tc>
            </w:tr>
          </w:tbl>
          <w:bookmarkEnd w:id="3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hospital-pp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Study-specific hospital PPV estimates from the paired-test layer.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Blood volume used (mL)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PPV, median [90% CrI]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Akoh 1991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 [0.57, 0.85]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Hirsowitz 1951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0.65 [0.50, 0.79]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Farooqui 1991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0.90 [0.84, 0.95]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Gasem 1995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0.99 [0.96, 1.00]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Gasem 2002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0.89 [0.81, 0.95]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Chaicumpa 1992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 [0.61, 0.83]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Wain 2008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 [0.64, 0.79]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Gilman 1975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 [0.87, 0.99]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Guerra-Caceres 1979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0.97 [0.91, 1.00]</w:t>
                  </w:r>
                </w:p>
              </w:tc>
            </w:tr>
          </w:tbl>
          <w:bookmarkEnd w:id="35"/>
          <w:p/>
        </w:tc>
      </w:tr>
    </w:tbl>
    <w:bookmarkEnd w:id="36"/>
    <w:bookmarkStart w:id="38" w:name="Xb7704f6cc67ff0ce365651a2e129e0b265533c9"/>
    <w:p>
      <w:pPr>
        <w:pStyle w:val="Heading2"/>
      </w:pPr>
      <w:r>
        <w:t xml:space="preserve">5.3 S5.3 Sensitivity to assumed outbreak blood volume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volume-sensitivi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Community PPV sensitivity to assumed blood volume in outbreak surveillance.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51"/>
              <w:gridCol w:w="1980"/>
              <w:gridCol w:w="2451"/>
              <w:gridCol w:w="103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Assumed blood volume (mL)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Blood-culture sensitivity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PPV median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Aye 2004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Neil 2012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Kabwama 2017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Hu 2022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Makungo 2020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N’Cho 2019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Dhadwal 2008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Swaddiwudhipong 2001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Aye 2004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Neil 2012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Kabwama 2017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Hu 2022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Makungo 2020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N’Cho 2019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Dhadwal 2008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Swaddiwudhipong 2001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Aye 2004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Neil 2012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Kabwama 2017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Hu 2022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Makungo 2020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N’Cho 2019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Dhadwal 2008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Swaddiwudhipong 2001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Aye 2004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Neil 2012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Kabwama 2017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Hu 2022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Makungo 2020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N’Cho 2019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Dhadwal 2008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Swaddiwudhipong 2001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0.58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Increasing assumed blood volume raised estimated blood-culture sensitivity and correspondingly</w:t>
      </w:r>
      <w:r>
        <w:t xml:space="preserve"> </w:t>
      </w:r>
      <w:r>
        <w:t xml:space="preserve">lowered inferred PPV. The direction was expected from the approximate identity</w:t>
      </w:r>
      <w:r>
        <w:t xml:space="preserve"> </w:t>
      </w:r>
      <m:oMath>
        <m:r>
          <m:rPr>
            <m:nor/>
            <m:sty m:val="p"/>
          </m:rPr>
          <m:t>positivity</m:t>
        </m:r>
        <m:r>
          <m:rPr>
            <m:sty m:val="p"/>
          </m:rPr>
          <m:t>≈</m:t>
        </m:r>
        <m:r>
          <m:t>π</m:t>
        </m:r>
        <m:r>
          <m:t>S</m:t>
        </m:r>
        <m:sSub>
          <m:e>
            <m:r>
              <m:t>e</m:t>
            </m:r>
          </m:e>
          <m:sub>
            <m:r>
              <m:t>B</m:t>
            </m:r>
            <m:r>
              <m:t>C</m:t>
            </m:r>
          </m:sub>
        </m:sSub>
      </m:oMath>
      <w:r>
        <w:t xml:space="preserve">; the qualitative separation between hospital and community</w:t>
      </w:r>
      <w:r>
        <w:t xml:space="preserve"> </w:t>
      </w:r>
      <w:r>
        <w:t xml:space="preserve">settings was unchanged.</w:t>
      </w:r>
    </w:p>
    <w:bookmarkEnd w:id="38"/>
    <w:bookmarkStart w:id="40" w:name="X203249cbb7d0d7983bf788b949cb43612b5f11f"/>
    <w:p>
      <w:pPr>
        <w:pStyle w:val="Heading2"/>
      </w:pPr>
      <w:r>
        <w:t xml:space="preserve">5.4 S5.4 Sensitivity to selection assumptions</w:t>
      </w:r>
    </w:p>
    <w:p>
      <w:pPr>
        <w:pStyle w:val="FirstParagraph"/>
      </w:pPr>
      <w:r>
        <w:t xml:space="preserve">The selection decomposition was examined under no enrichment; skeptical, base, and permissive</w:t>
      </w:r>
      <w:r>
        <w:t xml:space="preserve"> </w:t>
      </w:r>
      <w:r>
        <w:t xml:space="preserve">enrichment priors; binary rather than ordinal audit grades; and no grade effect. These are structural</w:t>
      </w:r>
      <w:r>
        <w:t xml:space="preserve"> </w:t>
      </w:r>
      <w:r>
        <w:t xml:space="preserve">sensitivity analyses, not data-supported model rankings.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selection-sensitivi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Sensitivity of inferred PPV and ORI impact to selection priors and audit-grade coding.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33"/>
              <w:gridCol w:w="1018"/>
              <w:gridCol w:w="1760"/>
              <w:gridCol w:w="1667"/>
              <w:gridCol w:w="880"/>
              <w:gridCol w:w="17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Scenario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Population PPV median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Predictive PPV, median [90% interval]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Kabwama population/tested PPV ratio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 cases averted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 suspected-case reduction (%)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 priors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0.31 [0.03, 0.84]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grade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0.34 [0.04, 0.85]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enrichment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0.38 [0.05, 0.85]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grade effect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0.34 [0.04, 0.85]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Permissive priors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0.31 [0.04, 0.86]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Skeptical priors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0.36 [0.04, 0.87]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7.9</w:t>
                  </w:r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Across these assumptions, estimated true cases averted ranged from</w:t>
      </w:r>
      <w:r>
        <w:t xml:space="preserve"> </w:t>
      </w:r>
      <w:r>
        <w:t xml:space="preserve">1511 to</w:t>
      </w:r>
      <w:r>
        <w:t xml:space="preserve"> </w:t>
      </w:r>
      <w:r>
        <w:t xml:space="preserve">2277. This spread is consequential and is driven</w:t>
      </w:r>
      <w:r>
        <w:t xml:space="preserve"> </w:t>
      </w:r>
      <w:r>
        <w:t xml:space="preserve">by the analyst-specified enrichment prior and grade encoding; the data do not select among these</w:t>
      </w:r>
      <w:r>
        <w:t xml:space="preserve"> </w:t>
      </w:r>
      <w:r>
        <w:t xml:space="preserve">scenarios.</w:t>
      </w:r>
    </w:p>
    <w:bookmarkEnd w:id="40"/>
    <w:bookmarkEnd w:id="41"/>
    <w:bookmarkStart w:id="44" w:name="s6.-propagation-into-the-ori-analysis"/>
    <w:p>
      <w:pPr>
        <w:pStyle w:val="Heading1"/>
      </w:pPr>
      <w:r>
        <w:t xml:space="preserve">6. S6. Propagation into the ORI analysis</w:t>
      </w:r>
    </w:p>
    <w:p>
      <w:pPr>
        <w:pStyle w:val="FirstParagraph"/>
      </w:pPr>
      <w:r>
        <w:t xml:space="preserve">Posterior PPV draws were propagated jointly with vaccine-effectiveness and campaign-timing draws.</w:t>
      </w:r>
      <w:r>
        <w:t xml:space="preserve"> </w:t>
      </w:r>
      <w:r>
        <w:t xml:space="preserve">All 8 audited anchors use their study-specific</w:t>
      </w:r>
      <w:r>
        <w:t xml:space="preserve"> </w:t>
      </w:r>
      <m:oMath>
        <m:sSub>
          <m:e>
            <m:r>
              <m:t>π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posterior when the ORI dataset</w:t>
      </w:r>
      <w:r>
        <w:t xml:space="preserve"> </w:t>
      </w:r>
      <w:r>
        <w:t xml:space="preserve">contains the same study identifier. For outbreaks without direct PPV data, the current implementation</w:t>
      </w:r>
      <w:r>
        <w:t xml:space="preserve"> </w:t>
      </w:r>
      <w:r>
        <w:t xml:space="preserve">draws an outbreak-specific value from the fitted logit-normal population distribution using each</w:t>
      </w:r>
      <w:r>
        <w:t xml:space="preserve"> </w:t>
      </w:r>
      <w:r>
        <w:t xml:space="preserve">draw’s</w:t>
      </w:r>
      <w:r>
        <w:t xml:space="preserve"> </w:t>
      </w:r>
      <m:oMath>
        <m:sSub>
          <m:e>
            <m:r>
              <m:t>μ</m:t>
            </m:r>
          </m:e>
          <m:sub>
            <m:r>
              <m:t>π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π</m:t>
            </m:r>
          </m:sub>
        </m:sSub>
      </m:oMath>
      <w:r>
        <w:t xml:space="preserve">. This propagates genuine fitted between-outbreak heterogeneity.</w:t>
      </w:r>
      <w:r>
        <w:t xml:space="preserve"> </w:t>
      </w:r>
      <w:r>
        <w:t xml:space="preserve">Preferential selection</w:t>
      </w:r>
      <w:r>
        <w:t xml:space="preserve"> </w:t>
      </w:r>
      <w:r>
        <w:t xml:space="preserve">into blood culture is represented jointly through the tested, test-negative, test-positive, and</w:t>
      </w:r>
      <w:r>
        <w:t xml:space="preserve"> </w:t>
      </w:r>
      <w:r>
        <w:t xml:space="preserve">untested counts, conditional on the prespecified audit bias grade.</w:t>
      </w:r>
    </w:p>
    <w:p>
      <w:pPr>
        <w:pStyle w:val="BodyText"/>
      </w:pPr>
      <w:r>
        <w:t xml:space="preserve">The testing-frame denominator used to estimate an anchor’s PPV is not necessarily the same</w:t>
      </w:r>
      <w:r>
        <w:t xml:space="preserve"> </w:t>
      </w:r>
      <w:r>
        <w:t xml:space="preserve">population or time window as the renewal incidence curve. The audit below makes that transport step</w:t>
      </w:r>
      <w:r>
        <w:t xml:space="preserve"> </w:t>
      </w:r>
      <w:r>
        <w:t xml:space="preserve">explicit. A numerical mismatch is not repaired by the selection model and is not included in the</w:t>
      </w:r>
      <w:r>
        <w:t xml:space="preserve"> </w:t>
      </w:r>
      <w:r>
        <w:t xml:space="preserve">selection-prior sensitivity range.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denominator-frame-audi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Alignment of Stan suspected-case testing frames with canonical renewal time-series totals.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09"/>
              <w:gridCol w:w="1275"/>
              <w:gridCol w:w="1476"/>
              <w:gridCol w:w="1476"/>
              <w:gridCol w:w="228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 testing frame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curve 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Used in renewal model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Alignment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Aye 2004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different denominator/time frame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Neil 2012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different denominator/time frame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Kabwama 2017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10230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10152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different denominator/time frame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Hu 2022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 numeric match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Makungo 2020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different denominator/time frame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N’Cho 2019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2744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different denominator/time frame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Dhadwal 2008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matching curve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matching canonical time series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Swaddiwudhipong 2001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matching curve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matching canonical time series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Two observation regimes are available: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Multiplicative regime: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π</m:t>
        </m:r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suspected incidence and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latent</w:t>
      </w:r>
      <w:r>
        <w:t xml:space="preserve"> </w:t>
      </w:r>
      <w:r>
        <w:t xml:space="preserve">true typhoid incidence. With constant</w:t>
      </w:r>
      <w:r>
        <w:t xml:space="preserve"> </w:t>
      </w:r>
      <m:oMath>
        <m:r>
          <m:t>π</m:t>
        </m:r>
      </m:oMath>
      <w:r>
        <w:t xml:space="preserve">, percentage reduction and reconstructed transmission</w:t>
      </w:r>
      <w:r>
        <w:t xml:space="preserve"> </w:t>
      </w:r>
      <w:r>
        <w:t xml:space="preserve">are invariant, while absolute cases, YLDs, costs, and cases per dose are scaled by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Additive-background regime: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, where the non-typhoid febrile background is assumed</w:t>
      </w:r>
      <w:r>
        <w:t xml:space="preserve"> </w:t>
      </w:r>
      <w:r>
        <w:t xml:space="preserve">constant over the outbreak. The implementation sets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bar>
          <m:barPr>
            <m:pos m:val="top"/>
          </m:barPr>
          <m:e>
            <m:r>
              <m:t>S</m:t>
            </m:r>
          </m:e>
        </m:bar>
      </m:oMath>
      <w:r>
        <w:t xml:space="preserve">, truncates negative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, and renormalizes the true-typhoid curve to sum to</w:t>
      </w:r>
      <w:r>
        <w:t xml:space="preserve"> </w:t>
      </w:r>
      <m:oMath>
        <m:r>
          <m:t>π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</m:e>
        </m:nary>
      </m:oMath>
      <w:r>
        <w:t xml:space="preserve">. Vaccination acts on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only, so background illness dilutes the percentage change observable in suspected surveillance.</w:t>
      </w:r>
    </w:p>
    <w:p>
      <w:pPr>
        <w:pStyle w:val="FirstParagraph"/>
      </w:pPr>
      <w:r>
        <w:t xml:space="preserve">The current ORI configuration uses the additive-background regime. At a second additive level, true</w:t>
      </w:r>
      <w:r>
        <w:t xml:space="preserve"> </w:t>
      </w:r>
      <w:r>
        <w:t xml:space="preserve">typhoid is decomposed as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background/common-source typhoid and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t>P</m:t>
            </m:r>
          </m:sup>
        </m:sSubSup>
        <m:nary>
          <m:naryPr>
            <m:chr m:val="∑"/>
            <m:limLoc m:val="undOvr"/>
            <m:subHide m:val="off"/>
            <m:supHide m:val="on"/>
          </m:naryPr>
          <m:sub>
            <m:r>
              <m:t>u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u</m:t>
                </m:r>
              </m:sub>
            </m:sSub>
          </m:e>
        </m:nary>
        <m:sSub>
          <m:e>
            <m:r>
              <m:t>I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u</m:t>
            </m:r>
          </m:sub>
        </m:sSub>
      </m:oMath>
      <w:r>
        <w:t xml:space="preserve"> </w:t>
      </w:r>
      <w:r>
        <w:t xml:space="preserve">is propagated typhoid. Under vaccination, the remaining</w:t>
      </w:r>
      <w:r>
        <w:t xml:space="preserve"> </w:t>
      </w:r>
      <w:r>
        <w:t xml:space="preserve">susceptibility multiplier</w:t>
      </w:r>
      <w: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acts on both components:</w:t>
      </w:r>
      <w:r>
        <w:t xml:space="preserve"> </w:t>
      </w:r>
      <m:oMath>
        <m:sSubSup>
          <m:e>
            <m:r>
              <m:t>X</m:t>
            </m:r>
          </m:e>
          <m:sub>
            <m:r>
              <m:t>t</m:t>
            </m:r>
          </m:sub>
          <m:sup>
            <m:r>
              <m:t>v</m:t>
            </m:r>
          </m:sup>
        </m:sSubSup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t>v</m:t>
            </m:r>
          </m:sup>
        </m:sSubSup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t</m:t>
            </m:r>
          </m:sub>
        </m:sSub>
        <m:sSubSup>
          <m:e>
            <m:r>
              <m:t>R</m:t>
            </m:r>
          </m:e>
          <m:sub>
            <m:r>
              <m:t>t</m:t>
            </m:r>
          </m:sub>
          <m:sup>
            <m:r>
              <m:t>P</m:t>
            </m:r>
          </m:sup>
        </m:sSubSup>
        <m:nary>
          <m:naryPr>
            <m:chr m:val="∑"/>
            <m:limLoc m:val="undOvr"/>
            <m:subHide m:val="off"/>
            <m:supHide m:val="on"/>
          </m:naryPr>
          <m:sub>
            <m:r>
              <m:t>u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u</m:t>
                </m:r>
              </m:sub>
            </m:sSub>
          </m:e>
        </m:nary>
        <m:sSubSup>
          <m:e>
            <m:r>
              <m:t>I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u</m:t>
            </m:r>
          </m:sub>
          <m:sup>
            <m:r>
              <m:t>v</m:t>
            </m:r>
          </m:sup>
        </m:sSubSup>
      </m:oMath>
      <w:r>
        <w:t xml:space="preserve">. Other febrile illness remains fixed, whereas propagated</w:t>
      </w:r>
      <w:r>
        <w:t xml:space="preserve"> </w:t>
      </w:r>
      <w:r>
        <w:t xml:space="preserve">typhoid additionally declines through transmission feedback.</w:t>
      </w:r>
    </w:p>
    <w:p>
      <w:pPr>
        <w:pStyle w:val="BodyText"/>
      </w:pPr>
      <w:r>
        <w:t xml:space="preserve">The former calculation</w:t>
      </w:r>
      <w:r>
        <w:t xml:space="preserve"> </w:t>
      </w:r>
      <m:oMath>
        <m:sSub>
          <m:e>
            <m:r>
              <m:t>A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t>θ</m:t>
        </m:r>
        <m:sSub>
          <m:e>
            <m:r>
              <m:t>A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sSub>
          <m:e>
            <m:r>
              <m:t>A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averages completed outcomes</w:t>
      </w:r>
      <w:r>
        <w:t xml:space="preserve"> </w:t>
      </w:r>
      <w:r>
        <w:t xml:space="preserve">and is retained only as a historical comparator. In the primary model, the source fraction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allocates baseline true-typhoid incidence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shared additive recursion; it is</w:t>
      </w:r>
      <w:r>
        <w:t xml:space="preserve"> </w:t>
      </w:r>
      <w:r>
        <w:t xml:space="preserve">informed by field-epidemiologic source classification because its level was not identifiable from</w:t>
      </w:r>
      <w:r>
        <w:t xml:space="preserve"> </w:t>
      </w:r>
      <w:r>
        <w:t xml:space="preserve">curve shape alone.</w:t>
      </w:r>
    </w:p>
    <w:p>
      <w:pPr>
        <w:pStyle w:val="BodyText"/>
      </w:pPr>
      <w:r>
        <w:t xml:space="preserve">Because the other-febrile background curve is not directly observed, the multiplicative</w:t>
      </w:r>
      <w:r>
        <w:t xml:space="preserve"> </w:t>
      </w:r>
      <w:r>
        <w:t xml:space="preserve">observation regime should be reported as a structural sensitivity analysis. Deaths attributed to</w:t>
      </w:r>
      <w:r>
        <w:t xml:space="preserve"> </w:t>
      </w:r>
      <w:r>
        <w:t xml:space="preserve">typhoid were not multiplied by PPV; deaths/YLLs were treated as already disease-specific, whereas</w:t>
      </w:r>
      <w:r>
        <w:t xml:space="preserve"> </w:t>
      </w:r>
      <w:r>
        <w:t xml:space="preserve">non-fatal case counts, YLDs, treatment costs, and AMR case counts were adjusted.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ppv-effec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Effect of PPV adjustment in the current ORI base-case run.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66"/>
              <w:gridCol w:w="1686"/>
              <w:gridCol w:w="146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Quantity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Without PPV adjustment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 PPV adjustment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Summed per-outbreak median cases averted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8498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Pooled true-typhoid percentage reduction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36.7%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Pooled percentage reduction observable in suspected surveillance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applicable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6.3%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t xml:space="preserve">PPV adjustment reduced the estimated absolute vaccine-preventable burden substantially. Under the</w:t>
      </w:r>
      <w:r>
        <w:t xml:space="preserve"> </w:t>
      </w:r>
      <w:r>
        <w:t xml:space="preserve">additive observation model, it also distinguished the reduction in latent true typhoid from the</w:t>
      </w:r>
      <w:r>
        <w:t xml:space="preserve"> </w:t>
      </w:r>
      <w:r>
        <w:t xml:space="preserve">smaller change expected in all-cause suspected-case surveillance.</w:t>
      </w:r>
    </w:p>
    <w:p>
      <w:pPr>
        <w:pStyle w:val="BodyText"/>
      </w:pPr>
      <w:r>
        <w:t xml:space="preserve">In paired base-case simulations, the additive source-plus-propagated model averted</w:t>
      </w:r>
      <w:r>
        <w:t xml:space="preserve"> </w:t>
      </w:r>
      <w:r>
        <w:t xml:space="preserve">1846 true-typhoid cases</w:t>
      </w:r>
      <w:r>
        <w:t xml:space="preserve"> </w:t>
      </w:r>
      <w:r>
        <w:t xml:space="preserve">(644–3742)</w:t>
      </w:r>
      <w:r>
        <w:t xml:space="preserve"> </w:t>
      </w:r>
      <w:r>
        <w:t xml:space="preserve">and reduced true typhoid by 25.6%. The historical</w:t>
      </w:r>
      <w:r>
        <w:t xml:space="preserve"> </w:t>
      </w:r>
      <m:oMath>
        <m:r>
          <m:t>θ</m:t>
        </m:r>
      </m:oMath>
      <w:r>
        <w:t xml:space="preserve">-weighted version reduced true typhoid by</w:t>
      </w:r>
      <w:r>
        <w:t xml:space="preserve"> </w:t>
      </w:r>
      <w:r>
        <w:t xml:space="preserve">25.9%. The paired difference was</w:t>
      </w:r>
      <w:r>
        <w:t xml:space="preserve"> </w:t>
      </w:r>
      <w:r>
        <w:t xml:space="preserve">-0.5 percentage points</w:t>
      </w:r>
      <w:r>
        <w:t xml:space="preserve"> </w:t>
      </w:r>
      <w:r>
        <w:t xml:space="preserve">(-2.4 to</w:t>
      </w:r>
      <w:r>
        <w:t xml:space="preserve"> </w:t>
      </w:r>
      <w:r>
        <w:t xml:space="preserve">0.7). The primary model produced a</w:t>
      </w:r>
      <w:r>
        <w:t xml:space="preserve"> </w:t>
      </w:r>
      <w:r>
        <w:t xml:space="preserve">7.0% reduction in suspected-case</w:t>
      </w:r>
      <w:r>
        <w:t xml:space="preserve"> </w:t>
      </w:r>
      <w:r>
        <w:t xml:space="preserve">surveillance. All 10 prespecified mass-balance, endpoint, non-negativity,</w:t>
      </w:r>
      <w:r>
        <w:t xml:space="preserve"> </w:t>
      </w:r>
      <w:r>
        <w:t xml:space="preserve">and pairing checks passed.</w:t>
      </w:r>
    </w:p>
    <w:bookmarkEnd w:id="44"/>
    <w:bookmarkStart w:id="45" w:name="s7.-assumptions-and-limitations"/>
    <w:p>
      <w:pPr>
        <w:pStyle w:val="Heading1"/>
      </w:pPr>
      <w:r>
        <w:t xml:space="preserve">7. S7. Assumptions and limitations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Targeted evidence base.</w:t>
      </w:r>
      <w:r>
        <w:t xml:space="preserve"> </w:t>
      </w:r>
      <w:r>
        <w:t xml:space="preserve">The model used a deliberately selected evidence set suitable for the</w:t>
      </w:r>
      <w:r>
        <w:t xml:space="preserve"> </w:t>
      </w:r>
      <w:r>
        <w:t xml:space="preserve">ORI observation model, not a completed systematic review of clinical-definition accuracy or</w:t>
      </w:r>
      <w:r>
        <w:t xml:space="preserve"> </w:t>
      </w:r>
      <w:r>
        <w:t xml:space="preserve">positivity. Numerical estimates should be updated when the planned systematic evidence synthesis</w:t>
      </w:r>
      <w:r>
        <w:t xml:space="preserve"> </w:t>
      </w:r>
      <w:r>
        <w:t xml:space="preserve">is complete.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Community anchors.</w:t>
      </w:r>
      <w:r>
        <w:t xml:space="preserve"> </w:t>
      </w:r>
      <w:r>
        <w:t xml:space="preserve">8 independence-checked outbreak observations directly</w:t>
      </w:r>
      <w:r>
        <w:t xml:space="preserve"> </w:t>
      </w:r>
      <w:r>
        <w:t xml:space="preserve">informed community PPV. The predictive distribution remains sensitive to case-definition and</w:t>
      </w:r>
      <w:r>
        <w:t xml:space="preserve"> </w:t>
      </w:r>
      <w:r>
        <w:t xml:space="preserve">testing-selection heterogeneity across these studies.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Representativeness of cultured patients.</w:t>
      </w:r>
      <w:r>
        <w:t xml:space="preserve"> </w:t>
      </w:r>
      <w:r>
        <w:t xml:space="preserve">The selection layer adjusts for preferential</w:t>
      </w:r>
      <w:r>
        <w:t xml:space="preserve"> </w:t>
      </w:r>
      <w:r>
        <w:t xml:space="preserve">culture of true cases using testing fractions and audit bias grades, but this structure is</w:t>
      </w:r>
      <w:r>
        <w:t xml:space="preserve"> </w:t>
      </w:r>
      <w:r>
        <w:rPr>
          <w:b/>
          <w:bCs/>
        </w:rPr>
        <w:t xml:space="preserve">prior-dominated</w:t>
      </w:r>
      <w:r>
        <w:t xml:space="preserve">: the available aggregate counts do not identify population PPV separately</w:t>
      </w:r>
      <w:r>
        <w:t xml:space="preserve"> </w:t>
      </w:r>
      <w:r>
        <w:t xml:space="preserve">from enrichment into culture. Results remain sensitive to its priors and grade coding, as the</w:t>
      </w:r>
      <w:r>
        <w:t xml:space="preserve"> </w:t>
      </w:r>
      <w:r>
        <w:t xml:space="preserve">reported structural sensitivity sweep demonstrates, and to unmeasured selection factors</w:t>
      </w:r>
      <w:r>
        <w:t xml:space="preserve"> </w:t>
      </w:r>
      <w:r>
        <w:t xml:space="preserve">such as severity, antibiotics, laboratory capacity, and clinician judgment.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Blood volume.</w:t>
      </w:r>
      <w:r>
        <w:t xml:space="preserve"> </w:t>
      </w:r>
      <w:r>
        <w:t xml:space="preserve">Community blood volume was assumed rather than observed. The 3–10 mL sensitivity</w:t>
      </w:r>
      <w:r>
        <w:t xml:space="preserve"> </w:t>
      </w:r>
      <w:r>
        <w:t xml:space="preserve">analysis quantifies this uncertainty but cannot replace outbreak-specific collection volumes.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Denominator-frame transport.</w:t>
      </w:r>
      <w:r>
        <w:t xml:space="preserve"> </w:t>
      </w:r>
      <w:r>
        <w:t xml:space="preserve">Several local PPV anchors use a suspected-case testing frame</w:t>
      </w:r>
      <w:r>
        <w:t xml:space="preserve"> </w:t>
      </w:r>
      <w:r>
        <w:t xml:space="preserve">that differs from the canonical renewal curve in population, time window, or total count. The</w:t>
      </w:r>
      <w:r>
        <w:t xml:space="preserve"> </w:t>
      </w:r>
      <w:r>
        <w:t xml:space="preserve">1,511–2,277 selection-prior range conditions on those frame choices and therefore does not</w:t>
      </w:r>
      <w:r>
        <w:t xml:space="preserve"> </w:t>
      </w:r>
      <w:r>
        <w:t xml:space="preserve">quantify this additional uncertainty. N’Cho is especially consequential (583 in the hospital</w:t>
      </w:r>
      <w:r>
        <w:t xml:space="preserve"> </w:t>
      </w:r>
      <w:r>
        <w:t xml:space="preserve">testing frame versus 2,744 cases in the canonical curve).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Conditional independence.</w:t>
      </w:r>
      <w:r>
        <w:t xml:space="preserve"> </w:t>
      </w:r>
      <w:r>
        <w:t xml:space="preserve">Shared blood- and bone-marrow-culture failure could cause the model</w:t>
      </w:r>
      <w:r>
        <w:t xml:space="preserve"> </w:t>
      </w:r>
      <w:r>
        <w:t xml:space="preserve">to overestimate sensitivity and underestimate PPV.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Historic data quality.</w:t>
      </w:r>
      <w:r>
        <w:t xml:space="preserve"> </w:t>
      </w:r>
      <w:r>
        <w:t xml:space="preserve">One blood volume was imputed, two studies combined multiple volumes,</w:t>
      </w:r>
      <w:r>
        <w:t xml:space="preserve"> </w:t>
      </w:r>
      <w:r>
        <w:t xml:space="preserve">and one both-negative cell was reconstructed from the reported total.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Definition heterogeneity.</w:t>
      </w:r>
      <w:r>
        <w:t xml:space="preserve"> </w:t>
      </w:r>
      <w:r>
        <w:t xml:space="preserve">Clinical definitions differed across studies. The present model</w:t>
      </w:r>
      <w:r>
        <w:t xml:space="preserve"> </w:t>
      </w:r>
      <w:r>
        <w:t xml:space="preserve">estimates setting-specific PPV but does not yet include definition stringency as a covariate.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Background structure.</w:t>
      </w:r>
      <w:r>
        <w:t xml:space="preserve"> </w:t>
      </w:r>
      <w:r>
        <w:t xml:space="preserve">The additive observation regime assumes a constant non-typhoid</w:t>
      </w:r>
      <w:r>
        <w:t xml:space="preserve"> </w:t>
      </w:r>
      <w:r>
        <w:t xml:space="preserve">background. Seasonal or outbreak-correlated alternative febrile illness would violate this</w:t>
      </w:r>
      <w:r>
        <w:t xml:space="preserve"> </w:t>
      </w:r>
      <w:r>
        <w:t xml:space="preserve">assumption.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Ratio versus absolute outcomes.</w:t>
      </w:r>
      <w:r>
        <w:t xml:space="preserve"> </w:t>
      </w:r>
      <w:r>
        <w:t xml:space="preserve">Under multiplicative scaling, PPV affects absolute burden but</w:t>
      </w:r>
      <w:r>
        <w:t xml:space="preserve"> </w:t>
      </w:r>
      <w:r>
        <w:t xml:space="preserve">cancels from percentage reductions and reconstructed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. Under the additive regime it also</w:t>
      </w:r>
      <w:r>
        <w:t xml:space="preserve"> </w:t>
      </w:r>
      <w:r>
        <w:t xml:space="preserve">changes epidemic shape and observed percentage reduction, making its structural assumptions more</w:t>
      </w:r>
      <w:r>
        <w:t xml:space="preserve"> </w:t>
      </w:r>
      <w:r>
        <w:t xml:space="preserve">consequential.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Source-fraction structure.</w:t>
      </w:r>
      <w:r>
        <w:t xml:space="preserve"> </w:t>
      </w:r>
      <w:r>
        <w:t xml:space="preserve">The source fraction is externally informed and represents an</w:t>
      </w:r>
      <w:r>
        <w:t xml:space="preserve"> </w:t>
      </w:r>
      <w:r>
        <w:t xml:space="preserve">allocation of true-typhoid incidence inside the renewal recursion, not an identified causal</w:t>
      </w:r>
      <w:r>
        <w:t xml:space="preserve"> </w:t>
      </w:r>
      <w:r>
        <w:t xml:space="preserve">decomposition. The paired historical weighted result is a structural comparator rather than an</w:t>
      </w:r>
      <w:r>
        <w:t xml:space="preserve"> </w:t>
      </w:r>
      <w:r>
        <w:t xml:space="preserve">uncertainty bound.</w:t>
      </w:r>
    </w:p>
    <w:bookmarkEnd w:id="45"/>
    <w:bookmarkStart w:id="46" w:name="s8.-reproducibility"/>
    <w:p>
      <w:pPr>
        <w:pStyle w:val="Heading1"/>
      </w:pPr>
      <w:r>
        <w:t xml:space="preserve">8. S8. Reproducibility</w:t>
      </w:r>
    </w:p>
    <w:p>
      <w:pPr>
        <w:pStyle w:val="FirstParagraph"/>
      </w:pPr>
      <w:r>
        <w:t xml:space="preserve">The final latent-class model is implemented in</w:t>
      </w:r>
      <w:r>
        <w:t xml:space="preserve"> </w:t>
      </w:r>
      <w:r>
        <w:rPr>
          <w:rStyle w:val="VerbatimChar"/>
        </w:rPr>
        <w:t xml:space="preserve">latent_class_ppv/stan/model_final.stan</w:t>
      </w:r>
      <w:r>
        <w:t xml:space="preserve"> </w:t>
      </w:r>
      <w:r>
        <w:t xml:space="preserve">and fitted by</w:t>
      </w:r>
      <w:r>
        <w:t xml:space="preserve"> </w:t>
      </w:r>
      <w:r>
        <w:rPr>
          <w:rStyle w:val="VerbatimChar"/>
        </w:rPr>
        <w:t xml:space="preserve">latent_class_ppv/run_final.R</w:t>
      </w:r>
      <w:r>
        <w:t xml:space="preserve">. The fit uses seed 2026 and writes posterior draws, parameter tables,</w:t>
      </w:r>
      <w:r>
        <w:t xml:space="preserve"> </w:t>
      </w:r>
      <w:r>
        <w:t xml:space="preserve">diagnostics, sensitivity tables, and figures under</w:t>
      </w:r>
      <w:r>
        <w:t xml:space="preserve"> </w:t>
      </w:r>
      <w:r>
        <w:rPr>
          <w:rStyle w:val="VerbatimChar"/>
        </w:rPr>
        <w:t xml:space="preserve">latent_class_ppv/outputs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latent_class_ppv/tables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latent_class_ppv/figures</w:t>
      </w:r>
      <w:r>
        <w:t xml:space="preserve">. The ORI propagation is implemented in</w:t>
      </w:r>
      <w:r>
        <w:t xml:space="preserve"> </w:t>
      </w:r>
      <w:r>
        <w:rPr>
          <w:rStyle w:val="VerbatimChar"/>
        </w:rPr>
        <w:t xml:space="preserve">renewal/R/ppv.R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renewal/R/renewal_core.R</w:t>
      </w:r>
      <w:r>
        <w:t xml:space="preserve">, configured in</w:t>
      </w:r>
      <w:r>
        <w:t xml:space="preserve"> </w:t>
      </w:r>
      <w:r>
        <w:rPr>
          <w:rStyle w:val="VerbatimChar"/>
        </w:rPr>
        <w:t xml:space="preserve">renewal/config.yml</w:t>
      </w:r>
      <w:r>
        <w:t xml:space="preserve">, and compared</w:t>
      </w:r>
      <w:r>
        <w:t xml:space="preserve"> </w:t>
      </w:r>
      <w:r>
        <w:t xml:space="preserve">with the historical weighted formulation by</w:t>
      </w:r>
      <w:r>
        <w:t xml:space="preserve"> </w:t>
      </w:r>
      <w:r>
        <w:rPr>
          <w:rStyle w:val="VerbatimChar"/>
        </w:rPr>
        <w:t xml:space="preserve">source_decomposition/run_source_decomposition.R</w:t>
      </w:r>
      <w:r>
        <w:t xml:space="preserve">.</w:t>
      </w:r>
    </w:p>
    <w:p>
      <w:pPr>
        <w:pStyle w:val="BodyText"/>
      </w:pPr>
      <w:r>
        <w:t xml:space="preserve">To reproduce the PPV fit and this supplement from the repository root:</w:t>
      </w:r>
    </w:p>
    <w:p>
      <w:pPr>
        <w:pStyle w:val="SourceCode"/>
      </w:pPr>
      <w:r>
        <w:rPr>
          <w:rStyle w:val="VerbatimChar"/>
        </w:rPr>
        <w:t xml:space="preserve">Rscript latent_class_ppv/run_final.R</w:t>
      </w:r>
      <w:r>
        <w:br/>
      </w:r>
      <w:r>
        <w:rPr>
          <w:rStyle w:val="VerbatimChar"/>
        </w:rPr>
        <w:t xml:space="preserve">Rscript renewal/run_analysis.R</w:t>
      </w:r>
      <w:r>
        <w:br/>
      </w:r>
      <w:r>
        <w:rPr>
          <w:rStyle w:val="VerbatimChar"/>
        </w:rPr>
        <w:t xml:space="preserve">Rscript source_decomposition/run_source_decomposition.R</w:t>
      </w:r>
      <w:r>
        <w:br/>
      </w:r>
      <w:r>
        <w:rPr>
          <w:rStyle w:val="VerbatimChar"/>
        </w:rPr>
        <w:t xml:space="preserve">Rscript revision/run_selection_sensitivity.R</w:t>
      </w:r>
      <w:r>
        <w:br/>
      </w:r>
      <w:r>
        <w:rPr>
          <w:rStyle w:val="VerbatimChar"/>
        </w:rPr>
        <w:t xml:space="preserve">quarto render revision/ppv_supplement.qmd --to html</w:t>
      </w:r>
      <w:r>
        <w:br/>
      </w:r>
      <w:r>
        <w:rPr>
          <w:rStyle w:val="VerbatimChar"/>
        </w:rPr>
        <w:t xml:space="preserve">quarto render revision/ppv_supplement.qmd --to docx --output ppv_supplement_selection_sensitivity.docx</w:t>
      </w:r>
      <w:r>
        <w:br/>
      </w:r>
      <w:r>
        <w:rPr>
          <w:rStyle w:val="VerbatimChar"/>
        </w:rPr>
        <w:t xml:space="preserve">Move-Item ppv_supplement_selection_sensitivity.docx revision/ppv_supplement_selection_sensitivity.docx -Force</w:t>
      </w:r>
    </w:p>
    <w:p>
      <w:pPr>
        <w:pStyle w:val="FirstParagraph"/>
      </w:pPr>
      <w:r>
        <w:t xml:space="preserve">The canonical DOCX deliverable is</w:t>
      </w:r>
      <w:r>
        <w:t xml:space="preserve"> </w:t>
      </w:r>
      <w:r>
        <w:rPr>
          <w:rStyle w:val="VerbatimChar"/>
        </w:rPr>
        <w:t xml:space="preserve">revision/ppv_supplement_selection_sensitivity.docx</w:t>
      </w:r>
      <w:r>
        <w:t xml:space="preserve">.</w:t>
      </w:r>
      <w:r>
        <w:t xml:space="preserve"> </w:t>
      </w:r>
      <w:r>
        <w:rPr>
          <w:rStyle w:val="VerbatimChar"/>
        </w:rPr>
        <w:t xml:space="preserve">revision/ppv_supplement.docx</w:t>
      </w:r>
      <w:r>
        <w:t xml:space="preserve"> </w:t>
      </w:r>
      <w:r>
        <w:t xml:space="preserve">is a superseded locked artifact and should not be distributed.</w:t>
      </w:r>
    </w:p>
    <w:bookmarkEnd w:id="46"/>
    <w:bookmarkStart w:id="47" w:name="references"/>
    <w:p>
      <w:pPr>
        <w:pStyle w:val="Heading1"/>
      </w:pPr>
      <w:r>
        <w:t xml:space="preserve">9. References</w:t>
      </w:r>
    </w:p>
    <w:p>
      <w:pPr>
        <w:pStyle w:val="FirstParagraph"/>
      </w:pPr>
      <w:r>
        <w:t xml:space="preserve">Antillón M, Saad NJ, Baker S, Pollard AJ, Pitzer VE. The relationship between blood sample volume</w:t>
      </w:r>
      <w:r>
        <w:t xml:space="preserve"> </w:t>
      </w:r>
      <w:r>
        <w:t xml:space="preserve">and diagnostic sensitivity of blood culture for typhoid and paratyphoid fever: a systematic review</w:t>
      </w:r>
      <w:r>
        <w:t xml:space="preserve"> </w:t>
      </w:r>
      <w:r>
        <w:t xml:space="preserve">and meta-analysis.</w:t>
      </w:r>
      <w:r>
        <w:t xml:space="preserve"> </w:t>
      </w:r>
      <w:r>
        <w:rPr>
          <w:i/>
          <w:iCs/>
        </w:rPr>
        <w:t xml:space="preserve">Journal of Infectious Diseases</w:t>
      </w:r>
      <w:r>
        <w:t xml:space="preserve">. 2018;218(Suppl 4):S255–S267.</w:t>
      </w:r>
    </w:p>
    <w:p>
      <w:pPr>
        <w:pStyle w:val="BodyText"/>
      </w:pPr>
      <w:r>
        <w:t xml:space="preserve">Arora P, Thorlund K, Brenner DR, Andrews JR. Comparative accuracy of typhoid diagnostic tools: a</w:t>
      </w:r>
      <w:r>
        <w:t xml:space="preserve"> </w:t>
      </w:r>
      <w:r>
        <w:t xml:space="preserve">Bayesian latent-class network analysis.</w:t>
      </w:r>
      <w:r>
        <w:t xml:space="preserve"> </w:t>
      </w:r>
      <w:r>
        <w:rPr>
          <w:i/>
          <w:iCs/>
        </w:rPr>
        <w:t xml:space="preserve">PLoS Neglected Tropical Diseases</w:t>
      </w:r>
      <w:r>
        <w:t xml:space="preserve">. 2019;13:e0007303.</w:t>
      </w:r>
    </w:p>
    <w:p>
      <w:pPr>
        <w:pStyle w:val="BodyText"/>
      </w:pPr>
      <w:r>
        <w:t xml:space="preserve">Dendukuri N, Joseph L. Bayesian approaches to modeling the conditional dependence between multiple</w:t>
      </w:r>
      <w:r>
        <w:t xml:space="preserve"> </w:t>
      </w:r>
      <w:r>
        <w:t xml:space="preserve">diagnostic tests.</w:t>
      </w:r>
      <w:r>
        <w:t xml:space="preserve"> </w:t>
      </w:r>
      <w:r>
        <w:rPr>
          <w:i/>
          <w:iCs/>
        </w:rPr>
        <w:t xml:space="preserve">Biometrics</w:t>
      </w:r>
      <w:r>
        <w:t xml:space="preserve">. 2001;57:158–167.</w:t>
      </w:r>
    </w:p>
    <w:p>
      <w:pPr>
        <w:pStyle w:val="BodyText"/>
      </w:pPr>
      <w:r>
        <w:t xml:space="preserve">Hui SL, Walter SD. Estimating the error rates of diagnostic tests.</w:t>
      </w:r>
      <w:r>
        <w:t xml:space="preserve"> </w:t>
      </w:r>
      <w:r>
        <w:rPr>
          <w:i/>
          <w:iCs/>
        </w:rPr>
        <w:t xml:space="preserve">Biometrics</w:t>
      </w:r>
      <w:r>
        <w:t xml:space="preserve">.</w:t>
      </w:r>
      <w:r>
        <w:t xml:space="preserve"> </w:t>
      </w:r>
      <w:r>
        <w:t xml:space="preserve">1980;36:167–171.</w:t>
      </w:r>
    </w:p>
    <w:p>
      <w:pPr>
        <w:pStyle w:val="BodyText"/>
      </w:pPr>
      <w:r>
        <w:t xml:space="preserve">Mogasale V, Ramani E, Mogasale VV, Park JY, Wierzba TF. What proportion of</w:t>
      </w:r>
      <w:r>
        <w:t xml:space="preserve"> </w:t>
      </w:r>
      <w:r>
        <w:rPr>
          <w:i/>
          <w:iCs/>
        </w:rPr>
        <w:t xml:space="preserve">Salmonella Typhi</w:t>
      </w:r>
      <w:r>
        <w:t xml:space="preserve"> </w:t>
      </w:r>
      <w:r>
        <w:t xml:space="preserve">cases</w:t>
      </w:r>
      <w:r>
        <w:t xml:space="preserve"> </w:t>
      </w:r>
      <w:r>
        <w:t xml:space="preserve">are detected by blood culture? A systematic literature review.</w:t>
      </w:r>
      <w:r>
        <w:t xml:space="preserve"> </w:t>
      </w:r>
      <w:r>
        <w:rPr>
          <w:i/>
          <w:iCs/>
        </w:rPr>
        <w:t xml:space="preserve">Annals of Clinical Microbiology and</w:t>
      </w:r>
      <w:r>
        <w:rPr>
          <w:i/>
          <w:iCs/>
        </w:rPr>
        <w:t xml:space="preserve"> </w:t>
      </w:r>
      <w:r>
        <w:rPr>
          <w:i/>
          <w:iCs/>
        </w:rPr>
        <w:t xml:space="preserve">Antimicrobials</w:t>
      </w:r>
      <w:r>
        <w:t xml:space="preserve">. 2016;15:32.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Methods and Results: Adjustment for the Positive Predictive Value of Suspected Typhoid Case Definitions</dc:title>
  <dc:creator/>
  <cp:keywords/>
  <dcterms:created xsi:type="dcterms:W3CDTF">2026-08-01T02:26:11Z</dcterms:created>
  <dcterms:modified xsi:type="dcterms:W3CDTF">2026-08-01T02:26:11Z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2026-07-31</vt:lpwstr>
  </property>
  <property fmtid="{D5CDD505-2E9C-101B-9397-08002B2CF9AE}" pid="4" name="engine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Supporting the outbreak-response immunization impact analysis</vt:lpwstr>
  </property>
  <property fmtid="{D5CDD505-2E9C-101B-9397-08002B2CF9AE}" pid="11" name="toc-title">
    <vt:lpwstr>Table of contents</vt:lpwstr>
  </property>
</Properties>
</file>