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Methods — Semi-mechanistic model of typhoid outbreak-response immunization</w:t>
      </w:r>
    </w:p>
    <w:bookmarkStart w:id="16" w:name="Xd489d8a207aa90caf7d8a6d47ee19dce90a206f"/>
    <w:p>
      <w:pPr>
        <w:pStyle w:val="Heading1"/>
      </w:pPr>
      <w:r>
        <w:t xml:space="preserve">Methods — Semi-mechanistic (generation-interval) model of typhoid outbreak response immunization</w:t>
      </w:r>
    </w:p>
    <w:p>
      <w:pPr>
        <w:pStyle w:val="FirstParagraph"/>
      </w:pPr>
      <w:r>
        <w:rPr>
          <w:i/>
          <w:iCs/>
        </w:rPr>
        <w:t xml:space="preserve">Draft Methods section for the revised manuscript. Equations are written in LaTeX and</w:t>
      </w:r>
      <w:r>
        <w:rPr>
          <w:i/>
          <w:iCs/>
        </w:rPr>
        <w:t xml:space="preserve"> </w:t>
      </w:r>
      <w:r>
        <w:rPr>
          <w:i/>
          <w:iCs/>
        </w:rPr>
        <w:t xml:space="preserve">render in Quarto/pandoc (→ Word, PDF, or HTML). Citation keys in square brackets are</w:t>
      </w:r>
      <w:r>
        <w:rPr>
          <w:i/>
          <w:iCs/>
        </w:rPr>
        <w:t xml:space="preserve"> </w:t>
      </w:r>
      <w:r>
        <w:rPr>
          <w:i/>
          <w:iCs/>
        </w:rPr>
        <w:t xml:space="preserve">keyed to the reference list at the end; two references flagged</w:t>
      </w:r>
      <w:r>
        <w:rPr>
          <w:i/>
          <w:iCs/>
        </w:rPr>
        <w:t xml:space="preserve"> </w:t>
      </w:r>
      <w:r>
        <w:rPr>
          <w:i/>
          <w:iCs/>
        </w:rPr>
        <w:t xml:space="preserve">“[verify]”</w:t>
      </w:r>
      <w:r>
        <w:rPr>
          <w:i/>
          <w:iCs/>
        </w:rPr>
        <w:t xml:space="preserve"> </w:t>
      </w:r>
      <w:r>
        <w:rPr>
          <w:i/>
          <w:iCs/>
        </w:rPr>
        <w:t xml:space="preserve">need their</w:t>
      </w:r>
      <w:r>
        <w:rPr>
          <w:i/>
          <w:iCs/>
        </w:rPr>
        <w:t xml:space="preserve"> </w:t>
      </w:r>
      <w:r>
        <w:rPr>
          <w:i/>
          <w:iCs/>
        </w:rPr>
        <w:t xml:space="preserve">author lists confirmed against the source.</w:t>
      </w:r>
    </w:p>
    <w:p>
      <w:r>
        <w:pict>
          <v:rect style="width:0;height:1.5pt" o:hralign="center" o:hrstd="t" o:hr="t"/>
        </w:pict>
      </w:r>
    </w:p>
    <w:bookmarkStart w:id="9" w:name="choice-of-model-structure"/>
    <w:p>
      <w:pPr>
        <w:pStyle w:val="Heading2"/>
      </w:pPr>
      <w:r>
        <w:t xml:space="preserve">1. Choice of model structure</w:t>
      </w:r>
    </w:p>
    <w:p>
      <w:pPr>
        <w:pStyle w:val="FirstParagraph"/>
      </w:pPr>
      <w:r>
        <w:t xml:space="preserve">The impact of outbreak response immunization (ORI) can be evaluated with models spanning a</w:t>
      </w:r>
      <w:r>
        <w:t xml:space="preserve"> </w:t>
      </w:r>
      <w:r>
        <w:t xml:space="preserve">spectrum of mechanistic detail. At one extreme, a</w:t>
      </w:r>
      <w:r>
        <w:t xml:space="preserve"> </w:t>
      </w:r>
      <w:r>
        <w:rPr>
          <w:b/>
          <w:bCs/>
        </w:rPr>
        <w:t xml:space="preserve">static model</w:t>
      </w:r>
      <w:r>
        <w:t xml:space="preserve"> </w:t>
      </w:r>
      <w:r>
        <w:t xml:space="preserve">(our Equation 2 [Halloran</w:t>
      </w:r>
      <w:r>
        <w:t xml:space="preserve"> </w:t>
      </w:r>
      <w:r>
        <w:t xml:space="preserve">1991]) rescales the observed incidence curve by a fixed proportion after the vaccine takes</w:t>
      </w:r>
      <w:r>
        <w:t xml:space="preserve"> </w:t>
      </w:r>
      <w:r>
        <w:t xml:space="preserve">effect; it makes no representation of transmission. At the other extreme, a</w:t>
      </w:r>
      <w:r>
        <w:t xml:space="preserve"> </w:t>
      </w:r>
      <w:r>
        <w:rPr>
          <w:b/>
          <w:bCs/>
        </w:rPr>
        <w:t xml:space="preserve">fully mechanistic</w:t>
      </w:r>
      <w:r>
        <w:rPr>
          <w:b/>
          <w:bCs/>
        </w:rPr>
        <w:t xml:space="preserve"> </w:t>
      </w:r>
      <w:r>
        <w:rPr>
          <w:b/>
          <w:bCs/>
        </w:rPr>
        <w:t xml:space="preserve">compartmental model</w:t>
      </w:r>
      <w:r>
        <w:t xml:space="preserve"> </w:t>
      </w:r>
      <w:r>
        <w:t xml:space="preserve">(e.g., a susceptible–exposed–infectious–carrier–recovered structure with</w:t>
      </w:r>
      <w:r>
        <w:t xml:space="preserve"> </w:t>
      </w:r>
      <w:r>
        <w:t xml:space="preserve">an environmental reservoir [Pitzer 2014; Watson 2015]) represents the transmission process</w:t>
      </w:r>
      <w:r>
        <w:t xml:space="preserve"> </w:t>
      </w:r>
      <w:r>
        <w:t xml:space="preserve">explicitly. Between these lies the</w:t>
      </w:r>
      <w:r>
        <w:t xml:space="preserve"> </w:t>
      </w:r>
      <w:r>
        <w:rPr>
          <w:b/>
          <w:bCs/>
        </w:rPr>
        <w:t xml:space="preserve">renewal-equation (generation-interval) framework</w:t>
      </w:r>
      <w:r>
        <w:t xml:space="preserve"> </w:t>
      </w:r>
      <w:r>
        <w:t xml:space="preserve">[Wallinga 2004; Cori 2013; Champredon 2018], which represents transmission through a single</w:t>
      </w:r>
      <w:r>
        <w:t xml:space="preserve"> </w:t>
      </w:r>
      <w:r>
        <w:t xml:space="preserve">time-varying reproduction number and the generation-interval distribution, without committing</w:t>
      </w:r>
      <w:r>
        <w:t xml:space="preserve"> </w:t>
      </w:r>
      <w:r>
        <w:t xml:space="preserve">to a specific compartmental mechanism.</w:t>
      </w:r>
    </w:p>
    <w:p>
      <w:pPr>
        <w:pStyle w:val="BodyText"/>
      </w:pPr>
      <w:r>
        <w:t xml:space="preserve">We adopt the renewal framework as the dynamic complement to our static primary analysis, for</w:t>
      </w:r>
      <w:r>
        <w:t xml:space="preserve"> </w:t>
      </w:r>
      <w:r>
        <w:t xml:space="preserve">four reasons specific to the data and the pathogen.</w:t>
      </w:r>
    </w:p>
    <w:p>
      <w:pPr>
        <w:pStyle w:val="BodyText"/>
      </w:pPr>
      <w:r>
        <w:rPr>
          <w:b/>
          <w:bCs/>
        </w:rPr>
        <w:t xml:space="preserve">(i) A single outbreak does not identify a mechanistic model.</w:t>
      </w:r>
      <w:r>
        <w:t xml:space="preserve"> </w:t>
      </w:r>
      <w:r>
        <w:t xml:space="preserve">Each outbreak trajectory</w:t>
      </w:r>
      <w:r>
        <w:t xml:space="preserve"> </w:t>
      </w:r>
      <w:r>
        <w:t xml:space="preserve">carries roughly four pieces of information — the initial growth rate, the timing and height of</w:t>
      </w:r>
      <w:r>
        <w:t xml:space="preserve"> </w:t>
      </w:r>
      <w:r>
        <w:t xml:space="preserve">the peak, and the rate of decline. A mechanistic typhoid model of the type required to represent</w:t>
      </w:r>
      <w:r>
        <w:t xml:space="preserve"> </w:t>
      </w:r>
      <w:r>
        <w:t xml:space="preserve">this disease faithfully (direct and environmental transmission, a chronic-carrier reservoir, and</w:t>
      </w:r>
      <w:r>
        <w:t xml:space="preserve"> </w:t>
      </w:r>
      <w:r>
        <w:t xml:space="preserve">age structure) contains on the order of ten to twenty parameters, together with unobserved</w:t>
      </w:r>
      <w:r>
        <w:t xml:space="preserve"> </w:t>
      </w:r>
      <w:r>
        <w:t xml:space="preserve">initial conditions. Fitting such a model to one outbreak requires fixing almost all parameters</w:t>
      </w:r>
      <w:r>
        <w:t xml:space="preserve"> </w:t>
      </w:r>
      <w:r>
        <w:t xml:space="preserve">from external literature and estimating only one or two; the resulting</w:t>
      </w:r>
      <w:r>
        <w:t xml:space="preserve"> </w:t>
      </w:r>
      <w:r>
        <w:t xml:space="preserve">“fit”</w:t>
      </w:r>
      <w:r>
        <w:t xml:space="preserve"> </w:t>
      </w:r>
      <w:r>
        <w:t xml:space="preserve">is then largely a</w:t>
      </w:r>
      <w:r>
        <w:t xml:space="preserve"> </w:t>
      </w:r>
      <w:r>
        <w:t xml:space="preserve">restatement of the priors rather than an inference from the data. The renewal equation extracts</w:t>
      </w:r>
      <w:r>
        <w:t xml:space="preserve"> </w:t>
      </w:r>
      <w:r>
        <w:t xml:space="preserve">the same growth-and-decline information non-parametrically, through the reconstructed</w:t>
      </w:r>
      <w:r>
        <w:t xml:space="preserve"> </w:t>
      </w:r>
      <w:r>
        <w:t xml:space="preserve">reproduction number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, and requires only the generation-interval distribution as a</w:t>
      </w:r>
      <w:r>
        <w:t xml:space="preserve"> </w:t>
      </w:r>
      <w:r>
        <w:t xml:space="preserve">transmission assumption.</w:t>
      </w:r>
    </w:p>
    <w:p>
      <w:pPr>
        <w:pStyle w:val="BodyText"/>
      </w:pPr>
      <w:r>
        <w:rPr>
          <w:b/>
          <w:bCs/>
        </w:rPr>
        <w:t xml:space="preserve">(ii) The classic typhoid non-identifiability is not resolved by adding mechanism.</w:t>
      </w:r>
      <w:r>
        <w:t xml:space="preserve"> </w:t>
      </w:r>
      <w:r>
        <w:t xml:space="preserve">From</w:t>
      </w:r>
      <w:r>
        <w:t xml:space="preserve"> </w:t>
      </w:r>
      <w:r>
        <w:t xml:space="preserve">incidence data alone, the reporting fraction, the initial susceptible fraction, and the</w:t>
      </w:r>
      <w:r>
        <w:t xml:space="preserve"> </w:t>
      </w:r>
      <w:r>
        <w:t xml:space="preserve">transmission rate are jointly non-identifiable: they trade off to produce identical epidemic</w:t>
      </w:r>
      <w:r>
        <w:t xml:space="preserve"> </w:t>
      </w:r>
      <w:r>
        <w:t xml:space="preserve">curves [Watson 2015]. A mechanistic model does not resolve this confounding; it relocates it into</w:t>
      </w:r>
      <w:r>
        <w:t xml:space="preserve"> </w:t>
      </w:r>
      <w:r>
        <w:t xml:space="preserve">the prior distributions. The renewal approach sidesteps it: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absorbs the product of the</w:t>
      </w:r>
      <w:r>
        <w:t xml:space="preserve"> </w:t>
      </w:r>
      <w:r>
        <w:t xml:space="preserve">transmission rate and the susceptible fraction, and — because the proportional impact measures</w:t>
      </w:r>
      <w:r>
        <w:t xml:space="preserve"> </w:t>
      </w:r>
      <w:r>
        <w:t xml:space="preserve">are invariant to a time-constant reporting fraction (Section 5) — the percent-case-reduction</w:t>
      </w:r>
      <w:r>
        <w:t xml:space="preserve"> </w:t>
      </w:r>
      <w:r>
        <w:t xml:space="preserve">estimand does not require the reporting fraction to be known.</w:t>
      </w:r>
    </w:p>
    <w:p>
      <w:pPr>
        <w:pStyle w:val="BodyText"/>
      </w:pPr>
      <w:r>
        <w:rPr>
          <w:b/>
          <w:bCs/>
        </w:rPr>
        <w:t xml:space="preserve">(iii) An outbreak is the wrong regime for an endemic-equilibrium model.</w:t>
      </w:r>
      <w:r>
        <w:t xml:space="preserve"> </w:t>
      </w:r>
      <w:r>
        <w:t xml:space="preserve">Published mechanistic</w:t>
      </w:r>
      <w:r>
        <w:t xml:space="preserve"> </w:t>
      </w:r>
      <w:r>
        <w:t xml:space="preserve">typhoid models are calibrated to endemic, multi-year, age-stratified incidence with steady-state</w:t>
      </w:r>
      <w:r>
        <w:t xml:space="preserve"> </w:t>
      </w:r>
      <w:r>
        <w:t xml:space="preserve">carrier and environmental reservoirs [Pitzer 2014; Phillips 2020]. An outbreak — frequently a</w:t>
      </w:r>
      <w:r>
        <w:t xml:space="preserve"> </w:t>
      </w:r>
      <w:r>
        <w:t xml:space="preserve">transient, point-source waterborne event with an attack rate of approximately 1% (Results) — is</w:t>
      </w:r>
      <w:r>
        <w:t xml:space="preserve"> </w:t>
      </w:r>
      <w:r>
        <w:t xml:space="preserve">precisely the regime in which the endemic-equilibrium structure is least constrained by the data</w:t>
      </w:r>
      <w:r>
        <w:t xml:space="preserve"> </w:t>
      </w:r>
      <w:r>
        <w:t xml:space="preserve">and most prone to misspecification. The low attack rate is informative: it implies that</w:t>
      </w:r>
      <w:r>
        <w:t xml:space="preserve"> </w:t>
      </w:r>
      <w:r>
        <w:t xml:space="preserve">susceptible depletion over the outbreak is negligible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≈</m:t>
        </m:r>
        <m:r>
          <m:rPr>
            <m:nor/>
            <m:sty m:val="p"/>
          </m:rPr>
          <m:t>const</m:t>
        </m:r>
      </m:oMath>
      <w:r>
        <w:t xml:space="preserve">), so the</w:t>
      </w:r>
      <w:r>
        <w:t xml:space="preserve"> </w:t>
      </w:r>
      <w:r>
        <w:t xml:space="preserve">observed decline in transmission reflects the public-health response (chlorination, WASH, source</w:t>
      </w:r>
      <w:r>
        <w:t xml:space="preserve"> </w:t>
      </w:r>
      <w:r>
        <w:t xml:space="preserve">remediation) rather than depletion of susceptibles. This is the regime in which the principal</w:t>
      </w:r>
      <w:r>
        <w:t xml:space="preserve"> </w:t>
      </w:r>
      <w:r>
        <w:t xml:space="preserve">added value of a compartmental model — its nonlinear depletion dynamics — is smallest, and in</w:t>
      </w:r>
      <w:r>
        <w:t xml:space="preserve"> </w:t>
      </w:r>
      <w:r>
        <w:t xml:space="preserve">which the renewal equation is most accurate.</w:t>
      </w:r>
    </w:p>
    <w:p>
      <w:pPr>
        <w:pStyle w:val="BodyText"/>
      </w:pPr>
      <w:r>
        <w:rPr>
          <w:b/>
          <w:bCs/>
        </w:rPr>
        <w:t xml:space="preserve">(iv) The renewal equation is the mechanistic model, reduced.</w:t>
      </w:r>
      <w:r>
        <w:t xml:space="preserve"> </w:t>
      </w:r>
      <w:r>
        <w:t xml:space="preserve">This is the central point.</w:t>
      </w:r>
      <w:r>
        <w:t xml:space="preserve"> </w:t>
      </w:r>
      <w:r>
        <w:t xml:space="preserve">Champredon, Dushoff and Earn [Champredon 2018] proved that the renewal equation produces</w:t>
      </w:r>
      <w:r>
        <w:t xml:space="preserve"> </w:t>
      </w:r>
      <w:r>
        <w:rPr>
          <w:b/>
          <w:bCs/>
        </w:rPr>
        <w:t xml:space="preserve">identical dynamics</w:t>
      </w:r>
      <w:r>
        <w:t xml:space="preserve"> </w:t>
      </w:r>
      <w:r>
        <w:t xml:space="preserve">to an Erlang-distributed SEIR (and SIR) compartmental model when the</w:t>
      </w:r>
      <w:r>
        <w:t xml:space="preserve"> </w:t>
      </w:r>
      <w:r>
        <w:t xml:space="preserve">generation-interval distribution used in the renewal equation is the intrinsic generation</w:t>
      </w:r>
      <w:r>
        <w:t xml:space="preserve"> </w:t>
      </w:r>
      <w:r>
        <w:t xml:space="preserve">interval implied by the model — namely, the convolution of the latent-period and</w:t>
      </w:r>
      <w:r>
        <w:t xml:space="preserve"> </w:t>
      </w:r>
      <w:r>
        <w:t xml:space="preserve">infectious-period distributions [Svensson 2007; Champredon 2015]. The renewal framework is</w:t>
      </w:r>
      <w:r>
        <w:t xml:space="preserve"> </w:t>
      </w:r>
      <w:r>
        <w:t xml:space="preserve">therefore not an alternative to mechanistic modeling but its formal reduction in the regime our</w:t>
      </w:r>
      <w:r>
        <w:t xml:space="preserve"> </w:t>
      </w:r>
      <w:r>
        <w:t xml:space="preserve">data occupy: the compartmental structure that one outbreak cannot identify is integrated out,</w:t>
      </w:r>
      <w:r>
        <w:t xml:space="preserve"> </w:t>
      </w:r>
      <w:r>
        <w:t xml:space="preserve">while the transmission dynamics that the data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inform are retained in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. Choosing the</w:t>
      </w:r>
      <w:r>
        <w:t xml:space="preserve"> </w:t>
      </w:r>
      <w:r>
        <w:t xml:space="preserve">renewal model is thus a statement about the information content of the data, not a concession of</w:t>
      </w:r>
      <w:r>
        <w:t xml:space="preserve"> </w:t>
      </w:r>
      <w:r>
        <w:t xml:space="preserve">rigor — and for the present comparative, multi-outbreak analysis it places the model at the</w:t>
      </w:r>
      <w:r>
        <w:t xml:space="preserve"> </w:t>
      </w:r>
      <w:r>
        <w:t xml:space="preserve">appropriate level of complexity.</w:t>
      </w:r>
    </w:p>
    <w:p>
      <w:pPr>
        <w:pStyle w:val="BodyText"/>
      </w:pPr>
      <w:r>
        <w:t xml:space="preserve">Applying nineteen separate mechanistic models would, in addition, require nineteen sets of</w:t>
      </w:r>
      <w:r>
        <w:t xml:space="preserve"> </w:t>
      </w:r>
      <w:r>
        <w:t xml:space="preserve">largely unidentifiable parameter choices, undermining the comparability that motivates the study.</w:t>
      </w:r>
      <w:r>
        <w:t xml:space="preserve"> </w:t>
      </w:r>
      <w:r>
        <w:t xml:space="preserve">The renewal procedure is identical across outbreaks, with all between-outbreak heterogeneity</w:t>
      </w:r>
      <w:r>
        <w:t xml:space="preserve"> </w:t>
      </w:r>
      <w:r>
        <w:t xml:space="preserve">captured transparently by the reconstructed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trajectories.</w:t>
      </w:r>
    </w:p>
    <w:p>
      <w:pPr>
        <w:pStyle w:val="BodyText"/>
      </w:pPr>
      <w:r>
        <w:t xml:space="preserve">A consequence of the resolution analysis (Supplementary Methods) is that the renewal model is</w:t>
      </w:r>
      <w:r>
        <w:t xml:space="preserve"> </w:t>
      </w:r>
      <w:r>
        <w:t xml:space="preserve">applied only to outbreaks whose reporting interval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short relative to the generation</w:t>
      </w:r>
      <w:r>
        <w:t xml:space="preserve"> </w:t>
      </w:r>
      <w:r>
        <w:t xml:space="preserve">interval</w:t>
      </w:r>
      <w:r>
        <w:t xml:space="preserve"> </w:t>
      </w:r>
      <m:oMath>
        <m:sSub>
          <m:e>
            <m:r>
              <m:t>μ</m:t>
            </m:r>
          </m:e>
          <m:sub>
            <m:r>
              <m:t>g</m:t>
            </m:r>
          </m:sub>
        </m:sSub>
      </m:oMath>
      <w:r>
        <w:t xml:space="preserve">. The instantaneous reproduction number is identifiable from incidence only when</w:t>
      </w:r>
      <w:r>
        <w:t xml:space="preserve"> </w:t>
      </w:r>
      <w:r>
        <w:t xml:space="preserve">the generation interval spans several observation steps;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≳</m:t>
        </m:r>
        <m:sSub>
          <m:e>
            <m:r>
              <m:t>μ</m:t>
            </m:r>
          </m:e>
          <m:sub>
            <m:r>
              <m:t>g</m:t>
            </m:r>
          </m:sub>
        </m:sSub>
      </m:oMath>
      <w:r>
        <w:t xml:space="preserve">, successive</w:t>
      </w:r>
      <w:r>
        <w:t xml:space="preserve"> </w:t>
      </w:r>
      <w:r>
        <w:t xml:space="preserve">transmission generations collapse into a single reporting interval and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degenerates to a</w:t>
      </w:r>
      <w:r>
        <w:t xml:space="preserve"> </w:t>
      </w:r>
      <w:r>
        <w:t xml:space="preserve">ratio of consecutive counts that conflates generations. With a typhoid generation interval of</w:t>
      </w:r>
      <w:r>
        <w:t xml:space="preserve"> </w:t>
      </w:r>
      <w:r>
        <w:t xml:space="preserve">about two weeks (Section 4), this criterion (</w:t>
      </w:r>
      <m:oMath>
        <m:sSub>
          <m:e>
            <m:r>
              <m:t>μ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≳</m:t>
        </m:r>
        <m:r>
          <m:t>2</m:t>
        </m:r>
      </m:oMath>
      <w:r>
        <w:t xml:space="preserve">) is met by the outbreaks</w:t>
      </w:r>
      <w:r>
        <w:t xml:space="preserve"> </w:t>
      </w:r>
      <w:r>
        <w:t xml:space="preserve">reporting daily and weekly incidence (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) and fails for those reporting monthly incidence;</w:t>
      </w:r>
      <w:r>
        <w:t xml:space="preserve"> </w:t>
      </w:r>
      <w:r>
        <w:t xml:space="preserve">the renewal analysis is therefore restricted to the former, while the static analysis, which is</w:t>
      </w:r>
      <w:r>
        <w:t xml:space="preserve"> </w:t>
      </w:r>
      <w:r>
        <w:t xml:space="preserve">robust to reporting resolution, is applied to all outbreaks.</w:t>
      </w:r>
    </w:p>
    <w:p>
      <w:r>
        <w:pict>
          <v:rect style="width:0;height:1.5pt" o:hralign="center" o:hrstd="t" o:hr="t"/>
        </w:pict>
      </w:r>
    </w:p>
    <w:bookmarkEnd w:id="9"/>
    <w:bookmarkStart w:id="10" w:name="the-two-level-additive-renewal-model"/>
    <w:p>
      <w:pPr>
        <w:pStyle w:val="Heading2"/>
      </w:pPr>
      <w:r>
        <w:t xml:space="preserve">2. The two-level additive renewal model</w:t>
      </w:r>
    </w:p>
    <w:p>
      <w:pPr>
        <w:pStyle w:val="FirstParagraph"/>
      </w:pPr>
      <w:r>
        <w:t xml:space="preserve">We use additive models at two distinct levels. At the</w:t>
      </w:r>
      <w:r>
        <w:t xml:space="preserve"> </w:t>
      </w:r>
      <w:r>
        <w:rPr>
          <w:b/>
          <w:bCs/>
        </w:rPr>
        <w:t xml:space="preserve">observation level</w:t>
      </w:r>
      <w:r>
        <w:t xml:space="preserve">, reported suspected</w:t>
      </w:r>
      <w:r>
        <w:t xml:space="preserve"> </w:t>
      </w:r>
      <w:r>
        <w:t xml:space="preserve">febrile cases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the sum of true symptomatic typhoid cases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other febrile cases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positive predictive value (PPV) of the suspected-case definition. The primary</w:t>
      </w:r>
      <w:r>
        <w:t xml:space="preserve"> </w:t>
      </w:r>
      <w:r>
        <w:t xml:space="preserve">allocation estimates a non-negative approximately flat other-febrile background, truncates it</w:t>
      </w:r>
      <w:r>
        <w:t xml:space="preserve"> </w:t>
      </w:r>
      <w:r>
        <w:t xml:space="preserve">where necessary, and renormalizes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so its cumulative fraction is exactly</w:t>
      </w:r>
      <w:r>
        <w:t xml:space="preserve"> </w:t>
      </w:r>
      <m:oMath>
        <m:r>
          <m:t>π</m:t>
        </m:r>
      </m:oMath>
      <w:r>
        <w:t xml:space="preserve">. The resulting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held fixed under vaccination. Thus vaccination changes true typhoid, not unrelated</w:t>
      </w:r>
      <w:r>
        <w:t xml:space="preserve"> </w:t>
      </w:r>
      <w:r>
        <w:t xml:space="preserve">febrile illness; the percentage reduction in suspected cases is consequently diluted when PPV is</w:t>
      </w:r>
      <w:r>
        <w:t xml:space="preserve"> </w:t>
      </w:r>
      <w:r>
        <w:t xml:space="preserve">low.</w:t>
      </w:r>
    </w:p>
    <w:p>
      <w:pPr>
        <w:pStyle w:val="BodyText"/>
      </w:pPr>
      <w:r>
        <w:t xml:space="preserve">At the</w:t>
      </w:r>
      <w:r>
        <w:t xml:space="preserve"> </w:t>
      </w:r>
      <w:r>
        <w:rPr>
          <w:b/>
          <w:bCs/>
        </w:rPr>
        <w:t xml:space="preserve">transmission level</w:t>
      </w:r>
      <w:r>
        <w:t xml:space="preserve">, true typhoid incidence is itself the additive sum of exogenous</w:t>
      </w:r>
      <w:r>
        <w:t xml:space="preserve"> </w:t>
      </w:r>
      <w:r>
        <w:t xml:space="preserve">background or common-source incidence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propagated incidence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P</m:t>
              </m:r>
            </m:sup>
          </m:sSubSup>
          <m:sSub>
            <m:e>
              <m:r>
                <m:rPr>
                  <m:sty m:val="p"/>
                </m:rP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nary>
          <m:sSub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components are true typhoid and therefore both contribute to later infectiousness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. The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s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s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 </w:t>
      </w:r>
      <w:r>
        <w:t xml:space="preserve">is the discretized generation-interval probability</w:t>
      </w:r>
      <w:r>
        <w:t xml:space="preserve"> </w:t>
      </w:r>
      <w:r>
        <w:t xml:space="preserve">mass function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). The structural source fraction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used to allocate</w:t>
      </w:r>
      <w:r>
        <w:t xml:space="preserve"> </w:t>
      </w:r>
      <w:r>
        <w:t xml:space="preserve">renewal-identifiable baseline incidence within this additive recursion,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θ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, with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. When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incidence is necessarily treated as an</w:t>
      </w:r>
      <w:r>
        <w:t xml:space="preserve"> </w:t>
      </w:r>
      <w:r>
        <w:t xml:space="preserve">exogenous seed (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This seed rule preserves baseline mass and avoids discarding</w:t>
      </w:r>
      <w:r>
        <w:t xml:space="preserve"> </w:t>
      </w:r>
      <w:r>
        <w:t xml:space="preserve">the first generation.</w:t>
      </w:r>
    </w:p>
    <w:p>
      <w:pPr>
        <w:pStyle w:val="BodyText"/>
      </w:pPr>
      <w:r>
        <w:rPr>
          <w:b/>
          <w:bCs/>
        </w:rPr>
        <w:t xml:space="preserve">Generation-interval discretization.</w:t>
      </w:r>
      <w:r>
        <w:t xml:space="preserve"> </w:t>
      </w:r>
      <w:r>
        <w:t xml:space="preserve">The continuous generation-interval density is taken to be</w:t>
      </w:r>
      <w:r>
        <w:t xml:space="preserve"> </w:t>
      </w:r>
      <w:r>
        <w:t xml:space="preserve">gamma-distributed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(Section 4), with</w:t>
      </w:r>
      <w:r>
        <w:t xml:space="preserve"> </w:t>
      </w:r>
      <w:r>
        <w:t xml:space="preserve">cumulative distribution</w:t>
      </w:r>
      <w:r>
        <w:t xml:space="preserve"> </w:t>
      </w:r>
      <m:oMath>
        <m:r>
          <m:t>G</m:t>
        </m:r>
      </m:oMath>
      <w:r>
        <w:t xml:space="preserve">. It is discretized to the reporting interval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Δ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(no transmission in zero elapsed time). For the production analysis we use the</w:t>
      </w:r>
      <w:r>
        <w:t xml:space="preserve"> </w:t>
      </w:r>
      <w:r>
        <w:t xml:space="preserve">refined discretization of Cori et al. [Cori 2013], which accounts for infection times being</w:t>
      </w:r>
      <w:r>
        <w:t xml:space="preserve"> </w:t>
      </w:r>
      <w:r>
        <w:t xml:space="preserve">distributed within, rather than at the edge of, each interval; for a two-week mean generation</w:t>
      </w:r>
      <w:r>
        <w:t xml:space="preserve"> </w:t>
      </w:r>
      <w:r>
        <w:t xml:space="preserve">interval the choice of discretization has negligible effect on the results.</w:t>
      </w:r>
    </w:p>
    <w:p>
      <w:pPr>
        <w:pStyle w:val="BodyText"/>
      </w:pPr>
      <w:r>
        <w:t xml:space="preserve">This construction is self-consistent: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at baseline. EpiEstim estimates of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retained as a diagnostic cross-check, but the intervention recursion uses the exact</w:t>
      </w:r>
      <w:r>
        <w:t xml:space="preserve"> </w:t>
      </w:r>
      <w:r>
        <w:t xml:space="preserve">baseline reconstruction above. Uncertainty in PPV, vaccine efficacy, coverage, campaign timing,</w:t>
      </w:r>
      <w:r>
        <w:t xml:space="preserve"> </w:t>
      </w:r>
      <w:r>
        <w:t xml:space="preserve">generation interval,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propagated with paired Sobol draws.</w:t>
      </w:r>
    </w:p>
    <w:p>
      <w:r>
        <w:pict>
          <v:rect style="width:0;height:1.5pt" o:hralign="center" o:hrstd="t" o:hr="t"/>
        </w:pict>
      </w:r>
    </w:p>
    <w:bookmarkEnd w:id="10"/>
    <w:bookmarkStart w:id="11" w:name="X38d01254bdf55b2c73cf4b7462447eb75dbb7e8"/>
    <w:p>
      <w:pPr>
        <w:pStyle w:val="Heading2"/>
      </w:pPr>
      <w:r>
        <w:t xml:space="preserve">3. How the vaccine reduces the two typhoid components</w:t>
      </w:r>
    </w:p>
    <w:p>
      <w:pPr>
        <w:pStyle w:val="FirstParagraph"/>
      </w:pPr>
      <w:r>
        <w:t xml:space="preserve">The ORI campaign is delivered at time</w:t>
      </w:r>
      <w:r>
        <w:t xml:space="preserve"> </w:t>
      </w:r>
      <m:oMath>
        <m:r>
          <m:t>τ</m:t>
        </m:r>
      </m:oMath>
      <w:r>
        <w:t xml:space="preserve">, and protection develops after the rollout and</w:t>
      </w:r>
      <w:r>
        <w:t xml:space="preserve"> </w:t>
      </w:r>
      <w:r>
        <w:t xml:space="preserve">immunity-onset delay. Let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 the protected fraction of the target population by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the final coverage, and</w:t>
      </w:r>
      <w:r>
        <w:t xml:space="preserve"> </w:t>
      </w:r>
      <m:oMath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vaccine efficacy against symptomatic typhoid. The</w:t>
      </w:r>
      <w:r>
        <w:t xml:space="preserve"> </w:t>
      </w:r>
      <w:r>
        <w:t xml:space="preserve">remaining susceptibility multiplier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κ</m:t>
          </m:r>
          <m:sSub>
            <m:e>
              <m: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Vaccination acts on both additive typhoid components because both represent vaccine-preventable</w:t>
      </w:r>
      <w:r>
        <w:t xml:space="preserve"> </w:t>
      </w:r>
      <w:r>
        <w:t xml:space="preserve">typhoid: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sSubSup>
            <m:e>
              <m:r>
                <m:t>R</m:t>
              </m:r>
            </m:e>
            <m:sub>
              <m:r>
                <m:t>t</m:t>
              </m:r>
            </m:sub>
            <m:sup>
              <m:r>
                <m:t>P</m:t>
              </m:r>
            </m:sup>
          </m:sSub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s</m:t>
                  </m:r>
                </m:sub>
              </m:sSub>
            </m:e>
          </m:nary>
          <m:sSubSup>
            <m:e>
              <m:r>
                <m:t>T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s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</w:t>
      </w:r>
      <w:r>
        <w:t xml:space="preserve"> </w:t>
      </w:r>
      <m:oMath>
        <m:sSub>
          <m:e>
            <m:r>
              <m:t>q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directly protects vaccinated people against background/common-source exposures</w:t>
      </w:r>
      <w:r>
        <w:t xml:space="preserve"> </w:t>
      </w:r>
      <w:r>
        <w:t xml:space="preserve">and against propagated exposures. In addition, each propagated case averted reduces infectiousness</w:t>
      </w:r>
      <w:r>
        <w:t xml:space="preserve"> </w:t>
      </w:r>
      <w:r>
        <w:t xml:space="preserve">in later intervals, generating indirect protection endogenously. No fixed indirect-effect</w:t>
      </w:r>
      <w:r>
        <w:t xml:space="preserve"> </w:t>
      </w:r>
      <w:r>
        <w:t xml:space="preserve">parameter is imposed. The counterfactual suspected-case series is</w:t>
      </w:r>
      <w:r>
        <w:t xml:space="preserve"> </w:t>
      </w:r>
      <m:oMath>
        <m:sSubSup>
          <m:e>
            <m:r>
              <m:t>S</m:t>
            </m:r>
          </m:e>
          <m:sub>
            <m:r>
              <m:t>t</m:t>
            </m:r>
          </m:sub>
          <m:sup>
            <m:r>
              <m:t>v</m:t>
            </m:r>
          </m:sup>
        </m:sSubSup>
        <m:r>
          <m:rPr>
            <m:sty m:val="p"/>
          </m:rPr>
          <m:t>=</m:t>
        </m:r>
        <m:sSubSup>
          <m:e>
            <m:r>
              <m:t>T</m:t>
            </m:r>
          </m:e>
          <m:sub>
            <m:r>
              <m:t>t</m:t>
            </m:r>
          </m:sub>
          <m:sup>
            <m:r>
              <m:t>v</m:t>
            </m:r>
          </m:sup>
        </m:sSubSup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; other febrile illness remains unchanged.</w:t>
      </w:r>
    </w:p>
    <w:p>
      <w:pPr>
        <w:pStyle w:val="BodyText"/>
      </w:pPr>
      <w:r>
        <w:rPr>
          <w:b/>
          <w:bCs/>
        </w:rPr>
        <w:t xml:space="preserve">Impact measures.</w:t>
      </w:r>
      <w:r>
        <w:t xml:space="preserve"> </w:t>
      </w:r>
      <w:r>
        <w:t xml:space="preserve">Cumulative cases averted and the percent case reduction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t>v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true-typhoid cases averted feed the disability-adjusted-life-year and cost calculations.</w:t>
      </w:r>
    </w:p>
    <w:p>
      <w:r>
        <w:pict>
          <v:rect style="width:0;height:1.5pt" o:hralign="center" o:hrstd="t" o:hr="t"/>
        </w:pict>
      </w:r>
    </w:p>
    <w:bookmarkEnd w:id="11"/>
    <w:bookmarkStart w:id="12" w:name="generation-interval-parameterization"/>
    <w:p>
      <w:pPr>
        <w:pStyle w:val="Heading2"/>
      </w:pPr>
      <w:r>
        <w:t xml:space="preserve">4. Generation-interval parameterization</w:t>
      </w:r>
    </w:p>
    <w:p>
      <w:pPr>
        <w:pStyle w:val="FirstParagraph"/>
      </w:pPr>
      <w:r>
        <w:t xml:space="preserve">The generation-interval distribution is the only transmission assumption the renewal model</w:t>
      </w:r>
      <w:r>
        <w:t xml:space="preserve"> </w:t>
      </w:r>
      <w:r>
        <w:t xml:space="preserve">requires, and it is the principal source of structural uncertainty; we therefore parameterize it</w:t>
      </w:r>
      <w:r>
        <w:t xml:space="preserve"> </w:t>
      </w:r>
      <w:r>
        <w:t xml:space="preserve">explicitly from the natural history of typhoid and subject it to sensitivity analysis.</w:t>
      </w:r>
    </w:p>
    <w:p>
      <w:pPr>
        <w:pStyle w:val="BodyText"/>
      </w:pPr>
      <w:r>
        <w:t xml:space="preserve">Under the compartmental interpretation, the intrinsic generation interval is the convolution of</w:t>
      </w:r>
      <w:r>
        <w:t xml:space="preserve"> </w:t>
      </w:r>
      <w:r>
        <w:t xml:space="preserve">the latent period (infection to onset of infectiousness) and the infectious-period profile</w:t>
      </w:r>
      <w:r>
        <w:t xml:space="preserve"> </w:t>
      </w:r>
      <w:r>
        <w:t xml:space="preserve">(weighted by the intensity of onward transmission) [Svensson 2007; Champredon 2015; Champredon</w:t>
      </w:r>
      <w:r>
        <w:t xml:space="preserve"> </w:t>
      </w:r>
      <w:r>
        <w:t xml:space="preserve">2018]. For typhoid these components are characterized as follows. The</w:t>
      </w:r>
      <w:r>
        <w:t xml:space="preserve"> </w:t>
      </w:r>
      <w:r>
        <w:rPr>
          <w:b/>
          <w:bCs/>
        </w:rPr>
        <w:t xml:space="preserve">latent period is short</w:t>
      </w:r>
      <w:r>
        <w:t xml:space="preserve">:</w:t>
      </w:r>
      <w:r>
        <w:t xml:space="preserve"> </w:t>
      </w:r>
      <w:r>
        <w:rPr>
          <w:i/>
          <w:iCs/>
        </w:rPr>
        <w:t xml:space="preserve">S.</w:t>
      </w:r>
      <w:r>
        <w:t xml:space="preserve"> </w:t>
      </w:r>
      <w:r>
        <w:t xml:space="preserve">Typhi can be shed in stool within approximately 24 hours of infection [Marudaiappan 2021,</w:t>
      </w:r>
      <w:r>
        <w:t xml:space="preserve"> </w:t>
      </w:r>
      <w:r>
        <w:t xml:space="preserve">verify]. The</w:t>
      </w:r>
      <w:r>
        <w:t xml:space="preserve"> </w:t>
      </w:r>
      <w:r>
        <w:rPr>
          <w:b/>
          <w:bCs/>
        </w:rPr>
        <w:t xml:space="preserve">incubation period</w:t>
      </w:r>
      <w:r>
        <w:t xml:space="preserve"> </w:t>
      </w:r>
      <w:r>
        <w:t xml:space="preserve">(infection to symptom onset), which governs when cases are</w:t>
      </w:r>
      <w:r>
        <w:t xml:space="preserve"> </w:t>
      </w:r>
      <w:r>
        <w:t xml:space="preserve">detected rather than when they transmit, has a usual range of 8–14 days, with a plausible range of</w:t>
      </w:r>
      <w:r>
        <w:t xml:space="preserve"> </w:t>
      </w:r>
      <w:r>
        <w:t xml:space="preserve">3–60 days; a systematic review and meta-analysis estimated subgroup mean incubation periods of</w:t>
      </w:r>
      <w:r>
        <w:t xml:space="preserve"> </w:t>
      </w:r>
      <w:r>
        <w:t xml:space="preserve">9.7–21.2 days [BMC Infect Dis 2018, doi:10.1186/s12879-018-3391-3, verify].</w:t>
      </w:r>
      <w:r>
        <w:t xml:space="preserve"> </w:t>
      </w:r>
      <w:r>
        <w:rPr>
          <w:b/>
          <w:bCs/>
        </w:rPr>
        <w:t xml:space="preserve">Onward transmission</w:t>
      </w:r>
      <w:r>
        <w:t xml:space="preserve"> </w:t>
      </w:r>
      <w:r>
        <w:t xml:space="preserve">occurs across the acute and early convalescent phases, during which shedding is highest; in a</w:t>
      </w:r>
      <w:r>
        <w:t xml:space="preserve"> </w:t>
      </w:r>
      <w:r>
        <w:t xml:space="preserve">household study of culture-confirmed paediatric cases, shedding persisted for a median of</w:t>
      </w:r>
      <w:r>
        <w:t xml:space="preserve"> </w:t>
      </w:r>
      <w:r>
        <w:t xml:space="preserve">approximately 11 days (range 3–61) and secondary shedding was detected in about 20% of case</w:t>
      </w:r>
      <w:r>
        <w:t xml:space="preserve"> </w:t>
      </w:r>
      <w:r>
        <w:t xml:space="preserve">households [Marudaiappan 2021, verify]. A small fraction of cases (roughly 1–4%) become chronic</w:t>
      </w:r>
      <w:r>
        <w:t xml:space="preserve"> </w:t>
      </w:r>
      <w:r>
        <w:t xml:space="preserve">carriers and contribute a long right tail to the distribution, although carriage contributes</w:t>
      </w:r>
      <w:r>
        <w:t xml:space="preserve"> </w:t>
      </w:r>
      <w:r>
        <w:t xml:space="preserve">principally to endemic maintenance rather than to the dynamics of a single outbreak.</w:t>
      </w:r>
    </w:p>
    <w:p>
      <w:pPr>
        <w:pStyle w:val="BodyText"/>
      </w:pPr>
      <w:r>
        <w:t xml:space="preserve">Combining a short latent period with an infectious profile concentrated in the symptomatic acute</w:t>
      </w:r>
      <w:r>
        <w:t xml:space="preserve"> </w:t>
      </w:r>
      <w:r>
        <w:t xml:space="preserve">phase yields a base-case mean generation interval of approximately</w:t>
      </w:r>
      <w:r>
        <w:t xml:space="preserve"> </w:t>
      </w:r>
      <w:r>
        <w:rPr>
          <w:b/>
          <w:bCs/>
        </w:rPr>
        <w:t xml:space="preserve">two weeks</w:t>
      </w:r>
      <w:r>
        <w:t xml:space="preserve">. This is</w:t>
      </w:r>
      <w:r>
        <w:t xml:space="preserve"> </w:t>
      </w:r>
      <w:r>
        <w:t xml:space="preserve">consistent with, and bounded above by, the</w:t>
      </w:r>
      <w:r>
        <w:t xml:space="preserve"> </w:t>
      </w:r>
      <w:r>
        <w:rPr>
          <w:b/>
          <w:bCs/>
        </w:rPr>
        <w:t xml:space="preserve">four-week generation interval</w:t>
      </w:r>
      <w:r>
        <w:t xml:space="preserve"> </w:t>
      </w:r>
      <w:r>
        <w:t xml:space="preserve">adopted in</w:t>
      </w:r>
      <w:r>
        <w:t xml:space="preserve"> </w:t>
      </w:r>
      <w:r>
        <w:t xml:space="preserve">endemic typhoid time-series SIR models [Phillips 2020]. Because direct empirical estimates of the</w:t>
      </w:r>
      <w:r>
        <w:t xml:space="preserve"> </w:t>
      </w:r>
      <w:r>
        <w:t xml:space="preserve">typhoid generation interval are scarce, we adopt a gamma distribution with a base-case mean of</w:t>
      </w:r>
      <w:r>
        <w:t xml:space="preserve"> </w:t>
      </w:r>
      <m:oMath>
        <m:sSub>
          <m:e>
            <m:r>
              <m:t>μ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days and explore</w:t>
      </w:r>
      <w:r>
        <w:t xml:space="preserve"> </w:t>
      </w:r>
      <m:oMath>
        <m:sSub>
          <m:e>
            <m:r>
              <m:t>μ</m:t>
            </m:r>
          </m:e>
          <m:sub>
            <m:r>
              <m:t>g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]</m:t>
        </m:r>
      </m:oMath>
      <w:r>
        <w:t xml:space="preserve"> </w:t>
      </w:r>
      <w:r>
        <w:t xml:space="preserve">days (1–4 weeks) in sensitivity analysis, with</w:t>
      </w:r>
      <w:r>
        <w:t xml:space="preserve"> </w:t>
      </w:r>
      <w:r>
        <w:t xml:space="preserve">the standard deviation set to give a coefficient of variation of approximately 0.6 to reflect the</w:t>
      </w:r>
      <w:r>
        <w:t xml:space="preserve"> </w:t>
      </w:r>
      <w:r>
        <w:t xml:space="preserve">substantial individual variation in incubation and shedding.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Natural-history component</w:t>
            </w:r>
          </w:p>
        </w:tc>
        <w:tc>
          <w:tcPr/>
          <w:p>
            <w:pPr>
              <w:pStyle w:val="Compact"/>
            </w:pPr>
            <w:r>
              <w:t xml:space="preserve">Value (range)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Latent period (infection → shedding)</w:t>
            </w:r>
          </w:p>
        </w:tc>
        <w:tc>
          <w:tcPr/>
          <w:p>
            <w:pPr>
              <w:pStyle w:val="Compact"/>
            </w:pPr>
            <w:r>
              <w:t xml:space="preserve">~1 day</w:t>
            </w:r>
          </w:p>
        </w:tc>
        <w:tc>
          <w:tcPr/>
          <w:p>
            <w:pPr>
              <w:pStyle w:val="Compact"/>
            </w:pPr>
            <w:r>
              <w:t xml:space="preserve">Marudaiappan 2021 [verify]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Incubation period (infection → symptoms)</w:t>
            </w:r>
          </w:p>
        </w:tc>
        <w:tc>
          <w:tcPr/>
          <w:p>
            <w:pPr>
              <w:pStyle w:val="Compact"/>
            </w:pPr>
            <w:r>
              <w:t xml:space="preserve">8–14 d usual; subgroup means 9.7–21.2 d</w:t>
            </w:r>
          </w:p>
        </w:tc>
        <w:tc>
          <w:tcPr/>
          <w:p>
            <w:pPr>
              <w:pStyle w:val="Compact"/>
            </w:pPr>
            <w:r>
              <w:t xml:space="preserve">BMC Infect Dis 2018 [verify]; CDC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Acute/convalescent shedding (onward transmission)</w:t>
            </w:r>
          </w:p>
        </w:tc>
        <w:tc>
          <w:tcPr/>
          <w:p>
            <w:pPr>
              <w:pStyle w:val="Compact"/>
            </w:pPr>
            <w:r>
              <w:t xml:space="preserve">median ~11 d (3–61)</w:t>
            </w:r>
          </w:p>
        </w:tc>
        <w:tc>
          <w:tcPr/>
          <w:p>
            <w:pPr>
              <w:pStyle w:val="Compact"/>
            </w:pPr>
            <w:r>
              <w:t xml:space="preserve">Marudaiappan 2021 [verify]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carriage (right tail)</w:t>
            </w:r>
          </w:p>
        </w:tc>
        <w:tc>
          <w:tcPr/>
          <w:p>
            <w:pPr>
              <w:pStyle w:val="Compact"/>
            </w:pPr>
            <w:r>
              <w:t xml:space="preserve">~1–4% of cases</w:t>
            </w:r>
          </w:p>
        </w:tc>
        <w:tc>
          <w:tcPr/>
          <w:p>
            <w:pPr>
              <w:pStyle w:val="Compact"/>
            </w:pPr>
            <w:r>
              <w:t xml:space="preserve">shedding/carriage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interval, base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14 d (gamma, CV ≈ 0.6)</w:t>
            </w:r>
          </w:p>
        </w:tc>
        <w:tc>
          <w:tcPr/>
          <w:p>
            <w:pPr>
              <w:pStyle w:val="Compact"/>
            </w:pPr>
            <w:r>
              <w:t xml:space="preserve">derived (this study)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interval, sensitivity range</w:t>
            </w:r>
          </w:p>
        </w:tc>
        <w:tc>
          <w:tcPr/>
          <w:p>
            <w:pPr>
              <w:pStyle w:val="Compact"/>
            </w:pPr>
            <w:r>
              <w:t xml:space="preserve">mean 7–28 d (1–4 wk)</w:t>
            </w:r>
          </w:p>
        </w:tc>
        <w:tc>
          <w:tcPr/>
          <w:p>
            <w:pPr>
              <w:pStyle w:val="Compact"/>
            </w:pPr>
            <w:r>
              <w:t xml:space="preserve">bounded above by Phillips 2020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64ec628c6241b20a71f89426f27b6dcb27c8d0"/>
    <w:p>
      <w:pPr>
        <w:pStyle w:val="Heading2"/>
      </w:pPr>
      <w:r>
        <w:t xml:space="preserve">5. Comparison with the historical weighted and fully mechanistic models</w:t>
      </w:r>
    </w:p>
    <w:p>
      <w:pPr>
        <w:pStyle w:val="FirstParagraph"/>
      </w:pPr>
      <w:r>
        <w:t xml:space="preserve">The models differ in</w:t>
      </w:r>
      <w:r>
        <w:t xml:space="preserve"> </w:t>
      </w:r>
      <w:r>
        <w:rPr>
          <w:i/>
          <w:iCs/>
        </w:rPr>
        <w:t xml:space="preserve">what the vaccine acts on</w:t>
      </w:r>
      <w:r>
        <w:t xml:space="preserve">, where source contributions enter, and how</w:t>
      </w:r>
      <w:r>
        <w:t xml:space="preserve"> </w:t>
      </w:r>
      <w:r>
        <w:t xml:space="preserve">indirect protection arises. These differences are summarized in Table M1.</w:t>
      </w:r>
    </w:p>
    <w:p>
      <w:pPr>
        <w:pStyle w:val="BodyText"/>
      </w:pPr>
      <w:r>
        <w:rPr>
          <w:b/>
          <w:bCs/>
        </w:rPr>
        <w:t xml:space="preserve">Static model (Equation 2).</w:t>
      </w:r>
      <w:r>
        <w:t xml:space="preserve"> </w:t>
      </w:r>
      <w:r>
        <w:t xml:space="preserve">The static model multiplies true typhoid incidence after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a fixed factor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combines direct and externally specified indirect</w:t>
      </w:r>
      <w:r>
        <w:t xml:space="preserve"> </w:t>
      </w:r>
      <w:r>
        <w:t xml:space="preserve">effects under the Halloran formulation [Halloran 1991]: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P</m:t>
              </m:r>
              <m:r>
                <m:t> 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κ</m:t>
          </m:r>
          <m:sSub>
            <m:e>
              <m: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=</m:t>
          </m:r>
          <m:r>
            <m:t>P</m:t>
          </m:r>
          <m:r>
            <m:t>​</m:t>
          </m:r>
          <m:r>
            <m:t>​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b>
            <m:e>
              <m:r>
                <m:t>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effectiveness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enters as an</w:t>
      </w:r>
      <w:r>
        <w:t xml:space="preserve"> </w:t>
      </w:r>
      <w:r>
        <w:rPr>
          <w:b/>
          <w:bCs/>
        </w:rPr>
        <w:t xml:space="preserve">exogenous constant</w:t>
      </w:r>
      <w:r>
        <w:t xml:space="preserve">, independent of coverage and</w:t>
      </w:r>
      <w:r>
        <w:t xml:space="preserve"> </w:t>
      </w:r>
      <w:r>
        <w:t xml:space="preserve">of epidemic phase; the shape of the post-intervention curve is held fixed and only its height is</w:t>
      </w:r>
      <w:r>
        <w:t xml:space="preserve"> </w:t>
      </w:r>
      <w:r>
        <w:t xml:space="preserve">scaled; and there is</w:t>
      </w:r>
      <w:r>
        <w:t xml:space="preserve"> </w:t>
      </w:r>
      <w:r>
        <w:rPr>
          <w:b/>
          <w:bCs/>
        </w:rPr>
        <w:t xml:space="preserve">no transmission feedback</w:t>
      </w:r>
      <w:r>
        <w:t xml:space="preserve"> </w:t>
      </w:r>
      <w:r>
        <w:t xml:space="preserve">— averting a case in one interval does not</w:t>
      </w:r>
      <w:r>
        <w:t xml:space="preserve"> </w:t>
      </w:r>
      <w:r>
        <w:t xml:space="preserve">reduce incidence in the next. The static model thus measures a one-shot reduction of the</w:t>
      </w:r>
      <w:r>
        <w:t xml:space="preserve"> </w:t>
      </w:r>
      <w:r>
        <w:t xml:space="preserve">true-typhoid curve.</w:t>
      </w:r>
    </w:p>
    <w:p>
      <w:pPr>
        <w:pStyle w:val="BodyText"/>
      </w:pPr>
      <w:r>
        <w:rPr>
          <w:b/>
          <w:bCs/>
        </w:rPr>
        <w:t xml:space="preserve">Additive renewal-with-source model (primary).</w:t>
      </w:r>
      <w:r>
        <w:t xml:space="preserve"> </w:t>
      </w:r>
      <w:r>
        <w:t xml:space="preserve">The primary model applies the direct vaccine</w:t>
      </w:r>
      <w:r>
        <w:t xml:space="preserve"> </w:t>
      </w:r>
      <w:r>
        <w:t xml:space="preserve">effect to both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allows only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to compound through transmission feedback.</w:t>
      </w:r>
      <w:r>
        <w:t xml:space="preserve"> </w:t>
      </w:r>
      <w:r>
        <w:t xml:space="preserve">This is not a numerical blend of two completed counterfactuals: the components interact inside</w:t>
      </w:r>
      <w:r>
        <w:t xml:space="preserve"> </w:t>
      </w:r>
      <w:r>
        <w:t xml:space="preserve">one recursion because all earlier true typhoid cases contribute to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Historical</w:t>
      </w:r>
      <w:r>
        <w:rPr>
          <w:b/>
          <w:bCs/>
        </w:rPr>
        <w:t xml:space="preserve"> </w:t>
      </w:r>
      <m:oMath>
        <m:r>
          <m:t>θ</m:t>
        </m:r>
      </m:oMath>
      <w:r>
        <w:rPr>
          <w:b/>
          <w:bCs/>
        </w:rPr>
        <w:t xml:space="preserve">-weighted model (comparison only).</w:t>
      </w:r>
      <w:r>
        <w:t xml:space="preserve"> </w:t>
      </w:r>
      <w:r>
        <w:t xml:space="preserve">Earlier analyses instead computed a</w:t>
      </w:r>
      <w:r>
        <w:t xml:space="preserve"> </w:t>
      </w:r>
      <w:r>
        <w:t xml:space="preserve">static counterfactual and a pure-renewal counterfactual separately and averaged their impact: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θ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expression is retained solely to quantify the effect of changing model structure. It is not</w:t>
      </w:r>
      <w:r>
        <w:t xml:space="preserve"> </w:t>
      </w:r>
      <w:r>
        <w:t xml:space="preserve">the primary analysis because it combines outcomes after simulation and therefore does not preserve</w:t>
      </w:r>
      <w:r>
        <w:t xml:space="preserve"> </w:t>
      </w:r>
      <w:r>
        <w:t xml:space="preserve">the additive incidence identity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or the shared infectiousness history. Paired</w:t>
      </w:r>
      <w:r>
        <w:t xml:space="preserve"> </w:t>
      </w:r>
      <w:r>
        <w:t xml:space="preserve">simulations use the same PPV, timing, coverage, efficacy, generation interval,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draws,</w:t>
      </w:r>
      <w:r>
        <w:t xml:space="preserve"> </w:t>
      </w:r>
      <w:r>
        <w:t xml:space="preserve">so their difference isolates the structural change.</w:t>
      </w:r>
    </w:p>
    <w:p>
      <w:pPr>
        <w:pStyle w:val="BodyText"/>
      </w:pPr>
      <w:r>
        <w:t xml:space="preserve">In the paired base-case simulation across 13 renewal-eligible outbreaks, the additive model</w:t>
      </w:r>
      <w:r>
        <w:t xml:space="preserve"> </w:t>
      </w:r>
      <w:r>
        <w:t xml:space="preserve">reduced true typhoid by 25.6%, compared with 25.9% under the historical weighted calculation.</w:t>
      </w:r>
      <w:r>
        <w:t xml:space="preserve"> </w:t>
      </w:r>
      <w:r>
        <w:t xml:space="preserve">The additive-minus-weighted difference was -0.5 percentage points (95% simulation interval -2.4</w:t>
      </w:r>
      <w:r>
        <w:t xml:space="preserve"> </w:t>
      </w:r>
      <w:r>
        <w:t xml:space="preserve">to 0.7), or -37 cases (-212 to 52). Although the pooled estimates were close, outbreak-specific</w:t>
      </w:r>
      <w:r>
        <w:t xml:space="preserve"> </w:t>
      </w:r>
      <w:r>
        <w:t xml:space="preserve">differences were larger and could occur in either direction because the shared recursion changes</w:t>
      </w:r>
      <w:r>
        <w:t xml:space="preserve"> </w:t>
      </w:r>
      <w:r>
        <w:t xml:space="preserve">the timing of feedback.</w:t>
      </w:r>
    </w:p>
    <w:p>
      <w:pPr>
        <w:pStyle w:val="BodyText"/>
      </w:pPr>
      <w:r>
        <w:rPr>
          <w:b/>
          <w:bCs/>
        </w:rPr>
        <w:t xml:space="preserve">Fully mechanistic model.</w:t>
      </w:r>
      <w:r>
        <w:t xml:space="preserve"> </w:t>
      </w:r>
      <w:r>
        <w:t xml:space="preserve">A representative compartmental structure for typhoid tracks</w:t>
      </w:r>
      <w:r>
        <w:t xml:space="preserve"> </w:t>
      </w:r>
      <w:r>
        <w:t xml:space="preserve">susceptible (</w:t>
      </w:r>
      <m:oMath>
        <m:r>
          <m:t>S</m:t>
        </m:r>
      </m:oMath>
      <w:r>
        <w:t xml:space="preserve">), exposed (</w:t>
      </w:r>
      <m:oMath>
        <m:r>
          <m:t>E</m:t>
        </m:r>
      </m:oMath>
      <w:r>
        <w:t xml:space="preserve">), infectious (</w:t>
      </w:r>
      <m:oMath>
        <m:r>
          <m:t>I</m:t>
        </m:r>
      </m:oMath>
      <w:r>
        <w:t xml:space="preserve">), chronic-carrier (</w:t>
      </w:r>
      <m:oMath>
        <m:r>
          <m:t>C</m:t>
        </m:r>
      </m:oMath>
      <w:r>
        <w:t xml:space="preserve">) and recovered (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populations together with an environmental reservoir (</w:t>
      </w:r>
      <m:oMath>
        <m:r>
          <m:t>W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̇"/>
                </m:accPr>
                <m:e>
                  <m:r>
                    <m:t>S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&amp;</m:t>
              </m:r>
              <m:acc>
                <m:accPr>
                  <m:chr m:val="̇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σ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&amp;</m:t>
              </m:r>
              <m:acc>
                <m:accPr>
                  <m:chr m:val="̇"/>
                </m:accPr>
                <m:e>
                  <m:r>
                    <m:t>I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̇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acc>
                <m:accPr>
                  <m:chr m:val="̇"/>
                </m:accPr>
                <m:e>
                  <m:r>
                    <m:t>R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acc>
                <m:accPr>
                  <m:chr m:val="̇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ξ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W</m:t>
                  </m:r>
                </m:sub>
              </m:sSub>
              <m:r>
                <m:t>W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force of infection combining direct and environmental routes,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W</m:t>
            </m:r>
          </m:sub>
        </m:sSub>
        <m:r>
          <m:t> 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</m:oMath>
      <w:r>
        <w:t xml:space="preserve">. In this model the vaccine moves a fraction</w:t>
      </w:r>
      <w:r>
        <w:t xml:space="preserve"> </w:t>
      </w:r>
      <m:oMath>
        <m:r>
          <m:t>κ</m:t>
        </m:r>
        <m:sSub>
          <m:e>
            <m:r>
              <m:t>ψ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the immune class (and could, in principle, additionally reduce shedding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or carrier formation</w:t>
      </w:r>
      <w:r>
        <w:t xml:space="preserve"> </w:t>
      </w:r>
      <m:oMath>
        <m:r>
          <m:t>θ</m:t>
        </m:r>
      </m:oMath>
      <w:r>
        <w:t xml:space="preserve">), and indirect protection emerges mechanistically and</w:t>
      </w:r>
      <w:r>
        <w:t xml:space="preserve"> </w:t>
      </w:r>
      <w:r>
        <w:t xml:space="preserve">route-specifically. The cost of this fidelity is the parameter set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β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σ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r>
          <m:t>ξ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}</m:t>
        </m:r>
      </m:oMath>
      <w:r>
        <w:t xml:space="preserve">, the initial conditions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, and the reporting fraction — far exceeding what a single outbreak</w:t>
      </w:r>
      <w:r>
        <w:t xml:space="preserve"> </w:t>
      </w:r>
      <w:r>
        <w:t xml:space="preserve">can identify (Section 1). By the equivalence of [Champredon 2018], in the low-depletion limit with</w:t>
      </w:r>
      <w:r>
        <w:t xml:space="preserve"> </w:t>
      </w:r>
      <w:r>
        <w:t xml:space="preserve">the intrinsic generation interval set to the convolution of the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sojourn-time</w:t>
      </w:r>
      <w:r>
        <w:t xml:space="preserve"> </w:t>
      </w:r>
      <w:r>
        <w:t xml:space="preserve">distributions, this system reduces exactly to the renewal model of Section 2.</w:t>
      </w:r>
    </w:p>
    <w:p>
      <w:pPr>
        <w:pStyle w:val="BodyText"/>
      </w:pPr>
      <w:r>
        <w:rPr>
          <w:b/>
          <w:bCs/>
        </w:rPr>
        <w:t xml:space="preserve">Table M1. Comparison of the modelling approaches.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  <w:tc>
          <w:tcPr/>
          <w:p>
            <w:pPr>
              <w:pStyle w:val="Compact"/>
            </w:pPr>
            <w:r>
              <w:t xml:space="preserve">Historical weighted comparator</w:t>
            </w:r>
          </w:p>
        </w:tc>
        <w:tc>
          <w:tcPr/>
          <w:p>
            <w:pPr>
              <w:pStyle w:val="Compact"/>
            </w:pPr>
            <w:r>
              <w:t xml:space="preserve">Additive renewal-with-source (primary)</w:t>
            </w:r>
          </w:p>
        </w:tc>
        <w:tc>
          <w:tcPr/>
          <w:p>
            <w:pPr>
              <w:pStyle w:val="Compact"/>
            </w:pPr>
            <w:r>
              <w:t xml:space="preserve">Full mechanistic SEIR–carrier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modelled</w:t>
            </w:r>
          </w:p>
        </w:tc>
        <w:tc>
          <w:tcPr/>
          <w:p>
            <w:pPr>
              <w:pStyle w:val="Compact"/>
            </w:pPr>
            <w:r>
              <w:t xml:space="preserve">true-typhoid cases, rescaled</w:t>
            </w:r>
          </w:p>
        </w:tc>
        <w:tc>
          <w:tcPr/>
          <w:p>
            <w:pPr>
              <w:pStyle w:val="Compact"/>
            </w:pPr>
            <w:r>
              <w:t xml:space="preserve">weighted completed impacts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inside one recursion</w:t>
            </w:r>
          </w:p>
        </w:tc>
        <w:tc>
          <w:tcPr/>
          <w:p>
            <w:pPr>
              <w:pStyle w:val="Compact"/>
            </w:pPr>
            <w:r>
              <w:t xml:space="preserve">compartmental flows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Vaccine acts on</w:t>
            </w:r>
          </w:p>
        </w:tc>
        <w:tc>
          <w:tcPr/>
          <w:p>
            <w:pPr>
              <w:pStyle w:val="Compact"/>
            </w:pPr>
            <w:r>
              <w:t xml:space="preserve">cases after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static and pure-renewal arms separately</w:t>
            </w:r>
          </w:p>
        </w:tc>
        <w:tc>
          <w:tcPr/>
          <w:p>
            <w:pPr>
              <w:pStyle w:val="Compact"/>
            </w:pPr>
            <w:r>
              <w:t xml:space="preserve">both source and propagated typhoid; feedback through propagated cases</w:t>
            </w:r>
          </w:p>
        </w:tc>
        <w:tc>
          <w:tcPr/>
          <w:p>
            <w:pPr>
              <w:pStyle w:val="Compact"/>
            </w:pPr>
            <w:r>
              <w:t xml:space="preserve">susceptibles; optionally shedding/carriage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protection</w:t>
            </w:r>
          </w:p>
        </w:tc>
        <w:tc>
          <w:tcPr/>
          <w:p>
            <w:pPr>
              <w:pStyle w:val="Compact"/>
            </w:pPr>
            <w:r>
              <w:t xml:space="preserve">exogenous fixed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</w:pPr>
            <w:r>
              <w:t xml:space="preserve">inherited from separate arms</w:t>
            </w:r>
          </w:p>
        </w:tc>
        <w:tc>
          <w:tcPr/>
          <w:p>
            <w:pPr>
              <w:pStyle w:val="Compact"/>
            </w:pPr>
            <w:r>
              <w:t xml:space="preserve">endogenous, coverage- and phase-dependent</w:t>
            </w:r>
          </w:p>
        </w:tc>
        <w:tc>
          <w:tcPr/>
          <w:p>
            <w:pPr>
              <w:pStyle w:val="Compact"/>
            </w:pPr>
            <w:r>
              <w:t xml:space="preserve">endogenous, route-specific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 feedback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only in pure-renewal arm</w:t>
            </w:r>
          </w:p>
        </w:tc>
        <w:tc>
          <w:tcPr/>
          <w:p>
            <w:pPr>
              <w:pStyle w:val="Compact"/>
            </w:pPr>
            <w:r>
              <w:t xml:space="preserve">yes, within additive recursion</w:t>
            </w:r>
          </w:p>
        </w:tc>
        <w:tc>
          <w:tcPr/>
          <w:p>
            <w:pPr>
              <w:pStyle w:val="Compact"/>
            </w:pPr>
            <w:r>
              <w:t xml:space="preserve">yes, nonlinear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contribution</w:t>
            </w:r>
          </w:p>
        </w:tc>
        <w:tc>
          <w:tcPr/>
          <w:p>
            <w:pPr>
              <w:pStyle w:val="Compact"/>
            </w:pPr>
            <w:r>
              <w:t xml:space="preserve">not separated</w:t>
            </w:r>
          </w:p>
        </w:tc>
        <w:tc>
          <w:tcPr/>
          <w:p>
            <w:pPr>
              <w:pStyle w:val="Compact"/>
            </w:pPr>
            <w:r>
              <w:t xml:space="preserve">post hoc weight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additive incidence component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explicit source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febrile illness</w:t>
            </w:r>
          </w:p>
        </w:tc>
        <w:tc>
          <w:tcPr/>
          <w:p>
            <w:pPr>
              <w:pStyle w:val="Compact"/>
            </w:pPr>
            <w:r>
              <w:t xml:space="preserve">held fixed</w:t>
            </w:r>
          </w:p>
        </w:tc>
        <w:tc>
          <w:tcPr/>
          <w:p>
            <w:pPr>
              <w:pStyle w:val="Compact"/>
            </w:pPr>
            <w:r>
              <w:t xml:space="preserve">held fixed in paired comparison</w:t>
            </w:r>
          </w:p>
        </w:tc>
        <w:tc>
          <w:tcPr/>
          <w:p>
            <w:pPr>
              <w:pStyle w:val="Compact"/>
            </w:pPr>
            <w:r>
              <w:t xml:space="preserve">held fixed</w:t>
            </w:r>
          </w:p>
        </w:tc>
        <w:tc>
          <w:tcPr/>
          <w:p>
            <w:pPr>
              <w:pStyle w:val="Compact"/>
            </w:pPr>
            <w:r>
              <w:t xml:space="preserve">outside transmission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Identifiable from one outbreak?</w:t>
            </w:r>
          </w:p>
        </w:tc>
        <w:tc>
          <w:tcPr/>
          <w:p>
            <w:pPr>
              <w:pStyle w:val="Compact"/>
            </w:pPr>
            <w:r>
              <w:t xml:space="preserve">no fitting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externally classified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R</m:t>
                  </m:r>
                </m:e>
                <m:sub>
                  <m:r>
                    <m:t>t</m:t>
                  </m:r>
                </m:sub>
                <m:sup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reconstructed conditional on external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t xml:space="preserve">generally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mitations-of-the-renewal-approach"/>
    <w:p>
      <w:pPr>
        <w:pStyle w:val="Heading2"/>
      </w:pPr>
      <w:r>
        <w:t xml:space="preserve">6. Limitations of the renewal approach</w:t>
      </w:r>
    </w:p>
    <w:p>
      <w:pPr>
        <w:pStyle w:val="FirstParagraph"/>
      </w:pPr>
      <w:r>
        <w:t xml:space="preserve">The first additive level assumes that non-typhoid febrile illness is unaffected by ORI and uses an</w:t>
      </w:r>
      <w:r>
        <w:t xml:space="preserve"> </w:t>
      </w:r>
      <w:r>
        <w:t xml:space="preserve">approximately flat allocation in time; PPV identifies the cumulative amount of true typhoid but</w:t>
      </w:r>
      <w:r>
        <w:t xml:space="preserve"> </w:t>
      </w:r>
      <w:r>
        <w:t xml:space="preserve">not its week-specific allocation. At the second level,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externally informed by outbreak</w:t>
      </w:r>
      <w:r>
        <w:t xml:space="preserve"> </w:t>
      </w:r>
      <w:r>
        <w:t xml:space="preserve">source classification because curve shape alone did not identify its level reliably. The</w:t>
      </w:r>
      <w:r>
        <w:t xml:space="preserve"> </w:t>
      </w:r>
      <w:r>
        <w:t xml:space="preserve">generation-interval kernel is a reduced-form summary of propagated transmission routes and does</w:t>
      </w:r>
      <w:r>
        <w:t xml:space="preserve"> </w:t>
      </w:r>
      <w:r>
        <w:t xml:space="preserve">not represent route-specific vaccine effects. Holding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t>P</m:t>
            </m:r>
          </m:sup>
        </m:sSubSup>
      </m:oMath>
      <w:r>
        <w:t xml:space="preserve"> </w:t>
      </w:r>
      <w:r>
        <w:t xml:space="preserve">fixed under the counterfactual does</w:t>
      </w:r>
      <w:r>
        <w:t xml:space="preserve"> </w:t>
      </w:r>
      <w:r>
        <w:t xml:space="preserve">not re-inflate transmission to credit susceptibles preserved by vaccination; at the low attack</w:t>
      </w:r>
      <w:r>
        <w:t xml:space="preserve"> </w:t>
      </w:r>
      <w:r>
        <w:t xml:space="preserve">rates observed this depletion feedback is second-order. The model also does not mechanistically</w:t>
      </w:r>
      <w:r>
        <w:t xml:space="preserve"> </w:t>
      </w:r>
      <w:r>
        <w:t xml:space="preserve">represent chronic-carrier dynamics or a persistent environmental reservoir. Finally, renewal</w:t>
      </w:r>
      <w:r>
        <w:t xml:space="preserve"> </w:t>
      </w:r>
      <w:r>
        <w:t xml:space="preserve">analysis is restricted to outbreaks reported at a resolution fine relative to the generation</w:t>
      </w:r>
      <w:r>
        <w:t xml:space="preserve"> </w:t>
      </w:r>
      <w:r>
        <w:t xml:space="preserve">interval.</w:t>
      </w:r>
    </w:p>
    <w:p>
      <w:r>
        <w:pict>
          <v:rect style="width:0;height:1.5pt" o:hralign="center" o:hrstd="t" o:hr="t"/>
        </w:pict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/>
          <w:iCs/>
        </w:rPr>
        <w:t xml:space="preserve">(Verify author lists and complete page ranges in your reference manager; the two entries marked</w:t>
      </w:r>
      <w:r>
        <w:rPr>
          <w:i/>
          <w:iCs/>
        </w:rPr>
        <w:t xml:space="preserve"> </w:t>
      </w:r>
      <w:r>
        <w:rPr>
          <w:i/>
          <w:iCs/>
        </w:rPr>
        <w:t xml:space="preserve">[verify] were located by source but should have their authorship confirmed.)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[Halloran 1991]</w:t>
      </w:r>
      <w:r>
        <w:t xml:space="preserve"> </w:t>
      </w:r>
      <w:r>
        <w:t xml:space="preserve">Halloran ME, Haber M, Longini IM, Struchiner CJ. Direct and indirect effects</w:t>
      </w:r>
      <w:r>
        <w:t xml:space="preserve"> </w:t>
      </w:r>
      <w:r>
        <w:t xml:space="preserve">in vaccine efficacy and effectiveness.</w:t>
      </w:r>
      <w:r>
        <w:t xml:space="preserve"> </w:t>
      </w:r>
      <w:r>
        <w:rPr>
          <w:i/>
          <w:iCs/>
        </w:rPr>
        <w:t xml:space="preserve">Am J Epidemiol.</w:t>
      </w:r>
      <w:r>
        <w:t xml:space="preserve"> </w:t>
      </w:r>
      <w:r>
        <w:t xml:space="preserve">1991;133(4):323–331.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[Wallinga 2004]</w:t>
      </w:r>
      <w:r>
        <w:t xml:space="preserve"> </w:t>
      </w:r>
      <w:r>
        <w:t xml:space="preserve">Wallinga J, Teunis P. Different epidemic curves for severe acute respiratory</w:t>
      </w:r>
      <w:r>
        <w:t xml:space="preserve"> </w:t>
      </w:r>
      <w:r>
        <w:t xml:space="preserve">syndrome reveal similar impacts of control measures.</w:t>
      </w:r>
      <w:r>
        <w:t xml:space="preserve"> </w:t>
      </w:r>
      <w:r>
        <w:rPr>
          <w:i/>
          <w:iCs/>
        </w:rPr>
        <w:t xml:space="preserve">Am J Epidemiol.</w:t>
      </w:r>
      <w:r>
        <w:t xml:space="preserve"> </w:t>
      </w:r>
      <w:r>
        <w:t xml:space="preserve">2004;160(6):509–516.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[Fraser 2007]</w:t>
      </w:r>
      <w:r>
        <w:t xml:space="preserve"> </w:t>
      </w:r>
      <w:r>
        <w:t xml:space="preserve">Fraser C. Estimating individual and household reproduction numbers in an</w:t>
      </w:r>
      <w:r>
        <w:t xml:space="preserve"> </w:t>
      </w:r>
      <w:r>
        <w:t xml:space="preserve">emerging epidemic.</w:t>
      </w:r>
      <w:r>
        <w:t xml:space="preserve"> </w:t>
      </w:r>
      <w:r>
        <w:rPr>
          <w:i/>
          <w:iCs/>
        </w:rPr>
        <w:t xml:space="preserve">PLoS One.</w:t>
      </w:r>
      <w:r>
        <w:t xml:space="preserve"> </w:t>
      </w:r>
      <w:r>
        <w:t xml:space="preserve">2007;2(8):e758.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[Wallinga 2007]</w:t>
      </w:r>
      <w:r>
        <w:t xml:space="preserve"> </w:t>
      </w:r>
      <w:r>
        <w:t xml:space="preserve">Wallinga J, Lipsitch M. How generation intervals shape the relationship</w:t>
      </w:r>
      <w:r>
        <w:t xml:space="preserve"> </w:t>
      </w:r>
      <w:r>
        <w:t xml:space="preserve">between growth rates and reproductive numbers.</w:t>
      </w:r>
      <w:r>
        <w:t xml:space="preserve"> </w:t>
      </w:r>
      <w:r>
        <w:rPr>
          <w:i/>
          <w:iCs/>
        </w:rPr>
        <w:t xml:space="preserve">Proc R Soc B.</w:t>
      </w:r>
      <w:r>
        <w:t xml:space="preserve"> </w:t>
      </w:r>
      <w:r>
        <w:t xml:space="preserve">2007;274(1609):599–604.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[Svensson 2007]</w:t>
      </w:r>
      <w:r>
        <w:t xml:space="preserve"> </w:t>
      </w:r>
      <w:r>
        <w:t xml:space="preserve">Svensson Å. A note on generation times in epidemic models.</w:t>
      </w:r>
      <w:r>
        <w:t xml:space="preserve"> </w:t>
      </w:r>
      <w:r>
        <w:rPr>
          <w:i/>
          <w:iCs/>
        </w:rPr>
        <w:t xml:space="preserve">Math Biosci.</w:t>
      </w:r>
      <w:r>
        <w:t xml:space="preserve"> </w:t>
      </w:r>
      <w:r>
        <w:t xml:space="preserve">2007;208(1):300–311.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[Cori 2013]</w:t>
      </w:r>
      <w:r>
        <w:t xml:space="preserve"> </w:t>
      </w:r>
      <w:r>
        <w:t xml:space="preserve">Cori A, Ferguson NM, Fraser C, Cauchemez S. A new framework and software to</w:t>
      </w:r>
      <w:r>
        <w:t xml:space="preserve"> </w:t>
      </w:r>
      <w:r>
        <w:t xml:space="preserve">estimate time-varying reproduction numbers during epidemics.</w:t>
      </w:r>
      <w:r>
        <w:t xml:space="preserve"> </w:t>
      </w:r>
      <w:r>
        <w:rPr>
          <w:i/>
          <w:iCs/>
        </w:rPr>
        <w:t xml:space="preserve">Am J Epidemiol.</w:t>
      </w:r>
      <w:r>
        <w:t xml:space="preserve"> </w:t>
      </w:r>
      <w:r>
        <w:t xml:space="preserve">2013;178(9):1505–1512.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[Champredon 2015]</w:t>
      </w:r>
      <w:r>
        <w:t xml:space="preserve"> </w:t>
      </w:r>
      <w:r>
        <w:t xml:space="preserve">Champredon D, Dushoff J. Intrinsic and realized generation intervals in</w:t>
      </w:r>
      <w:r>
        <w:t xml:space="preserve"> </w:t>
      </w:r>
      <w:r>
        <w:t xml:space="preserve">infectious-disease transmission.</w:t>
      </w:r>
      <w:r>
        <w:t xml:space="preserve"> </w:t>
      </w:r>
      <w:r>
        <w:rPr>
          <w:i/>
          <w:iCs/>
        </w:rPr>
        <w:t xml:space="preserve">Proc R Soc B.</w:t>
      </w:r>
      <w:r>
        <w:t xml:space="preserve"> </w:t>
      </w:r>
      <w:r>
        <w:t xml:space="preserve">2015;282(1821):20152026.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[Champredon 2018]</w:t>
      </w:r>
      <w:r>
        <w:t xml:space="preserve"> </w:t>
      </w:r>
      <w:r>
        <w:t xml:space="preserve">Champredon D, Dushoff J, Earn DJD. Equivalence of the Erlang-distributed</w:t>
      </w:r>
      <w:r>
        <w:t xml:space="preserve"> </w:t>
      </w:r>
      <w:r>
        <w:t xml:space="preserve">SEIR epidemic model and the renewal equation.</w:t>
      </w:r>
      <w:r>
        <w:t xml:space="preserve"> </w:t>
      </w:r>
      <w:r>
        <w:rPr>
          <w:i/>
          <w:iCs/>
        </w:rPr>
        <w:t xml:space="preserve">SIAM J Appl Math.</w:t>
      </w:r>
      <w:r>
        <w:t xml:space="preserve"> </w:t>
      </w:r>
      <w:r>
        <w:t xml:space="preserve">2018;78(6):3258–3278.</w:t>
      </w:r>
      <w:r>
        <w:t xml:space="preserve"> </w:t>
      </w:r>
      <w:r>
        <w:t xml:space="preserve">doi:10.1137/18M1186411.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[Pitzer 2014]</w:t>
      </w:r>
      <w:r>
        <w:t xml:space="preserve"> </w:t>
      </w:r>
      <w:r>
        <w:t xml:space="preserve">Pitzer VE, Bowles CC, Baker S, Kang G, Balaji V, Farrar JJ, Grenfell BT.</w:t>
      </w:r>
      <w:r>
        <w:t xml:space="preserve"> </w:t>
      </w:r>
      <w:r>
        <w:t xml:space="preserve">Predicting the impact of vaccination on the transmission dynamics of typhoid in South Asia: a</w:t>
      </w:r>
      <w:r>
        <w:t xml:space="preserve"> </w:t>
      </w:r>
      <w:r>
        <w:t xml:space="preserve">mathematical modeling study.</w:t>
      </w:r>
      <w:r>
        <w:t xml:space="preserve"> </w:t>
      </w:r>
      <w:r>
        <w:rPr>
          <w:i/>
          <w:iCs/>
        </w:rPr>
        <w:t xml:space="preserve">PLoS Negl Trop Dis.</w:t>
      </w:r>
      <w:r>
        <w:t xml:space="preserve"> </w:t>
      </w:r>
      <w:r>
        <w:t xml:space="preserve">2014;8(1):e2642.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[Phillips 2020]</w:t>
      </w:r>
      <w:r>
        <w:t xml:space="preserve"> </w:t>
      </w:r>
      <w:r>
        <w:t xml:space="preserve">Phillips MT, Owers KA, Grenfell BT, Pitzer VE. Changes in historical typhoid</w:t>
      </w:r>
      <w:r>
        <w:t xml:space="preserve"> </w:t>
      </w:r>
      <w:r>
        <w:t xml:space="preserve">transmission across 16 U.S. cities, 1889–1931: quantifying the impact of investments in water</w:t>
      </w:r>
      <w:r>
        <w:t xml:space="preserve"> </w:t>
      </w:r>
      <w:r>
        <w:t xml:space="preserve">and sewer infrastructures.</w:t>
      </w:r>
      <w:r>
        <w:t xml:space="preserve"> </w:t>
      </w:r>
      <w:r>
        <w:rPr>
          <w:i/>
          <w:iCs/>
        </w:rPr>
        <w:t xml:space="preserve">PLoS Negl Trop Dis.</w:t>
      </w:r>
      <w:r>
        <w:t xml:space="preserve"> </w:t>
      </w:r>
      <w:r>
        <w:t xml:space="preserve">2020;14(4):e0007828.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[Watson 2015]</w:t>
      </w:r>
      <w:r>
        <w:t xml:space="preserve"> </w:t>
      </w:r>
      <w:r>
        <w:t xml:space="preserve">Watson CH, Edmunds WJ. A review of typhoid fever transmission dynamic models</w:t>
      </w:r>
      <w:r>
        <w:t xml:space="preserve"> </w:t>
      </w:r>
      <w:r>
        <w:t xml:space="preserve">and economic evaluations of vaccination.</w:t>
      </w:r>
      <w:r>
        <w:t xml:space="preserve"> </w:t>
      </w:r>
      <w:r>
        <w:rPr>
          <w:i/>
          <w:iCs/>
        </w:rPr>
        <w:t xml:space="preserve">Vaccine.</w:t>
      </w:r>
      <w:r>
        <w:t xml:space="preserve"> </w:t>
      </w:r>
      <w:r>
        <w:t xml:space="preserve">2015;33(Suppl 3):C42–C54.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[BMC Infect Dis 2018, verify]</w:t>
      </w:r>
      <w:r>
        <w:t xml:space="preserve"> </w:t>
      </w:r>
      <w:r>
        <w:t xml:space="preserve">Incubation period of typhoidal salmonellosis: a systematic</w:t>
      </w:r>
      <w:r>
        <w:t xml:space="preserve"> </w:t>
      </w:r>
      <w:r>
        <w:t xml:space="preserve">review and meta-analysis of outbreaks and experimental studies occurring over the last century.</w:t>
      </w:r>
      <w:r>
        <w:t xml:space="preserve"> </w:t>
      </w:r>
      <w:r>
        <w:rPr>
          <w:i/>
          <w:iCs/>
        </w:rPr>
        <w:t xml:space="preserve">BMC Infect Dis.</w:t>
      </w:r>
      <w:r>
        <w:t xml:space="preserve"> </w:t>
      </w:r>
      <w:r>
        <w:t xml:space="preserve">2018;18:464. doi:10.1186/s12879-018-3391-3.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[Marudaiappan 2021, verify]</w:t>
      </w:r>
      <w:r>
        <w:t xml:space="preserve"> </w:t>
      </w:r>
      <w:r>
        <w:rPr>
          <w:i/>
          <w:iCs/>
        </w:rPr>
        <w:t xml:space="preserve">S.</w:t>
      </w:r>
      <w:r>
        <w:t xml:space="preserve"> </w:t>
      </w:r>
      <w:r>
        <w:t xml:space="preserve">Typhi shedding and household transmission by children with</w:t>
      </w:r>
      <w:r>
        <w:t xml:space="preserve"> </w:t>
      </w:r>
      <w:r>
        <w:t xml:space="preserve">blood culture-confirmed typhoid fever in Vellore, South India.</w:t>
      </w:r>
      <w:r>
        <w:t xml:space="preserve"> </w:t>
      </w:r>
      <w:r>
        <w:rPr>
          <w:i/>
          <w:iCs/>
        </w:rPr>
        <w:t xml:space="preserve">J Infect Dis.</w:t>
      </w:r>
      <w:r>
        <w:t xml:space="preserve"> </w:t>
      </w:r>
      <w:r>
        <w:t xml:space="preserve">2021</w:t>
      </w:r>
      <w:r>
        <w:t xml:space="preserve"> </w:t>
      </w:r>
      <w:r>
        <w:t xml:space="preserve">(PMC8892528).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 — Semi-mechanistic model of typhoid outbreak-response immunization</dc:title>
  <dc:creator/>
  <cp:keywords/>
  <dcterms:created xsi:type="dcterms:W3CDTF">2026-08-01T07:47:02Z</dcterms:created>
  <dcterms:modified xsi:type="dcterms:W3CDTF">2026-08-01T07:47:02Z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