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小番茄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2018-08-04 6:30AM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身高：166CM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体重：55KG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BMI：20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症状：饥饿感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血糖（空腹）：5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血压：120/70MMHG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心率：80次/分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疾病：II型糖尿病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用药：二甲双胍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记录：进食后饥饿感消失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【健康记录专家-康乃馨】：建议检测晚上睡前血糖，预防低血糖的发生。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2018-08-04 11:30AM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餐前血糖：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症状：饥饿感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用药：二甲双胍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记录：进食甜点及正餐后饥饿感消失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【健康记录专家-华晨】；建议增加进食热卡的记录，必要时去医院请医生调整用药。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2018-08-04 6:00PM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餐前血糖：12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症状：疲劳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用药：二甲双胍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记录：休息后疲劳感有所缓解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【健康记录专家-华晨】：建议劳逸结合，密切观察症状变化，必要时去医院做血糖控制状况评估及排除糖尿病并发症。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224E0"/>
    <w:rsid w:val="2F3B6142"/>
    <w:rsid w:val="5D844C38"/>
    <w:rsid w:val="7792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2018-08-04T12:54:00Z</dcterms:created>
  <dc:creator>金女士</dc:creator>
  <cp:lastModifiedBy>金女士</cp:lastModifiedBy>
  <dcterms:modified xsi:type="dcterms:W3CDTF">2018-08-04T13:16:17Z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