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111 / 111 passed；后端 SQLite 125 / 125 passed；生产 H5 和 Android APK 构建成功。原生书源分片改为每批最多 16 个读取后，完整 5330 源首次加载采样峰值由 391,717KB 降至 212,276KB，约 0.9 秒回落到 151,123KB。最终 APK 为 1,352,158 字节，SHA-256 为 A47BE2B0057D94D391ED314FF96446E4FC72CD41A03364269964609BF9034CC5，v1/v2/v3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p>
      <w:pPr>
        <w:pStyle w:val="Heading1"/>
      </w:pPr>
      <w:r>
        <w:t>18. 第九阶段发现目录预生成与首次进入优化（2026-08-13）</w:t>
      </w:r>
    </w:p>
    <w:p>
      <w:pPr>
        <w:pStyle w:val="Heading2"/>
      </w:pPr>
      <w:r>
        <w:t>18.1 实现与生命周期</w:t>
      </w:r>
    </w:p>
    <w:p>
      <w:pPr>
        <w:pStyle w:val="ListBullet"/>
      </w:pPr>
      <w:r>
        <w:rPr>
          <w:rFonts w:ascii="微软雅黑" w:hAnsi="微软雅黑" w:eastAsia="微软雅黑"/>
        </w:rPr>
        <w:t>书源索引完成后在浏览器空闲回调中预生成发现候选、入口和分类目录；用户第一次进入发现页时优先读取轻量缓存。</w:t>
      </w:r>
    </w:p>
    <w:p>
      <w:pPr>
        <w:pStyle w:val="ListBullet"/>
      </w:pPr>
      <w:r>
        <w:rPr>
          <w:rFonts w:ascii="微软雅黑" w:hAnsi="微软雅黑" w:eastAsia="微软雅黑"/>
        </w:rPr>
        <w:t>配置导入、覆盖、启停或编辑后按书源修订号失效；应用退后台时取消未执行任务，回到前台后按有效快照重新安排。</w:t>
      </w:r>
    </w:p>
    <w:p>
      <w:pPr>
        <w:pStyle w:val="ListBullet"/>
      </w:pPr>
      <w:r>
        <w:rPr>
          <w:rFonts w:ascii="微软雅黑" w:hAnsi="微软雅黑" w:eastAsia="微软雅黑"/>
        </w:rPr>
        <w:t>预生成只整理本地元数据，不访问第三方站点，不保存正文、Cookie、Token 或完整响应，也不增加运行时依赖。</w:t>
      </w:r>
    </w:p>
    <w:p>
      <w:pPr>
        <w:pStyle w:val="Heading2"/>
      </w:pPr>
      <w:r>
        <w:t>18.2 自动验证与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112 / 112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新增预生成、取消和失效回归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发现页暖切换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500ms 首屏完整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48 个发现源、12 个分类可见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GC 后稳态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142,817KB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覆盖安装后稳定采样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首次安装时间保持 2026-05-29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1,356,254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阶段九 APK SHA-256：5DD2B5DE7D79D4498BBCF60B0B10A0072F14B7FA6DA54A72BE58AA7D08E33575。</w:t>
      </w:r>
    </w:p>
    <w:p>
      <w:pPr>
        <w:pStyle w:val="Heading2"/>
      </w:pPr>
      <w:r>
        <w:t>18.3 发布边界与下一步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15:47；当前仍未执行，首窗口 9/33（27.27%）保持冻结，PR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按冻结清单执行第二窗口并生成双窗口报告；未达到 80% 时修复前三类通用规则差异。</w:t>
      </w:r>
    </w:p>
    <w:p>
      <w:pPr>
        <w:pStyle w:val="ListNumber"/>
      </w:pPr>
      <w:r>
        <w:rPr>
          <w:rFonts w:ascii="微软雅黑" w:hAnsi="微软雅黑" w:eastAsia="微软雅黑"/>
        </w:rPr>
        <w:t>达到门槛后完成关闭后端阅读、恢复后端同步和五种 AI 声音回归，再将 PR 转为可审阅。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