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widowControl/>
      </w:pPr>
      <w:r>
        <w:t xml:space="preserve">데이터센터</w:t>
      </w:r>
      <w:r>
        <w:t xml:space="preserve"> </w:t>
      </w:r>
      <w:r>
        <w:t xml:space="preserve">구성과</w:t>
      </w:r>
      <w:r>
        <w:t xml:space="preserve"> </w:t>
      </w:r>
      <w:r>
        <w:t xml:space="preserve">설계</w:t>
      </w:r>
      <w:r>
        <w:t xml:space="preserve"> </w:t>
      </w:r>
      <w:r>
        <w:t xml:space="preserve">계산</w:t>
      </w:r>
      <w:r>
        <w:t xml:space="preserve"> </w:t>
      </w:r>
      <w:r>
        <w:t xml:space="preserve">백서</w:t>
      </w:r>
    </w:p>
    <w:p>
      <w:pPr>
        <w:pStyle w:val="FirstParagraph"/>
        <w:widowControl/>
      </w:pPr>
      <w:r>
        <w:t xml:space="preserve">실무자를 위한 전력 냉각 네트워크 광배선과 사례 검증</w:t>
      </w:r>
    </w:p>
    <w:p>
      <w:pPr>
        <w:pStyle w:val="BodyText"/>
        <w:widowControl/>
      </w:pPr>
      <w:r>
        <w:t>작성 기준일 2026년 10월 16일 | 판본 1.4 소스 실행 교차검산판</w:t>
      </w:r>
    </w:p>
    <w:p>
      <w:pPr>
        <w:pStyle w:val="BodyText"/>
        <w:widowControl/>
      </w:pPr>
      <w:r>
        <w:t xml:space="preserve">대상 독자 기업 인프라 담당자와 케이블 및 광연결 개발 실무자</w:t>
      </w:r>
    </w:p>
    <w:p>
      <w:pPr>
        <w:pStyle w:val="BodyText"/>
        <w:widowControl/>
      </w:pPr>
      <w:r>
        <w:t xml:space="preserve">이 백서는 업무 요구량을 서버와 랙으로 변환하고 전력·냉각·통신 인프라의 수용 가능성을 검증하는 방법을 설명한다. 장비 개수만 맞추는 설계를 넘어 정상 상태와 단일 장애 상태에서 자원이 충분한지 확인하는 것이 핵심이다.</w:t>
      </w:r>
    </w:p>
    <w:p>
      <w:pPr>
        <w:pStyle w:val="BodyText"/>
        <w:widowControl/>
      </w:pPr>
      <w:r>
        <w:t xml:space="preserve">공식 제품 사양을 이용한 재현 가능한 계산과 설명용 가정을 구분했다. 사례의 계산값은 현장 실측 결과나 제품 성능 보증을 의미하지 않는다. 공사 도면과 발주 규격은 현장 조건과 제조사 호환성 검토를 통해 확정한다.</w:t>
      </w:r>
    </w:p>
    <w:p>
      <w:pPr>
        <w:pStyle w:val="BodyText"/>
        <w:widowControl/>
      </w:pPr>
      <w:r>
        <w:t>판본 1.4는 기존의 100개 절과 v1.3 광연결 실무 보강을 유지하면서 §94에 GitHub 공통 BOM 엔진의 실제 Node.js 실행 검산, 입력 JSON, 장애 시나리오 및 계산 경계 검토를 추가했다. 실제 웹 UI 결과와의 일치는 별개로 미검증이다.</w:t>
      </w:r>
    </w:p>
    <w:bookmarkStart w:id="20" w:name="읽는-방법과-근거의-범위"/>
    <w:p>
      <w:pPr>
        <w:pStyle w:val="Heading1"/>
        <w:keepNext/>
        <w:widowControl/>
      </w:pPr>
      <w:r>
        <w:t xml:space="preserve">읽는 방법과 근거의 범위</w:t>
      </w:r>
    </w:p>
    <w:p>
      <w:pPr>
        <w:pStyle w:val="FirstParagraph"/>
        <w:widowControl/>
      </w:pPr>
      <w:r>
        <w:t xml:space="preserve">먼저 1부와 2부에서 공간과 흐름을 파악하고 3부부터 7부에서 계산 방법을 학습한다. 8부의 통합 사례는 입력값부터 결과 판정까지 따라 계산할 수 있다. 9부는 제공된 두 웹사이트의 교육 기능과 계산 경계를 해설한다. 부록에는 발표 구성과 검증 기준을 정리했다.</w:t>
      </w:r>
    </w:p>
    <w:p>
      <w:pPr>
        <w:pStyle w:val="BodyText"/>
        <w:widowControl/>
      </w:pPr>
      <w:r>
        <w:t xml:space="preserve">본문의 [R번호]는 뒤의 참고문헌 번호다. 제품 정보는 해당 공식 자료에서 확인한 항목만 적용했다. 물리 법칙과 산술 계산은 본 백서에서 직접 유도했다. 사례의 전력 여유율, 부하율, 가격, 손실 계수와 냉각 조건은 명시된 설계 가정이며 표준의 의무값이 아니다.</w:t>
      </w:r>
    </w:p>
    <w:p>
      <w:pPr>
        <w:pStyle w:val="BodyText"/>
        <w:widowControl/>
      </w:pPr>
      <w:r>
        <w:t xml:space="preserve">증명은 세 단계로 다룬다. 첫째 보존법칙과 단위로 식을 유도한다. 둘째 같은 결과를 다른 경로로 계산해 검산한다. 셋째 요구량과 공급량을 비교해 통과 여부를 판정한다. 실제 처리량과 장애 복구 시간까지 증명하려면 별도의 장비 시험 및 현장 커미셔닝이 필요하다.</w:t>
      </w:r>
    </w:p>
    <w:p>
      <w:pPr>
        <w:pStyle w:val="BodyText"/>
        <w:widowControl/>
      </w:pPr>
      <w:r>
        <w:t xml:space="preserve">전력은 kW, 에너지는 kWh, 네트워크 속도는 Gb/s 또는 Tb/s, 저장용량은 별도 언급이 없으면 십진 TB로 표시한다. 광섬유 심수는 실제로 사용하는 심수와 케이블에 내장된 심수를 구분한다. 식의 올림은 정수 장비 수량을, 내림은 자원당 수용 가능한 대수를 뜻한다.</w:t>
      </w:r>
    </w:p>
    <w:p>
      <w:pPr>
        <w:pStyle w:val="BodyText"/>
        <w:widowControl/>
      </w:pPr>
      <w:r>
        <w:t xml:space="preserve">표준의 공개 소개 페이지와 제조사 공개 문서를 확인했다. ISO/IEC 30134-2는 2026판을 기준으로 소개하며 유료 표준의 열람하지 않은 세부 조항을 인용하지 않는다. Gray Zone과 White Zone은 이 문서의 기능별 공간 정의이며 모든 사업자의 명칭과 일치하지 않을 수 있다. [R01–R04]</w:t>
      </w:r>
    </w:p>
    <w:bookmarkEnd w:id="20"/>
    <w:bookmarkStart w:id="21" w:name="목차"/>
    <w:p>
      <w:pPr>
        <w:pStyle w:val="Heading1"/>
        <w:keepNext/>
        <w:widowControl/>
      </w:pPr>
      <w:r>
        <w:t xml:space="preserve">목차</w:t>
      </w:r>
    </w:p>
    <w:p>
      <w:pPr>
        <w:pStyle w:val="FirstParagraph"/>
        <w:widowControl/>
      </w:pPr>
      <w:r>
        <w:rPr>
          <w:bCs/>
          <w:b/>
        </w:rPr>
        <w:t xml:space="preserve">1부 데이터센터의 전체 구성</w:t>
      </w:r>
    </w:p>
    <w:p>
      <w:pPr>
        <w:pStyle w:val="BodyText"/>
        <w:widowControl/>
      </w:pPr>
      <w:hyperlink w:anchor="topic_1">
        <w:r>
          <w:t xml:space="preserve">01 데이터센터를 자원 변환 시스템으로 이해하기 </w:t>
        </w:r>
      </w:hyperlink>
      <w:fldSimple w:instr=" PAGEREF topic_1 \h ">
        <w:r>
          <w:t>5</w:t>
        </w:r>
      </w:fldSimple>
      <w:r>
        <w:t>쪽</w:t>
      </w:r>
      <w:r>
        <w:t xml:space="preserve"> · </w:t>
      </w:r>
      <w:hyperlink w:anchor="topic_2">
        <w:r>
          <w:t xml:space="preserve">02 AI 데이터센터와 기업 서버실의 차이 </w:t>
        </w:r>
      </w:hyperlink>
      <w:fldSimple w:instr=" PAGEREF topic_2 \h ">
        <w:r>
          <w:t>6</w:t>
        </w:r>
      </w:fldSimple>
      <w:r>
        <w:t>쪽</w:t>
      </w:r>
      <w:r>
        <w:t xml:space="preserve"> · </w:t>
      </w:r>
      <w:hyperlink w:anchor="topic_3">
        <w:r>
          <w:t xml:space="preserve">03 온프레미스와 클라우드의 관계 </w:t>
        </w:r>
      </w:hyperlink>
      <w:fldSimple w:instr=" PAGEREF topic_3 \h ">
        <w:r>
          <w:t>7</w:t>
        </w:r>
      </w:fldSimple>
      <w:r>
        <w:t>쪽</w:t>
      </w:r>
      <w:r>
        <w:t xml:space="preserve"> · </w:t>
      </w:r>
      <w:hyperlink w:anchor="topic_4">
        <w:r>
          <w:t xml:space="preserve">04 코로케이션의 서비스와 책임 경계 </w:t>
        </w:r>
      </w:hyperlink>
      <w:fldSimple w:instr=" PAGEREF topic_4 \h ">
        <w:r>
          <w:t>8</w:t>
        </w:r>
      </w:fldSimple>
      <w:r>
        <w:t>쪽</w:t>
      </w:r>
      <w:r>
        <w:t xml:space="preserve"> · </w:t>
      </w:r>
      <w:hyperlink w:anchor="topic_5">
        <w:r>
          <w:t xml:space="preserve">05 연산 저장 통신의 세 자원 </w:t>
        </w:r>
      </w:hyperlink>
      <w:fldSimple w:instr=" PAGEREF topic_5 \h ">
        <w:r>
          <w:t>9</w:t>
        </w:r>
      </w:fldSimple>
      <w:r>
        <w:t>쪽</w:t>
      </w:r>
      <w:r>
        <w:t xml:space="preserve"> · </w:t>
      </w:r>
      <w:hyperlink w:anchor="topic_6">
        <w:r>
          <w:t xml:space="preserve">06 용량이라는 말의 다섯 가지 의미 </w:t>
        </w:r>
      </w:hyperlink>
      <w:fldSimple w:instr=" PAGEREF topic_6 \h ">
        <w:r>
          <w:t>10</w:t>
        </w:r>
      </w:fldSimple>
      <w:r>
        <w:t>쪽</w:t>
      </w:r>
      <w:r>
        <w:t xml:space="preserve"> · </w:t>
      </w:r>
      <w:hyperlink w:anchor="topic_7">
        <w:r>
          <w:t xml:space="preserve">07 전력 통신 냉각 경로의 전체 연결 </w:t>
        </w:r>
      </w:hyperlink>
      <w:fldSimple w:instr=" PAGEREF topic_7 \h ">
        <w:r>
          <w:t>11</w:t>
        </w:r>
      </w:fldSimple>
      <w:r>
        <w:t>쪽</w:t>
      </w:r>
      <w:r>
        <w:t xml:space="preserve"> · </w:t>
      </w:r>
      <w:hyperlink w:anchor="topic_8">
        <w:r>
          <w:t xml:space="preserve">08 설계 입력값과 요구조건표 </w:t>
        </w:r>
      </w:hyperlink>
      <w:fldSimple w:instr=" PAGEREF topic_8 \h ">
        <w:r>
          <w:t>12</w:t>
        </w:r>
      </w:fldSimple>
      <w:r>
        <w:t>쪽</w:t>
      </w:r>
      <w:r>
        <w:t xml:space="preserve"> · </w:t>
      </w:r>
      <w:hyperlink w:anchor="topic_9">
        <w:r>
          <w:t xml:space="preserve">09 표준 제조사 자료와 설계 가정의 구분 </w:t>
        </w:r>
      </w:hyperlink>
      <w:fldSimple w:instr=" PAGEREF topic_9 \h ">
        <w:r>
          <w:t>13</w:t>
        </w:r>
      </w:fldSimple>
      <w:r>
        <w:t>쪽</w:t>
      </w:r>
      <w:r>
        <w:t xml:space="preserve"> · </w:t>
      </w:r>
      <w:hyperlink w:anchor="topic_10">
        <w:r>
          <w:t xml:space="preserve">10 계산 검증과 실측 검증의 차이 </w:t>
        </w:r>
      </w:hyperlink>
      <w:fldSimple w:instr=" PAGEREF topic_10 \h ">
        <w:r>
          <w:t>14</w:t>
        </w:r>
      </w:fldSimple>
      <w:r>
        <w:t>쪽</w:t>
      </w:r>
    </w:p>
    <w:p>
      <w:pPr>
        <w:pStyle w:val="BodyText"/>
        <w:widowControl/>
      </w:pPr>
      <w:r>
        <w:rPr>
          <w:bCs/>
          <w:b/>
        </w:rPr>
        <w:t xml:space="preserve">2부 공간별 역할과 동작 원리</w:t>
      </w:r>
    </w:p>
    <w:p>
      <w:pPr>
        <w:pStyle w:val="BodyText"/>
        <w:widowControl/>
      </w:pPr>
      <w:hyperlink w:anchor="topic_11">
        <w:r>
          <w:t xml:space="preserve">11 White Zone의 기능과 설비 경계 </w:t>
        </w:r>
      </w:hyperlink>
      <w:fldSimple w:instr=" PAGEREF topic_11 \h ">
        <w:r>
          <w:t>15</w:t>
        </w:r>
      </w:fldSimple>
      <w:r>
        <w:t>쪽</w:t>
      </w:r>
      <w:r>
        <w:t xml:space="preserve"> · </w:t>
      </w:r>
      <w:hyperlink w:anchor="topic_12">
        <w:r>
          <w:t xml:space="preserve">12 Gray Zone의 기능과 White Zone의 차이 </w:t>
        </w:r>
      </w:hyperlink>
      <w:fldSimple w:instr=" PAGEREF topic_12 \h ">
        <w:r>
          <w:t>16</w:t>
        </w:r>
      </w:fldSimple>
      <w:r>
        <w:t>쪽</w:t>
      </w:r>
      <w:r>
        <w:t xml:space="preserve"> · </w:t>
      </w:r>
      <w:hyperlink w:anchor="topic_13">
        <w:r>
          <w:t xml:space="preserve">13 Meet Me Room의 연결과 분계점 </w:t>
        </w:r>
      </w:hyperlink>
      <w:fldSimple w:instr=" PAGEREF topic_13 \h ">
        <w:r>
          <w:t>17</w:t>
        </w:r>
      </w:fldSimple>
      <w:r>
        <w:t>쪽</w:t>
      </w:r>
      <w:r>
        <w:t xml:space="preserve"> · </w:t>
      </w:r>
      <w:hyperlink w:anchor="topic_14">
        <w:r>
          <w:t xml:space="preserve">14 ODF 패치패널과 교차 연결의 역할 </w:t>
        </w:r>
      </w:hyperlink>
      <w:fldSimple w:instr=" PAGEREF topic_14 \h ">
        <w:r>
          <w:t>18</w:t>
        </w:r>
      </w:fldSimple>
      <w:r>
        <w:t>쪽</w:t>
      </w:r>
      <w:r>
        <w:t xml:space="preserve"> · </w:t>
      </w:r>
      <w:hyperlink w:anchor="topic_15">
        <w:r>
          <w:t xml:space="preserve">15 Utility Yard의 수전과 예비 전원 </w:t>
        </w:r>
      </w:hyperlink>
      <w:fldSimple w:instr=" PAGEREF topic_15 \h ">
        <w:r>
          <w:t>19</w:t>
        </w:r>
      </w:fldSimple>
      <w:r>
        <w:t>쪽</w:t>
      </w:r>
      <w:r>
        <w:t xml:space="preserve"> · </w:t>
      </w:r>
      <w:hyperlink w:anchor="topic_16">
        <w:r>
          <w:t xml:space="preserve">16 Cooling Plant가 열을 외부로 보내는 원리 </w:t>
        </w:r>
      </w:hyperlink>
      <w:fldSimple w:instr=" PAGEREF topic_16 \h ">
        <w:r>
          <w:t>20</w:t>
        </w:r>
      </w:fldSimple>
      <w:r>
        <w:t>쪽</w:t>
      </w:r>
      <w:r>
        <w:t xml:space="preserve"> · </w:t>
      </w:r>
      <w:hyperlink w:anchor="topic_17">
        <w:r>
          <w:t xml:space="preserve">17 NOC와 시설 관제의 역할 </w:t>
        </w:r>
      </w:hyperlink>
      <w:fldSimple w:instr=" PAGEREF topic_17 \h ">
        <w:r>
          <w:t>21</w:t>
        </w:r>
      </w:fldSimple>
      <w:r>
        <w:t>쪽</w:t>
      </w:r>
      <w:r>
        <w:t xml:space="preserve"> · </w:t>
      </w:r>
      <w:hyperlink w:anchor="topic_18">
        <w:r>
          <w:t xml:space="preserve">18 Safety와 보안 소방의 기능 </w:t>
        </w:r>
      </w:hyperlink>
      <w:fldSimple w:instr=" PAGEREF topic_18 \h ">
        <w:r>
          <w:t>22</w:t>
        </w:r>
      </w:fldSimple>
      <w:r>
        <w:t>쪽</w:t>
      </w:r>
      <w:r>
        <w:t xml:space="preserve"> · </w:t>
      </w:r>
      <w:hyperlink w:anchor="topic_19">
        <w:r>
          <w:t xml:space="preserve">19 통로 분리와 서버 전후면의 의미 </w:t>
        </w:r>
      </w:hyperlink>
      <w:fldSimple w:instr=" PAGEREF topic_19 \h ">
        <w:r>
          <w:t>23</w:t>
        </w:r>
      </w:fldSimple>
      <w:r>
        <w:t>쪽</w:t>
      </w:r>
      <w:r>
        <w:t xml:space="preserve"> · </w:t>
      </w:r>
      <w:hyperlink w:anchor="topic_20">
        <w:r>
          <w:t xml:space="preserve">20 장애가 구역 사이로 전파되는 과정 </w:t>
        </w:r>
      </w:hyperlink>
      <w:fldSimple w:instr=" PAGEREF topic_20 \h ">
        <w:r>
          <w:t>24</w:t>
        </w:r>
      </w:fldSimple>
      <w:r>
        <w:t>쪽</w:t>
      </w:r>
    </w:p>
    <w:p>
      <w:pPr>
        <w:pStyle w:val="BodyText"/>
        <w:widowControl/>
      </w:pPr>
      <w:r>
        <w:rPr>
          <w:bCs/>
          <w:b/>
        </w:rPr>
        <w:t xml:space="preserve">3부 랙 구성과 전력 계산</w:t>
      </w:r>
    </w:p>
    <w:p>
      <w:pPr>
        <w:pStyle w:val="BodyText"/>
        <w:widowControl/>
      </w:pPr>
      <w:hyperlink w:anchor="topic_21">
        <w:r>
          <w:t xml:space="preserve">21 GPU 수에서 서버 수를 산출하기 </w:t>
        </w:r>
      </w:hyperlink>
      <w:fldSimple w:instr=" PAGEREF topic_21 \h ">
        <w:r>
          <w:t>25</w:t>
        </w:r>
      </w:fldSimple>
      <w:r>
        <w:t>쪽</w:t>
      </w:r>
      <w:r>
        <w:t xml:space="preserve"> · </w:t>
      </w:r>
      <w:hyperlink w:anchor="topic_22">
        <w:r>
          <w:t xml:space="preserve">22 랙 공간과 RU 제약 계산 </w:t>
        </w:r>
      </w:hyperlink>
      <w:fldSimple w:instr=" PAGEREF topic_22 \h ">
        <w:r>
          <w:t>26</w:t>
        </w:r>
      </w:fldSimple>
      <w:r>
        <w:t>쪽</w:t>
      </w:r>
      <w:r>
        <w:t xml:space="preserve"> · </w:t>
      </w:r>
      <w:hyperlink w:anchor="topic_23">
        <w:r>
          <w:t xml:space="preserve">23 랙 중량과 바닥 하중 계산 </w:t>
        </w:r>
      </w:hyperlink>
      <w:fldSimple w:instr=" PAGEREF topic_23 \h ">
        <w:r>
          <w:t>27</w:t>
        </w:r>
      </w:fldSimple>
      <w:r>
        <w:t>쪽</w:t>
      </w:r>
      <w:r>
        <w:t xml:space="preserve"> · </w:t>
      </w:r>
      <w:hyperlink w:anchor="topic_24">
        <w:r>
          <w:t xml:space="preserve">24 랙당 서버 대수의 통합 제약 </w:t>
        </w:r>
      </w:hyperlink>
      <w:fldSimple w:instr=" PAGEREF topic_24 \h ">
        <w:r>
          <w:t>28</w:t>
        </w:r>
      </w:fldSimple>
      <w:r>
        <w:t>쪽</w:t>
      </w:r>
      <w:r>
        <w:t xml:space="preserve"> · </w:t>
      </w:r>
      <w:hyperlink w:anchor="topic_25">
        <w:r>
          <w:t xml:space="preserve">25 서버 전력과 GPU TDP의 구분 </w:t>
        </w:r>
      </w:hyperlink>
      <w:fldSimple w:instr=" PAGEREF topic_25 \h ">
        <w:r>
          <w:t>29</w:t>
        </w:r>
      </w:fldSimple>
      <w:r>
        <w:t>쪽</w:t>
      </w:r>
      <w:r>
        <w:t xml:space="preserve"> · </w:t>
      </w:r>
      <w:hyperlink w:anchor="topic_26">
        <w:r>
          <w:t xml:space="preserve">26 kW와 kVA 및 역률 계산 </w:t>
        </w:r>
      </w:hyperlink>
      <w:fldSimple w:instr=" PAGEREF topic_26 \h ">
        <w:r>
          <w:t>30</w:t>
        </w:r>
      </w:fldSimple>
      <w:r>
        <w:t>쪽</w:t>
      </w:r>
      <w:r>
        <w:t xml:space="preserve"> · </w:t>
      </w:r>
      <w:hyperlink w:anchor="topic_27">
        <w:r>
          <w:t xml:space="preserve">27 단상과 삼상 회로의 전류 계산 </w:t>
        </w:r>
      </w:hyperlink>
      <w:fldSimple w:instr=" PAGEREF topic_27 \h ">
        <w:r>
          <w:t>31</w:t>
        </w:r>
      </w:fldSimple>
      <w:r>
        <w:t>쪽</w:t>
      </w:r>
      <w:r>
        <w:t xml:space="preserve"> · </w:t>
      </w:r>
      <w:hyperlink w:anchor="topic_28">
        <w:r>
          <w:t xml:space="preserve">28 전원 케이블 단면적과 전압강하 검토 </w:t>
        </w:r>
      </w:hyperlink>
      <w:fldSimple w:instr=" PAGEREF topic_28 \h ">
        <w:r>
          <w:t>32</w:t>
        </w:r>
      </w:fldSimple>
      <w:r>
        <w:t>쪽</w:t>
      </w:r>
      <w:r>
        <w:t xml:space="preserve"> · </w:t>
      </w:r>
      <w:hyperlink w:anchor="topic_29">
        <w:r>
          <w:t xml:space="preserve">29 A B 전원과 장애 시 공급 능력 </w:t>
        </w:r>
      </w:hyperlink>
      <w:fldSimple w:instr=" PAGEREF topic_29 \h ">
        <w:r>
          <w:t>33</w:t>
        </w:r>
      </w:fldSimple>
      <w:r>
        <w:t>쪽</w:t>
      </w:r>
      <w:r>
        <w:t xml:space="preserve"> · </w:t>
      </w:r>
      <w:hyperlink w:anchor="topic_30">
        <w:r>
          <w:t xml:space="preserve">30 UPS의 N N 플러스 1과 2N </w:t>
        </w:r>
      </w:hyperlink>
      <w:fldSimple w:instr=" PAGEREF topic_30 \h ">
        <w:r>
          <w:t>35</w:t>
        </w:r>
      </w:fldSimple>
      <w:r>
        <w:t>쪽</w:t>
      </w:r>
      <w:r>
        <w:t xml:space="preserve"> · </w:t>
      </w:r>
      <w:hyperlink w:anchor="topic_31">
        <w:r>
          <w:t xml:space="preserve">31 배터리 에너지와 UPS 백업 시간 </w:t>
        </w:r>
      </w:hyperlink>
      <w:fldSimple w:instr=" PAGEREF topic_31 \h ">
        <w:r>
          <w:t>36</w:t>
        </w:r>
      </w:fldSimple>
      <w:r>
        <w:t>쪽</w:t>
      </w:r>
      <w:r>
        <w:t xml:space="preserve"> · </w:t>
      </w:r>
      <w:hyperlink w:anchor="topic_32">
        <w:r>
          <w:t xml:space="preserve">32 전력계 측정과 정격 기반 계산의 대조 </w:t>
        </w:r>
      </w:hyperlink>
      <w:fldSimple w:instr=" PAGEREF topic_32 \h ">
        <w:r>
          <w:t>37</w:t>
        </w:r>
      </w:fldSimple>
      <w:r>
        <w:t>쪽</w:t>
      </w:r>
    </w:p>
    <w:p>
      <w:pPr>
        <w:pStyle w:val="BodyText"/>
        <w:widowControl/>
      </w:pPr>
      <w:r>
        <w:rPr>
          <w:bCs/>
          <w:b/>
        </w:rPr>
        <w:t xml:space="preserve">4부 네트워크 구조와 케이블 연결</w:t>
      </w:r>
    </w:p>
    <w:p>
      <w:pPr>
        <w:pStyle w:val="BodyText"/>
        <w:widowControl/>
      </w:pPr>
      <w:hyperlink w:anchor="topic_33">
        <w:r>
          <w:t xml:space="preserve">33 ToR는 배치 방식이고 Leaf는 네트워크 역할 </w:t>
        </w:r>
      </w:hyperlink>
      <w:fldSimple w:instr=" PAGEREF topic_33 \h ">
        <w:r>
          <w:t>38</w:t>
        </w:r>
      </w:fldSimple>
      <w:r>
        <w:t>쪽</w:t>
      </w:r>
      <w:r>
        <w:t xml:space="preserve"> · </w:t>
      </w:r>
      <w:hyperlink w:anchor="topic_34">
        <w:r>
          <w:t xml:space="preserve">34 서버 NIC와 케이블 수량의 관계 </w:t>
        </w:r>
      </w:hyperlink>
      <w:fldSimple w:instr=" PAGEREF topic_34 \h ">
        <w:r>
          <w:t>39</w:t>
        </w:r>
      </w:fldSimple>
      <w:r>
        <w:t>쪽</w:t>
      </w:r>
      <w:r>
        <w:t xml:space="preserve"> · </w:t>
      </w:r>
      <w:hyperlink w:anchor="topic_35">
        <w:r>
          <w:t xml:space="preserve">35 Leaf Spine의 구조와 연결 수 </w:t>
        </w:r>
      </w:hyperlink>
      <w:fldSimple w:instr=" PAGEREF topic_35 \h ">
        <w:r>
          <w:t>40</w:t>
        </w:r>
      </w:fldSimple>
      <w:r>
        <w:t>쪽</w:t>
      </w:r>
      <w:r>
        <w:t xml:space="preserve"> · </w:t>
      </w:r>
      <w:hyperlink w:anchor="topic_36">
        <w:r>
          <w:t xml:space="preserve">36 다운링크와 업링크의 초과가입비 </w:t>
        </w:r>
      </w:hyperlink>
      <w:fldSimple w:instr=" PAGEREF topic_36 \h ">
        <w:r>
          <w:t>42</w:t>
        </w:r>
      </w:fldSimple>
      <w:r>
        <w:t>쪽</w:t>
      </w:r>
      <w:r>
        <w:t xml:space="preserve"> · </w:t>
      </w:r>
      <w:hyperlink w:anchor="topic_37">
        <w:r>
          <w:t xml:space="preserve">37 단일 ToR와 이중 ToR의 차이 </w:t>
        </w:r>
      </w:hyperlink>
      <w:fldSimple w:instr=" PAGEREF topic_37 \h ">
        <w:r>
          <w:t>43</w:t>
        </w:r>
      </w:fldSimple>
      <w:r>
        <w:t>쪽</w:t>
      </w:r>
      <w:r>
        <w:t xml:space="preserve"> · </w:t>
      </w:r>
      <w:hyperlink w:anchor="topic_38">
        <w:r>
          <w:t xml:space="preserve">38 연산망 저장망과 관리망의 분리 </w:t>
        </w:r>
      </w:hyperlink>
      <w:fldSimple w:instr=" PAGEREF topic_38 \h ">
        <w:r>
          <w:t>44</w:t>
        </w:r>
      </w:fldSimple>
      <w:r>
        <w:t>쪽</w:t>
      </w:r>
      <w:r>
        <w:t xml:space="preserve"> · </w:t>
      </w:r>
      <w:hyperlink w:anchor="topic_39">
        <w:r>
          <w:t xml:space="preserve">39 Ethernet과 InfiniBand 선택 </w:t>
        </w:r>
      </w:hyperlink>
      <w:fldSimple w:instr=" PAGEREF topic_39 \h ">
        <w:r>
          <w:t>45</w:t>
        </w:r>
      </w:fldSimple>
      <w:r>
        <w:t>쪽</w:t>
      </w:r>
      <w:r>
        <w:t xml:space="preserve"> · </w:t>
      </w:r>
      <w:hyperlink w:anchor="topic_40">
        <w:r>
          <w:t xml:space="preserve">40 GPU 내부 연결과 외부 네트워크 구분 </w:t>
        </w:r>
      </w:hyperlink>
      <w:fldSimple w:instr=" PAGEREF topic_40 \h ">
        <w:r>
          <w:t>46</w:t>
        </w:r>
      </w:fldSimple>
      <w:r>
        <w:t>쪽</w:t>
      </w:r>
      <w:r>
        <w:t xml:space="preserve"> · </w:t>
      </w:r>
      <w:hyperlink w:anchor="topic_41">
        <w:r>
          <w:t xml:space="preserve">41 DAC AEC와 AOC의 차이 </w:t>
        </w:r>
      </w:hyperlink>
      <w:fldSimple w:instr=" PAGEREF topic_41 \h ">
        <w:r>
          <w:t>47</w:t>
        </w:r>
      </w:fldSimple>
      <w:r>
        <w:t>쪽</w:t>
      </w:r>
      <w:r>
        <w:t xml:space="preserve"> · </w:t>
      </w:r>
      <w:hyperlink w:anchor="topic_42">
        <w:r>
          <w:t xml:space="preserve">42 광모듈 속도와 포트 형상의 관계 </w:t>
        </w:r>
      </w:hyperlink>
      <w:fldSimple w:instr=" PAGEREF topic_42 \h ">
        <w:r>
          <w:t>48</w:t>
        </w:r>
      </w:fldSimple>
      <w:r>
        <w:t>쪽</w:t>
      </w:r>
      <w:r>
        <w:t xml:space="preserve"> · </w:t>
      </w:r>
      <w:hyperlink w:anchor="topic_43">
        <w:r>
          <w:t xml:space="preserve">43 포트 매핑과 브레이크아웃 검증 </w:t>
        </w:r>
      </w:hyperlink>
      <w:fldSimple w:instr=" PAGEREF topic_43 \h ">
        <w:r>
          <w:t>49</w:t>
        </w:r>
      </w:fldSimple>
      <w:r>
        <w:t>쪽</w:t>
      </w:r>
      <w:r>
        <w:t xml:space="preserve"> · </w:t>
      </w:r>
      <w:hyperlink w:anchor="topic_44">
        <w:r>
          <w:t xml:space="preserve">44 네트워크 장애 후 잔여 용량 계산 </w:t>
        </w:r>
      </w:hyperlink>
      <w:fldSimple w:instr=" PAGEREF topic_44 \h ">
        <w:r>
          <w:t>50</w:t>
        </w:r>
      </w:fldSimple>
      <w:r>
        <w:t>쪽</w:t>
      </w:r>
    </w:p>
    <w:p>
      <w:pPr>
        <w:pStyle w:val="BodyText"/>
        <w:widowControl/>
      </w:pPr>
      <w:r>
        <w:rPr>
          <w:bCs/>
          <w:b/>
        </w:rPr>
        <w:t xml:space="preserve">5부 광섬유 광케이블과 링크 예산</w:t>
      </w:r>
    </w:p>
    <w:p>
      <w:pPr>
        <w:pStyle w:val="BodyText"/>
        <w:widowControl/>
      </w:pPr>
      <w:hyperlink w:anchor="topic_45">
        <w:r>
          <w:t xml:space="preserve">45 광섬유 광케이블과 광링크의 차이 </w:t>
        </w:r>
      </w:hyperlink>
      <w:fldSimple w:instr=" PAGEREF topic_45 \h ">
        <w:r>
          <w:t>52</w:t>
        </w:r>
      </w:fldSimple>
      <w:r>
        <w:t>쪽</w:t>
      </w:r>
      <w:r>
        <w:t xml:space="preserve"> · </w:t>
      </w:r>
      <w:hyperlink w:anchor="topic_46">
        <w:r>
          <w:t xml:space="preserve">46 멀티모드와 싱글모드의 선정 </w:t>
        </w:r>
      </w:hyperlink>
      <w:fldSimple w:instr=" PAGEREF topic_46 \h ">
        <w:r>
          <w:t>53</w:t>
        </w:r>
      </w:fldSimple>
      <w:r>
        <w:t>쪽</w:t>
      </w:r>
      <w:r>
        <w:t xml:space="preserve"> · </w:t>
      </w:r>
      <w:hyperlink w:anchor="topic_47">
        <w:r>
          <w:t xml:space="preserve">47 듀플렉스와 병렬 광전송의 심수 </w:t>
        </w:r>
      </w:hyperlink>
      <w:fldSimple w:instr=" PAGEREF topic_47 \h ">
        <w:r>
          <w:t>54</w:t>
        </w:r>
      </w:fldSimple>
      <w:r>
        <w:t>쪽</w:t>
      </w:r>
      <w:r>
        <w:t xml:space="preserve"> · </w:t>
      </w:r>
      <w:hyperlink w:anchor="topic_48">
        <w:r>
          <w:t xml:space="preserve">48 LC MPO와 MTP 및 VSFF 커넥터 </w:t>
        </w:r>
      </w:hyperlink>
      <w:fldSimple w:instr=" PAGEREF topic_48 \h ">
        <w:r>
          <w:t>56</w:t>
        </w:r>
      </w:fldSimple>
      <w:r>
        <w:t>쪽</w:t>
      </w:r>
      <w:r>
        <w:t xml:space="preserve"> · </w:t>
      </w:r>
      <w:hyperlink w:anchor="topic_49">
        <w:r>
          <w:t xml:space="preserve">49 MPO 극성과 송수신 레인의 검증 </w:t>
        </w:r>
      </w:hyperlink>
      <w:fldSimple w:instr=" PAGEREF topic_49 \h ">
        <w:r>
          <w:t>58</w:t>
        </w:r>
      </w:fldSimple>
      <w:r>
        <w:t>쪽</w:t>
      </w:r>
      <w:r>
        <w:t xml:space="preserve"> · </w:t>
      </w:r>
      <w:hyperlink w:anchor="topic_50">
        <w:r>
          <w:t xml:space="preserve">50 사용 심수에서 케이블 본수로 변환 </w:t>
        </w:r>
      </w:hyperlink>
      <w:fldSimple w:instr=" PAGEREF topic_50 \h ">
        <w:r>
          <w:t>59</w:t>
        </w:r>
      </w:fldSimple>
      <w:r>
        <w:t>쪽</w:t>
      </w:r>
      <w:r>
        <w:t xml:space="preserve"> · </w:t>
      </w:r>
      <w:hyperlink w:anchor="topic_51">
        <w:r>
          <w:t xml:space="preserve">51 트렁크 길이와 광섬유 총연장 </w:t>
        </w:r>
      </w:hyperlink>
      <w:fldSimple w:instr=" PAGEREF topic_51 \h ">
        <w:r>
          <w:t>61</w:t>
        </w:r>
      </w:fldSimple>
      <w:r>
        <w:t>쪽</w:t>
      </w:r>
      <w:r>
        <w:t xml:space="preserve"> · </w:t>
      </w:r>
      <w:hyperlink w:anchor="topic_52">
        <w:r>
          <w:t xml:space="preserve">52 광링크 삽입손실 예산 </w:t>
        </w:r>
      </w:hyperlink>
      <w:fldSimple w:instr=" PAGEREF topic_52 \h ">
        <w:r>
          <w:t>62</w:t>
        </w:r>
      </w:fldSimple>
      <w:r>
        <w:t>쪽</w:t>
      </w:r>
      <w:r>
        <w:t xml:space="preserve"> · </w:t>
      </w:r>
      <w:hyperlink w:anchor="topic_53">
        <w:r>
          <w:t xml:space="preserve">53 PAM4 광예산과 수신 과부하 반사 MPI </w:t>
        </w:r>
      </w:hyperlink>
      <w:fldSimple w:instr=" PAGEREF topic_53 \h ">
        <w:r>
          <w:t>63</w:t>
        </w:r>
      </w:fldSimple>
      <w:r>
        <w:t>쪽</w:t>
      </w:r>
      <w:r>
        <w:t xml:space="preserve"> · </w:t>
      </w:r>
      <w:hyperlink w:anchor="topic_54">
        <w:r>
          <w:t xml:space="preserve">54 색분산 PMD와 광링크 동시 제약 </w:t>
        </w:r>
      </w:hyperlink>
      <w:fldSimple w:instr=" PAGEREF topic_54 \h ">
        <w:r>
          <w:t>69</w:t>
        </w:r>
      </w:fldSimple>
      <w:r>
        <w:t>쪽</w:t>
      </w:r>
      <w:r>
        <w:t xml:space="preserve"> · </w:t>
      </w:r>
      <w:hyperlink w:anchor="topic_55">
        <w:r>
          <w:t xml:space="preserve">55 OLTS OTDR와 광배선 인수 시험 </w:t>
        </w:r>
      </w:hyperlink>
      <w:fldSimple w:instr=" PAGEREF topic_55 \h ">
        <w:r>
          <w:t>74</w:t>
        </w:r>
      </w:fldSimple>
      <w:r>
        <w:t>쪽</w:t>
      </w:r>
      <w:r>
        <w:t xml:space="preserve"> · </w:t>
      </w:r>
      <w:hyperlink w:anchor="topic_56">
        <w:r>
          <w:t xml:space="preserve">56 광배선 BOM과 변경 이력 관리 </w:t>
        </w:r>
      </w:hyperlink>
      <w:fldSimple w:instr=" PAGEREF topic_56 \h ">
        <w:r>
          <w:t>76</w:t>
        </w:r>
      </w:fldSimple>
      <w:r>
        <w:t>쪽</w:t>
      </w:r>
    </w:p>
    <w:p>
      <w:pPr>
        <w:pStyle w:val="BodyText"/>
        <w:widowControl/>
      </w:pPr>
      <w:r>
        <w:rPr>
          <w:bCs/>
          <w:b/>
        </w:rPr>
        <w:t xml:space="preserve">6부 냉각과 열수지 계산</w:t>
      </w:r>
    </w:p>
    <w:p>
      <w:pPr>
        <w:pStyle w:val="BodyText"/>
        <w:widowControl/>
      </w:pPr>
      <w:hyperlink w:anchor="topic_57">
        <w:r>
          <w:t xml:space="preserve">57 IT 소비전력에서 발열량을 계산하기 </w:t>
        </w:r>
      </w:hyperlink>
      <w:fldSimple w:instr=" PAGEREF topic_57 \h ">
        <w:r>
          <w:t>77</w:t>
        </w:r>
      </w:fldSimple>
      <w:r>
        <w:t>쪽</w:t>
      </w:r>
      <w:r>
        <w:t xml:space="preserve"> · </w:t>
      </w:r>
      <w:hyperlink w:anchor="topic_58">
        <w:r>
          <w:t xml:space="preserve">58 공랭에서 필요한 공기 유량 </w:t>
        </w:r>
      </w:hyperlink>
      <w:fldSimple w:instr=" PAGEREF topic_58 \h ">
        <w:r>
          <w:t>78</w:t>
        </w:r>
      </w:fldSimple>
      <w:r>
        <w:t>쪽</w:t>
      </w:r>
      <w:r>
        <w:t xml:space="preserve"> · </w:t>
      </w:r>
      <w:hyperlink w:anchor="topic_59">
        <w:r>
          <w:t xml:space="preserve">59 컨테인먼트와 핫스팟의 원리 </w:t>
        </w:r>
      </w:hyperlink>
      <w:fldSimple w:instr=" PAGEREF topic_59 \h ">
        <w:r>
          <w:t>79</w:t>
        </w:r>
      </w:fldSimple>
      <w:r>
        <w:t>쪽</w:t>
      </w:r>
      <w:r>
        <w:t xml:space="preserve"> · </w:t>
      </w:r>
      <w:hyperlink w:anchor="topic_60">
        <w:r>
          <w:t xml:space="preserve">60 액체냉각의 물 유량 계산 </w:t>
        </w:r>
      </w:hyperlink>
      <w:fldSimple w:instr=" PAGEREF topic_60 \h ">
        <w:r>
          <w:t>80</w:t>
        </w:r>
      </w:fldSimple>
      <w:r>
        <w:t>쪽</w:t>
      </w:r>
      <w:r>
        <w:t xml:space="preserve"> · </w:t>
      </w:r>
      <w:hyperlink w:anchor="topic_61">
        <w:r>
          <w:t xml:space="preserve">61 CDU와 FWS TCS의 역할 </w:t>
        </w:r>
      </w:hyperlink>
      <w:fldSimple w:instr=" PAGEREF topic_61 \h ">
        <w:r>
          <w:t>82</w:t>
        </w:r>
      </w:fldSimple>
      <w:r>
        <w:t>쪽</w:t>
      </w:r>
      <w:r>
        <w:t xml:space="preserve"> · </w:t>
      </w:r>
      <w:hyperlink w:anchor="topic_62">
        <w:r>
          <w:t xml:space="preserve">62 펌프 전력과 배관 압력 손실 </w:t>
        </w:r>
      </w:hyperlink>
      <w:fldSimple w:instr=" PAGEREF topic_62 \h ">
        <w:r>
          <w:t>83</w:t>
        </w:r>
      </w:fldSimple>
      <w:r>
        <w:t>쪽</w:t>
      </w:r>
      <w:r>
        <w:t xml:space="preserve"> · </w:t>
      </w:r>
      <w:hyperlink w:anchor="topic_63">
        <w:r>
          <w:t xml:space="preserve">63 칠러 COP와 전체 냉각 전력 </w:t>
        </w:r>
      </w:hyperlink>
      <w:fldSimple w:instr=" PAGEREF topic_63 \h ">
        <w:r>
          <w:t>84</w:t>
        </w:r>
      </w:fldSimple>
      <w:r>
        <w:t>쪽</w:t>
      </w:r>
      <w:r>
        <w:t xml:space="preserve"> · </w:t>
      </w:r>
      <w:hyperlink w:anchor="topic_64">
        <w:r>
          <w:t xml:space="preserve">64 잔여 공랭과 액냉 회수율 </w:t>
        </w:r>
      </w:hyperlink>
      <w:fldSimple w:instr=" PAGEREF topic_64 \h ">
        <w:r>
          <w:t>60</w:t>
        </w:r>
      </w:fldSimple>
      <w:r>
        <w:t>쪽</w:t>
      </w:r>
      <w:r>
        <w:t xml:space="preserve"> · </w:t>
      </w:r>
      <w:hyperlink w:anchor="topic_65">
        <w:r>
          <w:t xml:space="preserve">65 냉각 예비 능력과 N 플러스 1 </w:t>
        </w:r>
      </w:hyperlink>
      <w:fldSimple w:instr=" PAGEREF topic_65 \h ">
        <w:r>
          <w:t>86</w:t>
        </w:r>
      </w:fldSimple>
      <w:r>
        <w:t>쪽</w:t>
      </w:r>
      <w:r>
        <w:t xml:space="preserve"> · </w:t>
      </w:r>
      <w:hyperlink w:anchor="topic_66">
        <w:r>
          <w:t xml:space="preserve">66 누수와 냉각 상실의 과도 상태 </w:t>
        </w:r>
      </w:hyperlink>
      <w:fldSimple w:instr=" PAGEREF topic_66 \h ">
        <w:r>
          <w:t>88</w:t>
        </w:r>
      </w:fldSimple>
      <w:r>
        <w:t>쪽</w:t>
      </w:r>
    </w:p>
    <w:p>
      <w:pPr>
        <w:pStyle w:val="BodyText"/>
        <w:widowControl/>
      </w:pPr>
      <w:r>
        <w:rPr>
          <w:bCs/>
          <w:b/>
        </w:rPr>
        <w:t xml:space="preserve">7부 PUE 에너지와 서비스 용량</w:t>
      </w:r>
    </w:p>
    <w:p>
      <w:pPr>
        <w:pStyle w:val="BodyText"/>
        <w:widowControl/>
      </w:pPr>
      <w:hyperlink w:anchor="topic_67">
        <w:r>
          <w:t xml:space="preserve">67 PUE의 정의와 측정 경계 </w:t>
        </w:r>
      </w:hyperlink>
      <w:fldSimple w:instr=" PAGEREF topic_67 \h ">
        <w:r>
          <w:t>89</w:t>
        </w:r>
      </w:fldSimple>
      <w:r>
        <w:t>쪽</w:t>
      </w:r>
      <w:r>
        <w:t xml:space="preserve"> · </w:t>
      </w:r>
      <w:hyperlink w:anchor="topic_68">
        <w:r>
          <w:t xml:space="preserve">68 부하율과 PUE의 역설 </w:t>
        </w:r>
      </w:hyperlink>
      <w:fldSimple w:instr=" PAGEREF topic_68 \h ">
        <w:r>
          <w:t>90</w:t>
        </w:r>
      </w:fldSimple>
      <w:r>
        <w:t>쪽</w:t>
      </w:r>
      <w:r>
        <w:t xml:space="preserve"> · </w:t>
      </w:r>
      <w:hyperlink w:anchor="topic_69">
        <w:r>
          <w:t xml:space="preserve">69 연간 에너지와 시간대별 적분 </w:t>
        </w:r>
      </w:hyperlink>
      <w:fldSimple w:instr=" PAGEREF topic_69 \h ">
        <w:r>
          <w:t>91</w:t>
        </w:r>
      </w:fldSimple>
      <w:r>
        <w:t>쪽</w:t>
      </w:r>
      <w:r>
        <w:t xml:space="preserve"> · </w:t>
      </w:r>
      <w:hyperlink w:anchor="topic_70">
        <w:r>
          <w:t xml:space="preserve">70 전기요금과 총소유비용 계산 </w:t>
        </w:r>
      </w:hyperlink>
      <w:fldSimple w:instr=" PAGEREF topic_70 \h ">
        <w:r>
          <w:t>92</w:t>
        </w:r>
      </w:fldSimple>
      <w:r>
        <w:t>쪽</w:t>
      </w:r>
      <w:r>
        <w:t xml:space="preserve"> · </w:t>
      </w:r>
      <w:hyperlink w:anchor="topic_71">
        <w:r>
          <w:t xml:space="preserve">71 전력 한도에서 GPU 수를 역산하기 </w:t>
        </w:r>
      </w:hyperlink>
      <w:fldSimple w:instr=" PAGEREF topic_71 \h ">
        <w:r>
          <w:t>93</w:t>
        </w:r>
      </w:fldSimple>
      <w:r>
        <w:t>쪽</w:t>
      </w:r>
      <w:r>
        <w:t xml:space="preserve"> · </w:t>
      </w:r>
      <w:hyperlink w:anchor="topic_72">
        <w:r>
          <w:t xml:space="preserve">72 AI 메모리와 모델 수용 가능성 </w:t>
        </w:r>
      </w:hyperlink>
      <w:fldSimple w:instr=" PAGEREF topic_72 \h ">
        <w:r>
          <w:t>94</w:t>
        </w:r>
      </w:fldSimple>
      <w:r>
        <w:t>쪽</w:t>
      </w:r>
      <w:r>
        <w:t xml:space="preserve"> · </w:t>
      </w:r>
      <w:hyperlink w:anchor="topic_73">
        <w:r>
          <w:t xml:space="preserve">73 스토리지 원시 용량과 실효 용량 </w:t>
        </w:r>
      </w:hyperlink>
      <w:fldSimple w:instr=" PAGEREF topic_73 \h ">
        <w:r>
          <w:t>95</w:t>
        </w:r>
      </w:fldSimple>
      <w:r>
        <w:t>쪽</w:t>
      </w:r>
      <w:r>
        <w:t xml:space="preserve"> · </w:t>
      </w:r>
      <w:hyperlink w:anchor="topic_74">
        <w:r>
          <w:t xml:space="preserve">74 가용성과 에너지 효율의 공동 평가 </w:t>
        </w:r>
      </w:hyperlink>
      <w:fldSimple w:instr=" PAGEREF topic_74 \h ">
        <w:r>
          <w:t>96</w:t>
        </w:r>
      </w:fldSimple>
      <w:r>
        <w:t>쪽</w:t>
      </w:r>
    </w:p>
    <w:p>
      <w:pPr>
        <w:pStyle w:val="BodyText"/>
        <w:widowControl/>
      </w:pPr>
      <w:r>
        <w:rPr>
          <w:bCs/>
          <w:b/>
        </w:rPr>
        <w:t xml:space="preserve">8부 재현 가능한 통합 사례 검증</w:t>
      </w:r>
    </w:p>
    <w:p>
      <w:pPr>
        <w:pStyle w:val="BodyText"/>
        <w:widowControl/>
      </w:pPr>
      <w:hyperlink w:anchor="topic_75">
        <w:r>
          <w:t xml:space="preserve">75 사례 A 기업 서버실의 요구조건 </w:t>
        </w:r>
      </w:hyperlink>
      <w:fldSimple w:instr=" PAGEREF topic_75 \h ">
        <w:r>
          <w:t>97</w:t>
        </w:r>
      </w:fldSimple>
      <w:r>
        <w:t>쪽</w:t>
      </w:r>
      <w:r>
        <w:t xml:space="preserve"> · </w:t>
      </w:r>
      <w:hyperlink w:anchor="topic_76">
        <w:r>
          <w:t xml:space="preserve">76 사례 A 랙 수와 전력의 증명 </w:t>
        </w:r>
      </w:hyperlink>
      <w:fldSimple w:instr=" PAGEREF topic_76 \h ">
        <w:r>
          <w:t>98</w:t>
        </w:r>
      </w:fldSimple>
      <w:r>
        <w:t>쪽</w:t>
      </w:r>
      <w:r>
        <w:t xml:space="preserve"> · </w:t>
      </w:r>
      <w:hyperlink w:anchor="topic_77">
        <w:r>
          <w:t xml:space="preserve">77 사례 A 포트 케이블과 장애 대역폭 </w:t>
        </w:r>
      </w:hyperlink>
      <w:fldSimple w:instr=" PAGEREF topic_77 \h ">
        <w:r>
          <w:t>99</w:t>
        </w:r>
      </w:fldSimple>
      <w:r>
        <w:t>쪽</w:t>
      </w:r>
      <w:r>
        <w:t xml:space="preserve"> · </w:t>
      </w:r>
      <w:hyperlink w:anchor="topic_78">
        <w:r>
          <w:t xml:space="preserve">78 사례 A 에너지와 시설 전력 판정 </w:t>
        </w:r>
      </w:hyperlink>
      <w:fldSimple w:instr=" PAGEREF topic_78 \h ">
        <w:r>
          <w:t>100</w:t>
        </w:r>
      </w:fldSimple>
      <w:r>
        <w:t>쪽</w:t>
      </w:r>
      <w:r>
        <w:t xml:space="preserve"> · </w:t>
      </w:r>
      <w:hyperlink w:anchor="topic_79">
        <w:r>
          <w:t xml:space="preserve">79 사례 B GPU 64개와 공식 장비 사양 </w:t>
        </w:r>
      </w:hyperlink>
      <w:fldSimple w:instr=" PAGEREF topic_79 \h ">
        <w:r>
          <w:t>101</w:t>
        </w:r>
      </w:fldSimple>
      <w:r>
        <w:t>쪽</w:t>
      </w:r>
      <w:r>
        <w:t xml:space="preserve"> · </w:t>
      </w:r>
      <w:hyperlink w:anchor="topic_80">
        <w:r>
          <w:t xml:space="preserve">80 사례 B 랙 두 개의 수용 검증 </w:t>
        </w:r>
      </w:hyperlink>
      <w:fldSimple w:instr=" PAGEREF topic_80 \h ">
        <w:r>
          <w:t>102</w:t>
        </w:r>
      </w:fldSimple>
      <w:r>
        <w:t>쪽</w:t>
      </w:r>
      <w:r>
        <w:t xml:space="preserve"> · </w:t>
      </w:r>
      <w:hyperlink w:anchor="topic_81">
        <w:r>
          <w:t xml:space="preserve">81 사례 B 400G 포트와 물리 케이지 검산 </w:t>
        </w:r>
      </w:hyperlink>
      <w:fldSimple w:instr=" PAGEREF topic_81 \h ">
        <w:r>
          <w:t>103</w:t>
        </w:r>
      </w:fldSimple>
      <w:r>
        <w:t>쪽</w:t>
      </w:r>
      <w:r>
        <w:t xml:space="preserve"> · </w:t>
      </w:r>
      <w:hyperlink w:anchor="topic_82">
        <w:r>
          <w:t xml:space="preserve">82 사례 B 광케이블과 광모듈 수량 증명 </w:t>
        </w:r>
      </w:hyperlink>
      <w:fldSimple w:instr=" PAGEREF topic_82 \h ">
        <w:r>
          <w:t>104</w:t>
        </w:r>
      </w:fldSimple>
      <w:r>
        <w:t>쪽</w:t>
      </w:r>
      <w:r>
        <w:t xml:space="preserve"> · </w:t>
      </w:r>
      <w:hyperlink w:anchor="topic_83">
        <w:r>
          <w:t xml:space="preserve">83 사례 B 전원 코드와 장애 성능의 한계 </w:t>
        </w:r>
      </w:hyperlink>
      <w:fldSimple w:instr=" PAGEREF topic_83 \h ">
        <w:r>
          <w:t>106</w:t>
        </w:r>
      </w:fldSimple>
      <w:r>
        <w:t>쪽</w:t>
      </w:r>
      <w:r>
        <w:t xml:space="preserve"> · </w:t>
      </w:r>
      <w:hyperlink w:anchor="topic_84">
        <w:r>
          <w:t xml:space="preserve">84 사례 B 에너지와 공랭 유량 검산 </w:t>
        </w:r>
      </w:hyperlink>
      <w:fldSimple w:instr=" PAGEREF topic_84 \h ">
        <w:r>
          <w:t>109</w:t>
        </w:r>
      </w:fldSimple>
      <w:r>
        <w:t>쪽</w:t>
      </w:r>
      <w:r>
        <w:t xml:space="preserve"> · </w:t>
      </w:r>
      <w:hyperlink w:anchor="topic_85">
        <w:r>
          <w:t xml:space="preserve">85 사례 C GPU 1024개 확장 설계의 경계 </w:t>
        </w:r>
      </w:hyperlink>
      <w:fldSimple w:instr=" PAGEREF topic_85 \h ">
        <w:r>
          <w:t>110</w:t>
        </w:r>
      </w:fldSimple>
      <w:r>
        <w:t>쪽</w:t>
      </w:r>
      <w:r>
        <w:t xml:space="preserve"> · </w:t>
      </w:r>
      <w:hyperlink w:anchor="topic_86">
        <w:r>
          <w:t xml:space="preserve">86 사례 C 링크 수와 비차단 대역폭 검산 </w:t>
        </w:r>
      </w:hyperlink>
      <w:fldSimple w:instr=" PAGEREF topic_86 \h ">
        <w:r>
          <w:t>111</w:t>
        </w:r>
      </w:fldSimple>
      <w:r>
        <w:t>쪽</w:t>
      </w:r>
      <w:r>
        <w:t xml:space="preserve"> · </w:t>
      </w:r>
      <w:hyperlink w:anchor="topic_87">
        <w:r>
          <w:t xml:space="preserve">87 사례 C 광섬유와 경로별 간선 산정 </w:t>
        </w:r>
      </w:hyperlink>
      <w:fldSimple w:instr=" PAGEREF topic_87 \h ">
        <w:r>
          <w:t>112</w:t>
        </w:r>
      </w:fldSimple>
      <w:r>
        <w:t>쪽</w:t>
      </w:r>
      <w:r>
        <w:t xml:space="preserve"> · </w:t>
      </w:r>
      <w:hyperlink w:anchor="topic_88">
        <w:r>
          <w:t xml:space="preserve">88 사례 C 랙 전력과 냉각 규모 </w:t>
        </w:r>
      </w:hyperlink>
      <w:fldSimple w:instr=" PAGEREF topic_88 \h ">
        <w:r>
          <w:t>113</w:t>
        </w:r>
      </w:fldSimple>
      <w:r>
        <w:t>쪽</w:t>
      </w:r>
      <w:r>
        <w:t xml:space="preserve"> · </w:t>
      </w:r>
      <w:hyperlink w:anchor="topic_89">
        <w:r>
          <w:t xml:space="preserve">89 사례 D PAM4 광링크와 접속점 변경 검증 </w:t>
        </w:r>
      </w:hyperlink>
      <w:fldSimple w:instr=" PAGEREF topic_89 \h ">
        <w:r>
          <w:t>114</w:t>
        </w:r>
      </w:fldSimple>
      <w:r>
        <w:t>쪽</w:t>
      </w:r>
      <w:r>
        <w:t xml:space="preserve"> · </w:t>
      </w:r>
      <w:hyperlink w:anchor="topic_90">
        <w:r>
          <w:t xml:space="preserve">90 사례 E 액냉 80kW와 CDU 예비 능력 </w:t>
        </w:r>
      </w:hyperlink>
      <w:fldSimple w:instr=" PAGEREF topic_90 \h ">
        <w:r>
          <w:t>117</w:t>
        </w:r>
      </w:fldSimple>
      <w:r>
        <w:t>쪽</w:t>
      </w:r>
    </w:p>
    <w:p>
      <w:pPr>
        <w:pStyle w:val="BodyText"/>
        <w:widowControl/>
      </w:pPr>
      <w:r>
        <w:rPr>
          <w:bCs/>
          <w:b/>
        </w:rPr>
        <w:t xml:space="preserve">9부 제공 웹사이트를 활용한 교육과 검증</w:t>
      </w:r>
    </w:p>
    <w:p>
      <w:pPr>
        <w:pStyle w:val="BodyText"/>
        <w:widowControl/>
      </w:pPr>
      <w:hyperlink w:anchor="topic_91">
        <w:r>
          <w:t xml:space="preserve">91 3D 디지털 트윈에서 따라갈 학습 경로 </w:t>
        </w:r>
      </w:hyperlink>
      <w:fldSimple w:instr=" PAGEREF topic_91 \h ">
        <w:r>
          <w:t>120</w:t>
        </w:r>
      </w:fldSimple>
      <w:r>
        <w:t>쪽</w:t>
      </w:r>
      <w:r>
        <w:t xml:space="preserve"> · </w:t>
      </w:r>
      <w:hyperlink w:anchor="topic_92">
        <w:r>
          <w:t xml:space="preserve">92 3D 표시값을 물리 모델로 해석하는 방법 </w:t>
        </w:r>
      </w:hyperlink>
      <w:fldSimple w:instr=" PAGEREF topic_92 \h ">
        <w:r>
          <w:t>121</w:t>
        </w:r>
      </w:fldSimple>
      <w:r>
        <w:t>쪽</w:t>
      </w:r>
      <w:r>
        <w:t xml:space="preserve"> · </w:t>
      </w:r>
      <w:hyperlink w:anchor="topic_93">
        <w:r>
          <w:t xml:space="preserve">93 BOM 도구의 입력을 요구조건표로 옮기기 </w:t>
        </w:r>
      </w:hyperlink>
      <w:fldSimple w:instr=" PAGEREF topic_93 \h ">
        <w:r>
          <w:t>122</w:t>
        </w:r>
      </w:fldSimple>
      <w:r>
        <w:t>쪽</w:t>
      </w:r>
      <w:r>
        <w:t xml:space="preserve"> · </w:t>
      </w:r>
      <w:hyperlink w:anchor="topic_94">
        <w:r>
          <w:t xml:space="preserve">94 웹 계산 결과의 독립 검산 절차 </w:t>
        </w:r>
      </w:hyperlink>
      <w:fldSimple w:instr=" PAGEREF topic_94 \h ">
        <w:r>
          <w:t>123</w:t>
        </w:r>
      </w:fldSimple>
      <w:r>
        <w:t>쪽</w:t>
      </w:r>
      <w:r>
        <w:t xml:space="preserve"> · </w:t>
      </w:r>
      <w:hyperlink w:anchor="topic_95">
        <w:r>
          <w:t xml:space="preserve">95 장애 시나리오를 발표에 활용하기 </w:t>
        </w:r>
      </w:hyperlink>
      <w:fldSimple w:instr=" PAGEREF topic_95 \h ">
        <w:r>
          <w:t>127</w:t>
        </w:r>
      </w:fldSimple>
      <w:r>
        <w:t>쪽</w:t>
      </w:r>
    </w:p>
    <w:p>
      <w:pPr>
        <w:pStyle w:val="BodyText"/>
        <w:widowControl/>
      </w:pPr>
      <w:r>
        <w:rPr>
          <w:bCs/>
          <w:b/>
        </w:rPr>
        <w:t xml:space="preserve">10부 실무 적용과 발표 부록</w:t>
      </w:r>
    </w:p>
    <w:p>
      <w:pPr>
        <w:pStyle w:val="BodyText"/>
        <w:widowControl/>
      </w:pPr>
      <w:hyperlink w:anchor="topic_96">
        <w:r>
          <w:t xml:space="preserve">96 설계 계산의 변수와 단위 사전 </w:t>
        </w:r>
      </w:hyperlink>
      <w:fldSimple w:instr=" PAGEREF topic_96 \h ">
        <w:r>
          <w:t>128</w:t>
        </w:r>
      </w:fldSimple>
      <w:r>
        <w:t>쪽</w:t>
      </w:r>
      <w:r>
        <w:t xml:space="preserve"> · </w:t>
      </w:r>
      <w:hyperlink w:anchor="topic_97">
        <w:r>
          <w:t xml:space="preserve">97 설계 결과표와 인수 기준 </w:t>
        </w:r>
      </w:hyperlink>
      <w:fldSimple w:instr=" PAGEREF topic_97 \h ">
        <w:r>
          <w:t>129</w:t>
        </w:r>
      </w:fldSimple>
      <w:r>
        <w:t>쪽</w:t>
      </w:r>
      <w:r>
        <w:t xml:space="preserve"> · </w:t>
      </w:r>
      <w:hyperlink w:anchor="topic_98">
        <w:r>
          <w:t xml:space="preserve">98 민감도 분석과 입력 오차의 영향 </w:t>
        </w:r>
      </w:hyperlink>
      <w:fldSimple w:instr=" PAGEREF topic_98 \h ">
        <w:r>
          <w:t>130</w:t>
        </w:r>
      </w:fldSimple>
      <w:r>
        <w:t>쪽</w:t>
      </w:r>
      <w:r>
        <w:t xml:space="preserve"> · </w:t>
      </w:r>
      <w:hyperlink w:anchor="topic_99">
        <w:r>
          <w:t xml:space="preserve">99 데이터센터 개론 발표 구성 </w:t>
        </w:r>
      </w:hyperlink>
      <w:fldSimple w:instr=" PAGEREF topic_99 \h ">
        <w:r>
          <w:t>133</w:t>
        </w:r>
      </w:fldSimple>
      <w:r>
        <w:t>쪽</w:t>
      </w:r>
      <w:r>
        <w:t xml:space="preserve"> · </w:t>
      </w:r>
      <w:hyperlink w:anchor="topic_100">
        <w:r>
          <w:t xml:space="preserve">100 실무 질문과 답변 </w:t>
        </w:r>
      </w:hyperlink>
      <w:fldSimple w:instr=" PAGEREF topic_100 \h ">
        <w:r>
          <w:t>134</w:t>
        </w:r>
      </w:fldSimple>
      <w:r>
        <w:t>쪽</w:t>
      </w:r>
    </w:p>
    <w:bookmarkEnd w:id="21"/>
    <w:bookmarkStart w:id="23" w:name="데이터센터를-자원-변환-시스템으로-이해하기"/>
    <w:p>
      <w:pPr>
        <w:pStyle w:val="Heading1"/>
        <w:keepNext/>
        <w:widowControl/>
      </w:pPr>
      <w:bookmarkStart w:id="1" w:name="topic_1"/>
      <w:r>
        <w:t xml:space="preserve">01 데이터센터를 자원 변환 시스템으로 이해하기</w:t>
      </w:r>
      <w:bookmarkEnd w:id="1"/>
    </w:p>
    <w:p>
      <w:pPr>
        <w:pStyle w:val="FirstParagraph"/>
        <w:widowControl/>
      </w:pPr>
      <w:r>
        <w:rPr>
          <w:bCs/>
          <w:b/>
        </w:rPr>
        <w:t xml:space="preserve">1부 데이터센터의 전체 구성</w:t>
      </w:r>
    </w:p>
    <w:p>
      <w:pPr>
        <w:pStyle w:val="BodyText"/>
        <w:widowControl/>
      </w:pPr>
      <w:r>
        <w:t xml:space="preserve">데이터센터는 전기와 냉각 자원을 이용해 계산·저장·통신 서비스를 지속적으로 제공하는 시설이다. 서버가 실제 업무를 수행하지만 서비스는 수전, 전원 분배, 열 배출, 외부 회선과 운영 절차가 함께 작동할 때 성립한다. 따라서 서버 사양표만으로 센터의 수용 능력을 판단할 수 없다.</w:t>
      </w:r>
    </w:p>
    <w:p>
      <w:pPr>
        <w:pStyle w:val="BodyText"/>
        <w:widowControl/>
      </w:pPr>
      <w:r>
        <w:t xml:space="preserve">설계의 출발점은 이용자가 원하는 서비스다. 동시 접속자 수, 응답시간, 데이터 보존기간 또는 AI 학습시간을 먼저 정하고 이를 IT 자원으로 변환한다. 이후 랙, 전력, 냉각과 회선의 요구량을 계산한다. 사업자가 제시하는 시설 MW와 고객이 사용할 수 있는 IT MW는 경계가 다를 수 있다.</w:t>
      </w:r>
    </w:p>
    <w:p>
      <w:pPr>
        <w:pStyle w:val="BodyText"/>
        <w:widowControl/>
      </w:pPr>
      <w:r>
        <w:t xml:space="preserve">정상 상태에서 모든 장비가 켜지는 것과 장애 중에도 서비스가 유지되는 것은 별도 조건이다. 전력과 통신의 예비 자원은 수량뿐 아니라 배치와 공통 경로까지 확인해야 한다. 같은 상위 전원을 공유하는 두 PDU는 완전한 독립 전원이 아니다.</w:t>
      </w:r>
    </w:p>
    <w:tbl>
      <w:tblPr>
        <w:tblStyle w:val="Table"/>
        <w:tblW w:type="dxa" w:w="986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096"/>
        <w:gridCol w:w="4392"/>
      </w:tblGrid>
      <w:tr>
        <w:trPr>
          <w:tblHeader w:val="true"/>
          <w:cantSplit/>
          <w:tblHeader/>
        </w:trPr>
        <w:tc>
          <w:tcPr>
            <w:tcW w:type="dxa" w:w="237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계층</w:t>
            </w:r>
          </w:p>
        </w:tc>
        <w:tc>
          <w:tcPr>
            <w:tcW w:type="dxa" w:w="309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입력</w:t>
            </w:r>
          </w:p>
        </w:tc>
        <w:tc>
          <w:tcPr>
            <w:tcW w:type="dxa" w:w="4392"/>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확인할 출력</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업무</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응답시간과 처리량</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필요한 IT 자원</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IT</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서버와 스토리지</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랙 수와 IT 전력</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시설</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IT 부하와 환경</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수전과 냉각 용량</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운영</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장애와 정비 조건</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서비스 연속성</w:t>
            </w:r>
          </w:p>
        </w:tc>
      </w:tr>
    </w:tbl>
    <w:bookmarkStart w:id="22" w:name="적용과-검증"/>
    <w:p>
      <w:pPr>
        <w:pStyle w:val="Heading2"/>
        <w:widowControl/>
      </w:pPr>
      <w:r>
        <w:t xml:space="preserve">적용과 검증</w:t>
      </w:r>
    </w:p>
    <w:p>
      <w:pPr>
        <w:pStyle w:val="FirstParagraph"/>
        <w:keepNext/>
        <w:widowControl/>
      </w:pPr>
      <w:r>
        <w:t xml:space="preserve">기본 산출물은 요구조건표, 단선 결선도, 네트워크 토폴로지, 랙 배치도와 케이블 접속표다. 각 도면에 같은 장비 ID를 사용하면 수량과 전력의 누락을 찾기 쉽다.</w:t>
      </w:r>
    </w:p>
    <w:p>
      <w:pPr>
        <w:pStyle w:val="BodyText"/>
        <w:widowControl/>
        <w:spacing w:before="160"/>
      </w:pPr>
      <w:r>
        <w:rPr>
          <w:sz w:val="17"/>
        </w:rPr>
        <w:t xml:space="preserve">근거 및 추가 읽기 [R03] [R12]</w:t>
      </w:r>
    </w:p>
    <w:bookmarkEnd w:id="22"/>
    <w:bookmarkEnd w:id="23"/>
    <w:bookmarkStart w:id="25" w:name="ai-데이터센터와-기업-서버실의-차이"/>
    <w:p>
      <w:pPr>
        <w:pStyle w:val="Heading2"/>
        <w:keepNext/>
        <w:keepLines/>
        <w:spacing w:after="100"/>
      </w:pPr>
      <w:r>
        <w:t>v1.4 독자를 위한 설계 검토 원칙</w:t>
      </w:r>
    </w:p>
    <w:p>
      <w:pPr>
        <w:pStyle w:val="BodyText"/>
        <w:keepLines/>
        <w:spacing w:after="100"/>
      </w:pPr>
      <w:r>
        <w:t>케이블·광연결 개발 실무자는 논리 인터페이스 수량을 케이지·모듈·광레인·광심수·커넥터·트렁크 본수로 순차 변환해야 한다. 이 과정에서 사용 광심수와 케이블 내장 심수, 모듈 구입 수량과 실제 광링크 수, 영구 링크와 채널 손실을 혼용하지 않는다.</w:t>
      </w:r>
    </w:p>
    <w:p>
      <w:pPr>
        <w:pStyle w:val="BodyText"/>
        <w:keepLines/>
        <w:spacing w:after="100"/>
      </w:pPr>
      <w:r>
        <w:t>본판의 결정 규칙은 ① 수치로 통과/실패가 증명되는 항목을 먼저 판정, ② 근거가 부족한 항목에는 대안을 최소 두 가지 제시, ③ 가정값과 시험·발주 전 확정값을 한 표에 분리, ④ 규격의 출판 상태와 조항 확인 수준을 병기하는 것이다.</w:t>
      </w:r>
    </w:p>
    <w:p>
      <w:pPr>
        <w:pStyle w:val="BodyText"/>
        <w:keepLines/>
        <w:spacing w:after="100"/>
      </w:pPr>
      <w:r>
        <w:t>목차의 페이지는 문서 렌더러·필드 갱신에 따라 바뀔 수 있다. 기존 100개 절의 번호는 유지한다. §94의 원래 표에서 웹 도구 결과 “미획득”은 실제 웹 UI를 실행하지 않았다는 의미이며, 새로 추가한 Node.js 소스 실행 검산과 명확히 구분한다.</w:t>
      </w:r>
    </w:p>
    <w:p>
      <w:pPr>
        <w:pStyle w:val="Heading1"/>
        <w:keepNext/>
        <w:widowControl/>
      </w:pPr>
      <w:bookmarkStart w:id="2" w:name="topic_2"/>
      <w:r>
        <w:t xml:space="preserve">02 AI 데이터센터와 기업 서버실의 차이</w:t>
      </w:r>
      <w:bookmarkEnd w:id="2"/>
    </w:p>
    <w:p>
      <w:pPr>
        <w:pStyle w:val="FirstParagraph"/>
        <w:widowControl/>
      </w:pPr>
      <w:r>
        <w:rPr>
          <w:bCs/>
          <w:b/>
        </w:rPr>
        <w:t xml:space="preserve">1부 데이터센터의 전체 구성</w:t>
      </w:r>
    </w:p>
    <w:p>
      <w:pPr>
        <w:pStyle w:val="BodyText"/>
        <w:widowControl/>
      </w:pPr>
      <w:r>
        <w:t xml:space="preserve">AI 데이터센터는 GPU나 다른 가속기를 중심으로 학습·추론 업무를 수행한다. 기업 서버실은 업무시스템, 파일 서비스, 가상화와 백업 등 여러 업무를 수용한다. AI라는 이름이 시설의 소유 방식이나 규모를 결정하지는 않는다. 기업 내부에도 AI 서버실이 있을 수 있다.</w:t>
      </w:r>
    </w:p>
    <w:p>
      <w:pPr>
        <w:pStyle w:val="BodyText"/>
        <w:widowControl/>
      </w:pPr>
      <w:r>
        <w:t xml:space="preserve">학습 작업은 여러 서버의 GPU가 자주 데이터를 교환하므로 서버 간 네트워크가 성능을 좌우한다. 추론 서비스는 모델 크기, 동시 요청과 지연시간이 중요하다. 같은 GPU 수라도 업무 특성에 따라 필요한 NIC와 저장장치가 달라진다.</w:t>
      </w:r>
    </w:p>
    <w:p>
      <w:pPr>
        <w:pStyle w:val="BodyText"/>
        <w:widowControl/>
      </w:pPr>
      <w:r>
        <w:t xml:space="preserve">GPU 전력만 합산하면 CPU, 메모리, 팬과 전원 변환 손실이 빠진다. 시스템 전체 소비전력 사양 또는 실제 AC 입력 측정값을 사용하고, 장비 팬이 요구하는 공기 흐름과 시설의 열 제거 능력을 따로 검토한다.</w:t>
      </w:r>
    </w:p>
    <w:tbl>
      <w:tblPr>
        <w:tblStyle w:val="Table"/>
        <w:tblW w:type="dxa" w:w="986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096"/>
        <w:gridCol w:w="4392"/>
      </w:tblGrid>
      <w:tr>
        <w:trPr>
          <w:tblHeader w:val="true"/>
          <w:cantSplit/>
          <w:tblHeader/>
        </w:trPr>
        <w:tc>
          <w:tcPr>
            <w:tcW w:type="dxa" w:w="237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항목</w:t>
            </w:r>
          </w:p>
        </w:tc>
        <w:tc>
          <w:tcPr>
            <w:tcW w:type="dxa" w:w="309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기업 서버실</w:t>
            </w:r>
          </w:p>
        </w:tc>
        <w:tc>
          <w:tcPr>
            <w:tcW w:type="dxa" w:w="4392"/>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AI 중심 시설</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주요 업무</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업무시스템과 저장</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학습과 추론</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성능 관점</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응답시간과 IOPS</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GPU 메모리와 통신</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전력 검토</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장비별 합산</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고밀도와 부하 변동</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배선 관점</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업무망과 관리망</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연산망과 저장망 분리</w:t>
            </w:r>
          </w:p>
        </w:tc>
      </w:tr>
    </w:tbl>
    <w:bookmarkStart w:id="24" w:name="적용과-검증-1"/>
    <w:p>
      <w:pPr>
        <w:pStyle w:val="Heading2"/>
        <w:widowControl/>
      </w:pPr>
      <w:r>
        <w:t xml:space="preserve">적용과 검증</w:t>
      </w:r>
    </w:p>
    <w:p>
      <w:pPr>
        <w:pStyle w:val="FirstParagraph"/>
        <w:keepNext/>
        <w:widowControl/>
      </w:pPr>
      <w:r>
        <w:t xml:space="preserve">기업 서버실의 기존 랙에 GPU 서버를 추가할 때는 빈 RU보다 분기회로와 냉각 여유를 먼저 확인한다. 고밀도 랙 한 개가 기존 여러 랙에 해당하는 부하를 요구할 수 있다.</w:t>
      </w:r>
    </w:p>
    <w:p>
      <w:pPr>
        <w:pStyle w:val="BodyText"/>
        <w:widowControl/>
        <w:spacing w:before="160"/>
      </w:pPr>
      <w:r>
        <w:rPr>
          <w:sz w:val="17"/>
        </w:rPr>
        <w:t xml:space="preserve">근거 및 추가 읽기 [R13] [R18]</w:t>
      </w:r>
    </w:p>
    <w:bookmarkEnd w:id="24"/>
    <w:bookmarkEnd w:id="25"/>
    <w:bookmarkStart w:id="27" w:name="온프레미스와-클라우드의-관계"/>
    <w:p>
      <w:pPr>
        <w:pStyle w:val="Heading1"/>
        <w:keepNext/>
        <w:widowControl/>
      </w:pPr>
      <w:bookmarkStart w:id="3" w:name="topic_3"/>
      <w:r>
        <w:t xml:space="preserve">03 온프레미스와 클라우드의 관계</w:t>
      </w:r>
      <w:bookmarkEnd w:id="3"/>
    </w:p>
    <w:p>
      <w:pPr>
        <w:pStyle w:val="FirstParagraph"/>
        <w:widowControl/>
      </w:pPr>
      <w:r>
        <w:rPr>
          <w:bCs/>
          <w:b/>
        </w:rPr>
        <w:t xml:space="preserve">1부 데이터센터의 전체 구성</w:t>
      </w:r>
    </w:p>
    <w:p>
      <w:pPr>
        <w:pStyle w:val="BodyText"/>
        <w:widowControl/>
      </w:pPr>
      <w:r>
        <w:t xml:space="preserve">온프레미스는 조직이 관리하는 자체 환경에 IT 자원을 구축하는 방식을 뜻한다. 회사 건물의 서버실은 대표 사례지만 위치, 소유권과 운영 책임은 구분해서 정의해야 한다. 코로케이션에 설치한 고객 소유 서버도 자체 관리 인프라로 운영할 수 있다.</w:t>
      </w:r>
    </w:p>
    <w:p>
      <w:pPr>
        <w:pStyle w:val="BodyText"/>
        <w:widowControl/>
      </w:pPr>
      <w:r>
        <w:t xml:space="preserve">클라우드는 단순히 외부 건물에 서버가 있다는 뜻이 아니다. NIST는 자원을 필요에 따라 제공하는 특성과 서비스·배치 모델을 구분한다. 사내 환경에도 자동화와 자원 풀을 갖춘 프라이빗 클라우드를 구축할 수 있다. 반대로 원격 서버 한 대 임대가 모든 클라우드 특성을 갖추는 것은 아니다.</w:t>
      </w:r>
    </w:p>
    <w:p>
      <w:pPr>
        <w:pStyle w:val="BodyText"/>
        <w:widowControl/>
      </w:pPr>
      <w:r>
        <w:t xml:space="preserve">설계 실무에서는 누가 서버를 구매하고 누가 UPS를 운영하며 누가 장애를 복구하는지 책임을 분리한다. 소유권과 물리적 설치 장소만으로 보안, 운영인력과 비용의 우열을 일괄 판단하지 않는다.</w:t>
      </w:r>
    </w:p>
    <w:tbl>
      <w:tblPr>
        <w:tblStyle w:val="Table"/>
        <w:tblW w:type="dxa" w:w="986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096"/>
        <w:gridCol w:w="4392"/>
      </w:tblGrid>
      <w:tr>
        <w:trPr>
          <w:tblHeader w:val="true"/>
          <w:cantSplit/>
          <w:tblHeader/>
        </w:trPr>
        <w:tc>
          <w:tcPr>
            <w:tcW w:type="dxa" w:w="237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차원</w:t>
            </w:r>
          </w:p>
        </w:tc>
        <w:tc>
          <w:tcPr>
            <w:tcW w:type="dxa" w:w="309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선택지</w:t>
            </w:r>
          </w:p>
        </w:tc>
        <w:tc>
          <w:tcPr>
            <w:tcW w:type="dxa" w:w="4392"/>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실무 질문</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설치 장소</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사내와 외부 센터</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회선 지연과 출입은 적절한가</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소유권</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자사와 사업자</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장비 교체 책임은 누구인가</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서비스 방식</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전용과 자원 풀</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자동 확장과 계량이 가능한가</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운영 책임</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직접과 위탁</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장애 대응 경계는 어디인가</w:t>
            </w:r>
          </w:p>
        </w:tc>
      </w:tr>
    </w:tbl>
    <w:bookmarkStart w:id="26" w:name="적용과-검증-2"/>
    <w:p>
      <w:pPr>
        <w:pStyle w:val="Heading2"/>
        <w:widowControl/>
      </w:pPr>
      <w:r>
        <w:t xml:space="preserve">적용과 검증</w:t>
      </w:r>
    </w:p>
    <w:p>
      <w:pPr>
        <w:pStyle w:val="FirstParagraph"/>
        <w:keepNext/>
        <w:widowControl/>
      </w:pPr>
      <w:r>
        <w:t xml:space="preserve">발표에서는 AI, 온프레미스, 코로케이션을 서로 배타적인 세 종류로 그리지 않는다. AI는 업무 성격, 온프레미스는 배치·운영 방식, 코로케이션은 시설 이용 방식이라는 서로 다른 축이다.</w:t>
      </w:r>
    </w:p>
    <w:p>
      <w:pPr>
        <w:pStyle w:val="BodyText"/>
        <w:widowControl/>
        <w:spacing w:before="160"/>
      </w:pPr>
      <w:r>
        <w:rPr>
          <w:sz w:val="17"/>
        </w:rPr>
        <w:t xml:space="preserve">근거 및 추가 읽기 [R05] [R06]</w:t>
      </w:r>
    </w:p>
    <w:bookmarkEnd w:id="26"/>
    <w:bookmarkEnd w:id="27"/>
    <w:bookmarkStart w:id="29" w:name="코로케이션의-서비스와-책임-경계"/>
    <w:p>
      <w:pPr>
        <w:pStyle w:val="Heading1"/>
        <w:keepNext/>
        <w:widowControl/>
      </w:pPr>
      <w:bookmarkStart w:id="4" w:name="topic_4"/>
      <w:r>
        <w:t xml:space="preserve">04 코로케이션의 서비스와 책임 경계</w:t>
      </w:r>
      <w:bookmarkEnd w:id="4"/>
    </w:p>
    <w:p>
      <w:pPr>
        <w:pStyle w:val="FirstParagraph"/>
        <w:widowControl/>
      </w:pPr>
      <w:r>
        <w:rPr>
          <w:bCs/>
          <w:b/>
        </w:rPr>
        <w:t xml:space="preserve">1부 데이터센터의 전체 구성</w:t>
      </w:r>
    </w:p>
    <w:p>
      <w:pPr>
        <w:pStyle w:val="BodyText"/>
        <w:widowControl/>
      </w:pPr>
      <w:r>
        <w:t xml:space="preserve">코로케이션은 고객 장비를 사업자의 데이터센터 공간에 설치하고 전력·냉각·물리 보안 등의 시설 서비스를 이용하는 방식이다. 고객은 서버 운영체제와 애플리케이션을 관리하고 사업자는 시설을 운영하는 구성이 흔하지만 실제 책임은 계약으로 정한다.</w:t>
      </w:r>
    </w:p>
    <w:p>
      <w:pPr>
        <w:pStyle w:val="BodyText"/>
        <w:widowControl/>
      </w:pPr>
      <w:r>
        <w:t xml:space="preserve">랙 한 개의 임대료만 비교하면 비용을 잘못 이해할 수 있다. 전력 예약, 실사용 에너지, 교차 연결, 원격 작업, 반입과 설치 서비스가 각각 과금될 수 있다. 전력 계약이 kW인지 kVA인지, A와 B 전원 합산인지 한 계통 기준인지 확인한다.</w:t>
      </w:r>
    </w:p>
    <w:p>
      <w:pPr>
        <w:pStyle w:val="BodyText"/>
        <w:widowControl/>
      </w:pPr>
      <w:r>
        <w:t xml:space="preserve">시설에 이중 전원이 있어도 고객 장비가 단일 전원만 연결되어 있으면 그 장비는 해당 분기 장애의 영향을 받는다. 임대 시설의 능력과 고객 구성의 장애 내성을 나눠 검토해야 한다.</w:t>
      </w:r>
    </w:p>
    <w:tbl>
      <w:tblPr>
        <w:tblStyle w:val="Table"/>
        <w:tblW w:type="dxa" w:w="986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096"/>
        <w:gridCol w:w="4392"/>
      </w:tblGrid>
      <w:tr>
        <w:trPr>
          <w:tblHeader w:val="true"/>
          <w:cantSplit/>
          <w:tblHeader/>
        </w:trPr>
        <w:tc>
          <w:tcPr>
            <w:tcW w:type="dxa" w:w="237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책임 영역</w:t>
            </w:r>
          </w:p>
        </w:tc>
        <w:tc>
          <w:tcPr>
            <w:tcW w:type="dxa" w:w="309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통상 담당</w:t>
            </w:r>
          </w:p>
        </w:tc>
        <w:tc>
          <w:tcPr>
            <w:tcW w:type="dxa" w:w="4392"/>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계약에서 확인할 사항</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수전과 냉각</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시설 사업자</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제공 용량과 유지보수</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서버 운영</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고객</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패치와 백업 및 복구</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교차 연결</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사업자와 고객</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분계점과 인수 시험</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현장 작업</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직접 또는 위탁</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작업 범위와 대응시간</w:t>
            </w:r>
          </w:p>
        </w:tc>
      </w:tr>
    </w:tbl>
    <w:bookmarkStart w:id="28" w:name="적용과-검증-3"/>
    <w:p>
      <w:pPr>
        <w:pStyle w:val="Heading2"/>
        <w:widowControl/>
      </w:pPr>
      <w:r>
        <w:t xml:space="preserve">적용과 검증</w:t>
      </w:r>
    </w:p>
    <w:p>
      <w:pPr>
        <w:pStyle w:val="FirstParagraph"/>
        <w:keepNext/>
        <w:widowControl/>
      </w:pPr>
      <w:r>
        <w:t xml:space="preserve">계약 검토표에는 랙별 허용 부하, 전원 장애 시 공급 가능량, 냉각 방식, 통신 분계점, 작업 승인 절차와 서비스 크레딧 조건을 별도 항목으로 둔다.</w:t>
      </w:r>
    </w:p>
    <w:p>
      <w:pPr>
        <w:pStyle w:val="BodyText"/>
        <w:widowControl/>
        <w:spacing w:before="160"/>
      </w:pPr>
      <w:r>
        <w:rPr>
          <w:sz w:val="17"/>
        </w:rPr>
        <w:t xml:space="preserve">근거 및 추가 읽기 [R06] [R07]</w:t>
      </w:r>
    </w:p>
    <w:bookmarkEnd w:id="28"/>
    <w:bookmarkEnd w:id="29"/>
    <w:bookmarkStart w:id="32" w:name="연산-저장-통신의-세-자원"/>
    <w:p>
      <w:pPr>
        <w:pStyle w:val="Heading1"/>
        <w:keepNext/>
        <w:widowControl/>
      </w:pPr>
      <w:bookmarkStart w:id="5" w:name="topic_5"/>
      <w:r>
        <w:t xml:space="preserve">05 연산 저장 통신의 세 자원</w:t>
      </w:r>
      <w:bookmarkEnd w:id="5"/>
    </w:p>
    <w:p>
      <w:pPr>
        <w:pStyle w:val="FirstParagraph"/>
        <w:widowControl/>
      </w:pPr>
      <w:r>
        <w:rPr>
          <w:bCs/>
          <w:b/>
        </w:rPr>
        <w:t xml:space="preserve">1부 데이터센터의 전체 구성</w:t>
      </w:r>
    </w:p>
    <w:p>
      <w:pPr>
        <w:pStyle w:val="BodyText"/>
        <w:widowControl/>
      </w:pPr>
      <w:r>
        <w:t xml:space="preserve">연산 용량은 CPU 코어 수나 GPU 개수만으로 표현할 수 없다. 명령 정밀도와 실제 작업 효율을 포함한 처리량으로 설명해야 한다. 저장은 용량뿐 아니라 지연시간과 초당 처리량을, 네트워크는 포트 속도뿐 아니라 병목과 혼잡을 확인한다.</w:t>
      </w:r>
    </w:p>
    <w:p>
      <w:pPr>
        <w:pStyle w:val="BodyText"/>
        <w:widowControl/>
      </w:pPr>
      <w:r>
        <w:t xml:space="preserve">학습 서버가 계산을 빨리 끝내도 데이터 로딩이 느리면 GPU가 기다린다. 반대로 저장장치 속도가 충분해도 집선망이 부족하면 동시에 읽는 서버 수가 늘 때 처리량이 줄어든다. 업무 흐름을 따라 각 단계의 처리시간을 나누는 것이 유용하다.</w:t>
      </w:r>
    </w:p>
    <w:p>
      <w:pPr>
        <w:pStyle w:val="BodyText"/>
        <w:widowControl/>
      </w:pPr>
      <w:r>
        <w:t xml:space="preserve">순차 단계의 총시간은 단계별 시간의 합이고 이상적인 파이프라인의 지속 처리량은 가장 느린 단계에 제한된다. 이 단순 모델은 전체 사양을 동시에 최대화하기보다 실제 병목을 먼저 찾게 한다.</w:t>
      </w:r>
    </w:p>
    <w:bookmarkStart w:id="30" w:name="계산식과-변수"/>
    <w:p>
      <w:pPr>
        <w:pStyle w:val="Heading2"/>
        <w:widowControl/>
      </w:pPr>
      <w:r>
        <w:t xml:space="preserve">계산식과 변수</w:t>
      </w:r>
    </w:p>
    <w:p>
      <w:pPr>
        <w:pStyle w:val="FirstParagraph"/>
        <w:widowControl/>
        <w:spacing w:line="252" w:lineRule="auto" w:before="100" w:after="180"/>
      </w:pPr>
      <m:oMathPara>
        <m:oMathParaPr>
          <m:jc m:val="center"/>
        </m:oMathParaPr>
        <m:oMath>
          <m:sSub>
            <m:e>
              <m:r>
                <m:t>T</m:t>
              </m:r>
            </m:e>
            <m:sub>
              <m:r>
                <m:t>j</m:t>
              </m:r>
              <m:r>
                <m:t>o</m:t>
              </m:r>
              <m:r>
                <m:t>b</m:t>
              </m:r>
            </m:sub>
          </m:sSub>
          <m:r>
            <m:rPr>
              <m:sty m:val="p"/>
            </m:rPr>
            <m:t>=</m:t>
          </m:r>
          <m:sSub>
            <m:e>
              <m:r>
                <m:t>T</m:t>
              </m:r>
            </m:e>
            <m:sub>
              <m:r>
                <m:t>r</m:t>
              </m:r>
              <m:r>
                <m:t>e</m:t>
              </m:r>
              <m:r>
                <m:t>a</m:t>
              </m:r>
              <m:r>
                <m:t>d</m:t>
              </m:r>
            </m:sub>
          </m:sSub>
          <m:r>
            <m:rPr>
              <m:sty m:val="p"/>
            </m:rPr>
            <m:t>+</m:t>
          </m:r>
          <m:sSub>
            <m:e>
              <m:r>
                <m:t>T</m:t>
              </m:r>
            </m:e>
            <m:sub>
              <m:r>
                <m:t>c</m:t>
              </m:r>
              <m:r>
                <m:t>o</m:t>
              </m:r>
              <m:r>
                <m:t>m</m:t>
              </m:r>
              <m:r>
                <m:t>p</m:t>
              </m:r>
              <m:r>
                <m:t>u</m:t>
              </m:r>
              <m:r>
                <m:t>t</m:t>
              </m:r>
              <m:r>
                <m:t>e</m:t>
              </m:r>
            </m:sub>
          </m:sSub>
          <m:r>
            <m:rPr>
              <m:sty m:val="p"/>
            </m:rPr>
            <m:t>+</m:t>
          </m:r>
          <m:sSub>
            <m:e>
              <m:r>
                <m:t>T</m:t>
              </m:r>
            </m:e>
            <m:sub>
              <m:r>
                <m:t>c</m:t>
              </m:r>
              <m:r>
                <m:t>o</m:t>
              </m:r>
              <m:r>
                <m:t>m</m:t>
              </m:r>
              <m:r>
                <m:t>m</m:t>
              </m:r>
              <m:r>
                <m:t>u</m:t>
              </m:r>
              <m:r>
                <m:t>n</m:t>
              </m:r>
              <m:r>
                <m:t>i</m:t>
              </m:r>
              <m:r>
                <m:t>c</m:t>
              </m:r>
              <m:r>
                <m:t>a</m:t>
              </m:r>
              <m:r>
                <m:t>t</m:t>
              </m:r>
              <m:r>
                <m:t>e</m:t>
              </m:r>
            </m:sub>
          </m:sSub>
          <m:r>
            <m:rPr>
              <m:sty m:val="p"/>
            </m:rPr>
            <m:t>+</m:t>
          </m:r>
          <m:sSub>
            <m:e>
              <m:r>
                <m:t>T</m:t>
              </m:r>
            </m:e>
            <m:sub>
              <m:r>
                <m:t>w</m:t>
              </m:r>
              <m:r>
                <m:t>r</m:t>
              </m:r>
              <m:r>
                <m:t>i</m:t>
              </m:r>
              <m:r>
                <m:t>t</m:t>
              </m:r>
              <m:r>
                <m:t>e</m:t>
              </m:r>
            </m:sub>
          </m:sSub>
        </m:oMath>
      </m:oMathPara>
    </w:p>
    <w:tbl>
      <w:tblPr>
        <w:tblStyle w:val="Table"/>
        <w:tblW w:type="dxa" w:w="986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096"/>
        <w:gridCol w:w="4392"/>
      </w:tblGrid>
      <w:tr>
        <w:trPr>
          <w:tblHeader w:val="true"/>
          <w:cantSplit/>
          <w:tblHeader/>
        </w:trPr>
        <w:tc>
          <w:tcPr>
            <w:tcW w:type="dxa" w:w="237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자원</w:t>
            </w:r>
          </w:p>
        </w:tc>
        <w:tc>
          <w:tcPr>
            <w:tcW w:type="dxa" w:w="309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대표 단위</w:t>
            </w:r>
          </w:p>
        </w:tc>
        <w:tc>
          <w:tcPr>
            <w:tcW w:type="dxa" w:w="4392"/>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잘못된 해석</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연산</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작업당 초와 FLOP/s</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GPU 개수만으로 성능 확정</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저장</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TB와 GB/s 및 IOPS</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원시 TB를 사용 가능 TB로 표시</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통신</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Gb/s와 지연시간</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포트 합계를 실제 앱 속도로 표시</w:t>
            </w:r>
          </w:p>
        </w:tc>
      </w:tr>
    </w:tbl>
    <w:bookmarkEnd w:id="30"/>
    <w:bookmarkStart w:id="31" w:name="적용과-검증-4"/>
    <w:p>
      <w:pPr>
        <w:pStyle w:val="Heading2"/>
        <w:widowControl/>
      </w:pPr>
      <w:r>
        <w:t xml:space="preserve">적용과 검증</w:t>
      </w:r>
    </w:p>
    <w:p>
      <w:pPr>
        <w:pStyle w:val="FirstParagraph"/>
        <w:keepNext/>
        <w:widowControl/>
      </w:pPr>
      <w:r>
        <w:t xml:space="preserve">예를 들어 계산 40분, 읽기 10분, 통신 8분, 저장 2분이면 총 60분이다. 계산만 2배 빨라져도 총시간은 40분이므로 전체 속도 향상은 1.5배다. 이는 장비 선택의 우선순위를 설명하는 직접 계산이다.</w:t>
      </w:r>
    </w:p>
    <w:p>
      <w:pPr>
        <w:pStyle w:val="BodyText"/>
        <w:widowControl/>
        <w:spacing w:before="160"/>
      </w:pPr>
      <w:r>
        <w:rPr>
          <w:sz w:val="17"/>
        </w:rPr>
        <w:t xml:space="preserve">근거 및 추가 읽기 [R18]</w:t>
      </w:r>
    </w:p>
    <w:bookmarkEnd w:id="31"/>
    <w:bookmarkEnd w:id="32"/>
    <w:bookmarkStart w:id="34" w:name="용량이라는-말의-다섯-가지-의미"/>
    <w:p>
      <w:pPr>
        <w:pStyle w:val="Heading1"/>
        <w:keepNext/>
        <w:widowControl/>
      </w:pPr>
      <w:bookmarkStart w:id="6" w:name="topic_6"/>
      <w:r>
        <w:t xml:space="preserve">06 용량이라는 말의 다섯 가지 의미</w:t>
      </w:r>
      <w:bookmarkEnd w:id="6"/>
    </w:p>
    <w:p>
      <w:pPr>
        <w:pStyle w:val="FirstParagraph"/>
        <w:widowControl/>
      </w:pPr>
      <w:r>
        <w:rPr>
          <w:bCs/>
          <w:b/>
        </w:rPr>
        <w:t xml:space="preserve">1부 데이터센터의 전체 구성</w:t>
      </w:r>
    </w:p>
    <w:p>
      <w:pPr>
        <w:pStyle w:val="BodyText"/>
        <w:widowControl/>
      </w:pPr>
      <w:r>
        <w:t xml:space="preserve">데이터센터 용량이라는 말에는 시설 전력, IT 전력, 설치 공간, 연산 능력과 저장 용량이 섞여 있다. 발표자료에는 숫자마다 경계를 붙여야 한다. 1MW 데이터센터가 반드시 IT에 1MW를 공급한다는 뜻은 아니며 1MW IT 시설이 일정한 GPU 개수를 보장하지도 않는다.</w:t>
      </w:r>
    </w:p>
    <w:p>
      <w:pPr>
        <w:pStyle w:val="BodyText"/>
        <w:widowControl/>
      </w:pPr>
      <w:r>
        <w:t xml:space="preserve">설계 용량은 시설이 수용할 수 있는 정격 능력이고, 설치 용량은 반입된 장비의 규모이며, 실사용량은 특정 시간에 측정한 값이다. 예약된 전력은 아직 장비가 없어도 다른 고객에게 판매할 수 없는 자원일 수 있다.</w:t>
      </w:r>
    </w:p>
    <w:p>
      <w:pPr>
        <w:pStyle w:val="BodyText"/>
        <w:widowControl/>
      </w:pPr>
      <w:r>
        <w:t xml:space="preserve">같은 표에서 여러 종류의 용량을 비교할 때는 정격·장애 조건·측정 기간을 함께 표시한다. 이 세 가지가 빠지면 확장 여력과 운전 효율을 혼동하게 된다.</w:t>
      </w:r>
    </w:p>
    <w:tbl>
      <w:tblPr>
        <w:tblStyle w:val="Table"/>
        <w:tblW w:type="dxa" w:w="986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096"/>
        <w:gridCol w:w="4392"/>
      </w:tblGrid>
      <w:tr>
        <w:trPr>
          <w:tblHeader w:val="true"/>
          <w:cantSplit/>
          <w:tblHeader/>
        </w:trPr>
        <w:tc>
          <w:tcPr>
            <w:tcW w:type="dxa" w:w="237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표현</w:t>
            </w:r>
          </w:p>
        </w:tc>
        <w:tc>
          <w:tcPr>
            <w:tcW w:type="dxa" w:w="309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의미</w:t>
            </w:r>
          </w:p>
        </w:tc>
        <w:tc>
          <w:tcPr>
            <w:tcW w:type="dxa" w:w="4392"/>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필요한 보충 정보</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시설 MW</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센터 전체 공급 경계</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IT 포함 여부</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IT MW</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IT 장비 수용 전력</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정상과 장애 조건</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랙 개수</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물리 설치 규모</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랙당 전력과 RU</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GPU 개수</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가속기 수량</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모델과 서버당 구성</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저장 TB</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데이터 수용 규모</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원시와 실효 및 복제</w:t>
            </w:r>
          </w:p>
        </w:tc>
      </w:tr>
    </w:tbl>
    <w:bookmarkStart w:id="33" w:name="적용과-검증-5"/>
    <w:p>
      <w:pPr>
        <w:pStyle w:val="Heading2"/>
        <w:widowControl/>
      </w:pPr>
      <w:r>
        <w:t xml:space="preserve">적용과 검증</w:t>
      </w:r>
    </w:p>
    <w:p>
      <w:pPr>
        <w:pStyle w:val="FirstParagraph"/>
        <w:keepNext/>
        <w:widowControl/>
      </w:pPr>
      <w:r>
        <w:t xml:space="preserve">설계 검토에서는 정격 1MW, 설치 700kW, 측정 피크 500kW를 별도 칸에 적는다. 설치 사양의 합과 실제 피크의 차이를 근거 없이 예비 전력으로 재판매하면 동시 고부하 시 문제가 생긴다.</w:t>
      </w:r>
    </w:p>
    <w:p>
      <w:pPr>
        <w:pStyle w:val="BodyText"/>
        <w:widowControl/>
        <w:spacing w:before="160"/>
      </w:pPr>
      <w:r>
        <w:rPr>
          <w:sz w:val="17"/>
        </w:rPr>
        <w:t xml:space="preserve">근거 및 추가 읽기 [R01] [R13]</w:t>
      </w:r>
    </w:p>
    <w:bookmarkEnd w:id="33"/>
    <w:bookmarkEnd w:id="34"/>
    <w:bookmarkStart w:id="39" w:name="전력-통신-냉각-경로의-전체-연결"/>
    <w:p>
      <w:pPr>
        <w:pStyle w:val="Heading1"/>
        <w:keepNext/>
        <w:widowControl/>
      </w:pPr>
      <w:bookmarkStart w:id="7" w:name="topic_7"/>
      <w:r>
        <w:t xml:space="preserve">07 전력 통신 냉각 경로의 전체 연결</w:t>
      </w:r>
      <w:bookmarkEnd w:id="7"/>
    </w:p>
    <w:p>
      <w:pPr>
        <w:pStyle w:val="FirstParagraph"/>
        <w:widowControl/>
      </w:pPr>
      <w:r>
        <w:rPr>
          <w:bCs/>
          <w:b/>
        </w:rPr>
        <w:t xml:space="preserve">1부 데이터센터의 전체 구성</w:t>
      </w:r>
    </w:p>
    <w:p>
      <w:pPr>
        <w:pStyle w:val="BodyText"/>
        <w:widowControl/>
      </w:pPr>
      <w:r>
        <w:t xml:space="preserve">전력은 외부 계통에서 변압기와 배전반을 지나 UPS와 랙 PDU를 통해 서버로 공급된다. 냉각은 서버의 열을 공기 또는 액체로 회수하고 열교환기와 냉동기 또는 외기 열교환 설비를 통해 실외로 배출한다. 통신은 외부 회선과 MMR을 거쳐 네트워크 장비와 서버를 연결한다.</w:t>
      </w:r>
    </w:p>
    <w:p>
      <w:pPr>
        <w:pStyle w:val="BodyText"/>
        <w:widowControl/>
      </w:pPr>
      <w:r>
        <w:t xml:space="preserve">세 경로는 서로 영향을 준다. GPU 부하가 증가하면 전력과 열이 함께 증가하고 네트워크 통신도 달라질 수 있다. UPS 장애 시 냉각 제어기나 펌프의 전원 경계가 다르면 서버에 전기가 남아도 냉각이 먼저 중단될 수 있다.</w:t>
      </w:r>
    </w:p>
    <w:p>
      <w:pPr>
        <w:pStyle w:val="BodyText"/>
        <w:widowControl/>
      </w:pPr>
      <w:r>
        <w:t xml:space="preserve">시설 설명 그림에는 흐름 방향과 경계 장비를 표시한다. 배관의 공급·환수, 광섬유의 송신·수신, 전력의 주전원·예비전원을 구분하면 장애가 어디로 전파되는지 추적할 수 있다.</w:t>
      </w:r>
    </w:p>
    <w:p>
      <w:pPr>
        <w:pStyle w:val="CaptionedFigure"/>
        <w:widowControl/>
        <w:spacing w:line="240" w:lineRule="auto" w:before="80" w:after="120"/>
      </w:pPr>
      <w:r>
        <w:drawing>
          <wp:inline>
            <wp:extent cx="5334000" cy="1445067"/>
            <wp:effectExtent b="0" l="0" r="0" t="0"/>
            <wp:docPr descr="개념도 전력 통신 냉각 경로의 전체 연결" title="" id="36" name="Picture"/>
            <a:graphic>
              <a:graphicData uri="http://schemas.openxmlformats.org/drawingml/2006/picture">
                <pic:pic>
                  <pic:nvPicPr>
                    <pic:cNvPr descr="/workspace/scratch/4cfa22a96ecd/data/flows.png" id="37" name="Picture"/>
                    <pic:cNvPicPr>
                      <a:picLocks noChangeArrowheads="1" noChangeAspect="1"/>
                    </pic:cNvPicPr>
                  </pic:nvPicPr>
                  <pic:blipFill>
                    <a:blip r:embed="rId35"/>
                    <a:stretch>
                      <a:fillRect/>
                    </a:stretch>
                  </pic:blipFill>
                  <pic:spPr bwMode="auto">
                    <a:xfrm>
                      <a:off x="0" y="0"/>
                      <a:ext cx="5334000" cy="1445067"/>
                    </a:xfrm>
                    <a:prstGeom prst="rect">
                      <a:avLst/>
                    </a:prstGeom>
                    <a:noFill/>
                    <a:ln w="9525">
                      <a:noFill/>
                      <a:headEnd/>
                      <a:tailEnd/>
                    </a:ln>
                  </pic:spPr>
                </pic:pic>
              </a:graphicData>
            </a:graphic>
          </wp:inline>
        </w:drawing>
      </w:r>
    </w:p>
    <w:p>
      <w:pPr>
        <w:pStyle w:val="ImageCaption"/>
        <w:widowControl/>
      </w:pPr>
      <w:r>
        <w:t xml:space="preserve">개념도 전력 통신 냉각 경로의 전체 연결</w:t>
      </w:r>
    </w:p>
    <w:tbl>
      <w:tblPr>
        <w:tblStyle w:val="Table"/>
        <w:tblW w:type="dxa" w:w="986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096"/>
        <w:gridCol w:w="4392"/>
      </w:tblGrid>
      <w:tr>
        <w:trPr>
          <w:tblHeader w:val="true"/>
          <w:cantSplit/>
          <w:tblHeader/>
        </w:trPr>
        <w:tc>
          <w:tcPr>
            <w:tcW w:type="dxa" w:w="237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경로</w:t>
            </w:r>
          </w:p>
        </w:tc>
        <w:tc>
          <w:tcPr>
            <w:tcW w:type="dxa" w:w="309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대표 연결</w:t>
            </w:r>
          </w:p>
        </w:tc>
        <w:tc>
          <w:tcPr>
            <w:tcW w:type="dxa" w:w="4392"/>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서버에 제공하는 것</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전력</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수전 UPS 랙 PDU</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허용 전압의 전력</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냉각</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열원 펌프 열교환기</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열 배출 능력</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통신</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MMR 집선 Leaf NIC</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데이터 전달 경로</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운영</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센서 제어기 관제</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상태 인지와 대응</w:t>
            </w:r>
          </w:p>
        </w:tc>
      </w:tr>
    </w:tbl>
    <w:bookmarkStart w:id="38" w:name="적용과-검증-6"/>
    <w:p>
      <w:pPr>
        <w:pStyle w:val="Heading2"/>
        <w:widowControl/>
      </w:pPr>
      <w:r>
        <w:t xml:space="preserve">적용과 검증</w:t>
      </w:r>
    </w:p>
    <w:p>
      <w:pPr>
        <w:pStyle w:val="FirstParagraph"/>
        <w:keepNext/>
        <w:widowControl/>
      </w:pPr>
      <w:r>
        <w:t xml:space="preserve">현장 검토는 서버 한 대를 골라 전원 두 경로, 연산망 경로, 관리망 경로와 열 배출 경로를 끝까지 따라가는 방식으로 시작한다. 중간 분계점이 불명확한 구간은 도면과 책임자를 보완한다.</w:t>
      </w:r>
    </w:p>
    <w:p>
      <w:pPr>
        <w:pStyle w:val="BodyText"/>
        <w:widowControl/>
        <w:spacing w:before="160"/>
      </w:pPr>
      <w:r>
        <w:rPr>
          <w:sz w:val="17"/>
        </w:rPr>
        <w:t xml:space="preserve">근거 및 추가 읽기 [R03] [R09]</w:t>
      </w:r>
    </w:p>
    <w:bookmarkEnd w:id="38"/>
    <w:bookmarkEnd w:id="39"/>
    <w:bookmarkStart w:id="42" w:name="설계-입력값과-요구조건표"/>
    <w:p>
      <w:pPr>
        <w:pStyle w:val="Heading1"/>
        <w:keepNext/>
        <w:widowControl/>
      </w:pPr>
      <w:bookmarkStart w:id="8" w:name="topic_8"/>
      <w:r>
        <w:t xml:space="preserve">08 설계 입력값과 요구조건표</w:t>
      </w:r>
      <w:bookmarkEnd w:id="8"/>
    </w:p>
    <w:p>
      <w:pPr>
        <w:pStyle w:val="FirstParagraph"/>
        <w:widowControl/>
      </w:pPr>
      <w:r>
        <w:rPr>
          <w:bCs/>
          <w:b/>
        </w:rPr>
        <w:t xml:space="preserve">1부 데이터센터의 전체 구성</w:t>
      </w:r>
    </w:p>
    <w:p>
      <w:pPr>
        <w:pStyle w:val="BodyText"/>
        <w:widowControl/>
      </w:pPr>
      <w:r>
        <w:t xml:space="preserve">재현 가능한 계산을 위해 입력값을 한곳에 관리한다. 업무 목표, 장비 사양, 시설 제한과 설계 정책을 구분하고 각 값에 단위와 출처를 붙인다. 최대 전력과 평균 전력을 같은 변수로 사용하지 않는다.</w:t>
      </w:r>
    </w:p>
    <w:p>
      <w:pPr>
        <w:pStyle w:val="BodyText"/>
        <w:widowControl/>
      </w:pPr>
      <w:r>
        <w:t xml:space="preserve">예비율은 무엇의 비율인지 정의해야 한다. 필요량에 10%를 추가하는 방식과 설치량의 10%를 비워두는 방식은 서로 다르다. 네트워크 예비 포트, 광섬유 예비 심수와 전력 여유는 각각 다른 위험을 다룬다.</w:t>
      </w:r>
    </w:p>
    <w:p>
      <w:pPr>
        <w:pStyle w:val="BodyText"/>
        <w:widowControl/>
      </w:pPr>
      <w:r>
        <w:t xml:space="preserve">스프레드시트나 웹 도구에는 입력 범위, 정수 조건과 허용 조합을 넣는다. 거리가 음수이거나 NIC 수가 소수인 입력을 차단하고 부적합한 광모듈 조합을 경고해야 한다.</w:t>
      </w:r>
    </w:p>
    <w:p>
      <w:pPr>
        <w:pStyle w:val="BodyText"/>
        <w:widowControl/>
      </w:pPr>
      <w:r>
        <w:t xml:space="preserve">두 예비 정책의 차이는 분모에서 나온다. 필요량 D에 여유 s를 더하면 D+Ds다. 설치량 C 중 s를 비워두려면 실제 사용 가능한 양이 C(1−s)이므로 C(1−s)≥D를 풀어야 한다. 이 때문에 같은 10%라는 표현도 입력의 정의가 다르면 결과가 달라진다.</w:t>
      </w:r>
    </w:p>
    <w:bookmarkStart w:id="40" w:name="계산식과-변수-1"/>
    <w:p>
      <w:pPr>
        <w:pStyle w:val="Heading2"/>
        <w:widowControl/>
      </w:pPr>
      <w:r>
        <w:t xml:space="preserve">계산식과 변수</w:t>
      </w:r>
    </w:p>
    <w:p>
      <w:pPr>
        <w:pStyle w:val="FirstParagraph"/>
        <w:widowControl/>
        <w:spacing w:line="252" w:lineRule="auto" w:before="100" w:after="180"/>
      </w:pPr>
      <m:oMathPara>
        <m:oMathParaPr>
          <m:jc m:val="center"/>
        </m:oMathParaPr>
        <m:oMath>
          <m:sSub>
            <m:e>
              <m:r>
                <m:t>C</m:t>
              </m:r>
            </m:e>
            <m:sub>
              <m:r>
                <m:t>i</m:t>
              </m:r>
              <m:r>
                <m:t>n</m:t>
              </m:r>
              <m:r>
                <m:t>s</m:t>
              </m:r>
              <m:r>
                <m:t>t</m:t>
              </m:r>
              <m:r>
                <m:t>a</m:t>
              </m:r>
              <m:r>
                <m:t>l</m:t>
              </m:r>
              <m:r>
                <m:t>l</m:t>
              </m:r>
              <m:r>
                <m:t>e</m:t>
              </m:r>
              <m:r>
                <m:t>d</m:t>
              </m:r>
            </m:sub>
          </m:sSub>
          <m:r>
            <m:rPr>
              <m:sty m:val="p"/>
            </m:rPr>
            <m:t>≥</m:t>
          </m:r>
          <m:r>
            <m:t>D</m:t>
          </m:r>
          <m:d>
            <m:dPr>
              <m:begChr m:val="("/>
              <m:endChr m:val=")"/>
              <m:sepChr m:val=""/>
              <m:grow/>
            </m:dPr>
            <m:e>
              <m:r>
                <m:t>1</m:t>
              </m:r>
              <m:r>
                <m:rPr>
                  <m:sty m:val="p"/>
                </m:rPr>
                <m:t>+</m:t>
              </m:r>
              <m:r>
                <m:t>s</m:t>
              </m:r>
            </m:e>
          </m:d>
        </m:oMath>
      </m:oMathPara>
    </w:p>
    <w:p>
      <w:pPr>
        <w:pStyle w:val="FirstParagraph"/>
        <w:widowControl/>
        <w:spacing w:line="252" w:lineRule="auto" w:before="100" w:after="180"/>
      </w:pPr>
      <m:oMathPara>
        <m:oMathParaPr>
          <m:jc m:val="center"/>
        </m:oMathParaPr>
        <m:oMath>
          <m:sSub>
            <m:e>
              <m:r>
                <m:t>C</m:t>
              </m:r>
            </m:e>
            <m:sub>
              <m:r>
                <m:t>i</m:t>
              </m:r>
              <m:r>
                <m:t>n</m:t>
              </m:r>
              <m:r>
                <m:t>s</m:t>
              </m:r>
              <m:r>
                <m:t>t</m:t>
              </m:r>
              <m:r>
                <m:t>a</m:t>
              </m:r>
              <m:r>
                <m:t>l</m:t>
              </m:r>
              <m:r>
                <m:t>l</m:t>
              </m:r>
              <m:r>
                <m:t>e</m:t>
              </m:r>
              <m:r>
                <m:t>d</m:t>
              </m:r>
            </m:sub>
          </m:sSub>
          <m:r>
            <m:rPr>
              <m:sty m:val="p"/>
            </m:rPr>
            <m:t>≥</m:t>
          </m:r>
          <m:f>
            <m:fPr>
              <m:type m:val="bar"/>
            </m:fPr>
            <m:num>
              <m:r>
                <m:t>D</m:t>
              </m:r>
            </m:num>
            <m:den>
              <m:r>
                <m:t>1</m:t>
              </m:r>
              <m:r>
                <m:rPr>
                  <m:sty m:val="p"/>
                </m:rPr>
                <m:t>−</m:t>
              </m:r>
              <m:r>
                <m:t>s</m:t>
              </m:r>
            </m:den>
          </m:f>
        </m:oMath>
      </m:oMathPara>
    </w:p>
    <w:tbl>
      <w:tblPr>
        <w:tblStyle w:val="Table"/>
        <w:tblW w:type="dxa" w:w="986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096"/>
        <w:gridCol w:w="4392"/>
      </w:tblGrid>
      <w:tr>
        <w:trPr>
          <w:tblHeader w:val="true"/>
          <w:cantSplit/>
          <w:tblHeader/>
        </w:trPr>
        <w:tc>
          <w:tcPr>
            <w:tcW w:type="dxa" w:w="237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입력 그룹</w:t>
            </w:r>
          </w:p>
        </w:tc>
        <w:tc>
          <w:tcPr>
            <w:tcW w:type="dxa" w:w="309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예시</w:t>
            </w:r>
          </w:p>
        </w:tc>
        <w:tc>
          <w:tcPr>
            <w:tcW w:type="dxa" w:w="4392"/>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관리 방법</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업무</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GPU 수와 처리량</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요구조건 ID</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제품</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전력과 포트와 RU</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공식 사양 문서</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현장</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전압과 거리와 냉각</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실측과 도면</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정책</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여유율과 이중화</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설계 승인 기록</w:t>
            </w:r>
          </w:p>
        </w:tc>
      </w:tr>
    </w:tbl>
    <w:bookmarkEnd w:id="40"/>
    <w:bookmarkStart w:id="41" w:name="적용과-검증-7"/>
    <w:p>
      <w:pPr>
        <w:pStyle w:val="Heading2"/>
        <w:widowControl/>
      </w:pPr>
      <w:r>
        <w:t xml:space="preserve">적용과 검증</w:t>
      </w:r>
    </w:p>
    <w:p>
      <w:pPr>
        <w:pStyle w:val="FirstParagraph"/>
        <w:keepNext/>
        <w:widowControl/>
      </w:pPr>
      <w:r>
        <w:t xml:space="preserve">D=100일 때 10% 추가는 110, 설치량의 10%를 예비로 남기려면 111.12 이상이다. 본문의 사례는 어느 방식을 썼는지 문장으로 명시한다.</w:t>
      </w:r>
    </w:p>
    <w:p>
      <w:pPr>
        <w:pStyle w:val="BodyText"/>
        <w:widowControl/>
        <w:spacing w:before="160"/>
      </w:pPr>
      <w:r>
        <w:rPr>
          <w:sz w:val="17"/>
        </w:rPr>
        <w:t xml:space="preserve">근거 및 추가 읽기 [R29]</w:t>
      </w:r>
    </w:p>
    <w:bookmarkEnd w:id="41"/>
    <w:bookmarkEnd w:id="42"/>
    <w:bookmarkStart w:id="44" w:name="표준-제조사-자료와-설계-가정의-구분"/>
    <w:p>
      <w:pPr>
        <w:pStyle w:val="Heading1"/>
        <w:keepNext/>
        <w:widowControl/>
      </w:pPr>
      <w:bookmarkStart w:id="9" w:name="topic_9"/>
      <w:r>
        <w:t xml:space="preserve">09 표준 제조사 자료와 설계 가정의 구분</w:t>
      </w:r>
      <w:bookmarkEnd w:id="9"/>
    </w:p>
    <w:p>
      <w:pPr>
        <w:pStyle w:val="FirstParagraph"/>
        <w:widowControl/>
      </w:pPr>
      <w:r>
        <w:rPr>
          <w:bCs/>
          <w:b/>
        </w:rPr>
        <w:t xml:space="preserve">1부 데이터센터의 전체 구성</w:t>
      </w:r>
    </w:p>
    <w:p>
      <w:pPr>
        <w:pStyle w:val="BodyText"/>
        <w:widowControl/>
      </w:pPr>
      <w:r>
        <w:t xml:space="preserve">표준은 공통 요구와 시험 방법의 기준이고 제조사 문서는 제품의 정격과 호환 조건을 설명한다. 설계자는 이를 현장 조건에 적용해 구성을 선택한다. 한 제조사의 권장 구성을 모든 센터의 의무사항으로 해석해서는 안 된다.</w:t>
      </w:r>
    </w:p>
    <w:p>
      <w:pPr>
        <w:pStyle w:val="BodyText"/>
        <w:widowControl/>
      </w:pPr>
      <w:r>
        <w:t xml:space="preserve">TIA-942-C는 데이터센터 물리 인프라를 다루고 ISO/IEC 30134-2는 PUE의 측정과 보고를 다룬다. ASHRAE 자료는 열환경과 냉각 검토에 활용한다. 이 문서는 공개 소개와 기술자료를 근거로 개념을 설명하며 유료 표준의 미확인 조항을 제시하지 않는다.</w:t>
      </w:r>
    </w:p>
    <w:p>
      <w:pPr>
        <w:pStyle w:val="BodyText"/>
        <w:widowControl/>
      </w:pPr>
      <w:r>
        <w:t xml:space="preserve">문서에 출처가 있다고 해서 모든 숫자가 실측값이 되는 것은 아니다. 특정 제품의 전력은 제품 사양, 랙당 배치 대수는 설계 선택, 부하율은 운영 가정, 계산된 총전력은 모델 결과라는 계보를 유지한다.</w:t>
      </w:r>
    </w:p>
    <w:tbl>
      <w:tblPr>
        <w:tblStyle w:val="Table"/>
        <w:tblW w:type="dxa" w:w="986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096"/>
        <w:gridCol w:w="4392"/>
      </w:tblGrid>
      <w:tr>
        <w:trPr>
          <w:tblHeader w:val="true"/>
          <w:cantSplit/>
          <w:tblHeader/>
        </w:trPr>
        <w:tc>
          <w:tcPr>
            <w:tcW w:type="dxa" w:w="237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근거 종류</w:t>
            </w:r>
          </w:p>
        </w:tc>
        <w:tc>
          <w:tcPr>
            <w:tcW w:type="dxa" w:w="309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예시</w:t>
            </w:r>
          </w:p>
        </w:tc>
        <w:tc>
          <w:tcPr>
            <w:tcW w:type="dxa" w:w="4392"/>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표시 방법</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공식 정의</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PUE와 표준 범위</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문헌 번호와 판본</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제품 사양</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8U와 최대 10.2kW</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제품명과 문서</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물리식</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열수지와 에너지</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변수와 단위</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설계 가정</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부하율 70%</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가정이라고 명시</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측정 결과</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전력계 로그</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측정 기간과 위치</w:t>
            </w:r>
          </w:p>
        </w:tc>
      </w:tr>
    </w:tbl>
    <w:bookmarkStart w:id="43" w:name="적용과-검증-8"/>
    <w:p>
      <w:pPr>
        <w:pStyle w:val="Heading2"/>
        <w:widowControl/>
      </w:pPr>
      <w:r>
        <w:t xml:space="preserve">적용과 검증</w:t>
      </w:r>
    </w:p>
    <w:p>
      <w:pPr>
        <w:pStyle w:val="FirstParagraph"/>
        <w:keepNext/>
        <w:widowControl/>
      </w:pPr>
      <w:r>
        <w:t xml:space="preserve">새 제품으로 변경할 때는 GPU 수만 바꾸지 말고 전력, 높이, 무게, 전원 코드, NIC와 냉각 요구를 함께 갱신한다. 입력표의 버전을 남겨야 계산 결과를 재현할 수 있다.</w:t>
      </w:r>
    </w:p>
    <w:p>
      <w:pPr>
        <w:pStyle w:val="BodyText"/>
        <w:widowControl/>
        <w:spacing w:before="160"/>
      </w:pPr>
      <w:r>
        <w:rPr>
          <w:sz w:val="17"/>
        </w:rPr>
        <w:t xml:space="preserve">근거 및 추가 읽기 [R01] [R03] [R04]</w:t>
      </w:r>
    </w:p>
    <w:bookmarkEnd w:id="43"/>
    <w:bookmarkEnd w:id="44"/>
    <w:bookmarkStart w:id="47" w:name="계산-검증과-실측-검증의-차이"/>
    <w:p>
      <w:pPr>
        <w:pStyle w:val="Heading1"/>
        <w:keepNext/>
        <w:widowControl/>
      </w:pPr>
      <w:bookmarkStart w:id="10" w:name="topic_10"/>
      <w:r>
        <w:t xml:space="preserve">10 계산 검증과 실측 검증의 차이</w:t>
      </w:r>
      <w:bookmarkEnd w:id="10"/>
    </w:p>
    <w:p>
      <w:pPr>
        <w:pStyle w:val="FirstParagraph"/>
        <w:widowControl/>
      </w:pPr>
      <w:r>
        <w:rPr>
          <w:bCs/>
          <w:b/>
        </w:rPr>
        <w:t xml:space="preserve">1부 데이터센터의 전체 구성</w:t>
      </w:r>
    </w:p>
    <w:p>
      <w:pPr>
        <w:pStyle w:val="BodyText"/>
        <w:widowControl/>
      </w:pPr>
      <w:r>
        <w:t xml:space="preserve">수학적 검증은 식의 단위, 보존법칙과 경계조건이 일치하는지 확인하는 작업이다. 사례 검증은 제품 사양을 입력해 산출한 구성의 요구량이 공급량 이하인지 판정한다. 두 검증 모두 중요하지만 실제 장비의 통신 성능과 열환경을 대신하지는 않는다.</w:t>
      </w:r>
    </w:p>
    <w:p>
      <w:pPr>
        <w:pStyle w:val="BodyText"/>
        <w:widowControl/>
      </w:pPr>
      <w:r>
        <w:t xml:space="preserve">계산의 교차검증에는 합산과 역산을 사용한다. 서버 전력을 합산한 값이 랙별 전력의 합과 같은지, 링크 수의 두 배가 양단 포트 수와 같은지 확인한다. 광섬유 길이는 케이블 길이에 내장 심수를 곱한 값으로도 검산할 수 있다.</w:t>
      </w:r>
    </w:p>
    <w:p>
      <w:pPr>
        <w:pStyle w:val="BodyText"/>
        <w:widowControl/>
      </w:pPr>
      <w:r>
        <w:t xml:space="preserve">현장 검증은 정상 운전뿐 아니라 예상되는 장애와 정비 상황을 포함한다. 계통 절체, 냉각 장치 정지와 광링크 단절 시험은 승인된 절차와 시험 범위에서 수행하며 서비스 영향과 복구 기준을 미리 정한다.</w:t>
      </w:r>
    </w:p>
    <w:p>
      <w:pPr>
        <w:pStyle w:val="BodyText"/>
        <w:widowControl/>
      </w:pPr>
      <w:r>
        <w:t xml:space="preserve">포트 보존식은 연결 하나가 두 종단을 가진다는 사실에서 나온다. 분기 조립품도 논리 링크별로 세면 동일한 검산이 가능하다. 광모듈 하우징 하나가 종단 여러 개를 수용하는 경우에는 종단 수를 모듈 수로 바로 바꾸지 않고 하우징당 인터페이스 수로 다시 나눈다.</w:t>
      </w:r>
    </w:p>
    <w:bookmarkStart w:id="45" w:name="계산식과-변수-2"/>
    <w:p>
      <w:pPr>
        <w:pStyle w:val="Heading2"/>
        <w:widowControl/>
      </w:pPr>
      <w:r>
        <w:t xml:space="preserve">계산식과 변수</w:t>
      </w:r>
    </w:p>
    <w:p>
      <w:pPr>
        <w:pStyle w:val="FirstParagraph"/>
        <w:widowControl/>
        <w:spacing w:line="252" w:lineRule="auto" w:before="100" w:after="180"/>
      </w:pPr>
      <m:oMathPara>
        <m:oMathParaPr>
          <m:jc m:val="center"/>
        </m:oMathParaPr>
        <m:oMath>
          <m:r>
            <m:rPr>
              <m:sty m:val="p"/>
            </m:rPr>
            <m:t>∑</m:t>
          </m:r>
          <m:sSub>
            <m:e>
              <m:r>
                <m:t>P</m:t>
              </m:r>
            </m:e>
            <m:sub>
              <m:r>
                <m:t>s</m:t>
              </m:r>
              <m:r>
                <m:t>e</m:t>
              </m:r>
              <m:r>
                <m:t>r</m:t>
              </m:r>
              <m:r>
                <m:t>v</m:t>
              </m:r>
              <m:r>
                <m:t>e</m:t>
              </m:r>
              <m:r>
                <m:t>r</m:t>
              </m:r>
            </m:sub>
          </m:sSub>
          <m:r>
            <m:rPr>
              <m:sty m:val="p"/>
            </m:rPr>
            <m:t>+</m:t>
          </m:r>
          <m:r>
            <m:rPr>
              <m:sty m:val="p"/>
            </m:rPr>
            <m:t>∑</m:t>
          </m:r>
          <m:sSub>
            <m:e>
              <m:r>
                <m:t>P</m:t>
              </m:r>
            </m:e>
            <m:sub>
              <m:r>
                <m:t>o</m:t>
              </m:r>
              <m:r>
                <m:t>t</m:t>
              </m:r>
              <m:r>
                <m:t>h</m:t>
              </m:r>
              <m:r>
                <m:t>e</m:t>
              </m:r>
              <m:r>
                <m:t>r</m:t>
              </m:r>
            </m:sub>
          </m:sSub>
          <m:r>
            <m:rPr>
              <m:sty m:val="p"/>
            </m:rPr>
            <m:t>=</m:t>
          </m:r>
          <m:r>
            <m:rPr>
              <m:sty m:val="p"/>
            </m:rPr>
            <m:t>∑</m:t>
          </m:r>
          <m:sSub>
            <m:e>
              <m:r>
                <m:t>P</m:t>
              </m:r>
            </m:e>
            <m:sub>
              <m:r>
                <m:t>r</m:t>
              </m:r>
              <m:r>
                <m:t>a</m:t>
              </m:r>
              <m:r>
                <m:t>c</m:t>
              </m:r>
              <m:r>
                <m:t>k</m:t>
              </m:r>
            </m:sub>
          </m:sSub>
        </m:oMath>
      </m:oMathPara>
    </w:p>
    <w:p>
      <w:pPr>
        <w:pStyle w:val="FirstParagraph"/>
        <w:widowControl/>
        <w:spacing w:line="252" w:lineRule="auto" w:before="100" w:after="180"/>
      </w:pPr>
      <m:oMathPara>
        <m:oMathParaPr>
          <m:jc m:val="center"/>
        </m:oMathParaPr>
        <m:oMath>
          <m:sSub>
            <m:e>
              <m:r>
                <m:t>N</m:t>
              </m:r>
            </m:e>
            <m:sub>
              <m:r>
                <m:t>p</m:t>
              </m:r>
              <m:r>
                <m:t>o</m:t>
              </m:r>
              <m:r>
                <m:t>r</m:t>
              </m:r>
              <m:r>
                <m:t>t</m:t>
              </m:r>
              <m:r>
                <m:rPr>
                  <m:sty m:val="p"/>
                </m:rPr>
                <m:t>,</m:t>
              </m:r>
              <m:r>
                <m:t>e</m:t>
              </m:r>
              <m:r>
                <m:t>n</m:t>
              </m:r>
              <m:r>
                <m:t>d</m:t>
              </m:r>
            </m:sub>
          </m:sSub>
          <m:r>
            <m:rPr>
              <m:sty m:val="p"/>
            </m:rPr>
            <m:t>=</m:t>
          </m:r>
          <m:r>
            <m:t>2</m:t>
          </m:r>
          <m:sSub>
            <m:e>
              <m:r>
                <m:t>N</m:t>
              </m:r>
            </m:e>
            <m:sub>
              <m:r>
                <m:t>l</m:t>
              </m:r>
              <m:r>
                <m:t>i</m:t>
              </m:r>
              <m:r>
                <m:t>n</m:t>
              </m:r>
              <m:r>
                <m:t>k</m:t>
              </m:r>
            </m:sub>
          </m:sSub>
        </m:oMath>
      </m:oMathPara>
    </w:p>
    <w:tbl>
      <w:tblPr>
        <w:tblStyle w:val="Table"/>
        <w:tblW w:type="dxa" w:w="986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096"/>
        <w:gridCol w:w="4392"/>
      </w:tblGrid>
      <w:tr>
        <w:trPr>
          <w:tblHeader w:val="true"/>
          <w:cantSplit/>
          <w:tblHeader/>
        </w:trPr>
        <w:tc>
          <w:tcPr>
            <w:tcW w:type="dxa" w:w="237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검증 단계</w:t>
            </w:r>
          </w:p>
        </w:tc>
        <w:tc>
          <w:tcPr>
            <w:tcW w:type="dxa" w:w="309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확인 내용</w:t>
            </w:r>
          </w:p>
        </w:tc>
        <w:tc>
          <w:tcPr>
            <w:tcW w:type="dxa" w:w="4392"/>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입증 범위</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단위 검증</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kW와 kWh 구분</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수식 구조</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수량 검산</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포트와 링크 일치</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계획의 일관성</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제약 검토</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공급량과 요구량</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사양상 수용 가능</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장비 시험</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성능과 호환성</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시험 조건의 동작</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현장 시험</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절체와 복구</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설치 환경의 동작</w:t>
            </w:r>
          </w:p>
        </w:tc>
      </w:tr>
    </w:tbl>
    <w:bookmarkEnd w:id="45"/>
    <w:bookmarkStart w:id="46" w:name="적용과-검증-9"/>
    <w:p>
      <w:pPr>
        <w:pStyle w:val="Heading2"/>
        <w:widowControl/>
      </w:pPr>
      <w:r>
        <w:t xml:space="preserve">적용과 검증</w:t>
      </w:r>
    </w:p>
    <w:p>
      <w:pPr>
        <w:pStyle w:val="FirstParagraph"/>
        <w:keepNext/>
        <w:widowControl/>
      </w:pPr>
      <w:r>
        <w:t xml:space="preserve">본 백서의 Case Study는 단위 검증과 계산 교차검산 및 사양상 제약 판정까지 수행한다. 실측하지 않은 값을 측정 결과로 표현하지 않으며 현장 시험에서 확인할 항목을 따로 제시한다.</w:t>
      </w:r>
    </w:p>
    <w:p>
      <w:pPr>
        <w:pStyle w:val="BodyText"/>
        <w:widowControl/>
        <w:spacing w:before="160"/>
      </w:pPr>
      <w:r>
        <w:rPr>
          <w:sz w:val="17"/>
        </w:rPr>
        <w:t xml:space="preserve">근거 및 추가 읽기 [R23] [R27]</w:t>
      </w:r>
    </w:p>
    <w:bookmarkEnd w:id="46"/>
    <w:bookmarkEnd w:id="47"/>
    <w:bookmarkStart w:id="49" w:name="white-zone의-기능과-설비-경계"/>
    <w:p>
      <w:pPr>
        <w:pStyle w:val="Heading1"/>
        <w:keepNext/>
        <w:widowControl/>
      </w:pPr>
      <w:bookmarkStart w:id="11" w:name="topic_11"/>
      <w:r>
        <w:t xml:space="preserve">11 White Zone의 기능과 설비 경계</w:t>
      </w:r>
      <w:bookmarkEnd w:id="11"/>
    </w:p>
    <w:p>
      <w:pPr>
        <w:pStyle w:val="FirstParagraph"/>
        <w:widowControl/>
      </w:pPr>
      <w:r>
        <w:rPr>
          <w:bCs/>
          <w:b/>
        </w:rPr>
        <w:t xml:space="preserve">2부 공간별 역할과 동작 원리</w:t>
      </w:r>
    </w:p>
    <w:p>
      <w:pPr>
        <w:pStyle w:val="BodyText"/>
        <w:widowControl/>
      </w:pPr>
      <w:r>
        <w:t xml:space="preserve">White Zone은 서버와 스토리지 등 IT 장비가 설치되는 공간을 뜻한다. 본 백서에서는 Data Hall, 랙 열, 통로와 랙에 부착된 IT 지원 장치를 중심으로 정의한다. 명칭보다 중요한 것은 열과 전력 및 케이블이 실제 어디에서 처리되는지다.</w:t>
      </w:r>
    </w:p>
    <w:p>
      <w:pPr>
        <w:pStyle w:val="BodyText"/>
        <w:widowControl/>
      </w:pPr>
      <w:r>
        <w:t xml:space="preserve">랙 전면에는 장비가 요구하는 흡입 공기를 공급하고 후면에서는 가열된 공기를 회수한다. 랙 PDU는 서버에 전원을 분배하며 ToR 또는 Leaf는 서버를 네트워크에 연결한다. 랙에 설치된 장치라고 모두 IT 전력으로 자동 분류하지 않고 측정 기준과 기능을 확인한다.</w:t>
      </w:r>
    </w:p>
    <w:p>
      <w:pPr>
        <w:pStyle w:val="BodyText"/>
        <w:widowControl/>
      </w:pPr>
      <w:r>
        <w:t xml:space="preserve">서버실 내 ODF나 분배 패널은 여러 곳에 있을 수 있다. 광패널이 있다는 이유로 그 공간 전체가 MMR이 되는 것은 아니다. 시설 도면에는 장치의 위치와 기능 분류를 따로 기록한다.</w:t>
      </w:r>
    </w:p>
    <w:tbl>
      <w:tblPr>
        <w:tblStyle w:val="Table"/>
        <w:tblW w:type="dxa" w:w="986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096"/>
        <w:gridCol w:w="4392"/>
      </w:tblGrid>
      <w:tr>
        <w:trPr>
          <w:tblHeader w:val="true"/>
          <w:cantSplit/>
          <w:tblHeader/>
        </w:trPr>
        <w:tc>
          <w:tcPr>
            <w:tcW w:type="dxa" w:w="237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요소</w:t>
            </w:r>
          </w:p>
        </w:tc>
        <w:tc>
          <w:tcPr>
            <w:tcW w:type="dxa" w:w="309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역할</w:t>
            </w:r>
          </w:p>
        </w:tc>
        <w:tc>
          <w:tcPr>
            <w:tcW w:type="dxa" w:w="4392"/>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설계 검토</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서버 랙</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연산과 저장 수용</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높이 깊이 하중</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랙 PDU</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분기 전원 분배</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전류와 콘센트 수</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ToR 또는 Leaf</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서버 집선</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포트와 업링크</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통로</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공급과 배기 분리</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정비와 공기 흐름</w:t>
            </w:r>
          </w:p>
        </w:tc>
      </w:tr>
    </w:tbl>
    <w:bookmarkStart w:id="48" w:name="적용과-검증-10"/>
    <w:p>
      <w:pPr>
        <w:pStyle w:val="Heading2"/>
        <w:widowControl/>
      </w:pPr>
      <w:r>
        <w:t xml:space="preserve">적용과 검증</w:t>
      </w:r>
    </w:p>
    <w:p>
      <w:pPr>
        <w:pStyle w:val="FirstParagraph"/>
        <w:keepNext/>
        <w:widowControl/>
      </w:pPr>
      <w:r>
        <w:t xml:space="preserve">빈 랙에 장비를 추가하기 전 RU, 전력, 냉각, 하중과 포트의 잔여량을 함께 확인한다. 한 항목이라도 부족하면 배치 대수를 줄이거나 시설을 보완한다.</w:t>
      </w:r>
    </w:p>
    <w:p>
      <w:pPr>
        <w:pStyle w:val="BodyText"/>
        <w:widowControl/>
        <w:spacing w:before="160"/>
      </w:pPr>
      <w:r>
        <w:rPr>
          <w:sz w:val="17"/>
        </w:rPr>
        <w:t xml:space="preserve">근거 및 추가 읽기 [R03] [R09] [R28]</w:t>
      </w:r>
    </w:p>
    <w:bookmarkEnd w:id="48"/>
    <w:bookmarkEnd w:id="49"/>
    <w:bookmarkStart w:id="51" w:name="gray-zone의-기능과-white-zone의-차이"/>
    <w:p>
      <w:pPr>
        <w:pStyle w:val="Heading1"/>
        <w:keepNext/>
        <w:widowControl/>
      </w:pPr>
      <w:bookmarkStart w:id="12" w:name="topic_12"/>
      <w:r>
        <w:t xml:space="preserve">12 Gray Zone의 기능과 White Zone의 차이</w:t>
      </w:r>
      <w:bookmarkEnd w:id="12"/>
    </w:p>
    <w:p>
      <w:pPr>
        <w:pStyle w:val="FirstParagraph"/>
        <w:widowControl/>
      </w:pPr>
      <w:r>
        <w:rPr>
          <w:bCs/>
          <w:b/>
        </w:rPr>
        <w:t xml:space="preserve">2부 공간별 역할과 동작 원리</w:t>
      </w:r>
    </w:p>
    <w:p>
      <w:pPr>
        <w:pStyle w:val="BodyText"/>
        <w:widowControl/>
      </w:pPr>
      <w:r>
        <w:t xml:space="preserve">Gray Zone은 IT 서비스에 필요한 전기·기계 지원 공간이다. UPS와 배터리실, 배전반, 펌프실과 정비 공간 등이 해당한다. 실무에서는 외부 야드와 냉각 플랜트를 별도 구역으로 표시하기도 한다. 이 문서는 기능을 먼저 정의하고 세부 위치를 나눈다.</w:t>
      </w:r>
    </w:p>
    <w:p>
      <w:pPr>
        <w:pStyle w:val="BodyText"/>
        <w:widowControl/>
      </w:pPr>
      <w:r>
        <w:t xml:space="preserve">White Zone의 목표는 IT가 안정적으로 일할 환경을 유지하는 것이고 Gray Zone의 목표는 그 환경을 제공하는 것이다. 전기실의 먼지·소음·발열과 정비 작업이 서버실로 영향을 주지 않게 접근 경로를 계획한다.</w:t>
      </w:r>
    </w:p>
    <w:p>
      <w:pPr>
        <w:pStyle w:val="BodyText"/>
        <w:widowControl/>
      </w:pPr>
      <w:r>
        <w:t xml:space="preserve">Carrier, MMR과 ODF를 UPS와 한 구역으로 묶으면 통신과 시설 지원의 책임이 흐려진다. MMR은 별도 통신 인입 공간으로 다루고, 랙 내부 CDU처럼 경계에 놓이는 장치는 위치와 기능을 모두 표기한다.</w:t>
      </w:r>
    </w:p>
    <w:tbl>
      <w:tblPr>
        <w:tblStyle w:val="Table"/>
        <w:tblW w:type="dxa" w:w="986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096"/>
        <w:gridCol w:w="4392"/>
      </w:tblGrid>
      <w:tr>
        <w:trPr>
          <w:tblHeader w:val="true"/>
          <w:cantSplit/>
          <w:tblHeader/>
        </w:trPr>
        <w:tc>
          <w:tcPr>
            <w:tcW w:type="dxa" w:w="237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비교</w:t>
            </w:r>
          </w:p>
        </w:tc>
        <w:tc>
          <w:tcPr>
            <w:tcW w:type="dxa" w:w="309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Gray Zone</w:t>
            </w:r>
          </w:p>
        </w:tc>
        <w:tc>
          <w:tcPr>
            <w:tcW w:type="dxa" w:w="4392"/>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White Zone</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핵심 기능</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전기와 기계 지원</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IT 서비스 실행</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대표 설비</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UPS 배전 펌프</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서버 스토리지 Leaf</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주요 작업</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시설 정비와 절체</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IT 설치와 교체</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관리 관심</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에너지와 예비 능력</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서비스와 열환경</w:t>
            </w:r>
          </w:p>
        </w:tc>
      </w:tr>
    </w:tbl>
    <w:bookmarkStart w:id="50" w:name="적용과-검증-11"/>
    <w:p>
      <w:pPr>
        <w:pStyle w:val="Heading2"/>
        <w:widowControl/>
      </w:pPr>
      <w:r>
        <w:t xml:space="preserve">적용과 검증</w:t>
      </w:r>
    </w:p>
    <w:p>
      <w:pPr>
        <w:pStyle w:val="FirstParagraph"/>
        <w:keepNext/>
        <w:widowControl/>
      </w:pPr>
      <w:r>
        <w:t xml:space="preserve">Gray와 White는 모든 표준에서 동일하게 고정된 법정 구획 명칭은 아니다. 프로젝트의 공간 정의서에 MMR, 냉각 플랜트와 전기실을 어떻게 나눴는지 명시하면 혼선을 줄일 수 있다.</w:t>
      </w:r>
    </w:p>
    <w:p>
      <w:pPr>
        <w:pStyle w:val="BodyText"/>
        <w:widowControl/>
        <w:spacing w:before="160"/>
      </w:pPr>
      <w:r>
        <w:rPr>
          <w:sz w:val="17"/>
        </w:rPr>
        <w:t xml:space="preserve">근거 및 추가 읽기 [R03] [R28]</w:t>
      </w:r>
    </w:p>
    <w:bookmarkEnd w:id="50"/>
    <w:bookmarkEnd w:id="51"/>
    <w:bookmarkStart w:id="53" w:name="meet-me-room의-연결과-분계점"/>
    <w:p>
      <w:pPr>
        <w:pStyle w:val="Heading1"/>
        <w:keepNext/>
        <w:widowControl/>
      </w:pPr>
      <w:bookmarkStart w:id="13" w:name="topic_13"/>
      <w:r>
        <w:t xml:space="preserve">13 Meet Me Room의 연결과 분계점</w:t>
      </w:r>
      <w:bookmarkEnd w:id="13"/>
    </w:p>
    <w:p>
      <w:pPr>
        <w:pStyle w:val="FirstParagraph"/>
        <w:widowControl/>
      </w:pPr>
      <w:r>
        <w:rPr>
          <w:bCs/>
          <w:b/>
        </w:rPr>
        <w:t xml:space="preserve">2부 공간별 역할과 동작 원리</w:t>
      </w:r>
    </w:p>
    <w:p>
      <w:pPr>
        <w:pStyle w:val="BodyText"/>
        <w:widowControl/>
      </w:pPr>
      <w:r>
        <w:t xml:space="preserve">MMR은 통신사업자와 입주 고객의 회선을 접속하는 통신 연결 공간이다. 서로 다른 사업자의 케이블이 패널과 교차 연결을 통해 이어지고 고객 장비까지 회선이 연장된다. 외부 인터넷 연결, 전용회선과 클라우드 접속 경로의 물리적 접점으로 이해하면 된다.</w:t>
      </w:r>
    </w:p>
    <w:p>
      <w:pPr>
        <w:pStyle w:val="BodyText"/>
        <w:widowControl/>
      </w:pPr>
      <w:r>
        <w:t xml:space="preserve">MMR은 건물의 장소이며 인터넷 교환망 서비스 자체와는 다르다. 패널을 통해 광섬유를 연결했다고 자동으로 IP 서비스가 열리지는 않는다. 물리 접속 외에 포트 설정, 주소, 라우팅과 서비스 개통이 필요하다.</w:t>
      </w:r>
    </w:p>
    <w:p>
      <w:pPr>
        <w:pStyle w:val="BodyText"/>
        <w:widowControl/>
      </w:pPr>
      <w:r>
        <w:t xml:space="preserve">사업자 인입 케이블, MMR 패널과 고객 패널 사이에서 관리 주체가 바뀐다. 장애 위치를 빨리 찾으려면 각 구간의 ID, 소유자, 시험 결과와 분계점을 남겨야 한다.</w:t>
      </w:r>
    </w:p>
    <w:tbl>
      <w:tblPr>
        <w:tblStyle w:val="Table"/>
        <w:tblW w:type="dxa" w:w="986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096"/>
        <w:gridCol w:w="4392"/>
      </w:tblGrid>
      <w:tr>
        <w:trPr>
          <w:tblHeader w:val="true"/>
          <w:cantSplit/>
          <w:tblHeader/>
        </w:trPr>
        <w:tc>
          <w:tcPr>
            <w:tcW w:type="dxa" w:w="237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구간</w:t>
            </w:r>
          </w:p>
        </w:tc>
        <w:tc>
          <w:tcPr>
            <w:tcW w:type="dxa" w:w="309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역할</w:t>
            </w:r>
          </w:p>
        </w:tc>
        <w:tc>
          <w:tcPr>
            <w:tcW w:type="dxa" w:w="4392"/>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관리 자료</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외부 인입</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사업자 회선 도착</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케이블 경로와 인입점</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MMR 패널</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교차 연결 접점</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포트와 회선 ID</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고객까지 연장</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케이지 또는 랙 연결</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심선과 길이</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고객 장비</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서비스 종단</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광모듈과 라우팅</w:t>
            </w:r>
          </w:p>
        </w:tc>
      </w:tr>
    </w:tbl>
    <w:bookmarkStart w:id="52" w:name="적용과-검증-12"/>
    <w:p>
      <w:pPr>
        <w:pStyle w:val="Heading2"/>
        <w:widowControl/>
      </w:pPr>
      <w:r>
        <w:t xml:space="preserve">적용과 검증</w:t>
      </w:r>
    </w:p>
    <w:p>
      <w:pPr>
        <w:pStyle w:val="FirstParagraph"/>
        <w:keepNext/>
        <w:widowControl/>
      </w:pPr>
      <w:r>
        <w:t xml:space="preserve">독립 회선 두 개를 주문할 때는 사업자 이름뿐 아니라 건물 인입, MMR, 관로와 상위 경로의 공통 구간을 확인한다. 서로 다른 계약도 같은 관로 절단에 함께 영향을 받을 수 있다.</w:t>
      </w:r>
    </w:p>
    <w:p>
      <w:pPr>
        <w:pStyle w:val="BodyText"/>
        <w:widowControl/>
        <w:spacing w:before="160"/>
      </w:pPr>
      <w:r>
        <w:rPr>
          <w:sz w:val="17"/>
        </w:rPr>
        <w:t xml:space="preserve">근거 및 추가 읽기 [R07] [R08]</w:t>
      </w:r>
    </w:p>
    <w:bookmarkEnd w:id="52"/>
    <w:bookmarkEnd w:id="53"/>
    <w:bookmarkStart w:id="56" w:name="odf-패치패널과-교차-연결의-역할"/>
    <w:p>
      <w:pPr>
        <w:pStyle w:val="Heading1"/>
        <w:keepNext/>
        <w:widowControl/>
      </w:pPr>
      <w:bookmarkStart w:id="14" w:name="topic_14"/>
      <w:r>
        <w:t xml:space="preserve">14 ODF 패치패널과 교차 연결의 역할</w:t>
      </w:r>
      <w:bookmarkEnd w:id="14"/>
    </w:p>
    <w:p>
      <w:pPr>
        <w:pStyle w:val="FirstParagraph"/>
        <w:widowControl/>
      </w:pPr>
      <w:r>
        <w:rPr>
          <w:bCs/>
          <w:b/>
        </w:rPr>
        <w:t xml:space="preserve">2부 공간별 역할과 동작 원리</w:t>
      </w:r>
    </w:p>
    <w:p>
      <w:pPr>
        <w:pStyle w:val="BodyText"/>
        <w:widowControl/>
      </w:pPr>
      <w:r>
        <w:t xml:space="preserve">ODF는 광섬유를 종단하고 접속을 정리하는 분배 설비다. 패치패널은 장비 포트와 영구 배선을 연결하고 변경 작업을 표준화한다. 능동 스위치와 달리 수동 패널은 데이터 프레임을 판단하거나 경로를 자동으로 선택하지 않는다.</w:t>
      </w:r>
    </w:p>
    <w:p>
      <w:pPr>
        <w:pStyle w:val="BodyText"/>
        <w:widowControl/>
      </w:pPr>
      <w:r>
        <w:t xml:space="preserve">패널을 사용하면 장비 교체 때 긴 간선 케이블을 다시 포설하지 않아도 된다. 대신 접속점이 늘어나 삽입손실과 오접속 가능성을 검토해야 한다. 패널 수를 줄이는 설계와 운영 유연성을 높이는 설계 사이에 균형이 필요하다.</w:t>
      </w:r>
    </w:p>
    <w:p>
      <w:pPr>
        <w:pStyle w:val="BodyText"/>
        <w:widowControl/>
      </w:pPr>
      <w:r>
        <w:t xml:space="preserve">교차 연결은 양쪽 분계점 사이를 실제로 잇는 물리 경로다. 접속표에는 출발 랙·패널·포트와 도착 랙·패널·포트, 매체, 극성 및 시험값을 기록한다. 장비 이름만 적으면 변경 이후 추적이 어렵다.</w:t>
      </w:r>
    </w:p>
    <w:bookmarkStart w:id="54" w:name="계산식과-변수-3"/>
    <w:p>
      <w:pPr>
        <w:pStyle w:val="Heading2"/>
        <w:widowControl/>
      </w:pPr>
      <w:r>
        <w:t xml:space="preserve">계산식과 변수</w:t>
      </w:r>
    </w:p>
    <w:p>
      <w:pPr>
        <w:pStyle w:val="FirstParagraph"/>
        <w:widowControl/>
        <w:spacing w:line="252" w:lineRule="auto" w:before="100" w:after="180"/>
      </w:pPr>
      <m:oMathPara>
        <m:oMathParaPr>
          <m:jc m:val="center"/>
        </m:oMathParaPr>
        <m:oMath>
          <m:sSub>
            <m:e>
              <m:r>
                <m:t>L</m:t>
              </m:r>
            </m:e>
            <m:sub>
              <m:r>
                <m:t>c</m:t>
              </m:r>
              <m:r>
                <m:t>h</m:t>
              </m:r>
              <m:r>
                <m:t>a</m:t>
              </m:r>
              <m:r>
                <m:t>n</m:t>
              </m:r>
              <m:r>
                <m:t>n</m:t>
              </m:r>
              <m:r>
                <m:t>e</m:t>
              </m:r>
              <m:r>
                <m:t>l</m:t>
              </m:r>
            </m:sub>
          </m:sSub>
          <m:r>
            <m:rPr>
              <m:sty m:val="p"/>
            </m:rPr>
            <m:t>=</m:t>
          </m:r>
          <m:sSub>
            <m:e>
              <m:r>
                <m:t>L</m:t>
              </m:r>
            </m:e>
            <m:sub>
              <m:r>
                <m:t>f</m:t>
              </m:r>
              <m:r>
                <m:t>i</m:t>
              </m:r>
              <m:r>
                <m:t>b</m:t>
              </m:r>
              <m:r>
                <m:t>e</m:t>
              </m:r>
              <m:r>
                <m:t>r</m:t>
              </m:r>
            </m:sub>
          </m:sSub>
          <m:r>
            <m:rPr>
              <m:sty m:val="p"/>
            </m:rPr>
            <m:t>+</m:t>
          </m:r>
          <m:r>
            <m:rPr>
              <m:sty m:val="p"/>
            </m:rPr>
            <m:t>∑</m:t>
          </m:r>
          <m:sSub>
            <m:e>
              <m:r>
                <m:t>L</m:t>
              </m:r>
            </m:e>
            <m:sub>
              <m:r>
                <m:t>c</m:t>
              </m:r>
              <m:r>
                <m:t>o</m:t>
              </m:r>
              <m:r>
                <m:t>n</m:t>
              </m:r>
              <m:r>
                <m:t>n</m:t>
              </m:r>
              <m:r>
                <m:t>e</m:t>
              </m:r>
              <m:r>
                <m:t>c</m:t>
              </m:r>
              <m:r>
                <m:t>t</m:t>
              </m:r>
              <m:r>
                <m:t>i</m:t>
              </m:r>
              <m:r>
                <m:t>o</m:t>
              </m:r>
              <m:r>
                <m:t>n</m:t>
              </m:r>
            </m:sub>
          </m:sSub>
          <m:r>
            <m:rPr>
              <m:sty m:val="p"/>
            </m:rPr>
            <m:t>+</m:t>
          </m:r>
          <m:r>
            <m:rPr>
              <m:sty m:val="p"/>
            </m:rPr>
            <m:t>∑</m:t>
          </m:r>
          <m:sSub>
            <m:e>
              <m:r>
                <m:t>L</m:t>
              </m:r>
            </m:e>
            <m:sub>
              <m:r>
                <m:t>s</m:t>
              </m:r>
              <m:r>
                <m:t>p</m:t>
              </m:r>
              <m:r>
                <m:t>l</m:t>
              </m:r>
              <m:r>
                <m:t>i</m:t>
              </m:r>
              <m:r>
                <m:t>c</m:t>
              </m:r>
              <m:r>
                <m:t>e</m:t>
              </m:r>
            </m:sub>
          </m:sSub>
        </m:oMath>
      </m:oMathPara>
    </w:p>
    <w:tbl>
      <w:tblPr>
        <w:tblStyle w:val="Table"/>
        <w:tblW w:type="dxa" w:w="986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096"/>
        <w:gridCol w:w="4392"/>
      </w:tblGrid>
      <w:tr>
        <w:trPr>
          <w:tblHeader w:val="true"/>
          <w:cantSplit/>
          <w:tblHeader/>
        </w:trPr>
        <w:tc>
          <w:tcPr>
            <w:tcW w:type="dxa" w:w="237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구성품</w:t>
            </w:r>
          </w:p>
        </w:tc>
        <w:tc>
          <w:tcPr>
            <w:tcW w:type="dxa" w:w="309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주요 역할</w:t>
            </w:r>
          </w:p>
        </w:tc>
        <w:tc>
          <w:tcPr>
            <w:tcW w:type="dxa" w:w="4392"/>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추가 확인</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ODF</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종단과 접속 정리</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심선 식별과 접속 보호</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패치패널</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변경 접점 제공</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포트 수와 손실</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패치코드</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패널과 장비 연결</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길이 극성 연마</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스위치</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데이터 전달</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프로토콜과 포트 속도</w:t>
            </w:r>
          </w:p>
        </w:tc>
      </w:tr>
    </w:tbl>
    <w:bookmarkEnd w:id="54"/>
    <w:bookmarkStart w:id="55" w:name="적용과-검증-13"/>
    <w:p>
      <w:pPr>
        <w:pStyle w:val="Heading2"/>
        <w:widowControl/>
      </w:pPr>
      <w:r>
        <w:t xml:space="preserve">적용과 검증</w:t>
      </w:r>
    </w:p>
    <w:p>
      <w:pPr>
        <w:pStyle w:val="FirstParagraph"/>
        <w:keepNext/>
        <w:widowControl/>
      </w:pPr>
      <w:r>
        <w:t xml:space="preserve">사용자가 패널의 광 커넥터를 눌렀을 때 이해해야 할 것은 케이블의 양단과 실제 경로다. 교육용 3D에서도 장치 외형만 강조하기보다 경로와 심수 및 손실을 함께 보여주는 편이 효과적이다.</w:t>
      </w:r>
    </w:p>
    <w:p>
      <w:pPr>
        <w:pStyle w:val="BodyText"/>
        <w:widowControl/>
        <w:spacing w:before="160"/>
      </w:pPr>
      <w:r>
        <w:rPr>
          <w:sz w:val="17"/>
        </w:rPr>
        <w:t xml:space="preserve">근거 및 추가 읽기 [R08] [R21] [R28]</w:t>
      </w:r>
    </w:p>
    <w:bookmarkEnd w:id="55"/>
    <w:bookmarkEnd w:id="56"/>
    <w:bookmarkStart w:id="59" w:name="utility-yard의-수전과-예비-전원"/>
    <w:p>
      <w:pPr>
        <w:pStyle w:val="Heading1"/>
        <w:keepNext/>
        <w:widowControl/>
      </w:pPr>
      <w:bookmarkStart w:id="15" w:name="topic_15"/>
      <w:r>
        <w:t xml:space="preserve">15 Utility Yard의 수전과 예비 전원</w:t>
      </w:r>
      <w:bookmarkEnd w:id="15"/>
    </w:p>
    <w:p>
      <w:pPr>
        <w:pStyle w:val="FirstParagraph"/>
        <w:widowControl/>
      </w:pPr>
      <w:r>
        <w:rPr>
          <w:bCs/>
          <w:b/>
        </w:rPr>
        <w:t xml:space="preserve">2부 공간별 역할과 동작 원리</w:t>
      </w:r>
    </w:p>
    <w:p>
      <w:pPr>
        <w:pStyle w:val="BodyText"/>
        <w:widowControl/>
      </w:pPr>
      <w:r>
        <w:t xml:space="preserve">Utility Yard에는 수전과 변압, 발전기 등 외부 전력 관련 설비가 배치될 수 있다. 계통 전력을 시설에서 사용하는 전압으로 변환하고 보호 장치와 절체 장치를 통해 필요한 부하에 공급한다. 실제 순서와 설치 위치는 현장의 단선 결선도로 확인한다.</w:t>
      </w:r>
    </w:p>
    <w:p>
      <w:pPr>
        <w:pStyle w:val="BodyText"/>
        <w:widowControl/>
      </w:pPr>
      <w:r>
        <w:t xml:space="preserve">UPS는 짧은 전원 공백을 메우고 발전기는 장시간 비상 운전을 담당하는 구성이 흔하다. 발전기 기동과 안정화 및 절체가 끝나기 전까지 UPS가 부하를 지탱해야 한다. 발전기의 정격 출력만으로 절체 성공을 판단할 수 없다.</w:t>
      </w:r>
    </w:p>
    <w:p>
      <w:pPr>
        <w:pStyle w:val="BodyText"/>
        <w:widowControl/>
      </w:pPr>
      <w:r>
        <w:t xml:space="preserve">연료, 기동 배터리, 환기와 배기, 제어 전원 및 시험 절차도 가용성에 영향을 준다. 발전기 한 대를 더 설치해도 공통 연료 계통이 실패하면 동시에 사용하지 못할 수 있다.</w:t>
      </w:r>
    </w:p>
    <w:bookmarkStart w:id="57" w:name="계산식과-변수-4"/>
    <w:p>
      <w:pPr>
        <w:pStyle w:val="Heading2"/>
        <w:widowControl/>
      </w:pPr>
      <w:r>
        <w:t xml:space="preserve">계산식과 변수</w:t>
      </w:r>
    </w:p>
    <w:p>
      <w:pPr>
        <w:pStyle w:val="FirstParagraph"/>
        <w:widowControl/>
        <w:spacing w:line="252" w:lineRule="auto" w:before="100" w:after="180"/>
      </w:pPr>
      <m:oMathPara>
        <m:oMathParaPr>
          <m:jc m:val="center"/>
        </m:oMathParaPr>
        <m:oMath>
          <m:sSub>
            <m:e>
              <m:r>
                <m:t>t</m:t>
              </m:r>
            </m:e>
            <m:sub>
              <m:r>
                <m:t>U</m:t>
              </m:r>
              <m:r>
                <m:t>P</m:t>
              </m:r>
              <m:r>
                <m:t>S</m:t>
              </m:r>
              <m:r>
                <m:rPr>
                  <m:sty m:val="p"/>
                </m:rPr>
                <m:t>,</m:t>
              </m:r>
              <m:r>
                <m:t>u</m:t>
              </m:r>
              <m:r>
                <m:t>s</m:t>
              </m:r>
              <m:r>
                <m:t>a</m:t>
              </m:r>
              <m:r>
                <m:t>b</m:t>
              </m:r>
              <m:r>
                <m:t>l</m:t>
              </m:r>
              <m:r>
                <m:t>e</m:t>
              </m:r>
            </m:sub>
          </m:sSub>
          <m:r>
            <m:rPr>
              <m:sty m:val="p"/>
            </m:rPr>
            <m:t>&gt;</m:t>
          </m:r>
          <m:sSub>
            <m:e>
              <m:r>
                <m:t>t</m:t>
              </m:r>
            </m:e>
            <m:sub>
              <m:r>
                <m:t>s</m:t>
              </m:r>
              <m:r>
                <m:t>t</m:t>
              </m:r>
              <m:r>
                <m:t>a</m:t>
              </m:r>
              <m:r>
                <m:t>r</m:t>
              </m:r>
              <m:r>
                <m:t>t</m:t>
              </m:r>
            </m:sub>
          </m:sSub>
          <m:r>
            <m:rPr>
              <m:sty m:val="p"/>
            </m:rPr>
            <m:t>+</m:t>
          </m:r>
          <m:sSub>
            <m:e>
              <m:r>
                <m:t>t</m:t>
              </m:r>
            </m:e>
            <m:sub>
              <m:r>
                <m:t>s</m:t>
              </m:r>
              <m:r>
                <m:t>t</m:t>
              </m:r>
              <m:r>
                <m:t>a</m:t>
              </m:r>
              <m:r>
                <m:t>b</m:t>
              </m:r>
              <m:r>
                <m:t>i</m:t>
              </m:r>
              <m:r>
                <m:t>l</m:t>
              </m:r>
              <m:r>
                <m:t>i</m:t>
              </m:r>
              <m:r>
                <m:t>z</m:t>
              </m:r>
              <m:r>
                <m:t>e</m:t>
              </m:r>
            </m:sub>
          </m:sSub>
          <m:r>
            <m:rPr>
              <m:sty m:val="p"/>
            </m:rPr>
            <m:t>+</m:t>
          </m:r>
          <m:sSub>
            <m:e>
              <m:r>
                <m:t>t</m:t>
              </m:r>
            </m:e>
            <m:sub>
              <m:r>
                <m:t>t</m:t>
              </m:r>
              <m:r>
                <m:t>r</m:t>
              </m:r>
              <m:r>
                <m:t>a</m:t>
              </m:r>
              <m:r>
                <m:t>n</m:t>
              </m:r>
              <m:r>
                <m:t>s</m:t>
              </m:r>
              <m:r>
                <m:t>f</m:t>
              </m:r>
              <m:r>
                <m:t>e</m:t>
              </m:r>
              <m:r>
                <m:t>r</m:t>
              </m:r>
            </m:sub>
          </m:sSub>
          <m:r>
            <m:rPr>
              <m:sty m:val="p"/>
            </m:rPr>
            <m:t>+</m:t>
          </m:r>
          <m:sSub>
            <m:e>
              <m:r>
                <m:t>t</m:t>
              </m:r>
            </m:e>
            <m:sub>
              <m:r>
                <m:t>m</m:t>
              </m:r>
              <m:r>
                <m:t>a</m:t>
              </m:r>
              <m:r>
                <m:t>r</m:t>
              </m:r>
              <m:r>
                <m:t>g</m:t>
              </m:r>
              <m:r>
                <m:t>i</m:t>
              </m:r>
              <m:r>
                <m:t>n</m:t>
              </m:r>
            </m:sub>
          </m:sSub>
        </m:oMath>
      </m:oMathPara>
    </w:p>
    <w:tbl>
      <w:tblPr>
        <w:tblStyle w:val="Table"/>
        <w:tblW w:type="dxa" w:w="986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096"/>
        <w:gridCol w:w="4392"/>
      </w:tblGrid>
      <w:tr>
        <w:trPr>
          <w:tblHeader w:val="true"/>
          <w:cantSplit/>
          <w:tblHeader/>
        </w:trPr>
        <w:tc>
          <w:tcPr>
            <w:tcW w:type="dxa" w:w="237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설비</w:t>
            </w:r>
          </w:p>
        </w:tc>
        <w:tc>
          <w:tcPr>
            <w:tcW w:type="dxa" w:w="309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기능</w:t>
            </w:r>
          </w:p>
        </w:tc>
        <w:tc>
          <w:tcPr>
            <w:tcW w:type="dxa" w:w="4392"/>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검증 항목</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변압기</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전압 변환</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정격과 온도 상승</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보호 장치</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고장 구간 차단</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차단 용량과 보호 협조</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UPS</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단시간 전원 유지</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부하별 런타임</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발전기</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비상 에너지 공급</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기동과 단계 부하</w:t>
            </w:r>
          </w:p>
        </w:tc>
      </w:tr>
    </w:tbl>
    <w:bookmarkEnd w:id="57"/>
    <w:bookmarkStart w:id="58" w:name="적용과-검증-14"/>
    <w:p>
      <w:pPr>
        <w:pStyle w:val="Heading2"/>
        <w:widowControl/>
      </w:pPr>
      <w:r>
        <w:t xml:space="preserve">적용과 검증</w:t>
      </w:r>
    </w:p>
    <w:p>
      <w:pPr>
        <w:pStyle w:val="FirstParagraph"/>
        <w:keepNext/>
        <w:widowControl/>
      </w:pPr>
      <w:r>
        <w:t xml:space="preserve">예를 들어 기동 15초, 안정화 10초, 절체 5초와 여유 30초를 가정하면 최소 60초의 가용 백업 시간이 필요하다. 실제 선정에는 제조사 런타임 곡선과 부하 변동을 적용한다.</w:t>
      </w:r>
    </w:p>
    <w:p>
      <w:pPr>
        <w:pStyle w:val="BodyText"/>
        <w:widowControl/>
        <w:spacing w:before="160"/>
      </w:pPr>
      <w:r>
        <w:rPr>
          <w:sz w:val="17"/>
        </w:rPr>
        <w:t xml:space="preserve">근거 및 추가 읽기 [R26] [R27]</w:t>
      </w:r>
    </w:p>
    <w:bookmarkEnd w:id="58"/>
    <w:bookmarkEnd w:id="59"/>
    <w:bookmarkStart w:id="62" w:name="cooling-plant가-열을-외부로-보내는-원리"/>
    <w:p>
      <w:pPr>
        <w:pStyle w:val="Heading1"/>
        <w:keepNext/>
        <w:widowControl/>
      </w:pPr>
      <w:bookmarkStart w:id="16" w:name="topic_16"/>
      <w:r>
        <w:t xml:space="preserve">16 Cooling Plant가 열을 외부로 보내는 원리</w:t>
      </w:r>
      <w:bookmarkEnd w:id="16"/>
    </w:p>
    <w:p>
      <w:pPr>
        <w:pStyle w:val="FirstParagraph"/>
        <w:widowControl/>
      </w:pPr>
      <w:r>
        <w:rPr>
          <w:bCs/>
          <w:b/>
        </w:rPr>
        <w:t xml:space="preserve">2부 공간별 역할과 동작 원리</w:t>
      </w:r>
    </w:p>
    <w:p>
      <w:pPr>
        <w:pStyle w:val="BodyText"/>
        <w:widowControl/>
      </w:pPr>
      <w:r>
        <w:t xml:space="preserve">Cooling Plant는 IT 장비에서 회수한 열을 외부 환경으로 전달하는 계통이다. 서버실의 공기나 액체가 열을 흡수하고 열교환기와 배관을 거쳐 외부 열 방출 설비로 이동한다. 열을 없애는 것이 아니라 위치와 온도 수준을 바꾸어 전달한다.</w:t>
      </w:r>
    </w:p>
    <w:p>
      <w:pPr>
        <w:pStyle w:val="BodyText"/>
        <w:widowControl/>
      </w:pPr>
      <w:r>
        <w:t xml:space="preserve">칠러는 냉동 사이클에 전력을 투입해 열을 저온 측에서 고온 측으로 이동시킨다. 냉각탑이나 드라이쿨러는 최종적으로 외부 공기로 열을 방출한다. 모든 센터가 냉각탑을 사용하는 것은 아니며 외기 조건과 설계 수온에 따라 구성이 다르다.</w:t>
      </w:r>
    </w:p>
    <w:p>
      <w:pPr>
        <w:pStyle w:val="BodyText"/>
        <w:widowControl/>
      </w:pPr>
      <w:r>
        <w:t xml:space="preserve">칠러가 제거한 열과 실외로 내보낼 열은 같지 않을 수 있다. 압축기에 투입된 전력도 방열 측에서 처리해야 하므로 열수지의 경계를 명확히 정한다.</w:t>
      </w:r>
    </w:p>
    <w:bookmarkStart w:id="60" w:name="계산식과-변수-5"/>
    <w:p>
      <w:pPr>
        <w:pStyle w:val="Heading2"/>
        <w:widowControl/>
      </w:pPr>
      <w:r>
        <w:t xml:space="preserve">계산식과 변수</w:t>
      </w:r>
    </w:p>
    <w:p>
      <w:pPr>
        <w:pStyle w:val="FirstParagraph"/>
        <w:widowControl/>
        <w:spacing w:line="252" w:lineRule="auto" w:before="100" w:after="180"/>
      </w:pPr>
      <m:oMathPara>
        <m:oMathParaPr>
          <m:jc m:val="center"/>
        </m:oMathParaPr>
        <m:oMath>
          <m:sSub>
            <m:e>
              <m:r>
                <m:t>Q</m:t>
              </m:r>
            </m:e>
            <m:sub>
              <m:r>
                <m:t>r</m:t>
              </m:r>
              <m:r>
                <m:t>e</m:t>
              </m:r>
              <m:r>
                <m:t>j</m:t>
              </m:r>
              <m:r>
                <m:t>e</m:t>
              </m:r>
              <m:r>
                <m:t>c</m:t>
              </m:r>
              <m:r>
                <m:t>t</m:t>
              </m:r>
            </m:sub>
          </m:sSub>
          <m:r>
            <m:rPr>
              <m:sty m:val="p"/>
            </m:rPr>
            <m:t>=</m:t>
          </m:r>
          <m:sSub>
            <m:e>
              <m:r>
                <m:t>Q</m:t>
              </m:r>
            </m:e>
            <m:sub>
              <m:r>
                <m:t>I</m:t>
              </m:r>
              <m:r>
                <m:t>T</m:t>
              </m:r>
            </m:sub>
          </m:sSub>
          <m:r>
            <m:rPr>
              <m:sty m:val="p"/>
            </m:rPr>
            <m:t>+</m:t>
          </m:r>
          <m:sSub>
            <m:e>
              <m:r>
                <m:t>P</m:t>
              </m:r>
            </m:e>
            <m:sub>
              <m:r>
                <m:t>c</m:t>
              </m:r>
              <m:r>
                <m:t>o</m:t>
              </m:r>
              <m:r>
                <m:t>m</m:t>
              </m:r>
              <m:r>
                <m:t>p</m:t>
              </m:r>
              <m:r>
                <m:t>r</m:t>
              </m:r>
              <m:r>
                <m:t>e</m:t>
              </m:r>
              <m:r>
                <m:t>s</m:t>
              </m:r>
              <m:r>
                <m:t>s</m:t>
              </m:r>
              <m:r>
                <m:t>o</m:t>
              </m:r>
              <m:r>
                <m:t>r</m:t>
              </m:r>
            </m:sub>
          </m:sSub>
        </m:oMath>
      </m:oMathPara>
    </w:p>
    <w:tbl>
      <w:tblPr>
        <w:tblStyle w:val="Table"/>
        <w:tblW w:type="dxa" w:w="986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096"/>
        <w:gridCol w:w="4392"/>
      </w:tblGrid>
      <w:tr>
        <w:trPr>
          <w:tblHeader w:val="true"/>
          <w:cantSplit/>
          <w:tblHeader/>
        </w:trPr>
        <w:tc>
          <w:tcPr>
            <w:tcW w:type="dxa" w:w="237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설비</w:t>
            </w:r>
          </w:p>
        </w:tc>
        <w:tc>
          <w:tcPr>
            <w:tcW w:type="dxa" w:w="309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기능</w:t>
            </w:r>
          </w:p>
        </w:tc>
        <w:tc>
          <w:tcPr>
            <w:tcW w:type="dxa" w:w="4392"/>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혼동하기 쉬운 점</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CRAH</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실내 공기와 물 열교환</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자체 냉동기와 구분</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칠러</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냉수 생산</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압축기 전력 추가</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냉각탑</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증발 등을 통한 방열</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모든 설계의 필수는 아님</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드라이쿨러</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외기와 간접 열교환</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외기와 접근온도 제약</w:t>
            </w:r>
          </w:p>
        </w:tc>
      </w:tr>
    </w:tbl>
    <w:bookmarkEnd w:id="60"/>
    <w:bookmarkStart w:id="61" w:name="적용과-검증-15"/>
    <w:p>
      <w:pPr>
        <w:pStyle w:val="Heading2"/>
        <w:widowControl/>
      </w:pPr>
      <w:r>
        <w:t xml:space="preserve">적용과 검증</w:t>
      </w:r>
    </w:p>
    <w:p>
      <w:pPr>
        <w:pStyle w:val="FirstParagraph"/>
        <w:keepNext/>
        <w:widowControl/>
      </w:pPr>
      <w:r>
        <w:t xml:space="preserve">IT 열 1MW와 압축기 입력 0.2MW인 경계라면 방열 측은 약 1.2MW를 처리한다. 펌프·팬 전력이 어느 경계에 열로 들어오는지는 배치에 따라 추가한다.</w:t>
      </w:r>
    </w:p>
    <w:p>
      <w:pPr>
        <w:pStyle w:val="BodyText"/>
        <w:widowControl/>
        <w:spacing w:before="160"/>
      </w:pPr>
      <w:r>
        <w:rPr>
          <w:sz w:val="17"/>
        </w:rPr>
        <w:t xml:space="preserve">근거 및 추가 읽기 [R09] [R10]</w:t>
      </w:r>
    </w:p>
    <w:bookmarkEnd w:id="61"/>
    <w:bookmarkEnd w:id="62"/>
    <w:bookmarkStart w:id="64" w:name="noc와-시설-관제의-역할"/>
    <w:p>
      <w:pPr>
        <w:pStyle w:val="Heading1"/>
        <w:keepNext/>
        <w:widowControl/>
      </w:pPr>
      <w:bookmarkStart w:id="17" w:name="topic_17"/>
      <w:r>
        <w:t xml:space="preserve">17 NOC와 시설 관제의 역할</w:t>
      </w:r>
      <w:bookmarkEnd w:id="17"/>
    </w:p>
    <w:p>
      <w:pPr>
        <w:pStyle w:val="FirstParagraph"/>
        <w:widowControl/>
      </w:pPr>
      <w:r>
        <w:rPr>
          <w:bCs/>
          <w:b/>
        </w:rPr>
        <w:t xml:space="preserve">2부 공간별 역할과 동작 원리</w:t>
      </w:r>
    </w:p>
    <w:p>
      <w:pPr>
        <w:pStyle w:val="BodyText"/>
        <w:widowControl/>
      </w:pPr>
      <w:r>
        <w:t xml:space="preserve">NOC는 네트워크와 서비스의 상태를 관찰하고 장애 대응을 조정하는 운영 조직 또는 공간이다. 시설 관제는 전력·냉각·환경을 다루며 BMS, 전력 모니터링과 DCIM 등이 정보를 제공한다. 작은 센터에서는 같은 관제실에서 두 역할을 수행할 수 있다.</w:t>
      </w:r>
    </w:p>
    <w:p>
      <w:pPr>
        <w:pStyle w:val="BodyText"/>
        <w:widowControl/>
      </w:pPr>
      <w:r>
        <w:t xml:space="preserve">관제 화면의 숫자는 센서와 통신 및 데이터 처리의 결과다. 센서 고장, 시간 불일치와 통신 단절을 실제 설비 장애와 구분해야 한다. 마지막으로 읽은 값을 계속 표시한다면 최신 시각과 데이터 품질 상태를 함께 보여준다.</w:t>
      </w:r>
    </w:p>
    <w:p>
      <w:pPr>
        <w:pStyle w:val="BodyText"/>
        <w:widowControl/>
      </w:pPr>
      <w:r>
        <w:t xml:space="preserve">운영자는 경보를 받고 영향을 확인한 다음 정해진 절차로 대응한다. 온도 경보가 발생했다고 무조건 공조 설정을 낮추기보다 특정 랙의 공기 흐름, 팬 상태와 부하 변화를 확인해야 원인을 찾을 수 있다.</w:t>
      </w:r>
    </w:p>
    <w:tbl>
      <w:tblPr>
        <w:tblStyle w:val="Table"/>
        <w:tblW w:type="dxa" w:w="986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096"/>
        <w:gridCol w:w="4392"/>
      </w:tblGrid>
      <w:tr>
        <w:trPr>
          <w:tblHeader w:val="true"/>
          <w:cantSplit/>
          <w:tblHeader/>
        </w:trPr>
        <w:tc>
          <w:tcPr>
            <w:tcW w:type="dxa" w:w="237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도구</w:t>
            </w:r>
          </w:p>
        </w:tc>
        <w:tc>
          <w:tcPr>
            <w:tcW w:type="dxa" w:w="309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주요 데이터</w:t>
            </w:r>
          </w:p>
        </w:tc>
        <w:tc>
          <w:tcPr>
            <w:tcW w:type="dxa" w:w="4392"/>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의사결정</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네트워크 관제</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링크와 오류 및 지연</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우회와 장애 진단</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BMS</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온도 유량 밸브</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시설 제어와 정비</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전력 모니터링</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kW 전류 에너지</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과부하와 효율 분석</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DCIM</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위치와 자산 및 용량</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증설과 배치 계획</w:t>
            </w:r>
          </w:p>
        </w:tc>
      </w:tr>
    </w:tbl>
    <w:bookmarkStart w:id="63" w:name="적용과-검증-16"/>
    <w:p>
      <w:pPr>
        <w:pStyle w:val="Heading2"/>
        <w:widowControl/>
      </w:pPr>
      <w:r>
        <w:t xml:space="preserve">적용과 검증</w:t>
      </w:r>
    </w:p>
    <w:p>
      <w:pPr>
        <w:pStyle w:val="FirstParagraph"/>
        <w:keepNext/>
        <w:widowControl/>
      </w:pPr>
      <w:r>
        <w:t xml:space="preserve">경보마다 발생 조건, 지속시간, 담당자, 영향 범위와 복구 조건을 정의한다. 장애 종료는 경보가 사라졌다는 사실과 서비스가 정상으로 돌아왔다는 사실을 함께 확인한다.</w:t>
      </w:r>
    </w:p>
    <w:p>
      <w:pPr>
        <w:pStyle w:val="BodyText"/>
        <w:widowControl/>
        <w:spacing w:before="160"/>
      </w:pPr>
      <w:r>
        <w:rPr>
          <w:sz w:val="17"/>
        </w:rPr>
        <w:t xml:space="preserve">근거 및 추가 읽기 [R12] [R28]</w:t>
      </w:r>
    </w:p>
    <w:bookmarkEnd w:id="63"/>
    <w:bookmarkEnd w:id="64"/>
    <w:bookmarkStart w:id="66" w:name="safety와-보안-소방의-기능"/>
    <w:p>
      <w:pPr>
        <w:pStyle w:val="Heading1"/>
        <w:keepNext/>
        <w:widowControl/>
      </w:pPr>
      <w:bookmarkStart w:id="18" w:name="topic_18"/>
      <w:r>
        <w:t xml:space="preserve">18 Safety와 보안 소방의 기능</w:t>
      </w:r>
      <w:bookmarkEnd w:id="18"/>
    </w:p>
    <w:p>
      <w:pPr>
        <w:pStyle w:val="FirstParagraph"/>
        <w:widowControl/>
      </w:pPr>
      <w:r>
        <w:rPr>
          <w:bCs/>
          <w:b/>
        </w:rPr>
        <w:t xml:space="preserve">2부 공간별 역할과 동작 원리</w:t>
      </w:r>
    </w:p>
    <w:p>
      <w:pPr>
        <w:pStyle w:val="BodyText"/>
        <w:widowControl/>
      </w:pPr>
      <w:r>
        <w:t xml:space="preserve">안전은 인명과 시설을 보호하는 활동이고 보안은 허가되지 않은 접근과 행위를 통제하는 활동이다. 데이터센터에서는 출입통제, 영상 감시, 화재 감지, 소화 및 대피 동선을 함께 설계한다. 운영 편의를 위해 인명 안전 기능을 임의로 우회해서는 안 된다.</w:t>
      </w:r>
    </w:p>
    <w:p>
      <w:pPr>
        <w:pStyle w:val="BodyText"/>
        <w:widowControl/>
      </w:pPr>
      <w:r>
        <w:t xml:space="preserve">화재 대응은 감지, 확인, 경보, 대피와 연동 설비의 동작을 포함한다. 소화 방식과 방출 조건은 현장 설계와 적용 법규에 따라 달라진다. 교육용 시뮬레이션의 일정 시간이 지나 자동 방출되는 표현을 실제 법정 순서로 해석하지 않는다.</w:t>
      </w:r>
    </w:p>
    <w:p>
      <w:pPr>
        <w:pStyle w:val="BodyText"/>
        <w:widowControl/>
      </w:pPr>
      <w:r>
        <w:t xml:space="preserve">누수도 안전과 가용성에 영향을 준다. 액체냉각은 누수 센서와 밸브 및 운전 절차를 함께 구성하고 수질·재료 호환성을 관리한다. 물이 보이지 않는다고 배관 계통에 이상이 없다고 판단할 수는 없다.</w:t>
      </w:r>
    </w:p>
    <w:tbl>
      <w:tblPr>
        <w:tblStyle w:val="Table"/>
        <w:tblW w:type="dxa" w:w="986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096"/>
        <w:gridCol w:w="4392"/>
      </w:tblGrid>
      <w:tr>
        <w:trPr>
          <w:tblHeader w:val="true"/>
          <w:cantSplit/>
          <w:tblHeader/>
        </w:trPr>
        <w:tc>
          <w:tcPr>
            <w:tcW w:type="dxa" w:w="237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기능</w:t>
            </w:r>
          </w:p>
        </w:tc>
        <w:tc>
          <w:tcPr>
            <w:tcW w:type="dxa" w:w="309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대표 장치</w:t>
            </w:r>
          </w:p>
        </w:tc>
        <w:tc>
          <w:tcPr>
            <w:tcW w:type="dxa" w:w="4392"/>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운영 확인</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출입통제</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카드와 맨트랩</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권한과 기록</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화재 감지</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감지기와 수신반</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경보와 연동 시험</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대피</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표지와 비상 동선</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접근 가능성과 교육</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누수 대응</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센서와 차단 밸브</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검출 위치와 격리 범위</w:t>
            </w:r>
          </w:p>
        </w:tc>
      </w:tr>
    </w:tbl>
    <w:bookmarkStart w:id="65" w:name="적용과-검증-17"/>
    <w:p>
      <w:pPr>
        <w:pStyle w:val="Heading2"/>
        <w:widowControl/>
      </w:pPr>
      <w:r>
        <w:t xml:space="preserve">적용과 검증</w:t>
      </w:r>
    </w:p>
    <w:p>
      <w:pPr>
        <w:pStyle w:val="FirstParagraph"/>
        <w:keepNext/>
        <w:widowControl/>
      </w:pPr>
      <w:r>
        <w:t xml:space="preserve">이 백서는 소방·전기 공사의 상세 시공 기준을 대신하지 않는다. 발표에서는 장치의 역할과 연동 관계를 설명하고 현장 절차는 승인된 도면·매뉴얼과 담당 기술자의 검토로 확정한다고 구분한다.</w:t>
      </w:r>
    </w:p>
    <w:p>
      <w:pPr>
        <w:pStyle w:val="BodyText"/>
        <w:widowControl/>
        <w:spacing w:before="160"/>
      </w:pPr>
      <w:r>
        <w:rPr>
          <w:sz w:val="17"/>
        </w:rPr>
        <w:t xml:space="preserve">근거 및 추가 읽기 [R03] [R10] [R28]</w:t>
      </w:r>
    </w:p>
    <w:bookmarkEnd w:id="65"/>
    <w:bookmarkEnd w:id="66"/>
    <w:bookmarkStart w:id="68" w:name="통로-분리와-서버-전후면의-의미"/>
    <w:p>
      <w:pPr>
        <w:pStyle w:val="Heading1"/>
        <w:keepNext/>
        <w:widowControl/>
      </w:pPr>
      <w:bookmarkStart w:id="19" w:name="topic_19"/>
      <w:r>
        <w:t xml:space="preserve">19 통로 분리와 서버 전후면의 의미</w:t>
      </w:r>
      <w:bookmarkEnd w:id="19"/>
    </w:p>
    <w:p>
      <w:pPr>
        <w:pStyle w:val="FirstParagraph"/>
        <w:widowControl/>
      </w:pPr>
      <w:r>
        <w:rPr>
          <w:bCs/>
          <w:b/>
        </w:rPr>
        <w:t xml:space="preserve">2부 공간별 역할과 동작 원리</w:t>
      </w:r>
    </w:p>
    <w:p>
      <w:pPr>
        <w:pStyle w:val="BodyText"/>
        <w:widowControl/>
      </w:pPr>
      <w:r>
        <w:t xml:space="preserve">서버는 대개 전면에서 공기를 흡입하고 후면으로 배출하지만 스위치는 제품별로 공기 방향이 다를 수 있다. 랙의 앞뒤를 외형만으로 정하지 말고 장비의 흡입·배기 방향과 정비 접근을 기준으로 확인한다.</w:t>
      </w:r>
    </w:p>
    <w:p>
      <w:pPr>
        <w:pStyle w:val="BodyText"/>
        <w:widowControl/>
      </w:pPr>
      <w:r>
        <w:t xml:space="preserve">Cold Aisle은 냉각 공기가 공급되는 통로이고 Hot Aisle은 배기 공기가 모이는 통로다. 컨테인먼트는 두 공기가 섞이는 것을 줄인다. 랙의 빈 공간과 측면 틈을 막지 않으면 공급 공기가 장비를 통과하지 않고 되돌아갈 수 있다.</w:t>
      </w:r>
    </w:p>
    <w:p>
      <w:pPr>
        <w:pStyle w:val="BodyText"/>
        <w:widowControl/>
      </w:pPr>
      <w:r>
        <w:t xml:space="preserve">후면에는 전원선과 네트워크 케이블이 집중되기 쉽다. 케이블이 배기를 막거나 장비 교체를 방해하지 않게 수직 관리자와 서비스 여장을 계획한다. 전면·후면 관찰 시점도 장비와 통로 전체가 보이도록 구성해야 한다.</w:t>
      </w:r>
    </w:p>
    <w:tbl>
      <w:tblPr>
        <w:tblStyle w:val="Table"/>
        <w:tblW w:type="dxa" w:w="986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096"/>
        <w:gridCol w:w="4392"/>
      </w:tblGrid>
      <w:tr>
        <w:trPr>
          <w:tblHeader w:val="true"/>
          <w:cantSplit/>
          <w:tblHeader/>
        </w:trPr>
        <w:tc>
          <w:tcPr>
            <w:tcW w:type="dxa" w:w="237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검토 대상</w:t>
            </w:r>
          </w:p>
        </w:tc>
        <w:tc>
          <w:tcPr>
            <w:tcW w:type="dxa" w:w="309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확인 내용</w:t>
            </w:r>
          </w:p>
        </w:tc>
        <w:tc>
          <w:tcPr>
            <w:tcW w:type="dxa" w:w="4392"/>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잘못 배치하면</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서버</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흡입과 배기 방향</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재순환과 과열</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스위치</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제품별 공기 방향</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뜨거운 공기 흡입</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빈 RU</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블랭킹 패널</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공기 우회</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후면 배선</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여장과 배기 면적</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정비 곤란과 열 저항</w:t>
            </w:r>
          </w:p>
        </w:tc>
      </w:tr>
    </w:tbl>
    <w:bookmarkStart w:id="67" w:name="적용과-검증-18"/>
    <w:p>
      <w:pPr>
        <w:pStyle w:val="Heading2"/>
        <w:widowControl/>
      </w:pPr>
      <w:r>
        <w:t xml:space="preserve">적용과 검증</w:t>
      </w:r>
    </w:p>
    <w:p>
      <w:pPr>
        <w:pStyle w:val="FirstParagraph"/>
        <w:keepNext/>
        <w:widowControl/>
      </w:pPr>
      <w:r>
        <w:t xml:space="preserve">온도 검증은 방 중앙 평균보다 랙 흡입면의 상·중·하 측정이 유용하다. 평균이 정상이어도 상단 장비가 뜨거운 배기를 다시 흡입할 수 있다.</w:t>
      </w:r>
    </w:p>
    <w:p>
      <w:pPr>
        <w:pStyle w:val="BodyText"/>
        <w:widowControl/>
        <w:spacing w:before="160"/>
      </w:pPr>
      <w:r>
        <w:rPr>
          <w:sz w:val="17"/>
        </w:rPr>
        <w:t xml:space="preserve">근거 및 추가 읽기 [R09] [R13]</w:t>
      </w:r>
    </w:p>
    <w:bookmarkEnd w:id="67"/>
    <w:bookmarkEnd w:id="68"/>
    <w:bookmarkStart w:id="70" w:name="장애가-구역-사이로-전파되는-과정"/>
    <w:p>
      <w:pPr>
        <w:pStyle w:val="Heading1"/>
        <w:keepNext/>
        <w:widowControl/>
      </w:pPr>
      <w:bookmarkStart w:id="20" w:name="topic_20"/>
      <w:r>
        <w:t xml:space="preserve">20 장애가 구역 사이로 전파되는 과정</w:t>
      </w:r>
      <w:bookmarkEnd w:id="20"/>
    </w:p>
    <w:p>
      <w:pPr>
        <w:pStyle w:val="FirstParagraph"/>
        <w:widowControl/>
      </w:pPr>
      <w:r>
        <w:rPr>
          <w:bCs/>
          <w:b/>
        </w:rPr>
        <w:t xml:space="preserve">2부 공간별 역할과 동작 원리</w:t>
      </w:r>
    </w:p>
    <w:p>
      <w:pPr>
        <w:pStyle w:val="BodyText"/>
        <w:widowControl/>
      </w:pPr>
      <w:r>
        <w:t xml:space="preserve">장애의 시작 위치와 서비스 영향 위치는 다를 수 있다. 외부 전원이 끊어지면 UPS가 유지되는 동안 서버는 동작하지만 냉각 펌프의 예비 전원이 없으면 온도가 상승한다. 광간선이 끊어지면 서버 전력은 정상이지만 서비스 통신이 중단될 수 있다.</w:t>
      </w:r>
    </w:p>
    <w:p>
      <w:pPr>
        <w:pStyle w:val="BodyText"/>
        <w:widowControl/>
      </w:pPr>
      <w:r>
        <w:t xml:space="preserve">장애 분석은 원인, 자동 제어, 잔여 능력과 서비스 영향의 순서로 기록한다. 같은 장비 정지라도 부하와 예비 계통 상태에 따라 영향이 다르다. 정상 시뮬레이션 한 번으로 장애 내성을 판단하지 않는다.</w:t>
      </w:r>
    </w:p>
    <w:p>
      <w:pPr>
        <w:pStyle w:val="BodyText"/>
        <w:widowControl/>
      </w:pPr>
      <w:r>
        <w:t xml:space="preserve">복구도 연결 순서를 고려해야 한다. 전원이 돌아왔다고 모든 서버를 동시에 재기동하면 돌입과 급격한 열부하가 생길 수 있다. 냉각의 정상화와 통신 장비의 준비 상태를 확인한 뒤 서비스를 복원한다.</w:t>
      </w:r>
    </w:p>
    <w:tbl>
      <w:tblPr>
        <w:tblStyle w:val="Table"/>
        <w:tblW w:type="dxa" w:w="986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096"/>
        <w:gridCol w:w="4392"/>
      </w:tblGrid>
      <w:tr>
        <w:trPr>
          <w:tblHeader w:val="true"/>
          <w:cantSplit/>
          <w:tblHeader/>
        </w:trPr>
        <w:tc>
          <w:tcPr>
            <w:tcW w:type="dxa" w:w="237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초기 사건</w:t>
            </w:r>
          </w:p>
        </w:tc>
        <w:tc>
          <w:tcPr>
            <w:tcW w:type="dxa" w:w="309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중간 영향</w:t>
            </w:r>
          </w:p>
        </w:tc>
        <w:tc>
          <w:tcPr>
            <w:tcW w:type="dxa" w:w="4392"/>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검증할 최종 영향</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계통 정전</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UPS와 발전기 절체</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IT와 냉각의 유지</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펌프 정지</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유량 감소</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장비 온도와 제한 동작</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광간선 단절</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경로 상실</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우회 후 대역폭</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관제 통신 단절</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데이터 갱신 중지</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감시 상실과 수동 확인</w:t>
            </w:r>
          </w:p>
        </w:tc>
      </w:tr>
    </w:tbl>
    <w:bookmarkStart w:id="69" w:name="적용과-검증-19"/>
    <w:p>
      <w:pPr>
        <w:pStyle w:val="Heading2"/>
        <w:widowControl/>
      </w:pPr>
      <w:r>
        <w:t xml:space="preserve">적용과 검증</w:t>
      </w:r>
    </w:p>
    <w:p>
      <w:pPr>
        <w:pStyle w:val="FirstParagraph"/>
        <w:keepNext/>
        <w:widowControl/>
      </w:pPr>
      <w:r>
        <w:t xml:space="preserve">사례 계산에서는 장애 후 공급 능력과 요구량을 다시 비교한다. 예를 들어 스위치가 우회에 성공해도 잔여 업링크가 절반이면 정상 성능을 유지한다고 결론 내릴 수 없다.</w:t>
      </w:r>
    </w:p>
    <w:p>
      <w:pPr>
        <w:pStyle w:val="BodyText"/>
        <w:widowControl/>
        <w:spacing w:before="160"/>
      </w:pPr>
      <w:r>
        <w:rPr>
          <w:sz w:val="17"/>
        </w:rPr>
        <w:t xml:space="preserve">근거 및 추가 읽기 [R27] [R28]</w:t>
      </w:r>
    </w:p>
    <w:bookmarkEnd w:id="69"/>
    <w:bookmarkEnd w:id="70"/>
    <w:bookmarkStart w:id="73" w:name="gpu-수에서-서버-수를-산출하기"/>
    <w:p>
      <w:pPr>
        <w:pStyle w:val="Heading1"/>
        <w:keepNext/>
        <w:widowControl/>
      </w:pPr>
      <w:bookmarkStart w:id="21" w:name="topic_21"/>
      <w:r>
        <w:t xml:space="preserve">21 GPU 수에서 서버 수를 산출하기</w:t>
      </w:r>
      <w:bookmarkEnd w:id="21"/>
    </w:p>
    <w:p>
      <w:pPr>
        <w:pStyle w:val="FirstParagraph"/>
        <w:widowControl/>
      </w:pPr>
      <w:r>
        <w:rPr>
          <w:bCs/>
          <w:b/>
        </w:rPr>
        <w:t xml:space="preserve">3부 랙 구성과 전력 계산</w:t>
      </w:r>
    </w:p>
    <w:p>
      <w:pPr>
        <w:pStyle w:val="BodyText"/>
        <w:widowControl/>
      </w:pPr>
      <w:r>
        <w:t xml:space="preserve">필요 GPU 수를 서버당 탑재 GPU 수로 나누고 올림하면 최소 서버 수가 된다. GPU가 서버에 고정된 시스템은 잔여 GPU가 생겨도 서버를 분할 구매할 수 없으므로 정수 조건이 중요하다. 예비 서버를 포함하는지 요구조건에서 먼저 정한다.</w:t>
      </w:r>
    </w:p>
    <w:p>
      <w:pPr>
        <w:pStyle w:val="BodyText"/>
        <w:widowControl/>
      </w:pPr>
      <w:r>
        <w:t xml:space="preserve">성능 목표에서 GPU 수를 산정하려면 한 GPU의 실효 처리량이 필요하다. 제품의 최대 연산성능에 단순히 개수를 곱한 값은 실제 학습 처리량과 다르다. 정밀도, 메모리 용량, 모델 분할과 통신 효율이 영향을 준다.</w:t>
      </w:r>
    </w:p>
    <w:p>
      <w:pPr>
        <w:pStyle w:val="BodyText"/>
        <w:widowControl/>
      </w:pPr>
      <w:r>
        <w:t xml:space="preserve">예비 GPU가 기존 작업을 계속 수행할 수 있는지도 확인한다. 작업이 여러 서버에 걸쳐 있으면 한 GPU 고장으로 전체 작업을 재시작할 수 있으며 예비 장비만 추가한다고 복구시간이 즉시 사라지지 않는다.</w:t>
      </w:r>
    </w:p>
    <w:p>
      <w:pPr>
        <w:pStyle w:val="BodyText"/>
        <w:widowControl/>
      </w:pPr>
      <w:r>
        <w:t xml:space="preserve">식에서 g는 서버 한 대에 탑재되는 GPU 개수다. 요구량을 g로 나눈 값이 정수가 아니면 올림한다. 반대로 서버 n대에서 제공할 수 있는 GPU는 ng다. 예비 정책을 적용할 때는 요구량에 더할지 완성 서버를 추가할지 결정해야 하며 두 정책의 GPU 여유가 다를 수 있다.</w:t>
      </w:r>
    </w:p>
    <w:bookmarkStart w:id="71" w:name="계산식과-변수-6"/>
    <w:p>
      <w:pPr>
        <w:pStyle w:val="Heading2"/>
        <w:widowControl/>
      </w:pPr>
      <w:r>
        <w:t xml:space="preserve">계산식과 변수</w:t>
      </w:r>
    </w:p>
    <w:p>
      <w:pPr>
        <w:pStyle w:val="FirstParagraph"/>
        <w:widowControl/>
        <w:spacing w:line="252" w:lineRule="auto" w:before="100" w:after="180"/>
      </w:pPr>
      <m:oMathPara>
        <m:oMathParaPr>
          <m:jc m:val="center"/>
        </m:oMathParaPr>
        <m:oMath>
          <m:sSub>
            <m:e>
              <m:r>
                <m:t>N</m:t>
              </m:r>
            </m:e>
            <m:sub>
              <m:r>
                <m:t>s</m:t>
              </m:r>
              <m:r>
                <m:t>e</m:t>
              </m:r>
              <m:r>
                <m:t>r</m:t>
              </m:r>
              <m:r>
                <m:t>v</m:t>
              </m:r>
              <m:r>
                <m:t>e</m:t>
              </m:r>
              <m:r>
                <m:t>r</m:t>
              </m:r>
            </m:sub>
          </m:sSub>
          <m:r>
            <m:rPr>
              <m:sty m:val="p"/>
            </m:rPr>
            <m:t>=</m:t>
          </m:r>
          <m:r>
            <m:rPr>
              <m:sty m:val="p"/>
            </m:rPr>
            <m:t>ceil</m:t>
          </m:r>
          <m:d>
            <m:dPr>
              <m:begChr m:val="("/>
              <m:endChr m:val=")"/>
              <m:sepChr m:val=""/>
              <m:grow/>
            </m:dPr>
            <m:e>
              <m:f>
                <m:fPr>
                  <m:type m:val="bar"/>
                </m:fPr>
                <m:num>
                  <m:sSub>
                    <m:e>
                      <m:r>
                        <m:t>N</m:t>
                      </m:r>
                    </m:e>
                    <m:sub>
                      <m:r>
                        <m:t>G</m:t>
                      </m:r>
                      <m:r>
                        <m:t>P</m:t>
                      </m:r>
                      <m:r>
                        <m:t>U</m:t>
                      </m:r>
                      <m:r>
                        <m:rPr>
                          <m:sty m:val="p"/>
                        </m:rPr>
                        <m:t>,</m:t>
                      </m:r>
                      <m:r>
                        <m:t>r</m:t>
                      </m:r>
                      <m:r>
                        <m:t>e</m:t>
                      </m:r>
                      <m:r>
                        <m:t>q</m:t>
                      </m:r>
                    </m:sub>
                  </m:sSub>
                </m:num>
                <m:den>
                  <m:r>
                    <m:t>g</m:t>
                  </m:r>
                </m:den>
              </m:f>
            </m:e>
          </m:d>
        </m:oMath>
      </m:oMathPara>
    </w:p>
    <w:p>
      <w:pPr>
        <w:pStyle w:val="FirstParagraph"/>
        <w:widowControl/>
        <w:spacing w:line="252" w:lineRule="auto" w:before="100" w:after="180"/>
      </w:pPr>
      <m:oMathPara>
        <m:oMathParaPr>
          <m:jc m:val="center"/>
        </m:oMathParaPr>
        <m:oMath>
          <m:sSub>
            <m:e>
              <m:r>
                <m:t>N</m:t>
              </m:r>
            </m:e>
            <m:sub>
              <m:r>
                <m:t>G</m:t>
              </m:r>
              <m:r>
                <m:t>P</m:t>
              </m:r>
              <m:r>
                <m:t>U</m:t>
              </m:r>
              <m:r>
                <m:rPr>
                  <m:sty m:val="p"/>
                </m:rPr>
                <m:t>,</m:t>
              </m:r>
              <m:r>
                <m:t>i</m:t>
              </m:r>
              <m:r>
                <m:t>n</m:t>
              </m:r>
              <m:r>
                <m:t>s</m:t>
              </m:r>
              <m:r>
                <m:t>t</m:t>
              </m:r>
              <m:r>
                <m:t>a</m:t>
              </m:r>
              <m:r>
                <m:t>l</m:t>
              </m:r>
              <m:r>
                <m:t>l</m:t>
              </m:r>
              <m:r>
                <m:t>e</m:t>
              </m:r>
              <m:r>
                <m:t>d</m:t>
              </m:r>
            </m:sub>
          </m:sSub>
          <m:r>
            <m:rPr>
              <m:sty m:val="p"/>
            </m:rPr>
            <m:t>=</m:t>
          </m:r>
          <m:r>
            <m:t>g</m:t>
          </m:r>
          <m:sSub>
            <m:e>
              <m:r>
                <m:t>N</m:t>
              </m:r>
            </m:e>
            <m:sub>
              <m:r>
                <m:t>s</m:t>
              </m:r>
              <m:r>
                <m:t>e</m:t>
              </m:r>
              <m:r>
                <m:t>r</m:t>
              </m:r>
              <m:r>
                <m:t>v</m:t>
              </m:r>
              <m:r>
                <m:t>e</m:t>
              </m:r>
              <m:r>
                <m:t>r</m:t>
              </m:r>
            </m:sub>
          </m:sSub>
        </m:oMath>
      </m:oMathPara>
    </w:p>
    <w:tbl>
      <w:tblPr>
        <w:tblStyle w:val="Table"/>
        <w:tblW w:type="dxa" w:w="986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096"/>
        <w:gridCol w:w="4392"/>
      </w:tblGrid>
      <w:tr>
        <w:trPr>
          <w:tblHeader w:val="true"/>
          <w:cantSplit/>
          <w:tblHeader/>
        </w:trPr>
        <w:tc>
          <w:tcPr>
            <w:tcW w:type="dxa" w:w="237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입력</w:t>
            </w:r>
          </w:p>
        </w:tc>
        <w:tc>
          <w:tcPr>
            <w:tcW w:type="dxa" w:w="309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값</w:t>
            </w:r>
          </w:p>
        </w:tc>
        <w:tc>
          <w:tcPr>
            <w:tcW w:type="dxa" w:w="4392"/>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계산 의미</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목표 GPU</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70개</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업무 요구</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서버당 GPU</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8개</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제품 구성</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필요 서버</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9대</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70 나누기 8의 올림</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설치 GPU</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72개</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2개 수량 여유</w:t>
            </w:r>
          </w:p>
        </w:tc>
      </w:tr>
    </w:tbl>
    <w:bookmarkEnd w:id="71"/>
    <w:bookmarkStart w:id="72" w:name="적용과-검증-20"/>
    <w:p>
      <w:pPr>
        <w:pStyle w:val="Heading2"/>
        <w:widowControl/>
      </w:pPr>
      <w:r>
        <w:t xml:space="preserve">적용과 검증</w:t>
      </w:r>
    </w:p>
    <w:p>
      <w:pPr>
        <w:pStyle w:val="FirstParagraph"/>
        <w:keepNext/>
        <w:widowControl/>
      </w:pPr>
      <w:r>
        <w:t xml:space="preserve">서버 9대를 실제로 3대씩 배치할 수 있는지 확인하려면 서버 전력·RU·중량·포트·냉각 요구를 다음 계산으로 전달한다. GPU 수량 계산은 설계의 시작이며 완료 판정은 아니다.</w:t>
      </w:r>
    </w:p>
    <w:p>
      <w:pPr>
        <w:pStyle w:val="BodyText"/>
        <w:widowControl/>
        <w:spacing w:before="160"/>
      </w:pPr>
      <w:r>
        <w:rPr>
          <w:sz w:val="17"/>
        </w:rPr>
        <w:t xml:space="preserve">근거 및 추가 읽기 [R13] [R18]</w:t>
      </w:r>
    </w:p>
    <w:bookmarkEnd w:id="72"/>
    <w:bookmarkEnd w:id="73"/>
    <w:bookmarkStart w:id="76" w:name="랙-공간과-ru-제약-계산"/>
    <w:p>
      <w:pPr>
        <w:pStyle w:val="Heading1"/>
        <w:keepNext/>
        <w:widowControl/>
      </w:pPr>
      <w:bookmarkStart w:id="22" w:name="topic_22"/>
      <w:r>
        <w:t xml:space="preserve">22 랙 공간과 RU 제약 계산</w:t>
      </w:r>
      <w:bookmarkEnd w:id="22"/>
    </w:p>
    <w:p>
      <w:pPr>
        <w:pStyle w:val="FirstParagraph"/>
        <w:widowControl/>
      </w:pPr>
      <w:r>
        <w:rPr>
          <w:bCs/>
          <w:b/>
        </w:rPr>
        <w:t xml:space="preserve">3부 랙 구성과 전력 계산</w:t>
      </w:r>
    </w:p>
    <w:p>
      <w:pPr>
        <w:pStyle w:val="BodyText"/>
        <w:widowControl/>
      </w:pPr>
      <w:r>
        <w:t xml:space="preserve">RU 또는 U는 랙 높이의 단위이며 1U는 44.45mm다. 랙의 표시 높이 전체를 서버로 채우지 않고 스위치, 패널과 정비 공간을 고려한다. 깊이와 케이블 굴곡 공간은 RU 계산에 포함되지 않으므로 별도 확인한다.</w:t>
      </w:r>
    </w:p>
    <w:p>
      <w:pPr>
        <w:pStyle w:val="BodyText"/>
        <w:widowControl/>
      </w:pPr>
      <w:r>
        <w:t xml:space="preserve">동일 서버만 배치한다면 가용 RU를 서버 높이로 나눈 내림값이 공간 기준 대수다. 서로 다른 장비를 섞으면 단순 평균 대신 장비별 높이 합을 계산한다. 랙 PDU가 수직형이면 RU를 직접 쓰지 않아도 측면과 후면 공간을 사용한다.</w:t>
      </w:r>
    </w:p>
    <w:p>
      <w:pPr>
        <w:pStyle w:val="BodyText"/>
        <w:widowControl/>
      </w:pPr>
      <w:r>
        <w:t xml:space="preserve">8U 서버는 42U 랙에 높이만 보면 5대가 들어가지만 케이블 패널과 전력·냉각을 넣으면 실제 허용 대수가 줄어들 수 있다. 공간만으로 고밀도 랙의 구성안을 확정하지 않는다.</w:t>
      </w:r>
    </w:p>
    <w:p>
      <w:pPr>
        <w:pStyle w:val="BodyText"/>
        <w:widowControl/>
      </w:pPr>
      <w:r>
        <w:t xml:space="preserve">예약 RU에는 패널과 스위치가 차지하는 높이를 명시한다. 이 높이를 서버 배치 계산에서 뺐다면 장비를 실제 설치할 때 다시 별도로 차감하지 않는다. 단순 합산은 장비의 배치 순서와 레일 간섭을 반영하지 않으므로 랙 정면도와 후면도로 설치 가능성을 확인한다.</w:t>
      </w:r>
    </w:p>
    <w:bookmarkStart w:id="74" w:name="계산식과-변수-7"/>
    <w:p>
      <w:pPr>
        <w:pStyle w:val="Heading2"/>
        <w:widowControl/>
      </w:pPr>
      <w:r>
        <w:t xml:space="preserve">계산식과 변수</w:t>
      </w:r>
    </w:p>
    <w:p>
      <w:pPr>
        <w:pStyle w:val="FirstParagraph"/>
        <w:widowControl/>
        <w:spacing w:line="252" w:lineRule="auto" w:before="100" w:after="180"/>
      </w:pPr>
      <m:oMathPara>
        <m:oMathParaPr>
          <m:jc m:val="center"/>
        </m:oMathParaPr>
        <m:oMath>
          <m:sSub>
            <m:e>
              <m:r>
                <m:t>n</m:t>
              </m:r>
            </m:e>
            <m:sub>
              <m:r>
                <m:t>R</m:t>
              </m:r>
              <m:r>
                <m:t>U</m:t>
              </m:r>
            </m:sub>
          </m:sSub>
          <m:r>
            <m:rPr>
              <m:sty m:val="p"/>
            </m:rPr>
            <m:t>=</m:t>
          </m:r>
          <m:r>
            <m:rPr>
              <m:sty m:val="p"/>
            </m:rPr>
            <m:t>floor</m:t>
          </m:r>
          <m:d>
            <m:dPr>
              <m:begChr m:val="("/>
              <m:endChr m:val=")"/>
              <m:sepChr m:val=""/>
              <m:grow/>
            </m:dPr>
            <m:e>
              <m:f>
                <m:fPr>
                  <m:type m:val="bar"/>
                </m:fPr>
                <m:num>
                  <m:sSub>
                    <m:e>
                      <m:r>
                        <m:t>U</m:t>
                      </m:r>
                    </m:e>
                    <m:sub>
                      <m:r>
                        <m:t>r</m:t>
                      </m:r>
                      <m:r>
                        <m:t>a</m:t>
                      </m:r>
                      <m:r>
                        <m:t>c</m:t>
                      </m:r>
                      <m:r>
                        <m:t>k</m:t>
                      </m:r>
                    </m:sub>
                  </m:sSub>
                  <m:r>
                    <m:rPr>
                      <m:sty m:val="p"/>
                    </m:rPr>
                    <m:t>−</m:t>
                  </m:r>
                  <m:sSub>
                    <m:e>
                      <m:r>
                        <m:t>U</m:t>
                      </m:r>
                    </m:e>
                    <m:sub>
                      <m:r>
                        <m:t>r</m:t>
                      </m:r>
                      <m:r>
                        <m:t>e</m:t>
                      </m:r>
                      <m:r>
                        <m:t>s</m:t>
                      </m:r>
                      <m:r>
                        <m:t>e</m:t>
                      </m:r>
                      <m:r>
                        <m:t>r</m:t>
                      </m:r>
                      <m:r>
                        <m:t>v</m:t>
                      </m:r>
                      <m:r>
                        <m:t>e</m:t>
                      </m:r>
                      <m:r>
                        <m:t>d</m:t>
                      </m:r>
                    </m:sub>
                  </m:sSub>
                </m:num>
                <m:den>
                  <m:sSub>
                    <m:e>
                      <m:r>
                        <m:t>U</m:t>
                      </m:r>
                    </m:e>
                    <m:sub>
                      <m:r>
                        <m:t>s</m:t>
                      </m:r>
                      <m:r>
                        <m:t>e</m:t>
                      </m:r>
                      <m:r>
                        <m:t>r</m:t>
                      </m:r>
                      <m:r>
                        <m:t>v</m:t>
                      </m:r>
                      <m:r>
                        <m:t>e</m:t>
                      </m:r>
                      <m:r>
                        <m:t>r</m:t>
                      </m:r>
                    </m:sub>
                  </m:sSub>
                </m:den>
              </m:f>
            </m:e>
          </m:d>
        </m:oMath>
      </m:oMathPara>
    </w:p>
    <w:tbl>
      <w:tblPr>
        <w:tblStyle w:val="Table"/>
        <w:tblW w:type="dxa" w:w="986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096"/>
        <w:gridCol w:w="4392"/>
      </w:tblGrid>
      <w:tr>
        <w:trPr>
          <w:tblHeader w:val="true"/>
          <w:cantSplit/>
          <w:tblHeader/>
        </w:trPr>
        <w:tc>
          <w:tcPr>
            <w:tcW w:type="dxa" w:w="237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항목</w:t>
            </w:r>
          </w:p>
        </w:tc>
        <w:tc>
          <w:tcPr>
            <w:tcW w:type="dxa" w:w="309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예제값</w:t>
            </w:r>
          </w:p>
        </w:tc>
        <w:tc>
          <w:tcPr>
            <w:tcW w:type="dxa" w:w="4392"/>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결과</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랙 전체</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42U</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명목 높이</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예약 공간</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6U</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패널과 스위치 등</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서버 높이</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8U</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제품 사양</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공간 기준 수용</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4대</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36 나누기 8의 내림</w:t>
            </w:r>
          </w:p>
        </w:tc>
      </w:tr>
    </w:tbl>
    <w:bookmarkEnd w:id="74"/>
    <w:bookmarkStart w:id="75" w:name="적용과-검증-21"/>
    <w:p>
      <w:pPr>
        <w:pStyle w:val="Heading2"/>
        <w:widowControl/>
      </w:pPr>
      <w:r>
        <w:t xml:space="preserve">적용과 검증</w:t>
      </w:r>
    </w:p>
    <w:p>
      <w:pPr>
        <w:pStyle w:val="FirstParagraph"/>
        <w:keepNext/>
        <w:widowControl/>
      </w:pPr>
      <w:r>
        <w:t xml:space="preserve">깊이가 긴 서버는 랙 내부 깊이, 레일 호환성, 후면 커넥터와 전원 코드의 돌출량을 확인한다. 설치 후 장비 인출에 필요한 전면 통로와 바닥 하중도 검토한다.</w:t>
      </w:r>
    </w:p>
    <w:p>
      <w:pPr>
        <w:pStyle w:val="BodyText"/>
        <w:widowControl/>
        <w:spacing w:before="160"/>
      </w:pPr>
      <w:r>
        <w:rPr>
          <w:sz w:val="17"/>
        </w:rPr>
        <w:t xml:space="preserve">근거 및 추가 읽기 [R13]</w:t>
      </w:r>
    </w:p>
    <w:bookmarkEnd w:id="75"/>
    <w:bookmarkEnd w:id="76"/>
    <w:bookmarkStart w:id="79" w:name="랙-중량과-바닥-하중-계산"/>
    <w:p>
      <w:pPr>
        <w:pStyle w:val="Heading1"/>
        <w:keepNext/>
        <w:widowControl/>
      </w:pPr>
      <w:bookmarkStart w:id="23" w:name="topic_23"/>
      <w:r>
        <w:t xml:space="preserve">23 랙 중량과 바닥 하중 계산</w:t>
      </w:r>
      <w:bookmarkEnd w:id="23"/>
    </w:p>
    <w:p>
      <w:pPr>
        <w:pStyle w:val="FirstParagraph"/>
        <w:widowControl/>
      </w:pPr>
      <w:r>
        <w:rPr>
          <w:bCs/>
          <w:b/>
        </w:rPr>
        <w:t xml:space="preserve">3부 랙 구성과 전력 계산</w:t>
      </w:r>
    </w:p>
    <w:p>
      <w:pPr>
        <w:pStyle w:val="BodyText"/>
        <w:widowControl/>
      </w:pPr>
      <w:r>
        <w:t xml:space="preserve">랙 중량은 서버와 스위치뿐 아니라 랙 자체, PDU, 배선과 냉각 부품을 포함한다. 정적 하중, 운반 중 동적 하중과 바닥 구조의 허용값은 서로 다르다. 랙 제조사와 건물 구조 자료를 각각 확인해야 한다.</w:t>
      </w:r>
    </w:p>
    <w:p>
      <w:pPr>
        <w:pStyle w:val="BodyText"/>
        <w:widowControl/>
      </w:pPr>
      <w:r>
        <w:t xml:space="preserve">면적당 평균 하중은 전체 무게를 점유 면적으로 나눈 값이다. 하지만 캐스터나 레벨링 풋에 집중되는 국부 하중을 이 값으로 판단할 수 없다. 이중마루 패널과 하부 지지 구조도 별도 검토 대상이다.</w:t>
      </w:r>
    </w:p>
    <w:p>
      <w:pPr>
        <w:pStyle w:val="BodyText"/>
        <w:widowControl/>
      </w:pPr>
      <w:r>
        <w:t xml:space="preserve">DGX H100의 공식 최대 중량은 130.45kg이다. 네 대만으로도 521.8kg이므로 일반 사무실 가구처럼 취급할 수 없다. 반입 동선의 승강기, 문턱, 경사로와 장비 취급 도구를 함께 계획한다.</w:t>
      </w:r>
    </w:p>
    <w:p>
      <w:pPr>
        <w:pStyle w:val="BodyText"/>
        <w:widowControl/>
      </w:pPr>
      <w:r>
        <w:t xml:space="preserve">평균 하중을 압력 단위로 환산하려면 질량에 중력가속도 약 9.81m/s²를 곱한 힘을 면적으로 나눈다. 그러나 구조 검토에서는 단순 평균보다 지지점 집중하중과 통로의 이동 하중이 중요할 수 있다. 케이블·호스의 장력과 정비 시 인출 장비의 안정성도 검토한다.</w:t>
      </w:r>
    </w:p>
    <w:bookmarkStart w:id="77" w:name="계산식과-변수-8"/>
    <w:p>
      <w:pPr>
        <w:pStyle w:val="Heading2"/>
        <w:widowControl/>
      </w:pPr>
      <w:r>
        <w:t xml:space="preserve">계산식과 변수</w:t>
      </w:r>
    </w:p>
    <w:p>
      <w:pPr>
        <w:pStyle w:val="FirstParagraph"/>
        <w:widowControl/>
        <w:spacing w:line="252" w:lineRule="auto" w:before="100" w:after="180"/>
      </w:pPr>
      <m:oMathPara>
        <m:oMathParaPr>
          <m:jc m:val="center"/>
        </m:oMathParaPr>
        <m:oMath>
          <m:sSub>
            <m:e>
              <m:r>
                <m:t>M</m:t>
              </m:r>
            </m:e>
            <m:sub>
              <m:r>
                <m:t>r</m:t>
              </m:r>
              <m:r>
                <m:t>a</m:t>
              </m:r>
              <m:r>
                <m:t>c</m:t>
              </m:r>
              <m:r>
                <m:t>k</m:t>
              </m:r>
            </m:sub>
          </m:sSub>
          <m:r>
            <m:rPr>
              <m:sty m:val="p"/>
            </m:rPr>
            <m:t>=</m:t>
          </m:r>
          <m:sSub>
            <m:e>
              <m:r>
                <m:t>M</m:t>
              </m:r>
            </m:e>
            <m:sub>
              <m:r>
                <m:t>c</m:t>
              </m:r>
              <m:r>
                <m:t>a</m:t>
              </m:r>
              <m:r>
                <m:t>b</m:t>
              </m:r>
              <m:r>
                <m:t>i</m:t>
              </m:r>
              <m:r>
                <m:t>n</m:t>
              </m:r>
              <m:r>
                <m:t>e</m:t>
              </m:r>
              <m:r>
                <m:t>t</m:t>
              </m:r>
            </m:sub>
          </m:sSub>
          <m:r>
            <m:rPr>
              <m:sty m:val="p"/>
            </m:rPr>
            <m:t>+</m:t>
          </m:r>
          <m:r>
            <m:rPr>
              <m:sty m:val="p"/>
            </m:rPr>
            <m:t>∑</m:t>
          </m:r>
          <m:sSub>
            <m:e>
              <m:r>
                <m:t>M</m:t>
              </m:r>
            </m:e>
            <m:sub>
              <m:r>
                <m:t>e</m:t>
              </m:r>
              <m:r>
                <m:t>q</m:t>
              </m:r>
              <m:r>
                <m:t>u</m:t>
              </m:r>
              <m:r>
                <m:t>i</m:t>
              </m:r>
              <m:r>
                <m:t>p</m:t>
              </m:r>
              <m:r>
                <m:t>m</m:t>
              </m:r>
              <m:r>
                <m:t>e</m:t>
              </m:r>
              <m:r>
                <m:t>n</m:t>
              </m:r>
              <m:r>
                <m:t>t</m:t>
              </m:r>
            </m:sub>
          </m:sSub>
          <m:r>
            <m:rPr>
              <m:sty m:val="p"/>
            </m:rPr>
            <m:t>+</m:t>
          </m:r>
          <m:sSub>
            <m:e>
              <m:r>
                <m:t>M</m:t>
              </m:r>
            </m:e>
            <m:sub>
              <m:r>
                <m:t>c</m:t>
              </m:r>
              <m:r>
                <m:t>a</m:t>
              </m:r>
              <m:r>
                <m:t>b</m:t>
              </m:r>
              <m:r>
                <m:t>l</m:t>
              </m:r>
              <m:r>
                <m:t>e</m:t>
              </m:r>
            </m:sub>
          </m:sSub>
          <m:r>
            <m:rPr>
              <m:sty m:val="p"/>
            </m:rPr>
            <m:t>+</m:t>
          </m:r>
          <m:sSub>
            <m:e>
              <m:r>
                <m:t>M</m:t>
              </m:r>
            </m:e>
            <m:sub>
              <m:r>
                <m:t>c</m:t>
              </m:r>
              <m:r>
                <m:t>o</m:t>
              </m:r>
              <m:r>
                <m:t>o</m:t>
              </m:r>
              <m:r>
                <m:t>l</m:t>
              </m:r>
              <m:r>
                <m:t>i</m:t>
              </m:r>
              <m:r>
                <m:t>n</m:t>
              </m:r>
              <m:r>
                <m:t>g</m:t>
              </m:r>
            </m:sub>
          </m:sSub>
        </m:oMath>
      </m:oMathPara>
    </w:p>
    <w:tbl>
      <w:tblPr>
        <w:tblStyle w:val="Table"/>
        <w:tblW w:type="dxa" w:w="986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096"/>
        <w:gridCol w:w="4392"/>
      </w:tblGrid>
      <w:tr>
        <w:trPr>
          <w:tblHeader w:val="true"/>
          <w:cantSplit/>
          <w:tblHeader/>
        </w:trPr>
        <w:tc>
          <w:tcPr>
            <w:tcW w:type="dxa" w:w="237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구성</w:t>
            </w:r>
          </w:p>
        </w:tc>
        <w:tc>
          <w:tcPr>
            <w:tcW w:type="dxa" w:w="309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예제 중량</w:t>
            </w:r>
          </w:p>
        </w:tc>
        <w:tc>
          <w:tcPr>
            <w:tcW w:type="dxa" w:w="4392"/>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구분</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서버 4대</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521.8kg</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공식 최대 중량 적용</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랙과 부속</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150kg</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설명용 가정</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배선과 기타</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30kg</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설명용 가정</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총중량</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701.8kg</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설치 정적 하중</w:t>
            </w:r>
          </w:p>
        </w:tc>
      </w:tr>
    </w:tbl>
    <w:bookmarkEnd w:id="77"/>
    <w:bookmarkStart w:id="78" w:name="적용과-검증-22"/>
    <w:p>
      <w:pPr>
        <w:pStyle w:val="Heading2"/>
        <w:widowControl/>
      </w:pPr>
      <w:r>
        <w:t xml:space="preserve">적용과 검증</w:t>
      </w:r>
    </w:p>
    <w:p>
      <w:pPr>
        <w:pStyle w:val="FirstParagraph"/>
        <w:keepNext/>
        <w:widowControl/>
      </w:pPr>
      <w:r>
        <w:t xml:space="preserve">바닥 면적이 0.72m²라면 평균은 약 974.7kg/m²다. 이 숫자는 집중하중을 대체하지 않는다. 최종 적합성은 구조 담당자가 지지점과 하중 조합을 포함해 확인한다.</w:t>
      </w:r>
    </w:p>
    <w:p>
      <w:pPr>
        <w:pStyle w:val="BodyText"/>
        <w:widowControl/>
        <w:spacing w:before="160"/>
      </w:pPr>
      <w:r>
        <w:rPr>
          <w:sz w:val="17"/>
        </w:rPr>
        <w:t xml:space="preserve">근거 및 추가 읽기 [R13]</w:t>
      </w:r>
    </w:p>
    <w:bookmarkEnd w:id="78"/>
    <w:bookmarkEnd w:id="79"/>
    <w:bookmarkStart w:id="82" w:name="랙당-서버-대수의-통합-제약"/>
    <w:p>
      <w:pPr>
        <w:pStyle w:val="Heading1"/>
        <w:keepNext/>
        <w:widowControl/>
      </w:pPr>
      <w:bookmarkStart w:id="24" w:name="topic_24"/>
      <w:r>
        <w:t xml:space="preserve">24 랙당 서버 대수의 통합 제약</w:t>
      </w:r>
      <w:bookmarkEnd w:id="24"/>
    </w:p>
    <w:p>
      <w:pPr>
        <w:pStyle w:val="FirstParagraph"/>
        <w:widowControl/>
      </w:pPr>
      <w:r>
        <w:rPr>
          <w:bCs/>
          <w:b/>
        </w:rPr>
        <w:t xml:space="preserve">3부 랙 구성과 전력 계산</w:t>
      </w:r>
    </w:p>
    <w:p>
      <w:pPr>
        <w:pStyle w:val="BodyText"/>
        <w:widowControl/>
      </w:pPr>
      <w:r>
        <w:t xml:space="preserve">랙당 배치 대수는 공간·전력·냉각·중량이 허용하는 대수 중 가장 작은 값이다. 동일 서버를 균등 배치하는 경우에 적용하기 쉬우며 혼합 장비나 공유 자원이 있으면 정수 배치 문제로 확장한다.</w:t>
      </w:r>
    </w:p>
    <w:p>
      <w:pPr>
        <w:pStyle w:val="BodyText"/>
        <w:widowControl/>
      </w:pPr>
      <w:r>
        <w:t xml:space="preserve">전력과 냉각에서 서버 외 장비가 사용하는 자원을 먼저 뺀다. 스위치 1kW를 빼지 않고 서버를 채운 뒤 추가하면 랙 정격을 넘길 수 있다. 중량에서도 랙 자체와 부속품의 무게를 제외한 가용 하중을 사용한다.</w:t>
      </w:r>
    </w:p>
    <w:p>
      <w:pPr>
        <w:pStyle w:val="BodyText"/>
        <w:widowControl/>
      </w:pPr>
      <w:r>
        <w:t xml:space="preserve">랙 수는 총 서버 수를 랙당 허용 대수로 나눈 올림이다. 이 수는 서버 랙의 최소 수량이며 별도 네트워크·스토리지·시설 랙이 필요하면 추가한다.</w:t>
      </w:r>
    </w:p>
    <w:p>
      <w:pPr>
        <w:pStyle w:val="BodyText"/>
        <w:widowControl/>
      </w:pPr>
      <w:r>
        <w:t xml:space="preserve">전력 기준 대수는 floor((랙 가용전력−부대 장비전력)/서버전력), 냉각 기준 대수는 floor((랙 열처리능력−부대 발열)/서버 발열)이다. 서로 다른 서버를 섞으면 각 서버의 전력과 RU를 개별 합산해 모든 부등식을 동시에 만족하는 배치를 찾아야 한다.</w:t>
      </w:r>
    </w:p>
    <w:bookmarkStart w:id="80" w:name="계산식과-변수-9"/>
    <w:p>
      <w:pPr>
        <w:pStyle w:val="Heading2"/>
        <w:widowControl/>
      </w:pPr>
      <w:r>
        <w:t xml:space="preserve">계산식과 변수</w:t>
      </w:r>
    </w:p>
    <w:p>
      <w:pPr>
        <w:pStyle w:val="FirstParagraph"/>
        <w:widowControl/>
        <w:spacing w:line="252" w:lineRule="auto" w:before="100" w:after="180"/>
      </w:pPr>
      <m:oMathPara>
        <m:oMathParaPr>
          <m:jc m:val="center"/>
        </m:oMathParaPr>
        <m:oMath>
          <m:sSub>
            <m:e>
              <m:r>
                <m:t>n</m:t>
              </m:r>
            </m:e>
            <m:sub>
              <m:r>
                <m:t>r</m:t>
              </m:r>
              <m:r>
                <m:t>a</m:t>
              </m:r>
              <m:r>
                <m:t>c</m:t>
              </m:r>
              <m:r>
                <m:t>k</m:t>
              </m:r>
            </m:sub>
          </m:sSub>
          <m:r>
            <m:rPr>
              <m:sty m:val="p"/>
            </m:rPr>
            <m:t>=</m:t>
          </m:r>
          <m:r>
            <m:rPr>
              <m:sty m:val="p"/>
            </m:rPr>
            <m:t>min</m:t>
          </m:r>
          <m:d>
            <m:dPr>
              <m:begChr m:val="("/>
              <m:endChr m:val=")"/>
              <m:sepChr m:val=""/>
              <m:grow/>
            </m:dPr>
            <m:e>
              <m:sSub>
                <m:e>
                  <m:r>
                    <m:t>n</m:t>
                  </m:r>
                </m:e>
                <m:sub>
                  <m:r>
                    <m:t>R</m:t>
                  </m:r>
                  <m:r>
                    <m:t>U</m:t>
                  </m:r>
                </m:sub>
              </m:sSub>
              <m:r>
                <m:rPr>
                  <m:sty m:val="p"/>
                </m:rPr>
                <m:t>,</m:t>
              </m:r>
              <m:sSub>
                <m:e>
                  <m:r>
                    <m:t>n</m:t>
                  </m:r>
                </m:e>
                <m:sub>
                  <m:r>
                    <m:t>p</m:t>
                  </m:r>
                  <m:r>
                    <m:t>o</m:t>
                  </m:r>
                  <m:r>
                    <m:t>w</m:t>
                  </m:r>
                  <m:r>
                    <m:t>e</m:t>
                  </m:r>
                  <m:r>
                    <m:t>r</m:t>
                  </m:r>
                </m:sub>
              </m:sSub>
              <m:r>
                <m:rPr>
                  <m:sty m:val="p"/>
                </m:rPr>
                <m:t>,</m:t>
              </m:r>
              <m:sSub>
                <m:e>
                  <m:r>
                    <m:t>n</m:t>
                  </m:r>
                </m:e>
                <m:sub>
                  <m:r>
                    <m:t>c</m:t>
                  </m:r>
                  <m:r>
                    <m:t>o</m:t>
                  </m:r>
                  <m:r>
                    <m:t>o</m:t>
                  </m:r>
                  <m:r>
                    <m:t>l</m:t>
                  </m:r>
                  <m:r>
                    <m:t>i</m:t>
                  </m:r>
                  <m:r>
                    <m:t>n</m:t>
                  </m:r>
                  <m:r>
                    <m:t>g</m:t>
                  </m:r>
                </m:sub>
              </m:sSub>
              <m:r>
                <m:rPr>
                  <m:sty m:val="p"/>
                </m:rPr>
                <m:t>,</m:t>
              </m:r>
              <m:sSub>
                <m:e>
                  <m:r>
                    <m:t>n</m:t>
                  </m:r>
                </m:e>
                <m:sub>
                  <m:r>
                    <m:t>m</m:t>
                  </m:r>
                  <m:r>
                    <m:t>a</m:t>
                  </m:r>
                  <m:r>
                    <m:t>s</m:t>
                  </m:r>
                  <m:r>
                    <m:t>s</m:t>
                  </m:r>
                </m:sub>
              </m:sSub>
            </m:e>
          </m:d>
        </m:oMath>
      </m:oMathPara>
    </w:p>
    <w:p>
      <w:pPr>
        <w:pStyle w:val="FirstParagraph"/>
        <w:widowControl/>
        <w:spacing w:line="252" w:lineRule="auto" w:before="100" w:after="180"/>
      </w:pPr>
      <m:oMathPara>
        <m:oMathParaPr>
          <m:jc m:val="center"/>
        </m:oMathParaPr>
        <m:oMath>
          <m:sSub>
            <m:e>
              <m:r>
                <m:t>N</m:t>
              </m:r>
            </m:e>
            <m:sub>
              <m:r>
                <m:t>r</m:t>
              </m:r>
              <m:r>
                <m:t>a</m:t>
              </m:r>
              <m:r>
                <m:t>c</m:t>
              </m:r>
              <m:r>
                <m:t>k</m:t>
              </m:r>
            </m:sub>
          </m:sSub>
          <m:r>
            <m:rPr>
              <m:sty m:val="p"/>
            </m:rPr>
            <m:t>=</m:t>
          </m:r>
          <m:r>
            <m:rPr>
              <m:sty m:val="p"/>
            </m:rPr>
            <m:t>ceil</m:t>
          </m:r>
          <m:d>
            <m:dPr>
              <m:begChr m:val="("/>
              <m:endChr m:val=")"/>
              <m:sepChr m:val=""/>
              <m:grow/>
            </m:dPr>
            <m:e>
              <m:f>
                <m:fPr>
                  <m:type m:val="bar"/>
                </m:fPr>
                <m:num>
                  <m:sSub>
                    <m:e>
                      <m:r>
                        <m:t>N</m:t>
                      </m:r>
                    </m:e>
                    <m:sub>
                      <m:r>
                        <m:t>s</m:t>
                      </m:r>
                      <m:r>
                        <m:t>e</m:t>
                      </m:r>
                      <m:r>
                        <m:t>r</m:t>
                      </m:r>
                      <m:r>
                        <m:t>v</m:t>
                      </m:r>
                      <m:r>
                        <m:t>e</m:t>
                      </m:r>
                      <m:r>
                        <m:t>r</m:t>
                      </m:r>
                    </m:sub>
                  </m:sSub>
                </m:num>
                <m:den>
                  <m:sSub>
                    <m:e>
                      <m:r>
                        <m:t>n</m:t>
                      </m:r>
                    </m:e>
                    <m:sub>
                      <m:r>
                        <m:t>r</m:t>
                      </m:r>
                      <m:r>
                        <m:t>a</m:t>
                      </m:r>
                      <m:r>
                        <m:t>c</m:t>
                      </m:r>
                      <m:r>
                        <m:t>k</m:t>
                      </m:r>
                    </m:sub>
                  </m:sSub>
                </m:den>
              </m:f>
            </m:e>
          </m:d>
        </m:oMath>
      </m:oMathPara>
    </w:p>
    <w:tbl>
      <w:tblPr>
        <w:tblStyle w:val="Table"/>
        <w:tblW w:type="dxa" w:w="986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096"/>
        <w:gridCol w:w="4392"/>
      </w:tblGrid>
      <w:tr>
        <w:trPr>
          <w:tblHeader w:val="true"/>
          <w:cantSplit/>
          <w:tblHeader/>
        </w:trPr>
        <w:tc>
          <w:tcPr>
            <w:tcW w:type="dxa" w:w="237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제약</w:t>
            </w:r>
          </w:p>
        </w:tc>
        <w:tc>
          <w:tcPr>
            <w:tcW w:type="dxa" w:w="309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허용 대수</w:t>
            </w:r>
          </w:p>
        </w:tc>
        <w:tc>
          <w:tcPr>
            <w:tcW w:type="dxa" w:w="4392"/>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검토 결과</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공간</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4대</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36U에 8U 서버</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전력</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4대</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44kW에 10.2kW 서버</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냉각</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3대</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35kW에 10.2kW 서버</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중량</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6대</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가용 하중 기준</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최종</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3대</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냉각이 병목</w:t>
            </w:r>
          </w:p>
        </w:tc>
      </w:tr>
    </w:tbl>
    <w:bookmarkEnd w:id="80"/>
    <w:bookmarkStart w:id="81" w:name="적용과-검증-23"/>
    <w:p>
      <w:pPr>
        <w:pStyle w:val="Heading2"/>
        <w:widowControl/>
      </w:pPr>
      <w:r>
        <w:t xml:space="preserve">적용과 검증</w:t>
      </w:r>
    </w:p>
    <w:p>
      <w:pPr>
        <w:pStyle w:val="FirstParagraph"/>
        <w:keepNext/>
        <w:widowControl/>
      </w:pPr>
      <w:r>
        <w:t xml:space="preserve">서버 8대라면 이 사례에서는 3랙이 필요하다. 전력만 검토해 2랙이라고 판단하면 열 제거 능력이 부족하다. 냉각을 증설했을 때 다시 계산하면 병목이 다른 항목으로 바뀔 수 있다.</w:t>
      </w:r>
    </w:p>
    <w:p>
      <w:pPr>
        <w:pStyle w:val="BodyText"/>
        <w:widowControl/>
        <w:spacing w:before="160"/>
      </w:pPr>
      <w:r>
        <w:rPr>
          <w:sz w:val="17"/>
        </w:rPr>
        <w:t xml:space="preserve">근거 및 추가 읽기 [R09] [R13]</w:t>
      </w:r>
    </w:p>
    <w:bookmarkEnd w:id="81"/>
    <w:bookmarkEnd w:id="82"/>
    <w:bookmarkStart w:id="85" w:name="서버-전력과-gpu-tdp의-구분"/>
    <w:p>
      <w:pPr>
        <w:pStyle w:val="Heading1"/>
        <w:keepNext/>
        <w:widowControl/>
      </w:pPr>
      <w:bookmarkStart w:id="25" w:name="topic_25"/>
      <w:r>
        <w:t xml:space="preserve">25 서버 전력과 GPU TDP의 구분</w:t>
      </w:r>
      <w:bookmarkEnd w:id="25"/>
    </w:p>
    <w:p>
      <w:pPr>
        <w:pStyle w:val="FirstParagraph"/>
        <w:widowControl/>
      </w:pPr>
      <w:r>
        <w:rPr>
          <w:bCs/>
          <w:b/>
        </w:rPr>
        <w:t xml:space="preserve">3부 랙 구성과 전력 계산</w:t>
      </w:r>
    </w:p>
    <w:p>
      <w:pPr>
        <w:pStyle w:val="BodyText"/>
        <w:widowControl/>
      </w:pPr>
      <w:r>
        <w:t xml:space="preserve">GPU의 TDP는 특정 열설계와 전력 한도를 설명하는 사양이며 서버 전체 AC 입력전력과 동일하지 않다. 서버에는 CPU, 메모리, NIC, 저장장치와 팬이 있고 PSU의 변환 손실도 있다. GPU TDP 합산은 부분 부하의 근사에만 사용한다.</w:t>
      </w:r>
    </w:p>
    <w:p>
      <w:pPr>
        <w:pStyle w:val="BodyText"/>
        <w:widowControl/>
      </w:pPr>
      <w:r>
        <w:t xml:space="preserve">시설 설계에서는 시스템 최대 소비전력 또는 제조사가 제공하는 구성별 입력전력을 우선 사용한다. 에너지 비용 예측에는 실제 작업의 평균 전력이 필요하다. 평균을 최대의 일정 비율로 가정했다면 이를 검증할 계측 계획을 둔다.</w:t>
      </w:r>
    </w:p>
    <w:p>
      <w:pPr>
        <w:pStyle w:val="BodyText"/>
        <w:widowControl/>
      </w:pPr>
      <w:r>
        <w:t xml:space="preserve">PSU 모듈 정격의 합도 소비전력과 다르다. 중복 전원과 여유 용량 때문에 합계가 실제 시스템 입력보다 클 수 있다. 전력의 계측 위치가 DC인지 AC인지도 기록한다.</w:t>
      </w:r>
    </w:p>
    <w:p>
      <w:pPr>
        <w:pStyle w:val="BodyText"/>
        <w:widowControl/>
      </w:pPr>
      <w:r>
        <w:t xml:space="preserve">AC 입력전력을 이미 알고 있다면 PSU 효율로 다시 나누지 않는다. 효율 보정은 DC 부품 전력을 합산해 AC 입력을 추정할 때만 적용한다. 서버 팬과 NIC가 시스템 최대전력에 포함되는지 확인해 포함된 부하를 별도로 재합산하지 않는 것이 전력 수지의 기본이다.</w:t>
      </w:r>
    </w:p>
    <w:bookmarkStart w:id="83" w:name="계산식과-변수-10"/>
    <w:p>
      <w:pPr>
        <w:pStyle w:val="Heading2"/>
        <w:widowControl/>
      </w:pPr>
      <w:r>
        <w:t xml:space="preserve">계산식과 변수</w:t>
      </w:r>
    </w:p>
    <w:p>
      <w:pPr>
        <w:pStyle w:val="FirstParagraph"/>
        <w:widowControl/>
        <w:spacing w:line="252" w:lineRule="auto" w:before="100" w:after="180"/>
      </w:pPr>
      <m:oMathPara>
        <m:oMathParaPr>
          <m:jc m:val="center"/>
        </m:oMathParaPr>
        <m:oMath>
          <m:sSub>
            <m:e>
              <m:r>
                <m:t>P</m:t>
              </m:r>
            </m:e>
            <m:sub>
              <m:r>
                <m:t>A</m:t>
              </m:r>
              <m:r>
                <m:t>C</m:t>
              </m:r>
            </m:sub>
          </m:sSub>
          <m:r>
            <m:rPr>
              <m:sty m:val="p"/>
            </m:rPr>
            <m:t>=</m:t>
          </m:r>
          <m:f>
            <m:fPr>
              <m:type m:val="bar"/>
            </m:fPr>
            <m:num>
              <m:sSub>
                <m:e>
                  <m:r>
                    <m:t>P</m:t>
                  </m:r>
                </m:e>
                <m:sub>
                  <m:r>
                    <m:t>G</m:t>
                  </m:r>
                  <m:r>
                    <m:t>P</m:t>
                  </m:r>
                  <m:r>
                    <m:t>U</m:t>
                  </m:r>
                </m:sub>
              </m:sSub>
              <m:r>
                <m:rPr>
                  <m:sty m:val="p"/>
                </m:rPr>
                <m:t>+</m:t>
              </m:r>
              <m:sSub>
                <m:e>
                  <m:r>
                    <m:t>P</m:t>
                  </m:r>
                </m:e>
                <m:sub>
                  <m:r>
                    <m:t>C</m:t>
                  </m:r>
                  <m:r>
                    <m:t>P</m:t>
                  </m:r>
                  <m:r>
                    <m:t>U</m:t>
                  </m:r>
                </m:sub>
              </m:sSub>
              <m:r>
                <m:rPr>
                  <m:sty m:val="p"/>
                </m:rPr>
                <m:t>+</m:t>
              </m:r>
              <m:sSub>
                <m:e>
                  <m:r>
                    <m:t>P</m:t>
                  </m:r>
                </m:e>
                <m:sub>
                  <m:r>
                    <m:t>m</m:t>
                  </m:r>
                  <m:r>
                    <m:t>e</m:t>
                  </m:r>
                  <m:r>
                    <m:t>m</m:t>
                  </m:r>
                  <m:r>
                    <m:t>o</m:t>
                  </m:r>
                  <m:r>
                    <m:t>r</m:t>
                  </m:r>
                  <m:r>
                    <m:t>y</m:t>
                  </m:r>
                </m:sub>
              </m:sSub>
              <m:r>
                <m:rPr>
                  <m:sty m:val="p"/>
                </m:rPr>
                <m:t>+</m:t>
              </m:r>
              <m:sSub>
                <m:e>
                  <m:r>
                    <m:t>P</m:t>
                  </m:r>
                </m:e>
                <m:sub>
                  <m:r>
                    <m:t>N</m:t>
                  </m:r>
                  <m:r>
                    <m:t>I</m:t>
                  </m:r>
                  <m:r>
                    <m:t>C</m:t>
                  </m:r>
                </m:sub>
              </m:sSub>
              <m:r>
                <m:rPr>
                  <m:sty m:val="p"/>
                </m:rPr>
                <m:t>+</m:t>
              </m:r>
              <m:sSub>
                <m:e>
                  <m:r>
                    <m:t>P</m:t>
                  </m:r>
                </m:e>
                <m:sub>
                  <m:r>
                    <m:t>o</m:t>
                  </m:r>
                  <m:r>
                    <m:t>t</m:t>
                  </m:r>
                  <m:r>
                    <m:t>h</m:t>
                  </m:r>
                  <m:r>
                    <m:t>e</m:t>
                  </m:r>
                  <m:r>
                    <m:t>r</m:t>
                  </m:r>
                  <m:r>
                    <m:rPr>
                      <m:sty m:val="p"/>
                    </m:rPr>
                    <m:t>,</m:t>
                  </m:r>
                  <m:r>
                    <m:t>D</m:t>
                  </m:r>
                  <m:r>
                    <m:t>C</m:t>
                  </m:r>
                </m:sub>
              </m:sSub>
            </m:num>
            <m:den>
              <m:sSub>
                <m:e>
                  <m:r>
                    <m:t>η</m:t>
                  </m:r>
                </m:e>
                <m:sub>
                  <m:r>
                    <m:t>P</m:t>
                  </m:r>
                  <m:r>
                    <m:t>S</m:t>
                  </m:r>
                  <m:r>
                    <m:t>U</m:t>
                  </m:r>
                </m:sub>
              </m:sSub>
            </m:den>
          </m:f>
        </m:oMath>
      </m:oMathPara>
    </w:p>
    <w:tbl>
      <w:tblPr>
        <w:tblStyle w:val="Table"/>
        <w:tblW w:type="dxa" w:w="986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096"/>
        <w:gridCol w:w="4392"/>
      </w:tblGrid>
      <w:tr>
        <w:trPr>
          <w:tblHeader w:val="true"/>
          <w:cantSplit/>
          <w:tblHeader/>
        </w:trPr>
        <w:tc>
          <w:tcPr>
            <w:tcW w:type="dxa" w:w="237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숫자 종류</w:t>
            </w:r>
          </w:p>
        </w:tc>
        <w:tc>
          <w:tcPr>
            <w:tcW w:type="dxa" w:w="309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뜻</w:t>
            </w:r>
          </w:p>
        </w:tc>
        <w:tc>
          <w:tcPr>
            <w:tcW w:type="dxa" w:w="4392"/>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적절한 사용</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GPU TDP</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가속기 열설계 관련 값</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GPU 부분 검토</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PSU 정격 합</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설치된 전원장치 능력</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중복성과 공급 여유</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시스템 최대</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제품 전체 입력 요구</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시설 수용 검토</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실측 평균</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업무 기간의 평균 입력</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에너지와 비용</w:t>
            </w:r>
          </w:p>
        </w:tc>
      </w:tr>
    </w:tbl>
    <w:bookmarkEnd w:id="83"/>
    <w:bookmarkStart w:id="84" w:name="적용과-검증-24"/>
    <w:p>
      <w:pPr>
        <w:pStyle w:val="Heading2"/>
        <w:widowControl/>
      </w:pPr>
      <w:r>
        <w:t xml:space="preserve">적용과 검증</w:t>
      </w:r>
    </w:p>
    <w:p>
      <w:pPr>
        <w:pStyle w:val="FirstParagraph"/>
        <w:keepNext/>
        <w:widowControl/>
      </w:pPr>
      <w:r>
        <w:t xml:space="preserve">DGX H100은 3.3kW PSU 6개를 갖지만 시스템 최대 입력 사양은 10.2kW다. 19.8kW를 정상 소비전력으로 사용하면 랙과 시설 요구를 과대 추정한다. [R13]</w:t>
      </w:r>
    </w:p>
    <w:p>
      <w:pPr>
        <w:pStyle w:val="BodyText"/>
        <w:widowControl/>
        <w:spacing w:before="160"/>
      </w:pPr>
      <w:r>
        <w:rPr>
          <w:sz w:val="17"/>
        </w:rPr>
        <w:t xml:space="preserve">근거 및 추가 읽기 [R13] [R14]</w:t>
      </w:r>
    </w:p>
    <w:bookmarkEnd w:id="84"/>
    <w:bookmarkEnd w:id="85"/>
    <w:bookmarkStart w:id="88" w:name="kw와-kva-및-역률-계산"/>
    <w:p>
      <w:pPr>
        <w:pStyle w:val="Heading1"/>
        <w:keepNext/>
        <w:widowControl/>
      </w:pPr>
      <w:bookmarkStart w:id="26" w:name="topic_26"/>
      <w:r>
        <w:t xml:space="preserve">26 kW와 kVA 및 역률 계산</w:t>
      </w:r>
      <w:bookmarkEnd w:id="26"/>
    </w:p>
    <w:p>
      <w:pPr>
        <w:pStyle w:val="FirstParagraph"/>
        <w:widowControl/>
      </w:pPr>
      <w:r>
        <w:rPr>
          <w:bCs/>
          <w:b/>
        </w:rPr>
        <w:t xml:space="preserve">3부 랙 구성과 전력 계산</w:t>
      </w:r>
    </w:p>
    <w:p>
      <w:pPr>
        <w:pStyle w:val="BodyText"/>
        <w:widowControl/>
      </w:pPr>
      <w:r>
        <w:t xml:space="preserve">kW는 유효전력이고 kVA는 피상전력이다. AC 설비는 두 정격을 동시에 만족해야 한다. 부하의 역률 PF를 알면 유효전력을 피상전력으로 변환할 수 있다. UPS의 출력 역률 표기와 부하의 실제 역률을 혼동하지 않는다.</w:t>
      </w:r>
    </w:p>
    <w:p>
      <w:pPr>
        <w:pStyle w:val="BodyText"/>
        <w:widowControl/>
      </w:pPr>
      <w:r>
        <w:t xml:space="preserve">예를 들어 부하가 80kW이고 PF가 0.95라면 피상전력은 약 84.21kVA다. 100kVA UPS라도 kW 정격이 80kW라면 유효전력의 여유가 없다. 따라서 kVA만 보고 적합하다고 판단할 수 없다.</w:t>
      </w:r>
    </w:p>
    <w:p>
      <w:pPr>
        <w:pStyle w:val="BodyText"/>
        <w:widowControl/>
      </w:pPr>
      <w:r>
        <w:t xml:space="preserve">비선형 부하에서는 파형 왜곡과 고조파도 고려해야 한다. 단순 정현파 위상각만으로 정의한 cosφ와 실제 총역률이 항상 같은 것은 아니다. 이 문서의 전류 예제는 균형 부하와 제시한 PF를 가정한다.</w:t>
      </w:r>
    </w:p>
    <w:p>
      <w:pPr>
        <w:pStyle w:val="BodyText"/>
        <w:widowControl/>
      </w:pPr>
      <w:r>
        <w:t xml:space="preserve">역률 PF=P/S를 P에 대해 정리하면 P=SPF가 된다. 100kVA에서 PF 0.8인 부하는 80kW지만 UPS의 별도 kW 정격이 그보다 낮으면 해당 정격이 병목이다. 부하 역률이 좋아져도 전원장치의 허용 kW 자체가 자동으로 커지는 것은 아니다.</w:t>
      </w:r>
    </w:p>
    <w:bookmarkStart w:id="86" w:name="계산식과-변수-11"/>
    <w:p>
      <w:pPr>
        <w:pStyle w:val="Heading2"/>
        <w:widowControl/>
      </w:pPr>
      <w:r>
        <w:t xml:space="preserve">계산식과 변수</w:t>
      </w:r>
    </w:p>
    <w:p>
      <w:pPr>
        <w:pStyle w:val="FirstParagraph"/>
        <w:widowControl/>
        <w:spacing w:line="252" w:lineRule="auto" w:before="100" w:after="180"/>
      </w:pPr>
      <m:oMathPara>
        <m:oMathParaPr>
          <m:jc m:val="center"/>
        </m:oMathParaPr>
        <m:oMath>
          <m:r>
            <m:t>S</m:t>
          </m:r>
          <m:r>
            <m:rPr>
              <m:sty m:val="p"/>
            </m:rPr>
            <m:t>=</m:t>
          </m:r>
          <m:f>
            <m:fPr>
              <m:type m:val="bar"/>
            </m:fPr>
            <m:num>
              <m:r>
                <m:t>P</m:t>
              </m:r>
            </m:num>
            <m:den>
              <m:r>
                <m:t>P</m:t>
              </m:r>
              <m:r>
                <m:t>F</m:t>
              </m:r>
            </m:den>
          </m:f>
        </m:oMath>
      </m:oMathPara>
    </w:p>
    <w:p>
      <w:pPr>
        <w:pStyle w:val="FirstParagraph"/>
        <w:widowControl/>
        <w:spacing w:line="252" w:lineRule="auto" w:before="100" w:after="180"/>
      </w:pPr>
      <m:oMathPara>
        <m:oMathParaPr>
          <m:jc m:val="center"/>
        </m:oMathParaPr>
        <m:oMath>
          <m:r>
            <m:t>P</m:t>
          </m:r>
          <m:r>
            <m:rPr>
              <m:sty m:val="p"/>
            </m:rPr>
            <m:t>≤</m:t>
          </m:r>
          <m:sSub>
            <m:e>
              <m:r>
                <m:t>P</m:t>
              </m:r>
            </m:e>
            <m:sub>
              <m:r>
                <m:t>r</m:t>
              </m:r>
              <m:r>
                <m:t>a</m:t>
              </m:r>
              <m:r>
                <m:t>t</m:t>
              </m:r>
              <m:r>
                <m:t>e</m:t>
              </m:r>
              <m:r>
                <m:t>d</m:t>
              </m:r>
            </m:sub>
          </m:sSub>
          <m:r>
            <m:rPr>
              <m:sty m:val="p"/>
            </m:rPr>
            <m:t>,</m:t>
          </m:r>
          <m:r>
            <m:t>  </m:t>
          </m:r>
          <m:r>
            <m:t>S</m:t>
          </m:r>
          <m:r>
            <m:rPr>
              <m:sty m:val="p"/>
            </m:rPr>
            <m:t>≤</m:t>
          </m:r>
          <m:sSub>
            <m:e>
              <m:r>
                <m:t>S</m:t>
              </m:r>
            </m:e>
            <m:sub>
              <m:r>
                <m:t>r</m:t>
              </m:r>
              <m:r>
                <m:t>a</m:t>
              </m:r>
              <m:r>
                <m:t>t</m:t>
              </m:r>
              <m:r>
                <m:t>e</m:t>
              </m:r>
              <m:r>
                <m:t>d</m:t>
              </m:r>
            </m:sub>
          </m:sSub>
        </m:oMath>
      </m:oMathPara>
    </w:p>
    <w:tbl>
      <w:tblPr>
        <w:tblStyle w:val="Table"/>
        <w:tblW w:type="dxa" w:w="986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096"/>
        <w:gridCol w:w="4392"/>
      </w:tblGrid>
      <w:tr>
        <w:trPr>
          <w:tblHeader w:val="true"/>
          <w:cantSplit/>
          <w:tblHeader/>
        </w:trPr>
        <w:tc>
          <w:tcPr>
            <w:tcW w:type="dxa" w:w="237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항목</w:t>
            </w:r>
          </w:p>
        </w:tc>
        <w:tc>
          <w:tcPr>
            <w:tcW w:type="dxa" w:w="309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입력</w:t>
            </w:r>
          </w:p>
        </w:tc>
        <w:tc>
          <w:tcPr>
            <w:tcW w:type="dxa" w:w="4392"/>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산출</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유효전력</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80kW</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실제 에너지 전달</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역률</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0.95</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가정</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피상전력</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84.21kVA</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80 나누기 0.95</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UPS 검토</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kW와 kVA</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두 조건 모두 확인</w:t>
            </w:r>
          </w:p>
        </w:tc>
      </w:tr>
    </w:tbl>
    <w:bookmarkEnd w:id="86"/>
    <w:bookmarkStart w:id="87" w:name="적용과-검증-25"/>
    <w:p>
      <w:pPr>
        <w:pStyle w:val="Heading2"/>
        <w:widowControl/>
      </w:pPr>
      <w:r>
        <w:t xml:space="preserve">적용과 검증</w:t>
      </w:r>
    </w:p>
    <w:p>
      <w:pPr>
        <w:pStyle w:val="FirstParagraph"/>
        <w:keepNext/>
        <w:widowControl/>
      </w:pPr>
      <w:r>
        <w:t xml:space="preserve">UPS 용량표에서 정격 전압, 주위온도, 고도와 운전 모드의 감액 조건도 확인한다. 명목 정격이 같아도 설치 조건에 따라 사용 가능한 출력이 다를 수 있다.</w:t>
      </w:r>
    </w:p>
    <w:p>
      <w:pPr>
        <w:pStyle w:val="BodyText"/>
        <w:widowControl/>
        <w:spacing w:before="160"/>
      </w:pPr>
      <w:r>
        <w:rPr>
          <w:sz w:val="17"/>
        </w:rPr>
        <w:t xml:space="preserve">근거 및 추가 읽기 [R25]</w:t>
      </w:r>
    </w:p>
    <w:bookmarkEnd w:id="87"/>
    <w:bookmarkEnd w:id="88"/>
    <w:bookmarkStart w:id="91" w:name="단상과-삼상-회로의-전류-계산"/>
    <w:p>
      <w:pPr>
        <w:pStyle w:val="Heading1"/>
        <w:keepNext/>
        <w:widowControl/>
      </w:pPr>
      <w:bookmarkStart w:id="27" w:name="topic_27"/>
      <w:r>
        <w:t xml:space="preserve">27 단상과 삼상 회로의 전류 계산</w:t>
      </w:r>
      <w:bookmarkEnd w:id="27"/>
    </w:p>
    <w:p>
      <w:pPr>
        <w:pStyle w:val="FirstParagraph"/>
        <w:widowControl/>
      </w:pPr>
      <w:r>
        <w:rPr>
          <w:bCs/>
          <w:b/>
        </w:rPr>
        <w:t xml:space="preserve">3부 랙 구성과 전력 계산</w:t>
      </w:r>
    </w:p>
    <w:p>
      <w:pPr>
        <w:pStyle w:val="BodyText"/>
        <w:widowControl/>
      </w:pPr>
      <w:r>
        <w:t xml:space="preserve">단상 회로에서 전류는 유효전력을 전압과 역률의 곱으로 나눈 값이다. 균형 삼상에서는 선간전압과 선전류를 사용할 때 √3 계수가 들어간다. 선간전압과 상전압을 바꿔 넣으면 결과가 달라진다.</w:t>
      </w:r>
    </w:p>
    <w:p>
      <w:pPr>
        <w:pStyle w:val="BodyText"/>
        <w:widowControl/>
      </w:pPr>
      <w:r>
        <w:t xml:space="preserve">삼상 배전에서 랙 총전력이 같아도 상별 배치가 불균형하면 한 상이 먼저 과부하될 수 있다. 회로 전체 전류와 개별 콘센트·분기 회로의 전류를 모두 확인한다. 명판에 적힌 입력 최대값과 운전 평균을 구분한다.</w:t>
      </w:r>
    </w:p>
    <w:p>
      <w:pPr>
        <w:pStyle w:val="BodyText"/>
        <w:widowControl/>
      </w:pPr>
      <w:r>
        <w:t xml:space="preserve">전류 계산은 케이블 선정의 첫 단계다. 허용전류, 포설 방식, 묶음 수, 주위온도와 차단기 협조를 적용해야 도체 단면적을 확정할 수 있다. 보편적인 한 가지 굵기를 모든 GPU 랙에 적용할 수 없다.</w:t>
      </w:r>
    </w:p>
    <w:p>
      <w:pPr>
        <w:pStyle w:val="BodyText"/>
        <w:widowControl/>
      </w:pPr>
      <w:r>
        <w:t xml:space="preserve">삼상식은 상전압에 상전류와 역률을 곱한 값을 세 상에 더한 데서 나온다. 균형 Y 결선에서는 선간전압이 상전압의 √3배여서 전체 유효전력이 √3×선간전압×선전류×PF가 된다. 서버는 단상 입력을 받을 수 있으므로 랙 PDU의 상별 분기에서 균형을 확인한다.</w:t>
      </w:r>
    </w:p>
    <w:bookmarkStart w:id="89" w:name="계산식과-변수-12"/>
    <w:p>
      <w:pPr>
        <w:pStyle w:val="Heading2"/>
        <w:widowControl/>
      </w:pPr>
      <w:r>
        <w:t xml:space="preserve">계산식과 변수</w:t>
      </w:r>
    </w:p>
    <w:p>
      <w:pPr>
        <w:pStyle w:val="FirstParagraph"/>
        <w:widowControl/>
        <w:spacing w:line="252" w:lineRule="auto" w:before="100" w:after="180"/>
      </w:pPr>
      <m:oMathPara>
        <m:oMathParaPr>
          <m:jc m:val="center"/>
        </m:oMathParaPr>
        <m:oMath>
          <m:sSub>
            <m:e>
              <m:r>
                <m:t>I</m:t>
              </m:r>
            </m:e>
            <m:sub>
              <m:r>
                <m:t>1</m:t>
              </m:r>
              <m:r>
                <m:t>ϕ</m:t>
              </m:r>
            </m:sub>
          </m:sSub>
          <m:r>
            <m:rPr>
              <m:sty m:val="p"/>
            </m:rPr>
            <m:t>=</m:t>
          </m:r>
          <m:f>
            <m:fPr>
              <m:type m:val="bar"/>
            </m:fPr>
            <m:num>
              <m:r>
                <m:t>1000</m:t>
              </m:r>
              <m:sSub>
                <m:e>
                  <m:r>
                    <m:t>P</m:t>
                  </m:r>
                </m:e>
                <m:sub>
                  <m:r>
                    <m:t>k</m:t>
                  </m:r>
                  <m:r>
                    <m:t>W</m:t>
                  </m:r>
                </m:sub>
              </m:sSub>
            </m:num>
            <m:den>
              <m:r>
                <m:t>V</m:t>
              </m:r>
              <m:r>
                <m:t>P</m:t>
              </m:r>
              <m:r>
                <m:t>F</m:t>
              </m:r>
            </m:den>
          </m:f>
        </m:oMath>
      </m:oMathPara>
    </w:p>
    <w:p>
      <w:pPr>
        <w:pStyle w:val="FirstParagraph"/>
        <w:widowControl/>
        <w:spacing w:line="252" w:lineRule="auto" w:before="100" w:after="180"/>
      </w:pPr>
      <m:oMathPara>
        <m:oMathParaPr>
          <m:jc m:val="center"/>
        </m:oMathParaPr>
        <m:oMath>
          <m:sSub>
            <m:e>
              <m:r>
                <m:t>I</m:t>
              </m:r>
            </m:e>
            <m:sub>
              <m:r>
                <m:t>3</m:t>
              </m:r>
              <m:r>
                <m:t>ϕ</m:t>
              </m:r>
            </m:sub>
          </m:sSub>
          <m:r>
            <m:rPr>
              <m:sty m:val="p"/>
            </m:rPr>
            <m:t>=</m:t>
          </m:r>
          <m:f>
            <m:fPr>
              <m:type m:val="bar"/>
            </m:fPr>
            <m:num>
              <m:r>
                <m:t>1000</m:t>
              </m:r>
              <m:sSub>
                <m:e>
                  <m:r>
                    <m:t>P</m:t>
                  </m:r>
                </m:e>
                <m:sub>
                  <m:r>
                    <m:t>k</m:t>
                  </m:r>
                  <m:r>
                    <m:t>W</m:t>
                  </m:r>
                </m:sub>
              </m:sSub>
            </m:num>
            <m:den>
              <m:rad>
                <m:radPr>
                  <m:degHide m:val="on"/>
                </m:radPr>
                <m:deg/>
                <m:e>
                  <m:r>
                    <m:t>3</m:t>
                  </m:r>
                </m:e>
              </m:rad>
              <m:sSub>
                <m:e>
                  <m:r>
                    <m:t>V</m:t>
                  </m:r>
                </m:e>
                <m:sub>
                  <m:r>
                    <m:t>L</m:t>
                  </m:r>
                  <m:r>
                    <m:t>L</m:t>
                  </m:r>
                </m:sub>
              </m:sSub>
              <m:r>
                <m:t>P</m:t>
              </m:r>
              <m:r>
                <m:t>F</m:t>
              </m:r>
            </m:den>
          </m:f>
        </m:oMath>
      </m:oMathPara>
    </w:p>
    <w:tbl>
      <w:tblPr>
        <w:tblStyle w:val="Table"/>
        <w:tblW w:type="dxa" w:w="986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096"/>
        <w:gridCol w:w="4392"/>
      </w:tblGrid>
      <w:tr>
        <w:trPr>
          <w:tblHeader w:val="true"/>
          <w:cantSplit/>
          <w:tblHeader/>
        </w:trPr>
        <w:tc>
          <w:tcPr>
            <w:tcW w:type="dxa" w:w="237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조건</w:t>
            </w:r>
          </w:p>
        </w:tc>
        <w:tc>
          <w:tcPr>
            <w:tcW w:type="dxa" w:w="309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값</w:t>
            </w:r>
          </w:p>
        </w:tc>
        <w:tc>
          <w:tcPr>
            <w:tcW w:type="dxa" w:w="4392"/>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계산</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랙 전력</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40.8kW</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설명용 부하</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선간전압</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400V</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삼상 가정</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역률</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0.95</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가정</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선전류</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약 62.0A</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균형 삼상 모델</w:t>
            </w:r>
          </w:p>
        </w:tc>
      </w:tr>
    </w:tbl>
    <w:bookmarkEnd w:id="89"/>
    <w:bookmarkStart w:id="90" w:name="적용과-검증-26"/>
    <w:p>
      <w:pPr>
        <w:pStyle w:val="Heading2"/>
        <w:widowControl/>
      </w:pPr>
      <w:r>
        <w:t xml:space="preserve">적용과 검증</w:t>
      </w:r>
    </w:p>
    <w:p>
      <w:pPr>
        <w:pStyle w:val="FirstParagraph"/>
        <w:keepNext/>
        <w:widowControl/>
      </w:pPr>
      <w:r>
        <w:t xml:space="preserve">약 62A라는 결과만으로 63A 분기회로와 케이블을 확정하지 않는다. 연속부하 조건과 법규, 제조사 정격, 상별 분배 및 장애 시 전류를 별도 적용해야 한다.</w:t>
      </w:r>
    </w:p>
    <w:p>
      <w:pPr>
        <w:pStyle w:val="BodyText"/>
        <w:widowControl/>
        <w:spacing w:before="160"/>
      </w:pPr>
      <w:r>
        <w:rPr>
          <w:sz w:val="17"/>
        </w:rPr>
        <w:t xml:space="preserve">근거 및 추가 읽기 [R13] [R25]</w:t>
      </w:r>
    </w:p>
    <w:bookmarkEnd w:id="90"/>
    <w:bookmarkEnd w:id="91"/>
    <w:bookmarkStart w:id="94" w:name="전원-케이블-단면적과-전압강하-검토"/>
    <w:p>
      <w:pPr>
        <w:pStyle w:val="Heading1"/>
        <w:keepNext/>
        <w:widowControl/>
      </w:pPr>
      <w:bookmarkStart w:id="28" w:name="topic_28"/>
      <w:r>
        <w:t xml:space="preserve">28 전원 케이블 단면적과 전압강하 검토</w:t>
      </w:r>
      <w:bookmarkEnd w:id="28"/>
    </w:p>
    <w:p>
      <w:pPr>
        <w:pStyle w:val="FirstParagraph"/>
        <w:widowControl/>
      </w:pPr>
      <w:r>
        <w:rPr>
          <w:bCs/>
          <w:b/>
        </w:rPr>
        <w:t xml:space="preserve">3부 랙 구성과 전력 계산</w:t>
      </w:r>
    </w:p>
    <w:p>
      <w:pPr>
        <w:pStyle w:val="BodyText"/>
        <w:widowControl/>
      </w:pPr>
      <w:r>
        <w:t xml:space="preserve">전원선은 전류를 견디는 것과 장비에 허용 전압을 전달하는 것을 모두 만족해야 한다. 허용전류는 재질·절연·포설·온도에 의존하고 전압강하는 길이와 임피던스에 의존한다. 같은 전류라도 긴 케이블은 더 큰 단면적이 필요할 수 있다.</w:t>
      </w:r>
    </w:p>
    <w:p>
      <w:pPr>
        <w:pStyle w:val="BodyText"/>
        <w:widowControl/>
      </w:pPr>
      <w:r>
        <w:t xml:space="preserve">직류 또는 단순 저항성 단상 왕복 회로에서는 저항을 저항률·길이·단면적으로 표현할 수 있다. AC 삼상 장거리 회로에서는 리액턴스와 역률을 포함한 식을 적용한다. 아래 단순식은 개념 확인용이며 시공용 선정표를 대체하지 않는다.</w:t>
      </w:r>
    </w:p>
    <w:p>
      <w:pPr>
        <w:pStyle w:val="BodyText"/>
        <w:widowControl/>
      </w:pPr>
      <w:r>
        <w:t xml:space="preserve">장비 측 전원 코드와 시설 배전 케이블도 구분한다. 제조사가 지정한 코드와 커넥터, 잠금 방식 및 정격을 만족해야 한다. 플러그가 맞는다고 전기적·기계적 호환이 보장되는 것은 아니다.</w:t>
      </w:r>
    </w:p>
    <w:p>
      <w:pPr>
        <w:pStyle w:val="BodyText"/>
        <w:widowControl/>
      </w:pPr>
      <w:r>
        <w:t xml:space="preserve">식의 L은 편도 길이이며 왕복 도체를 고려해 2가 붙는다. 저항률 ρ를 Ω·mm²/m로 쓰면 단면적 A는 mm², 길이는 m로 넣는다. 도체 온도가 상승하면 저항도 달라지므로 실제 계산에는 설계 온도의 재료값을 적용한다. 접속부 저항과 보호 도체는 별도 검토한다.</w:t>
      </w:r>
    </w:p>
    <w:bookmarkStart w:id="92" w:name="계산식과-변수-13"/>
    <w:p>
      <w:pPr>
        <w:pStyle w:val="Heading2"/>
        <w:widowControl/>
      </w:pPr>
      <w:r>
        <w:t xml:space="preserve">계산식과 변수</w:t>
      </w:r>
    </w:p>
    <w:p>
      <w:pPr>
        <w:pStyle w:val="FirstParagraph"/>
        <w:widowControl/>
        <w:spacing w:line="252" w:lineRule="auto" w:before="100" w:after="180"/>
      </w:pPr>
      <m:oMathPara>
        <m:oMathParaPr>
          <m:jc m:val="center"/>
        </m:oMathParaPr>
        <m:oMath>
          <m:r>
            <m:t>R</m:t>
          </m:r>
          <m:r>
            <m:rPr>
              <m:sty m:val="p"/>
            </m:rPr>
            <m:t>=</m:t>
          </m:r>
          <m:r>
            <m:t>ρ</m:t>
          </m:r>
          <m:f>
            <m:fPr>
              <m:type m:val="bar"/>
            </m:fPr>
            <m:num>
              <m:r>
                <m:t>L</m:t>
              </m:r>
            </m:num>
            <m:den>
              <m:r>
                <m:t>A</m:t>
              </m:r>
            </m:den>
          </m:f>
        </m:oMath>
      </m:oMathPara>
    </w:p>
    <w:p>
      <w:pPr>
        <w:pStyle w:val="FirstParagraph"/>
        <w:widowControl/>
        <w:spacing w:line="252" w:lineRule="auto" w:before="100" w:after="180"/>
      </w:pPr>
      <m:oMathPara>
        <m:oMathParaPr>
          <m:jc m:val="center"/>
        </m:oMathParaPr>
        <m:oMath>
          <m:r>
            <m:t>Δ</m:t>
          </m:r>
          <m:sSub>
            <m:e>
              <m:r>
                <m:t>V</m:t>
              </m:r>
            </m:e>
            <m:sub>
              <m:r>
                <m:t>D</m:t>
              </m:r>
              <m:r>
                <m:t>C</m:t>
              </m:r>
              <m:r>
                <m:rPr>
                  <m:sty m:val="p"/>
                </m:rPr>
                <m:t>,</m:t>
              </m:r>
              <m:r>
                <m:t>l</m:t>
              </m:r>
              <m:r>
                <m:t>o</m:t>
              </m:r>
              <m:r>
                <m:t>o</m:t>
              </m:r>
              <m:r>
                <m:t>p</m:t>
              </m:r>
            </m:sub>
          </m:sSub>
          <m:r>
            <m:rPr>
              <m:sty m:val="p"/>
            </m:rPr>
            <m:t>=</m:t>
          </m:r>
          <m:r>
            <m:t>2</m:t>
          </m:r>
          <m:r>
            <m:t>I</m:t>
          </m:r>
          <m:r>
            <m:t>ρ</m:t>
          </m:r>
          <m:f>
            <m:fPr>
              <m:type m:val="bar"/>
            </m:fPr>
            <m:num>
              <m:r>
                <m:t>L</m:t>
              </m:r>
            </m:num>
            <m:den>
              <m:r>
                <m:t>A</m:t>
              </m:r>
            </m:den>
          </m:f>
        </m:oMath>
      </m:oMathPara>
    </w:p>
    <w:tbl>
      <w:tblPr>
        <w:tblStyle w:val="Table"/>
        <w:tblW w:type="dxa" w:w="986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096"/>
        <w:gridCol w:w="4392"/>
      </w:tblGrid>
      <w:tr>
        <w:trPr>
          <w:tblHeader w:val="true"/>
          <w:cantSplit/>
          <w:tblHeader/>
        </w:trPr>
        <w:tc>
          <w:tcPr>
            <w:tcW w:type="dxa" w:w="237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검토</w:t>
            </w:r>
          </w:p>
        </w:tc>
        <w:tc>
          <w:tcPr>
            <w:tcW w:type="dxa" w:w="309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필요 입력</w:t>
            </w:r>
          </w:p>
        </w:tc>
        <w:tc>
          <w:tcPr>
            <w:tcW w:type="dxa" w:w="4392"/>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판정</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허용전류</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전류와 포설 보정</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보정 후 정격 이상</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전압강하</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길이와 임피던스</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장비 허용 전압 내</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보호 협조</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차단기와 고장전류</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적정 차단과 선택성</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접속부</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플러그와 콘센트</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형식과 정격 일치</w:t>
            </w:r>
          </w:p>
        </w:tc>
      </w:tr>
    </w:tbl>
    <w:bookmarkEnd w:id="92"/>
    <w:bookmarkStart w:id="93" w:name="적용과-검증-27"/>
    <w:p>
      <w:pPr>
        <w:pStyle w:val="Heading2"/>
        <w:widowControl/>
      </w:pPr>
      <w:r>
        <w:t xml:space="preserve">적용과 검증</w:t>
      </w:r>
    </w:p>
    <w:p>
      <w:pPr>
        <w:pStyle w:val="FirstParagraph"/>
        <w:keepNext/>
        <w:widowControl/>
      </w:pPr>
      <w:r>
        <w:t xml:space="preserve">DGX H100은 지정된 잠금 전원 코드 사용을 요구한다. 이 백서는 계산된 전류를 근거로 임의의 대체 코드를 권하지 않으며 장비 매뉴얼의 연결 조건을 우선한다.</w:t>
      </w:r>
    </w:p>
    <w:p>
      <w:pPr>
        <w:pStyle w:val="BodyText"/>
        <w:widowControl/>
        <w:spacing w:before="160"/>
      </w:pPr>
      <w:r>
        <w:rPr>
          <w:sz w:val="17"/>
        </w:rPr>
        <w:t xml:space="preserve">근거 및 추가 읽기 [R13]</w:t>
      </w:r>
    </w:p>
    <w:bookmarkEnd w:id="93"/>
    <w:bookmarkEnd w:id="94"/>
    <w:bookmarkStart w:id="97" w:name="a-b-전원과-장애-시-공급-능력"/>
    <w:p>
      <w:pPr>
        <w:pStyle w:val="Heading1"/>
        <w:keepNext/>
        <w:widowControl/>
      </w:pPr>
      <w:bookmarkStart w:id="29" w:name="topic_29"/>
      <w:r>
        <w:t xml:space="preserve">29 A B 전원과 장애 시 공급 능력</w:t>
      </w:r>
      <w:bookmarkEnd w:id="29"/>
    </w:p>
    <w:p>
      <w:pPr>
        <w:pStyle w:val="FirstParagraph"/>
        <w:widowControl/>
      </w:pPr>
      <w:r>
        <w:rPr>
          <w:bCs/>
          <w:b/>
        </w:rPr>
        <w:t xml:space="preserve">3부 랙 구성과 전력 계산</w:t>
      </w:r>
    </w:p>
    <w:p>
      <w:pPr>
        <w:pStyle w:val="BodyText"/>
        <w:widowControl/>
      </w:pPr>
      <w:r>
        <w:t xml:space="preserve">두 전원을 정상 상태에서 절반씩 사용한다고 해서 각 전원이 전체 부하의 절반 용량이면 되는 것은 아니다. 한 경로 상실 뒤 나머지 경로로 전체 부하를 넘기는 설계라면 잔여 계통이 전체 요구량을 감당해야 한다.</w:t>
      </w:r>
    </w:p>
    <w:p>
      <w:pPr>
        <w:pStyle w:val="BodyText"/>
        <w:widowControl/>
      </w:pPr>
      <w:r>
        <w:t xml:space="preserve">서버의 PSU 구성은 모델마다 다르다. 전원 모듈의 수, 중복 정책과 부하 제한 동작을 확인해야 한다. 시설의 A/B 전원과 서버 PSU의 중복성을 같은 뜻으로 사용하면 실제 장애 시 성능 저하를 놓칠 수 있다.</w:t>
      </w:r>
    </w:p>
    <w:p>
      <w:pPr>
        <w:pStyle w:val="BodyText"/>
        <w:widowControl/>
      </w:pPr>
      <w:r>
        <w:t xml:space="preserve">DGX H100의 공식 가이드는 4+2 PSU 중복 구성을 설명하고 세 PSU만 전원을 받으면 성능이 낮아질 수 있음을 안내한다. 따라서 여섯 전원 코드를 3개씩 A/B에 배치했다고 무조건 한 계통 장애에도 최대 성능이 유지된다고 판단할 수 없다.</w:t>
      </w:r>
    </w:p>
    <w:p>
      <w:pPr>
        <w:pStyle w:val="BodyText"/>
        <w:widowControl/>
      </w:pPr>
      <w:r>
        <w:t xml:space="preserve">정상 상태 40kW를 A와 B가 20kW씩 나눠 공급해도 한 경로 장애 후 요구가 40kW라면 잔여 경로는 두 배의 전력을 맡게 된다. 이때 랙 전체뿐 아니라 각 상, 콘센트 뱅크와 분기 차단기의 허용 전류를 다시 계산해야 한다.</w:t>
      </w:r>
    </w:p>
    <w:bookmarkStart w:id="95" w:name="계산식과-변수-14"/>
    <w:p>
      <w:pPr>
        <w:pStyle w:val="Heading2"/>
        <w:widowControl/>
      </w:pPr>
      <w:r>
        <w:t xml:space="preserve">계산식과 변수</w:t>
      </w:r>
    </w:p>
    <w:p>
      <w:pPr>
        <w:pStyle w:val="FirstParagraph"/>
        <w:widowControl/>
        <w:spacing w:line="252" w:lineRule="auto" w:before="100" w:after="180"/>
      </w:pPr>
      <m:oMathPara>
        <m:oMathParaPr>
          <m:jc m:val="center"/>
        </m:oMathParaPr>
        <m:oMath>
          <m:sSub>
            <m:e>
              <m:r>
                <m:t>C</m:t>
              </m:r>
            </m:e>
            <m:sub>
              <m:r>
                <m:t>A</m:t>
              </m:r>
              <m:r>
                <m:rPr>
                  <m:sty m:val="p"/>
                </m:rPr>
                <m:t>,</m:t>
              </m:r>
              <m:r>
                <m:t>u</m:t>
              </m:r>
              <m:r>
                <m:t>s</m:t>
              </m:r>
              <m:r>
                <m:t>a</m:t>
              </m:r>
              <m:r>
                <m:t>b</m:t>
              </m:r>
              <m:r>
                <m:t>l</m:t>
              </m:r>
              <m:r>
                <m:t>e</m:t>
              </m:r>
            </m:sub>
          </m:sSub>
          <m:r>
            <m:rPr>
              <m:sty m:val="p"/>
            </m:rPr>
            <m:t>≥</m:t>
          </m:r>
          <m:sSub>
            <m:e>
              <m:r>
                <m:t>P</m:t>
              </m:r>
            </m:e>
            <m:sub>
              <m:r>
                <m:t>r</m:t>
              </m:r>
              <m:r>
                <m:t>e</m:t>
              </m:r>
              <m:r>
                <m:t>q</m:t>
              </m:r>
              <m:r>
                <m:t>u</m:t>
              </m:r>
              <m:r>
                <m:t>i</m:t>
              </m:r>
              <m:r>
                <m:t>r</m:t>
              </m:r>
              <m:r>
                <m:t>e</m:t>
              </m:r>
              <m:r>
                <m:t>d</m:t>
              </m:r>
            </m:sub>
          </m:sSub>
          <m:r>
            <m:rPr>
              <m:sty m:val="p"/>
            </m:rPr>
            <m:t>,</m:t>
          </m:r>
          <m:r>
            <m:t>  </m:t>
          </m:r>
          <m:sSub>
            <m:e>
              <m:r>
                <m:t>C</m:t>
              </m:r>
            </m:e>
            <m:sub>
              <m:r>
                <m:t>B</m:t>
              </m:r>
              <m:r>
                <m:rPr>
                  <m:sty m:val="p"/>
                </m:rPr>
                <m:t>,</m:t>
              </m:r>
              <m:r>
                <m:t>u</m:t>
              </m:r>
              <m:r>
                <m:t>s</m:t>
              </m:r>
              <m:r>
                <m:t>a</m:t>
              </m:r>
              <m:r>
                <m:t>b</m:t>
              </m:r>
              <m:r>
                <m:t>l</m:t>
              </m:r>
              <m:r>
                <m:t>e</m:t>
              </m:r>
            </m:sub>
          </m:sSub>
          <m:r>
            <m:rPr>
              <m:sty m:val="p"/>
            </m:rPr>
            <m:t>≥</m:t>
          </m:r>
          <m:sSub>
            <m:e>
              <m:r>
                <m:t>P</m:t>
              </m:r>
            </m:e>
            <m:sub>
              <m:r>
                <m:t>r</m:t>
              </m:r>
              <m:r>
                <m:t>e</m:t>
              </m:r>
              <m:r>
                <m:t>q</m:t>
              </m:r>
              <m:r>
                <m:t>u</m:t>
              </m:r>
              <m:r>
                <m:t>i</m:t>
              </m:r>
              <m:r>
                <m:t>r</m:t>
              </m:r>
              <m:r>
                <m:t>e</m:t>
              </m:r>
              <m:r>
                <m:t>d</m:t>
              </m:r>
            </m:sub>
          </m:sSub>
        </m:oMath>
      </m:oMathPara>
    </w:p>
    <w:tbl>
      <w:tblPr>
        <w:tblStyle w:val="Table"/>
        <w:tblW w:type="dxa" w:w="986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096"/>
        <w:gridCol w:w="4392"/>
      </w:tblGrid>
      <w:tr>
        <w:trPr>
          <w:tblHeader w:val="true"/>
          <w:cantSplit/>
          <w:tblHeader/>
        </w:trPr>
        <w:tc>
          <w:tcPr>
            <w:tcW w:type="dxa" w:w="237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검토 수준</w:t>
            </w:r>
          </w:p>
        </w:tc>
        <w:tc>
          <w:tcPr>
            <w:tcW w:type="dxa" w:w="309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질문</w:t>
            </w:r>
          </w:p>
        </w:tc>
        <w:tc>
          <w:tcPr>
            <w:tcW w:type="dxa" w:w="4392"/>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필요 근거</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시설</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한 계통으로 부하 수용 가능</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단선도와 정격</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랙 PDU</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장애 후 전류 허용</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상별 전류와 정격</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서버 PSU</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잔여 PSU로 최대 동작 가능</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제품 중복성 안내</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업무</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성능 감소가 허용되는가</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서비스 요구조건</w:t>
            </w:r>
          </w:p>
        </w:tc>
      </w:tr>
    </w:tbl>
    <w:bookmarkEnd w:id="95"/>
    <w:bookmarkStart w:id="96" w:name="적용과-검증-28"/>
    <w:p>
      <w:pPr>
        <w:pStyle w:val="Heading2"/>
        <w:widowControl/>
      </w:pPr>
      <w:r>
        <w:t xml:space="preserve">적용과 검증</w:t>
      </w:r>
    </w:p>
    <w:p>
      <w:pPr>
        <w:pStyle w:val="FirstParagraph"/>
        <w:keepNext/>
        <w:widowControl/>
      </w:pPr>
      <w:r>
        <w:t xml:space="preserve">본 백서의 H100 사례에서 일반적인 전원 용량 계산과 제조사의 PSU 동작 제약을 따로 판정한다. 시설 전력에 여유가 있어도 서버 자체의 전원 구조 때문에 무감속 운전을 확정하지 못할 수 있다.</w:t>
      </w:r>
    </w:p>
    <w:p>
      <w:pPr>
        <w:pStyle w:val="BodyText"/>
        <w:widowControl/>
        <w:spacing w:before="160"/>
      </w:pPr>
      <w:r>
        <w:rPr>
          <w:sz w:val="17"/>
        </w:rPr>
        <w:t xml:space="preserve">근거 및 추가 읽기 [R13] [R26]</w:t>
      </w:r>
    </w:p>
    <w:bookmarkEnd w:id="96"/>
    <w:bookmarkEnd w:id="97"/>
    <w:bookmarkStart w:id="100" w:name="ups의-n-n-플러스-1과-2n"/>
    <w:p>
      <w:pPr>
        <w:pStyle w:val="Heading2"/>
        <w:keepNext/>
        <w:keepLines/>
        <w:spacing w:after="100"/>
      </w:pPr>
      <w:r>
        <w:t>심화 계산: PSU 중복성과 A/B 급전은 서로 다른 제약</w:t>
      </w:r>
    </w:p>
    <w:p>
      <w:pPr>
        <w:pStyle w:val="BodyText"/>
        <w:keepLines/>
        <w:spacing w:after="100"/>
      </w:pPr>
      <w:r>
        <w:t>사례 B DGX H100 6 PSU의 4+2 중복성 설명을 적용하면 3+3 분리 급전에서 A 또는 B 한 계통이 소실된 후 3개 PSU만 전원 인가된다. 랙 PDU가 전력 부족이 아니더라도 장비 동작점이 줄어들 수 있다. PSU의 개별 정격과 전원 절체 과도 특성을 확인하기 전에는 3 PSU 상태의 전력·성능을 수치로 보증할 수 없다.</w:t>
      </w:r>
    </w:p>
    <w:p>
      <w:pPr>
        <w:pStyle w:val="BodyText"/>
        <w:keepLines/>
        <w:spacing w:after="100"/>
      </w:pPr>
      <w:r>
        <w:t>일반적인 완전한 A/B 최대성능 무중단 조건은 어느 한 계통 상실 시에도 최소 필요 활성 PSU 4개를 보유하는 것이다. 고정 6개 PSU를 서로 중복 없이 A/B에 직접 배분하는 경우 4+4=8 PSU가 필요하므로 양방향 단일 장애 무감속을 배선 분배만으로 만들 수 없다.</w:t>
      </w:r>
    </w:p>
    <w:p>
      <w:pPr>
        <w:pStyle w:val="BodyText"/>
        <w:keepLines/>
        <w:spacing w:after="100"/>
      </w:pPr>
      <w:r>
        <w:t>대안 ① A/B 두 입력을 지원하는 검증된 랙 ATS(또는 개별 전원 절체 장치)로 필요 PSU의 공급을 유지한다. 단, 절체 시간, 홀드업, A/B 용량, 장애 도메인 및 ATS 단일 고장점을 실제 시험해야 한다. 대안 ② 3+3 연결을 유지하되 장애 시 업무의 전력 제한·작업 중단/재배치를 허용하고, 제조사 승인된 잔여 PSU 성능과 SLA로 검증한다. 4+2 직접 분배는 한쪽 고장만 유리하므로 A/B 동등 복원 대안이 아니다.</w:t>
      </w:r>
    </w:p>
    <w:tbl>
      <w:tblPr>
        <w:tblW w:type="auto" w:w="0"/>
        <w:jc w:val="center"/>
        <w:tblLayout w:type="autofit"/>
        <w:tblLook w:firstColumn="1" w:firstRow="1" w:lastColumn="0" w:lastRow="0" w:noHBand="0" w:noVBand="1" w:val="04A0"/>
      </w:tblPr>
      <w:tblGrid>
        <w:gridCol w:w="2484"/>
        <w:gridCol w:w="2484"/>
        <w:gridCol w:w="2484"/>
        <w:gridCol w:w="2484"/>
      </w:tblGrid>
      <w:tr>
        <w:trPr>
          <w:tblHeader w:val="true"/>
        </w:trPr>
        <w:tc>
          <w:tcPr>
            <w:tcW w:type="dxa" w:w="2484"/>
            <w:vAlign w:val="center"/>
            <w:shd w:fill="DDEAF3"/>
          </w:tcPr>
          <w:p>
            <w:pPr>
              <w:spacing w:after="20" w:before="20"/>
            </w:pPr>
            <w:r>
              <w:rPr>
                <w:b/>
                <w:sz w:val="16"/>
              </w:rPr>
              <w:t>배치 정책</w:t>
            </w:r>
          </w:p>
        </w:tc>
        <w:tc>
          <w:tcPr>
            <w:tcW w:type="dxa" w:w="2484"/>
            <w:vAlign w:val="center"/>
            <w:shd w:fill="DDEAF3"/>
          </w:tcPr>
          <w:p>
            <w:pPr>
              <w:spacing w:after="20" w:before="20"/>
            </w:pPr>
            <w:r>
              <w:rPr>
                <w:b/>
                <w:sz w:val="16"/>
              </w:rPr>
              <w:t>A 상실 후</w:t>
            </w:r>
          </w:p>
        </w:tc>
        <w:tc>
          <w:tcPr>
            <w:tcW w:type="dxa" w:w="2484"/>
            <w:vAlign w:val="center"/>
            <w:shd w:fill="DDEAF3"/>
          </w:tcPr>
          <w:p>
            <w:pPr>
              <w:spacing w:after="20" w:before="20"/>
            </w:pPr>
            <w:r>
              <w:rPr>
                <w:b/>
                <w:sz w:val="16"/>
              </w:rPr>
              <w:t>B 상실 후</w:t>
            </w:r>
          </w:p>
        </w:tc>
        <w:tc>
          <w:tcPr>
            <w:tcW w:type="dxa" w:w="2484"/>
            <w:vAlign w:val="center"/>
            <w:shd w:fill="DDEAF3"/>
          </w:tcPr>
          <w:p>
            <w:pPr>
              <w:spacing w:after="20" w:before="20"/>
            </w:pPr>
            <w:r>
              <w:rPr>
                <w:b/>
                <w:sz w:val="16"/>
              </w:rPr>
              <w:t>최대성능 가능 여부</w:t>
            </w:r>
          </w:p>
        </w:tc>
      </w:tr>
      <w:tr>
        <w:tc>
          <w:tcPr>
            <w:tcW w:type="dxa" w:w="2484"/>
            <w:vAlign w:val="center"/>
          </w:tcPr>
          <w:p>
            <w:pPr>
              <w:spacing w:after="20" w:before="20"/>
            </w:pPr>
            <w:r>
              <w:rPr>
                <w:sz w:val="16"/>
              </w:rPr>
              <w:t>직결 3+3</w:t>
            </w:r>
          </w:p>
        </w:tc>
        <w:tc>
          <w:tcPr>
            <w:tcW w:type="dxa" w:w="2484"/>
            <w:vAlign w:val="center"/>
          </w:tcPr>
          <w:p>
            <w:pPr>
              <w:spacing w:after="20" w:before="20"/>
            </w:pPr>
            <w:r>
              <w:rPr>
                <w:sz w:val="16"/>
              </w:rPr>
              <w:t>3 PSU</w:t>
            </w:r>
          </w:p>
        </w:tc>
        <w:tc>
          <w:tcPr>
            <w:tcW w:type="dxa" w:w="2484"/>
            <w:vAlign w:val="center"/>
          </w:tcPr>
          <w:p>
            <w:pPr>
              <w:spacing w:after="20" w:before="20"/>
            </w:pPr>
            <w:r>
              <w:rPr>
                <w:sz w:val="16"/>
              </w:rPr>
              <w:t>3 PSU</w:t>
            </w:r>
          </w:p>
        </w:tc>
        <w:tc>
          <w:tcPr>
            <w:tcW w:type="dxa" w:w="2484"/>
            <w:vAlign w:val="center"/>
          </w:tcPr>
          <w:p>
            <w:pPr>
              <w:spacing w:after="20" w:before="20"/>
            </w:pPr>
            <w:r>
              <w:rPr>
                <w:sz w:val="16"/>
              </w:rPr>
              <w:t>보증 불가: 실측 cap 정책 필요</w:t>
            </w:r>
          </w:p>
        </w:tc>
      </w:tr>
      <w:tr>
        <w:tc>
          <w:tcPr>
            <w:tcW w:type="dxa" w:w="2484"/>
            <w:vAlign w:val="center"/>
            <w:shd w:fill="F2F6FA"/>
          </w:tcPr>
          <w:p>
            <w:pPr>
              <w:spacing w:after="20" w:before="20"/>
            </w:pPr>
            <w:r>
              <w:rPr>
                <w:sz w:val="16"/>
              </w:rPr>
              <w:t>직결 4+2</w:t>
            </w:r>
          </w:p>
        </w:tc>
        <w:tc>
          <w:tcPr>
            <w:tcW w:type="dxa" w:w="2484"/>
            <w:vAlign w:val="center"/>
            <w:shd w:fill="F2F6FA"/>
          </w:tcPr>
          <w:p>
            <w:pPr>
              <w:spacing w:after="20" w:before="20"/>
            </w:pPr>
            <w:r>
              <w:rPr>
                <w:sz w:val="16"/>
              </w:rPr>
              <w:t>2 PSU</w:t>
            </w:r>
          </w:p>
        </w:tc>
        <w:tc>
          <w:tcPr>
            <w:tcW w:type="dxa" w:w="2484"/>
            <w:vAlign w:val="center"/>
            <w:shd w:fill="F2F6FA"/>
          </w:tcPr>
          <w:p>
            <w:pPr>
              <w:spacing w:after="20" w:before="20"/>
            </w:pPr>
            <w:r>
              <w:rPr>
                <w:sz w:val="16"/>
              </w:rPr>
              <w:t>4 PSU</w:t>
            </w:r>
          </w:p>
        </w:tc>
        <w:tc>
          <w:tcPr>
            <w:tcW w:type="dxa" w:w="2484"/>
            <w:vAlign w:val="center"/>
            <w:shd w:fill="F2F6FA"/>
          </w:tcPr>
          <w:p>
            <w:pPr>
              <w:spacing w:after="20" w:before="20"/>
            </w:pPr>
            <w:r>
              <w:rPr>
                <w:sz w:val="16"/>
              </w:rPr>
              <w:t>한 방향에서 불충분</w:t>
            </w:r>
          </w:p>
        </w:tc>
      </w:tr>
      <w:tr>
        <w:tc>
          <w:tcPr>
            <w:tcW w:type="dxa" w:w="2484"/>
            <w:vAlign w:val="center"/>
          </w:tcPr>
          <w:p>
            <w:pPr>
              <w:spacing w:after="20" w:before="20"/>
            </w:pPr>
            <w:r>
              <w:rPr>
                <w:sz w:val="16"/>
              </w:rPr>
              <w:t>적합한 ATS 사용</w:t>
            </w:r>
          </w:p>
        </w:tc>
        <w:tc>
          <w:tcPr>
            <w:tcW w:type="dxa" w:w="2484"/>
            <w:vAlign w:val="center"/>
          </w:tcPr>
          <w:p>
            <w:pPr>
              <w:spacing w:after="20" w:before="20"/>
            </w:pPr>
            <w:r>
              <w:rPr>
                <w:sz w:val="16"/>
              </w:rPr>
              <w:t>최소 4 PSU 유지 목표</w:t>
            </w:r>
          </w:p>
        </w:tc>
        <w:tc>
          <w:tcPr>
            <w:tcW w:type="dxa" w:w="2484"/>
            <w:vAlign w:val="center"/>
          </w:tcPr>
          <w:p>
            <w:pPr>
              <w:spacing w:after="20" w:before="20"/>
            </w:pPr>
            <w:r>
              <w:rPr>
                <w:sz w:val="16"/>
              </w:rPr>
              <w:t>최소 4 PSU 유지 목표</w:t>
            </w:r>
          </w:p>
        </w:tc>
        <w:tc>
          <w:tcPr>
            <w:tcW w:type="dxa" w:w="2484"/>
            <w:vAlign w:val="center"/>
          </w:tcPr>
          <w:p>
            <w:pPr>
              <w:spacing w:after="20" w:before="20"/>
            </w:pPr>
            <w:r>
              <w:rPr>
                <w:sz w:val="16"/>
              </w:rPr>
              <w:t>절체·상별 정격·SPOF 시험 후 판정</w:t>
            </w:r>
          </w:p>
        </w:tc>
      </w:tr>
      <w:tr>
        <w:tc>
          <w:tcPr>
            <w:tcW w:type="dxa" w:w="2484"/>
            <w:vAlign w:val="center"/>
            <w:shd w:fill="F2F6FA"/>
          </w:tcPr>
          <w:p>
            <w:pPr>
              <w:spacing w:after="20" w:before="20"/>
            </w:pPr>
            <w:r>
              <w:rPr>
                <w:sz w:val="16"/>
              </w:rPr>
              <w:t>듀얼입력 네이티브 장비</w:t>
            </w:r>
          </w:p>
        </w:tc>
        <w:tc>
          <w:tcPr>
            <w:tcW w:type="dxa" w:w="2484"/>
            <w:vAlign w:val="center"/>
            <w:shd w:fill="F2F6FA"/>
          </w:tcPr>
          <w:p>
            <w:pPr>
              <w:spacing w:after="20" w:before="20"/>
            </w:pPr>
            <w:r>
              <w:rPr>
                <w:sz w:val="16"/>
              </w:rPr>
              <w:t>제품 정의에 따름</w:t>
            </w:r>
          </w:p>
        </w:tc>
        <w:tc>
          <w:tcPr>
            <w:tcW w:type="dxa" w:w="2484"/>
            <w:vAlign w:val="center"/>
            <w:shd w:fill="F2F6FA"/>
          </w:tcPr>
          <w:p>
            <w:pPr>
              <w:spacing w:after="20" w:before="20"/>
            </w:pPr>
            <w:r>
              <w:rPr>
                <w:sz w:val="16"/>
              </w:rPr>
              <w:t>제품 정의에 따름</w:t>
            </w:r>
          </w:p>
        </w:tc>
        <w:tc>
          <w:tcPr>
            <w:tcW w:type="dxa" w:w="2484"/>
            <w:vAlign w:val="center"/>
            <w:shd w:fill="F2F6FA"/>
          </w:tcPr>
          <w:p>
            <w:pPr>
              <w:spacing w:after="20" w:before="20"/>
            </w:pPr>
            <w:r>
              <w:rPr>
                <w:sz w:val="16"/>
              </w:rPr>
              <w:t>제품 인증 구성일 때에만 판정</w:t>
            </w:r>
          </w:p>
        </w:tc>
      </w:tr>
    </w:tbl>
    <w:p>
      <w:pPr>
        <w:pStyle w:val="BodyText"/>
        <w:keepLines/>
        <w:spacing w:after="100"/>
      </w:pPr>
      <w:r>
        <w:t>표 해석: 숫자는 DGX H100의 최소 필요 PSU에 대한 논리 판정이다. ATS 구성 가능·적합성을 의미하지 않는다.</w:t>
      </w:r>
    </w:p>
    <w:p>
      <w:pPr>
        <w:pStyle w:val="Heading1"/>
        <w:keepNext/>
        <w:widowControl/>
      </w:pPr>
      <w:bookmarkStart w:id="30" w:name="topic_30"/>
      <w:r>
        <w:t xml:space="preserve">30 UPS의 N N 플러스 1과 2N</w:t>
      </w:r>
      <w:bookmarkEnd w:id="30"/>
    </w:p>
    <w:p>
      <w:pPr>
        <w:pStyle w:val="FirstParagraph"/>
        <w:widowControl/>
      </w:pPr>
      <w:r>
        <w:rPr>
          <w:bCs/>
          <w:b/>
        </w:rPr>
        <w:t xml:space="preserve">3부 랙 구성과 전력 계산</w:t>
      </w:r>
    </w:p>
    <w:p>
      <w:pPr>
        <w:pStyle w:val="BodyText"/>
        <w:widowControl/>
      </w:pPr>
      <w:r>
        <w:t xml:space="preserve">N은 요구 부하를 지탱하는 데 필요한 능력이며 N+1은 추가 예비 단위를 갖춘 구성이다. 2N은 각각 전체 부하를 수용하는 두 계통을 뜻하는 설계 표현으로 쓰인다. 실제 가용 능력은 모듈 정격과 배전 경로 및 공통 장치에 달려 있다.</w:t>
      </w:r>
    </w:p>
    <w:p>
      <w:pPr>
        <w:pStyle w:val="BodyText"/>
        <w:widowControl/>
      </w:pPr>
      <w:r>
        <w:t xml:space="preserve">동일 모듈의 N+1 수량은 부하를 모듈의 가용 출력으로 나눈 올림에 하나를 더해 구한다. kW와 kVA 조건 중 더 많은 모듈을 요구하는 쪽을 적용한다. 정비 중 다른 장비가 고장 나는 조건까지 요구하면 별도 분석한다.</w:t>
      </w:r>
    </w:p>
    <w:p>
      <w:pPr>
        <w:pStyle w:val="BodyText"/>
        <w:widowControl/>
      </w:pPr>
      <w:r>
        <w:t xml:space="preserve">N+1 표기만으로 Uptime Tier III 인증이나 특정 가용성 백분율을 부여할 수 없다. 동시 유지보수 가능성은 용량 부품 외에 분배 경로와 실제 작업 절차를 포함한다.</w:t>
      </w:r>
    </w:p>
    <w:p>
      <w:pPr>
        <w:pStyle w:val="BodyText"/>
        <w:widowControl/>
      </w:pPr>
      <w:r>
        <w:t xml:space="preserve">예비 모듈 수량 검산은 한 모듈을 제거한 뒤 남은 가용 정격을 합하는 방법으로 수행한다. 서로 다른 크기의 모듈을 섞은 경우에는 가장 큰 모듈이 정지하는 조건을 우선 확인한다. 어떤 장비의 고장을 상정했는지 명시하지 않은 N+1 표기는 검토 근거가 부족하다.</w:t>
      </w:r>
    </w:p>
    <w:bookmarkStart w:id="98" w:name="계산식과-변수-15"/>
    <w:p>
      <w:pPr>
        <w:pStyle w:val="Heading2"/>
        <w:widowControl/>
      </w:pPr>
      <w:r>
        <w:t xml:space="preserve">계산식과 변수</w:t>
      </w:r>
    </w:p>
    <w:p>
      <w:pPr>
        <w:pStyle w:val="FirstParagraph"/>
        <w:widowControl/>
        <w:spacing w:line="252" w:lineRule="auto" w:before="100" w:after="180"/>
      </w:pPr>
      <m:oMathPara>
        <m:oMathParaPr>
          <m:jc m:val="center"/>
        </m:oMathParaPr>
        <m:oMath>
          <m:sSub>
            <m:e>
              <m:r>
                <m:t>N</m:t>
              </m:r>
            </m:e>
            <m:sub>
              <m:r>
                <m:t>m</m:t>
              </m:r>
              <m:r>
                <m:t>o</m:t>
              </m:r>
              <m:r>
                <m:t>d</m:t>
              </m:r>
              <m:r>
                <m:t>u</m:t>
              </m:r>
              <m:r>
                <m:t>l</m:t>
              </m:r>
              <m:r>
                <m:t>e</m:t>
              </m:r>
            </m:sub>
          </m:sSub>
          <m:r>
            <m:rPr>
              <m:sty m:val="p"/>
            </m:rPr>
            <m:t>=</m:t>
          </m:r>
          <m:r>
            <m:rPr>
              <m:sty m:val="p"/>
            </m:rPr>
            <m:t>max</m:t>
          </m:r>
          <m:d>
            <m:dPr>
              <m:begChr m:val="("/>
              <m:endChr m:val=")"/>
              <m:sepChr m:val=""/>
              <m:grow/>
            </m:dPr>
            <m:e>
              <m:r>
                <m:rPr>
                  <m:sty m:val="p"/>
                </m:rPr>
                <m:t>ceil</m:t>
              </m:r>
              <m:d>
                <m:dPr>
                  <m:begChr m:val="("/>
                  <m:endChr m:val=")"/>
                  <m:sepChr m:val=""/>
                  <m:grow/>
                </m:dPr>
                <m:e>
                  <m:f>
                    <m:fPr>
                      <m:type m:val="bar"/>
                    </m:fPr>
                    <m:num>
                      <m:r>
                        <m:t>P</m:t>
                      </m:r>
                    </m:num>
                    <m:den>
                      <m:sSub>
                        <m:e>
                          <m:r>
                            <m:t>C</m:t>
                          </m:r>
                        </m:e>
                        <m:sub>
                          <m:r>
                            <m:t>k</m:t>
                          </m:r>
                          <m:r>
                            <m:t>W</m:t>
                          </m:r>
                        </m:sub>
                      </m:sSub>
                    </m:den>
                  </m:f>
                </m:e>
              </m:d>
              <m:r>
                <m:rPr>
                  <m:sty m:val="p"/>
                </m:rPr>
                <m:t>,</m:t>
              </m:r>
              <m:r>
                <m:rPr>
                  <m:sty m:val="p"/>
                </m:rPr>
                <m:t>ceil</m:t>
              </m:r>
              <m:d>
                <m:dPr>
                  <m:begChr m:val="("/>
                  <m:endChr m:val=")"/>
                  <m:sepChr m:val=""/>
                  <m:grow/>
                </m:dPr>
                <m:e>
                  <m:f>
                    <m:fPr>
                      <m:type m:val="bar"/>
                    </m:fPr>
                    <m:num>
                      <m:r>
                        <m:t>S</m:t>
                      </m:r>
                    </m:num>
                    <m:den>
                      <m:sSub>
                        <m:e>
                          <m:r>
                            <m:t>C</m:t>
                          </m:r>
                        </m:e>
                        <m:sub>
                          <m:r>
                            <m:t>k</m:t>
                          </m:r>
                          <m:r>
                            <m:t>V</m:t>
                          </m:r>
                          <m:r>
                            <m:t>A</m:t>
                          </m:r>
                        </m:sub>
                      </m:sSub>
                    </m:den>
                  </m:f>
                </m:e>
              </m:d>
            </m:e>
          </m:d>
          <m:r>
            <m:rPr>
              <m:sty m:val="p"/>
            </m:rPr>
            <m:t>+</m:t>
          </m:r>
          <m:r>
            <m:t>1</m:t>
          </m:r>
        </m:oMath>
      </m:oMathPara>
    </w:p>
    <w:tbl>
      <w:tblPr>
        <w:tblStyle w:val="Table"/>
        <w:tblW w:type="dxa" w:w="986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096"/>
        <w:gridCol w:w="4392"/>
      </w:tblGrid>
      <w:tr>
        <w:trPr>
          <w:tblHeader w:val="true"/>
          <w:cantSplit/>
          <w:tblHeader/>
        </w:trPr>
        <w:tc>
          <w:tcPr>
            <w:tcW w:type="dxa" w:w="237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조건</w:t>
            </w:r>
          </w:p>
        </w:tc>
        <w:tc>
          <w:tcPr>
            <w:tcW w:type="dxa" w:w="309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예제</w:t>
            </w:r>
          </w:p>
        </w:tc>
        <w:tc>
          <w:tcPr>
            <w:tcW w:type="dxa" w:w="4392"/>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검증</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부하</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240kW</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유효전력 기준</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모듈 가용 출력</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100kW</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감액 후 가정</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필요 정상 모듈</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3개</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240 나누기 100 올림</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N+1 설치</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4개</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1개 고장 후 300kW</w:t>
            </w:r>
          </w:p>
        </w:tc>
      </w:tr>
    </w:tbl>
    <w:bookmarkEnd w:id="98"/>
    <w:bookmarkStart w:id="99" w:name="적용과-검증-29"/>
    <w:p>
      <w:pPr>
        <w:pStyle w:val="Heading2"/>
        <w:widowControl/>
      </w:pPr>
      <w:r>
        <w:t xml:space="preserve">적용과 검증</w:t>
      </w:r>
    </w:p>
    <w:p>
      <w:pPr>
        <w:pStyle w:val="FirstParagraph"/>
        <w:keepNext/>
        <w:widowControl/>
      </w:pPr>
      <w:r>
        <w:t xml:space="preserve">가용 출력 100kW를 사용한 예제이며 kVA 제약은 별도 만족한다고 가정했다. 병렬 운전과 우회 경로의 정격이 240kW를 처리하는지도 확인해야 한다.</w:t>
      </w:r>
    </w:p>
    <w:p>
      <w:pPr>
        <w:pStyle w:val="BodyText"/>
        <w:widowControl/>
        <w:spacing w:before="160"/>
      </w:pPr>
      <w:r>
        <w:rPr>
          <w:sz w:val="17"/>
        </w:rPr>
        <w:t xml:space="preserve">근거 및 추가 읽기 [R25] [R26] [R27]</w:t>
      </w:r>
    </w:p>
    <w:bookmarkEnd w:id="99"/>
    <w:bookmarkEnd w:id="100"/>
    <w:bookmarkStart w:id="103" w:name="배터리-에너지와-ups-백업-시간"/>
    <w:p>
      <w:pPr>
        <w:pStyle w:val="Heading1"/>
        <w:keepNext/>
        <w:widowControl/>
      </w:pPr>
      <w:bookmarkStart w:id="31" w:name="topic_31"/>
      <w:r>
        <w:t xml:space="preserve">31 배터리 에너지와 UPS 백업 시간</w:t>
      </w:r>
      <w:bookmarkEnd w:id="31"/>
    </w:p>
    <w:p>
      <w:pPr>
        <w:pStyle w:val="FirstParagraph"/>
        <w:widowControl/>
      </w:pPr>
      <w:r>
        <w:rPr>
          <w:bCs/>
          <w:b/>
        </w:rPr>
        <w:t xml:space="preserve">3부 랙 구성과 전력 계산</w:t>
      </w:r>
    </w:p>
    <w:p>
      <w:pPr>
        <w:pStyle w:val="BodyText"/>
        <w:widowControl/>
      </w:pPr>
      <w:r>
        <w:t xml:space="preserve">배터리 에너지에서 부하에 실제 전달할 수 있는 에너지를 계산하면 백업 시간을 근사할 수 있다. 정격 에너지에 사용 가능 방전 깊이, 노화와 온도 보정 및 변환 효율을 반영한다. 전력과 에너지 단위를 일치시켜야 한다.</w:t>
      </w:r>
    </w:p>
    <w:p>
      <w:pPr>
        <w:pStyle w:val="BodyText"/>
        <w:widowControl/>
      </w:pPr>
      <w:r>
        <w:t xml:space="preserve">배터리는 방전율에 따라 사용 가능한 용량이 달라질 수 있다. UPS 자체 소비와 인버터 효율도 부하에 따라 바뀐다. 따라서 단순 에너지 나눗셈은 사전 검토용이며 최종 선정은 제조사의 부하별 런타임 자료로 확인한다.</w:t>
      </w:r>
    </w:p>
    <w:p>
      <w:pPr>
        <w:pStyle w:val="BodyText"/>
        <w:widowControl/>
      </w:pPr>
      <w:r>
        <w:t xml:space="preserve">백업 시간은 발전기 기동 시간보다 길어야 할 뿐 아니라 기동 실패 시 대응 여유를 포함해야 한다. 장비가 노후화되어도 요구 시간을 만족하는지를 유지보수 기준으로 관리한다.</w:t>
      </w:r>
    </w:p>
    <w:p>
      <w:pPr>
        <w:pStyle w:val="BodyText"/>
        <w:widowControl/>
      </w:pPr>
      <w:r>
        <w:t xml:space="preserve">배터리 정격을 Ah와 V로 받으면 먼저 Wh=V×Ah로 에너지를 환산한다. 직렬 연결은 전압을, 병렬 연결은 Ah를 증가시키므로 팩의 연결 구조를 반영한다. 정격 전압만 사용한 에너지 근사는 방전 중 전압 변화와 종료 전압을 완전히 반영하지 못한다.</w:t>
      </w:r>
    </w:p>
    <w:bookmarkStart w:id="101" w:name="계산식과-변수-16"/>
    <w:p>
      <w:pPr>
        <w:pStyle w:val="Heading2"/>
        <w:widowControl/>
      </w:pPr>
      <w:r>
        <w:t xml:space="preserve">계산식과 변수</w:t>
      </w:r>
    </w:p>
    <w:p>
      <w:pPr>
        <w:pStyle w:val="FirstParagraph"/>
        <w:widowControl/>
        <w:spacing w:line="252" w:lineRule="auto" w:before="100" w:after="180"/>
      </w:pPr>
      <m:oMathPara>
        <m:oMathParaPr>
          <m:jc m:val="center"/>
        </m:oMathParaPr>
        <m:oMath>
          <m:sSub>
            <m:e>
              <m:r>
                <m:t>t</m:t>
              </m:r>
            </m:e>
            <m:sub>
              <m:r>
                <m:t>m</m:t>
              </m:r>
              <m:r>
                <m:t>i</m:t>
              </m:r>
              <m:r>
                <m:t>n</m:t>
              </m:r>
            </m:sub>
          </m:sSub>
          <m:r>
            <m:rPr>
              <m:sty m:val="p"/>
            </m:rPr>
            <m:t>=</m:t>
          </m:r>
          <m:r>
            <m:t>60</m:t>
          </m:r>
          <m:f>
            <m:fPr>
              <m:type m:val="bar"/>
            </m:fPr>
            <m:num>
              <m:sSub>
                <m:e>
                  <m:r>
                    <m:t>E</m:t>
                  </m:r>
                </m:e>
                <m:sub>
                  <m:r>
                    <m:t>n</m:t>
                  </m:r>
                  <m:r>
                    <m:t>o</m:t>
                  </m:r>
                  <m:r>
                    <m:t>m</m:t>
                  </m:r>
                  <m:r>
                    <m:t>i</m:t>
                  </m:r>
                  <m:r>
                    <m:t>n</m:t>
                  </m:r>
                  <m:r>
                    <m:t>a</m:t>
                  </m:r>
                  <m:r>
                    <m:t>l</m:t>
                  </m:r>
                </m:sub>
              </m:sSub>
              <m:r>
                <m:t>d</m:t>
              </m:r>
              <m:sSub>
                <m:e>
                  <m:r>
                    <m:t>f</m:t>
                  </m:r>
                </m:e>
                <m:sub>
                  <m:r>
                    <m:t>a</m:t>
                  </m:r>
                  <m:r>
                    <m:t>g</m:t>
                  </m:r>
                  <m:r>
                    <m:t>e</m:t>
                  </m:r>
                </m:sub>
              </m:sSub>
              <m:sSub>
                <m:e>
                  <m:r>
                    <m:t>f</m:t>
                  </m:r>
                </m:e>
                <m:sub>
                  <m:r>
                    <m:t>t</m:t>
                  </m:r>
                  <m:r>
                    <m:t>e</m:t>
                  </m:r>
                  <m:r>
                    <m:t>m</m:t>
                  </m:r>
                  <m:r>
                    <m:t>p</m:t>
                  </m:r>
                </m:sub>
              </m:sSub>
              <m:r>
                <m:t>η</m:t>
              </m:r>
            </m:num>
            <m:den>
              <m:sSub>
                <m:e>
                  <m:r>
                    <m:t>P</m:t>
                  </m:r>
                </m:e>
                <m:sub>
                  <m:r>
                    <m:t>l</m:t>
                  </m:r>
                  <m:r>
                    <m:t>o</m:t>
                  </m:r>
                  <m:r>
                    <m:t>a</m:t>
                  </m:r>
                  <m:r>
                    <m:t>d</m:t>
                  </m:r>
                </m:sub>
              </m:sSub>
            </m:den>
          </m:f>
        </m:oMath>
      </m:oMathPara>
    </w:p>
    <w:tbl>
      <w:tblPr>
        <w:tblStyle w:val="Table"/>
        <w:tblW w:type="dxa" w:w="986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096"/>
        <w:gridCol w:w="4392"/>
      </w:tblGrid>
      <w:tr>
        <w:trPr>
          <w:tblHeader w:val="true"/>
          <w:cantSplit/>
          <w:tblHeader/>
        </w:trPr>
        <w:tc>
          <w:tcPr>
            <w:tcW w:type="dxa" w:w="237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변수</w:t>
            </w:r>
          </w:p>
        </w:tc>
        <w:tc>
          <w:tcPr>
            <w:tcW w:type="dxa" w:w="309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가정값</w:t>
            </w:r>
          </w:p>
        </w:tc>
        <w:tc>
          <w:tcPr>
            <w:tcW w:type="dxa" w:w="4392"/>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설명</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정격 에너지</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50kWh</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배터리 팩</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사용 방전율</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0.8</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사용 가능 범위</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노화 계수</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0.8</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노후 상태 가정</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온도 계수</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1.0</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기준 온도 가정</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변환 효율</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0.94</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단순 근사</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부하</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100kW</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일정 부하</w:t>
            </w:r>
          </w:p>
        </w:tc>
      </w:tr>
    </w:tbl>
    <w:bookmarkEnd w:id="101"/>
    <w:bookmarkStart w:id="102" w:name="적용과-검증-30"/>
    <w:p>
      <w:pPr>
        <w:pStyle w:val="Heading2"/>
        <w:widowControl/>
      </w:pPr>
      <w:r>
        <w:t xml:space="preserve">적용과 검증</w:t>
      </w:r>
    </w:p>
    <w:p>
      <w:pPr>
        <w:pStyle w:val="FirstParagraph"/>
        <w:keepNext/>
        <w:widowControl/>
      </w:pPr>
      <w:r>
        <w:t xml:space="preserve">사용 가능 AC 에너지는 30.08kWh이고 근사 백업 시간은 18.048분이다. 사이트의 설정 백업 분에서 경과 시간을 빼는 표시와 이 물리적 에너지 모델은 서로 다른 계산이다.</w:t>
      </w:r>
    </w:p>
    <w:p>
      <w:pPr>
        <w:pStyle w:val="BodyText"/>
        <w:widowControl/>
        <w:spacing w:before="160"/>
      </w:pPr>
      <w:r>
        <w:rPr>
          <w:sz w:val="17"/>
        </w:rPr>
        <w:t xml:space="preserve">근거 및 추가 읽기 [R26] [R28]</w:t>
      </w:r>
    </w:p>
    <w:bookmarkEnd w:id="102"/>
    <w:bookmarkEnd w:id="103"/>
    <w:bookmarkStart w:id="106" w:name="전력계-측정과-정격-기반-계산의-대조"/>
    <w:p>
      <w:pPr>
        <w:pStyle w:val="Heading1"/>
        <w:keepNext/>
        <w:widowControl/>
      </w:pPr>
      <w:bookmarkStart w:id="32" w:name="topic_32"/>
      <w:r>
        <w:t xml:space="preserve">32 전력계 측정과 정격 기반 계산의 대조</w:t>
      </w:r>
      <w:bookmarkEnd w:id="32"/>
    </w:p>
    <w:p>
      <w:pPr>
        <w:pStyle w:val="FirstParagraph"/>
        <w:widowControl/>
      </w:pPr>
      <w:r>
        <w:rPr>
          <w:bCs/>
          <w:b/>
        </w:rPr>
        <w:t xml:space="preserve">3부 랙 구성과 전력 계산</w:t>
      </w:r>
    </w:p>
    <w:p>
      <w:pPr>
        <w:pStyle w:val="BodyText"/>
        <w:widowControl/>
      </w:pPr>
      <w:r>
        <w:t xml:space="preserve">정격 기반 설계는 최대 수용 능력을 확인하고 실측 기반 분석은 실제 운전 상태를 확인한다. 서로 다른 목적의 수치를 같은 표에서 비교할 때는 이름과 기간을 명확히 한다. 짧은 주기의 피크와 월 평균을 구분한다.</w:t>
      </w:r>
    </w:p>
    <w:p>
      <w:pPr>
        <w:pStyle w:val="BodyText"/>
        <w:widowControl/>
      </w:pPr>
      <w:r>
        <w:t xml:space="preserve">전력계의 합산은 계측 경계가 겹치지 않아야 한다. UPS 출력에 랙 PDU 입력을 더하면 같은 에너지를 두 번 셀 수 있다. 반대로 계측되지 않은 네트워크 장비를 빠뜨리면 IT 부하가 과소 집계된다.</w:t>
      </w:r>
    </w:p>
    <w:p>
      <w:pPr>
        <w:pStyle w:val="BodyText"/>
        <w:widowControl/>
      </w:pPr>
      <w:r>
        <w:t xml:space="preserve">서버 내부 전력 텔레메트리는 유용하지만 AC 입력전력과 같다고 가정하면 안 된다. PSU 손실, 센서 범위와 갱신 간격을 확인한다. 랙별 계측과 시설 계측을 시간 동기화하면 전력 수지를 검증하기 쉽다.</w:t>
      </w:r>
    </w:p>
    <w:bookmarkStart w:id="104" w:name="계산식과-변수-17"/>
    <w:p>
      <w:pPr>
        <w:pStyle w:val="Heading2"/>
        <w:widowControl/>
      </w:pPr>
      <w:r>
        <w:t xml:space="preserve">계산식과 변수</w:t>
      </w:r>
    </w:p>
    <w:p>
      <w:pPr>
        <w:pStyle w:val="FirstParagraph"/>
        <w:widowControl/>
        <w:spacing w:line="252" w:lineRule="auto" w:before="100" w:after="180"/>
      </w:pPr>
      <m:oMathPara>
        <m:oMathParaPr>
          <m:jc m:val="center"/>
        </m:oMathParaPr>
        <m:oMath>
          <m:sSub>
            <m:e>
              <m:r>
                <m:t>P</m:t>
              </m:r>
            </m:e>
            <m:sub>
              <m:r>
                <m:t>f</m:t>
              </m:r>
              <m:r>
                <m:t>a</m:t>
              </m:r>
              <m:r>
                <m:t>c</m:t>
              </m:r>
              <m:r>
                <m:t>i</m:t>
              </m:r>
              <m:r>
                <m:t>l</m:t>
              </m:r>
              <m:r>
                <m:t>i</m:t>
              </m:r>
              <m:r>
                <m:t>t</m:t>
              </m:r>
              <m:r>
                <m:t>y</m:t>
              </m:r>
            </m:sub>
          </m:sSub>
          <m:r>
            <m:rPr>
              <m:sty m:val="p"/>
            </m:rPr>
            <m:t>=</m:t>
          </m:r>
          <m:sSub>
            <m:e>
              <m:r>
                <m:t>P</m:t>
              </m:r>
            </m:e>
            <m:sub>
              <m:r>
                <m:t>I</m:t>
              </m:r>
              <m:r>
                <m:t>T</m:t>
              </m:r>
            </m:sub>
          </m:sSub>
          <m:r>
            <m:rPr>
              <m:sty m:val="p"/>
            </m:rPr>
            <m:t>+</m:t>
          </m:r>
          <m:sSub>
            <m:e>
              <m:r>
                <m:t>P</m:t>
              </m:r>
            </m:e>
            <m:sub>
              <m:r>
                <m:t>c</m:t>
              </m:r>
              <m:r>
                <m:t>o</m:t>
              </m:r>
              <m:r>
                <m:t>o</m:t>
              </m:r>
              <m:r>
                <m:t>l</m:t>
              </m:r>
              <m:r>
                <m:t>i</m:t>
              </m:r>
              <m:r>
                <m:t>n</m:t>
              </m:r>
              <m:r>
                <m:t>g</m:t>
              </m:r>
            </m:sub>
          </m:sSub>
          <m:r>
            <m:rPr>
              <m:sty m:val="p"/>
            </m:rPr>
            <m:t>+</m:t>
          </m:r>
          <m:sSub>
            <m:e>
              <m:r>
                <m:t>P</m:t>
              </m:r>
            </m:e>
            <m:sub>
              <m:r>
                <m:t>e</m:t>
              </m:r>
              <m:r>
                <m:t>l</m:t>
              </m:r>
              <m:r>
                <m:t>e</m:t>
              </m:r>
              <m:r>
                <m:t>c</m:t>
              </m:r>
              <m:r>
                <m:t>t</m:t>
              </m:r>
              <m:r>
                <m:t>r</m:t>
              </m:r>
              <m:r>
                <m:t>i</m:t>
              </m:r>
              <m:r>
                <m:t>c</m:t>
              </m:r>
              <m:r>
                <m:t>a</m:t>
              </m:r>
              <m:r>
                <m:t>l</m:t>
              </m:r>
              <m:r>
                <m:t> </m:t>
              </m:r>
              <m:r>
                <m:t>l</m:t>
              </m:r>
              <m:r>
                <m:t>o</m:t>
              </m:r>
              <m:r>
                <m:t>s</m:t>
              </m:r>
              <m:r>
                <m:t>s</m:t>
              </m:r>
            </m:sub>
          </m:sSub>
          <m:r>
            <m:rPr>
              <m:sty m:val="p"/>
            </m:rPr>
            <m:t>+</m:t>
          </m:r>
          <m:sSub>
            <m:e>
              <m:r>
                <m:t>P</m:t>
              </m:r>
            </m:e>
            <m:sub>
              <m:r>
                <m:t>o</m:t>
              </m:r>
              <m:r>
                <m:t>t</m:t>
              </m:r>
              <m:r>
                <m:t>h</m:t>
              </m:r>
              <m:r>
                <m:t>e</m:t>
              </m:r>
              <m:r>
                <m:t>r</m:t>
              </m:r>
            </m:sub>
          </m:sSub>
        </m:oMath>
      </m:oMathPara>
    </w:p>
    <w:tbl>
      <w:tblPr>
        <w:tblStyle w:val="Table"/>
        <w:tblW w:type="dxa" w:w="986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096"/>
        <w:gridCol w:w="4392"/>
      </w:tblGrid>
      <w:tr>
        <w:trPr>
          <w:tblHeader w:val="true"/>
          <w:cantSplit/>
          <w:tblHeader/>
        </w:trPr>
        <w:tc>
          <w:tcPr>
            <w:tcW w:type="dxa" w:w="237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측정 위치</w:t>
            </w:r>
          </w:p>
        </w:tc>
        <w:tc>
          <w:tcPr>
            <w:tcW w:type="dxa" w:w="309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보이는 것</w:t>
            </w:r>
          </w:p>
        </w:tc>
        <w:tc>
          <w:tcPr>
            <w:tcW w:type="dxa" w:w="4392"/>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주의점</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시설 인입</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전체 전력</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비데이터센터 부하 분리</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UPS 출력</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해당 IT 계통</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다른 계통 누락</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랙 PDU</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랙 단위 입력</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중복 합산 방지</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서버 센서</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내부 또는 입력 추정</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센서 경계 확인</w:t>
            </w:r>
          </w:p>
        </w:tc>
      </w:tr>
    </w:tbl>
    <w:bookmarkEnd w:id="104"/>
    <w:bookmarkStart w:id="105" w:name="적용과-검증-31"/>
    <w:p>
      <w:pPr>
        <w:pStyle w:val="Heading2"/>
        <w:widowControl/>
      </w:pPr>
      <w:r>
        <w:t xml:space="preserve">적용과 검증</w:t>
      </w:r>
    </w:p>
    <w:p>
      <w:pPr>
        <w:pStyle w:val="FirstParagraph"/>
        <w:keepNext/>
        <w:widowControl/>
      </w:pPr>
      <w:r>
        <w:t xml:space="preserve">계측 차이가 생기면 먼저 시각과 경계 및 단위를 확인한다. 장비 손실을 억지로 조정해 숫자를 맞추기보다 미계측 구간과 계측 오차를 항목별로 기록한다.</w:t>
      </w:r>
    </w:p>
    <w:p>
      <w:pPr>
        <w:pStyle w:val="BodyText"/>
        <w:widowControl/>
        <w:spacing w:before="160"/>
      </w:pPr>
      <w:r>
        <w:rPr>
          <w:sz w:val="17"/>
        </w:rPr>
        <w:t xml:space="preserve">근거 및 추가 읽기 [R01] [R12]</w:t>
      </w:r>
    </w:p>
    <w:bookmarkEnd w:id="105"/>
    <w:bookmarkEnd w:id="106"/>
    <w:bookmarkStart w:id="108" w:name="tor는-배치-방식이고-leaf는-네트워크-역할"/>
    <w:p>
      <w:pPr>
        <w:pStyle w:val="Heading1"/>
        <w:keepNext/>
        <w:widowControl/>
      </w:pPr>
      <w:bookmarkStart w:id="33" w:name="topic_33"/>
      <w:r>
        <w:t xml:space="preserve">33 ToR는 배치 방식이고 Leaf는 네트워크 역할</w:t>
      </w:r>
      <w:bookmarkEnd w:id="33"/>
    </w:p>
    <w:p>
      <w:pPr>
        <w:pStyle w:val="FirstParagraph"/>
        <w:widowControl/>
      </w:pPr>
      <w:r>
        <w:rPr>
          <w:bCs/>
          <w:b/>
        </w:rPr>
        <w:t xml:space="preserve">4부 네트워크 구조와 케이블 연결</w:t>
      </w:r>
    </w:p>
    <w:p>
      <w:pPr>
        <w:pStyle w:val="BodyText"/>
        <w:widowControl/>
      </w:pPr>
      <w:r>
        <w:t xml:space="preserve">ToR는 서버와 가까운 랙 상단 등에 스위치를 배치하는 방식이다. Leaf는 서버나 저장장치를 연결하는 네트워크 계층의 역할이다. Leaf를 ToR 방식으로 설치할 수 있지만 두 용어가 항상 같은 의미는 아니다. 실제 스위치가 랙의 아래에 있어도 역할은 Leaf일 수 있다.</w:t>
      </w:r>
    </w:p>
    <w:p>
      <w:pPr>
        <w:pStyle w:val="BodyText"/>
        <w:widowControl/>
      </w:pPr>
      <w:r>
        <w:t xml:space="preserve">ToR 방식은 서버까지의 짧은 배선을 관리하기 쉽다. End of Row 방식은 열 끝의 스위치로 여러 랙을 묶어 장비 수와 배선을 다르게 최적화한다. 서버 포트 밀도, 거리, 장애 범위와 정비 정책에 따라 선택한다.</w:t>
      </w:r>
    </w:p>
    <w:p>
      <w:pPr>
        <w:pStyle w:val="BodyText"/>
        <w:widowControl/>
      </w:pPr>
      <w:r>
        <w:t xml:space="preserve">서버에 GPU가 여덟 개라고 케이블이 반드시 여덟 개 필요한 것은 아니다. 외부 연결 수는 NIC 구성과 업무망 설계가 결정한다. 서버 내부 GPU 상호 연결과 서버 외부 연산망을 별도로 설명해야 한다.</w:t>
      </w:r>
    </w:p>
    <w:tbl>
      <w:tblPr>
        <w:tblStyle w:val="Table"/>
        <w:tblW w:type="dxa" w:w="986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096"/>
        <w:gridCol w:w="4392"/>
      </w:tblGrid>
      <w:tr>
        <w:trPr>
          <w:tblHeader w:val="true"/>
          <w:cantSplit/>
          <w:tblHeader/>
        </w:trPr>
        <w:tc>
          <w:tcPr>
            <w:tcW w:type="dxa" w:w="237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개념</w:t>
            </w:r>
          </w:p>
        </w:tc>
        <w:tc>
          <w:tcPr>
            <w:tcW w:type="dxa" w:w="309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의미</w:t>
            </w:r>
          </w:p>
        </w:tc>
        <w:tc>
          <w:tcPr>
            <w:tcW w:type="dxa" w:w="4392"/>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케이블 계산의 기준</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ToR</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스위치의 랙 인접 배치</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거리와 랙별 수량</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Leaf</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서버 접속 계층</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다운링크와 업링크</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Spine</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Leaf 사이 연결 계층</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집선 능력과 포트</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GPU 내부망</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서버 내부 상호 연결</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외부 NIC와 별도</w:t>
            </w:r>
          </w:p>
        </w:tc>
      </w:tr>
    </w:tbl>
    <w:bookmarkStart w:id="107" w:name="적용과-검증-32"/>
    <w:p>
      <w:pPr>
        <w:pStyle w:val="Heading2"/>
        <w:widowControl/>
      </w:pPr>
      <w:r>
        <w:t xml:space="preserve">적용과 검증</w:t>
      </w:r>
    </w:p>
    <w:p>
      <w:pPr>
        <w:pStyle w:val="FirstParagraph"/>
        <w:keepNext/>
        <w:widowControl/>
      </w:pPr>
      <w:r>
        <w:t xml:space="preserve">랙 구성도에는 스위치 위치, 역할, 모델과 포트 할당을 함께 표시한다. 단순히 ToR 두 개라고 적는 대신 A/B 접속이나 연산망·업무망 중 어떤 목적의 두 장비인지 구분한다.</w:t>
      </w:r>
    </w:p>
    <w:p>
      <w:pPr>
        <w:pStyle w:val="BodyText"/>
        <w:widowControl/>
        <w:spacing w:before="160"/>
      </w:pPr>
      <w:r>
        <w:rPr>
          <w:sz w:val="17"/>
        </w:rPr>
        <w:t xml:space="preserve">근거 및 추가 읽기 [R17] [R18]</w:t>
      </w:r>
    </w:p>
    <w:bookmarkEnd w:id="107"/>
    <w:bookmarkEnd w:id="108"/>
    <w:bookmarkStart w:id="111" w:name="서버-nic와-케이블-수량의-관계"/>
    <w:p>
      <w:pPr>
        <w:pStyle w:val="Heading1"/>
        <w:keepNext/>
        <w:widowControl/>
      </w:pPr>
      <w:bookmarkStart w:id="34" w:name="topic_34"/>
      <w:r>
        <w:t xml:space="preserve">34 서버 NIC와 케이블 수량의 관계</w:t>
      </w:r>
      <w:bookmarkEnd w:id="34"/>
    </w:p>
    <w:p>
      <w:pPr>
        <w:pStyle w:val="FirstParagraph"/>
        <w:widowControl/>
      </w:pPr>
      <w:r>
        <w:rPr>
          <w:bCs/>
          <w:b/>
        </w:rPr>
        <w:t xml:space="preserve">4부 네트워크 구조와 케이블 연결</w:t>
      </w:r>
    </w:p>
    <w:p>
      <w:pPr>
        <w:pStyle w:val="BodyText"/>
        <w:widowControl/>
      </w:pPr>
      <w:r>
        <w:t xml:space="preserve">NIC는 서버가 외부 네트워크에 연결되는 인터페이스다. 한 카드가 여러 포트를 가질 수 있고 하나의 물리 커넥터가 여러 논리 링크를 제공할 수도 있다. 카드 수, 논리 포트 수와 케이블 조립품 수를 분리해서 센다.</w:t>
      </w:r>
    </w:p>
    <w:p>
      <w:pPr>
        <w:pStyle w:val="BodyText"/>
        <w:widowControl/>
      </w:pPr>
      <w:r>
        <w:t xml:space="preserve">서버별 사용 링크 수를 정하면 서버와 스위치 사이의 링크 수를 계산할 수 있다. 동일한 연결을 서버 쪽과 스위치 쪽에서 두 번 세면 케이블 수가 두 배로 부풀려진다. 반면 광모듈은 양단에 필요하므로 일반 단일 포트 모듈에서는 링크 수의 두 배가 된다.</w:t>
      </w:r>
    </w:p>
    <w:p>
      <w:pPr>
        <w:pStyle w:val="BodyText"/>
        <w:widowControl/>
      </w:pPr>
      <w:r>
        <w:t xml:space="preserve">미사용 포트는 설치되어 있어도 운용 링크에 포함하지 않는다. 관리망과 스토리지망을 추가하면 각 망의 링크 수를 별도 합산한다. 내부 BMC 포트도 빠뜨리지 않는다.</w:t>
      </w:r>
    </w:p>
    <w:p>
      <w:pPr>
        <w:pStyle w:val="BodyText"/>
        <w:widowControl/>
      </w:pPr>
      <w:r>
        <w:t xml:space="preserve">분리형 단일 포트 광모듈에서는 링크 40개에 모듈 80개가 필요하다. 그러나 한 모듈이 두 링크를 제공하면 두 링크의 한쪽 종단을 모듈 하나가 맡을 수 있다. 따라서 링크와 케이블 조립품 및 모듈의 관계를 제품의 구성에 맞춰 변환해야 한다.</w:t>
      </w:r>
    </w:p>
    <w:bookmarkStart w:id="109" w:name="계산식과-변수-18"/>
    <w:p>
      <w:pPr>
        <w:pStyle w:val="Heading2"/>
        <w:widowControl/>
      </w:pPr>
      <w:r>
        <w:t xml:space="preserve">계산식과 변수</w:t>
      </w:r>
    </w:p>
    <w:p>
      <w:pPr>
        <w:pStyle w:val="FirstParagraph"/>
        <w:widowControl/>
        <w:spacing w:line="252" w:lineRule="auto" w:before="100" w:after="180"/>
      </w:pPr>
      <m:oMathPara>
        <m:oMathParaPr>
          <m:jc m:val="center"/>
        </m:oMathParaPr>
        <m:oMath>
          <m:sSub>
            <m:e>
              <m:r>
                <m:t>N</m:t>
              </m:r>
            </m:e>
            <m:sub>
              <m:r>
                <m:t>l</m:t>
              </m:r>
              <m:r>
                <m:t>i</m:t>
              </m:r>
              <m:r>
                <m:t>n</m:t>
              </m:r>
              <m:r>
                <m:t>k</m:t>
              </m:r>
              <m:r>
                <m:rPr>
                  <m:sty m:val="p"/>
                </m:rPr>
                <m:t>,</m:t>
              </m:r>
              <m:r>
                <m:t>s</m:t>
              </m:r>
              <m:r>
                <m:t>e</m:t>
              </m:r>
              <m:r>
                <m:t>r</m:t>
              </m:r>
              <m:r>
                <m:t>v</m:t>
              </m:r>
              <m:r>
                <m:t>e</m:t>
              </m:r>
              <m:r>
                <m:t>r</m:t>
              </m:r>
            </m:sub>
          </m:sSub>
          <m:r>
            <m:rPr>
              <m:sty m:val="p"/>
            </m:rPr>
            <m:t>=</m:t>
          </m:r>
          <m:sSub>
            <m:e>
              <m:r>
                <m:t>N</m:t>
              </m:r>
            </m:e>
            <m:sub>
              <m:r>
                <m:t>s</m:t>
              </m:r>
              <m:r>
                <m:t>e</m:t>
              </m:r>
              <m:r>
                <m:t>r</m:t>
              </m:r>
              <m:r>
                <m:t>v</m:t>
              </m:r>
              <m:r>
                <m:t>e</m:t>
              </m:r>
              <m:r>
                <m:t>r</m:t>
              </m:r>
            </m:sub>
          </m:sSub>
          <m:sSub>
            <m:e>
              <m:r>
                <m:t>p</m:t>
              </m:r>
            </m:e>
            <m:sub>
              <m:r>
                <m:t>u</m:t>
              </m:r>
              <m:r>
                <m:t>s</m:t>
              </m:r>
              <m:r>
                <m:t>e</m:t>
              </m:r>
              <m:r>
                <m:t>d</m:t>
              </m:r>
            </m:sub>
          </m:sSub>
        </m:oMath>
      </m:oMathPara>
    </w:p>
    <w:p>
      <w:pPr>
        <w:pStyle w:val="FirstParagraph"/>
        <w:widowControl/>
        <w:spacing w:line="252" w:lineRule="auto" w:before="100" w:after="180"/>
      </w:pPr>
      <m:oMathPara>
        <m:oMathParaPr>
          <m:jc m:val="center"/>
        </m:oMathParaPr>
        <m:oMath>
          <m:sSub>
            <m:e>
              <m:r>
                <m:t>N</m:t>
              </m:r>
            </m:e>
            <m:sub>
              <m:r>
                <m:t>p</m:t>
              </m:r>
              <m:r>
                <m:t>o</m:t>
              </m:r>
              <m:r>
                <m:t>r</m:t>
              </m:r>
              <m:r>
                <m:t>t</m:t>
              </m:r>
              <m:r>
                <m:rPr>
                  <m:sty m:val="p"/>
                </m:rPr>
                <m:t>,</m:t>
              </m:r>
              <m:r>
                <m:t>e</m:t>
              </m:r>
              <m:r>
                <m:t>n</m:t>
              </m:r>
              <m:r>
                <m:t>d</m:t>
              </m:r>
            </m:sub>
          </m:sSub>
          <m:r>
            <m:rPr>
              <m:sty m:val="p"/>
            </m:rPr>
            <m:t>=</m:t>
          </m:r>
          <m:r>
            <m:t>2</m:t>
          </m:r>
          <m:sSub>
            <m:e>
              <m:r>
                <m:t>N</m:t>
              </m:r>
            </m:e>
            <m:sub>
              <m:r>
                <m:t>l</m:t>
              </m:r>
              <m:r>
                <m:t>i</m:t>
              </m:r>
              <m:r>
                <m:t>n</m:t>
              </m:r>
              <m:r>
                <m:t>k</m:t>
              </m:r>
              <m:r>
                <m:rPr>
                  <m:sty m:val="p"/>
                </m:rPr>
                <m:t>,</m:t>
              </m:r>
              <m:r>
                <m:t>s</m:t>
              </m:r>
              <m:r>
                <m:t>e</m:t>
              </m:r>
              <m:r>
                <m:t>r</m:t>
              </m:r>
              <m:r>
                <m:t>v</m:t>
              </m:r>
              <m:r>
                <m:t>e</m:t>
              </m:r>
              <m:r>
                <m:t>r</m:t>
              </m:r>
            </m:sub>
          </m:sSub>
        </m:oMath>
      </m:oMathPara>
    </w:p>
    <w:tbl>
      <w:tblPr>
        <w:tblStyle w:val="Table"/>
        <w:tblW w:type="dxa" w:w="986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096"/>
        <w:gridCol w:w="4392"/>
      </w:tblGrid>
      <w:tr>
        <w:trPr>
          <w:tblHeader w:val="true"/>
          <w:cantSplit/>
          <w:tblHeader/>
        </w:trPr>
        <w:tc>
          <w:tcPr>
            <w:tcW w:type="dxa" w:w="237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항목</w:t>
            </w:r>
          </w:p>
        </w:tc>
        <w:tc>
          <w:tcPr>
            <w:tcW w:type="dxa" w:w="309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예제값</w:t>
            </w:r>
          </w:p>
        </w:tc>
        <w:tc>
          <w:tcPr>
            <w:tcW w:type="dxa" w:w="4392"/>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결과</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서버</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20대</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동일 모델 가정</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서버당 사용 포트</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2개</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업무망 연결</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서버측 링크</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40개</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케이블 경로 40개</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양단 포트</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80개</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서버 40 스위치 40</w:t>
            </w:r>
          </w:p>
        </w:tc>
      </w:tr>
    </w:tbl>
    <w:bookmarkEnd w:id="109"/>
    <w:bookmarkStart w:id="110" w:name="적용과-검증-33"/>
    <w:p>
      <w:pPr>
        <w:pStyle w:val="Heading2"/>
        <w:widowControl/>
      </w:pPr>
      <w:r>
        <w:t xml:space="preserve">적용과 검증</w:t>
      </w:r>
    </w:p>
    <w:p>
      <w:pPr>
        <w:pStyle w:val="FirstParagraph"/>
        <w:keepNext/>
        <w:widowControl/>
      </w:pPr>
      <w:r>
        <w:t xml:space="preserve">DAC와 AOC는 양단 커넥터가 포함된 조립품으로 구매할 수 있어 별도 광모듈 두 개를 다시 발주하면 중복이다. 연결 매체별로 BOM 생성 규칙을 달리 적용한다.</w:t>
      </w:r>
    </w:p>
    <w:p>
      <w:pPr>
        <w:pStyle w:val="BodyText"/>
        <w:widowControl/>
        <w:spacing w:before="160"/>
      </w:pPr>
      <w:r>
        <w:rPr>
          <w:sz w:val="17"/>
        </w:rPr>
        <w:t xml:space="preserve">근거 및 추가 읽기 [R13] [R17]</w:t>
      </w:r>
    </w:p>
    <w:bookmarkEnd w:id="110"/>
    <w:bookmarkEnd w:id="111"/>
    <w:bookmarkStart w:id="117" w:name="leaf-spine의-구조와-연결-수"/>
    <w:p>
      <w:pPr>
        <w:pStyle w:val="Heading1"/>
        <w:keepNext/>
        <w:widowControl/>
      </w:pPr>
      <w:bookmarkStart w:id="35" w:name="topic_35"/>
      <w:r>
        <w:t xml:space="preserve">35 Leaf Spine의 구조와 연결 수</w:t>
      </w:r>
      <w:bookmarkEnd w:id="35"/>
    </w:p>
    <w:p>
      <w:pPr>
        <w:pStyle w:val="FirstParagraph"/>
        <w:widowControl/>
        <w:spacing w:after="60" w:line="280" w:lineRule="exact"/>
      </w:pPr>
      <w:r>
        <w:rPr>
          <w:bCs/>
          <w:b/>
        </w:rPr>
        <w:t xml:space="preserve">4부 네트워크 구조와 케이블 연결</w:t>
      </w:r>
    </w:p>
    <w:p>
      <w:pPr>
        <w:pStyle w:val="BodyText"/>
        <w:widowControl/>
        <w:spacing w:after="60" w:line="280" w:lineRule="exact"/>
      </w:pPr>
      <w:r>
        <w:t xml:space="preserve">2계층 Leaf–Spine에서는 각 Leaf가 모든 Spine에 연결되는 구성이 기본적이다. 서버 간 통신이 Leaf와 Spine을 통과하며 경로 수를 늘려 부하를 분산한다. 장비 수와 경로 수가 늘어도 단일 흐름의 속도가 자동으로 합산되는 것은 아니다.</w:t>
      </w:r>
    </w:p>
    <w:p>
      <w:pPr>
        <w:pStyle w:val="BodyText"/>
        <w:widowControl/>
        <w:spacing w:after="60" w:line="280" w:lineRule="exact"/>
      </w:pPr>
      <w:r>
        <w:t xml:space="preserve">Leaf 수 L, Spine 수 S, 두 장비 사이 병렬 링크 수 k를 정하면 계층 사이 링크 수는 LSk다. 각 Leaf에는 Sk개 업링크 포트가 필요하고 각 Spine에는 Lk개 포트가 필요하다. 같은 결과를 양단에서 계산해 검산할 수 있다.</w:t>
      </w:r>
    </w:p>
    <w:p>
      <w:pPr>
        <w:pStyle w:val="BodyText"/>
        <w:widowControl/>
        <w:spacing w:after="60" w:line="280" w:lineRule="exact"/>
      </w:pPr>
      <w:r>
        <w:t xml:space="preserve">포트 수 외에 장비의 내부 전달 능력과 지원 기능, 경로 분산 방식 및 장애 시 수렴도 확인한다. 수량이 맞는 토폴로지가 모든 트래픽 패턴에서 무손실 성능을 보장하지는 않는다.</w:t>
      </w:r>
    </w:p>
    <w:p>
      <w:pPr>
        <w:pStyle w:val="CaptionedFigure"/>
        <w:widowControl/>
        <w:spacing w:line="240" w:lineRule="auto" w:before="80" w:after="120"/>
      </w:pPr>
      <w:r>
        <w:drawing>
          <wp:inline>
            <wp:extent cx="5334000" cy="1445067"/>
            <wp:effectExtent b="0" l="0" r="0" t="0"/>
            <wp:docPr descr="개념도 Leaf Spine의 구조와 연결 수" title="" id="113" name="Picture"/>
            <a:graphic>
              <a:graphicData uri="http://schemas.openxmlformats.org/drawingml/2006/picture">
                <pic:pic>
                  <pic:nvPicPr>
                    <pic:cNvPr descr="/workspace/scratch/4cfa22a96ecd/data/fabric.png" id="114" name="Picture"/>
                    <pic:cNvPicPr>
                      <a:picLocks noChangeArrowheads="1" noChangeAspect="1"/>
                    </pic:cNvPicPr>
                  </pic:nvPicPr>
                  <pic:blipFill>
                    <a:blip r:embed="rId112"/>
                    <a:stretch>
                      <a:fillRect/>
                    </a:stretch>
                  </pic:blipFill>
                  <pic:spPr bwMode="auto">
                    <a:xfrm>
                      <a:off x="0" y="0"/>
                      <a:ext cx="5334000" cy="1445067"/>
                    </a:xfrm>
                    <a:prstGeom prst="rect">
                      <a:avLst/>
                    </a:prstGeom>
                    <a:noFill/>
                    <a:ln w="9525">
                      <a:noFill/>
                      <a:headEnd/>
                      <a:tailEnd/>
                    </a:ln>
                  </pic:spPr>
                </pic:pic>
              </a:graphicData>
            </a:graphic>
          </wp:inline>
        </w:drawing>
      </w:r>
    </w:p>
    <w:p>
      <w:pPr>
        <w:pStyle w:val="ImageCaption"/>
        <w:widowControl/>
        <w:spacing w:after="60" w:line="280" w:lineRule="exact"/>
      </w:pPr>
      <w:r>
        <w:t xml:space="preserve">개념도 Leaf Spine의 구조와 연결 수</w:t>
      </w:r>
    </w:p>
    <w:bookmarkStart w:id="115" w:name="계산식과-변수-19"/>
    <w:p>
      <w:pPr>
        <w:pStyle w:val="Heading2"/>
        <w:widowControl/>
      </w:pPr>
      <w:r>
        <w:t xml:space="preserve">계산식과 변수</w:t>
      </w:r>
    </w:p>
    <w:p>
      <w:pPr>
        <w:pStyle w:val="FirstParagraph"/>
        <w:widowControl/>
        <w:spacing w:line="252" w:lineRule="auto" w:before="100" w:after="60"/>
      </w:pPr>
      <m:oMathPara>
        <m:oMathParaPr>
          <m:jc m:val="center"/>
        </m:oMathParaPr>
        <m:oMath>
          <m:sSub>
            <m:e>
              <m:r>
                <m:t>N</m:t>
              </m:r>
            </m:e>
            <m:sub>
              <m:r>
                <m:t>L</m:t>
              </m:r>
              <m:r>
                <m:t>S</m:t>
              </m:r>
            </m:sub>
          </m:sSub>
          <m:r>
            <m:rPr>
              <m:sty m:val="p"/>
            </m:rPr>
            <m:t>=</m:t>
          </m:r>
          <m:r>
            <m:t>L</m:t>
          </m:r>
          <m:r>
            <m:t>S</m:t>
          </m:r>
          <m:r>
            <m:t>k</m:t>
          </m:r>
        </m:oMath>
      </m:oMathPara>
    </w:p>
    <w:p>
      <w:pPr>
        <w:pStyle w:val="FirstParagraph"/>
        <w:widowControl/>
        <w:spacing w:line="252" w:lineRule="auto" w:before="100" w:after="60"/>
      </w:pPr>
      <m:oMathPara>
        <m:oMathParaPr>
          <m:jc m:val="center"/>
        </m:oMathParaPr>
        <m:oMath>
          <m:sSub>
            <m:e>
              <m:r>
                <m:t>P</m:t>
              </m:r>
            </m:e>
            <m:sub>
              <m:r>
                <m:t>u</m:t>
              </m:r>
              <m:r>
                <m:t>p</m:t>
              </m:r>
              <m:r>
                <m:t>l</m:t>
              </m:r>
              <m:r>
                <m:t>i</m:t>
              </m:r>
              <m:r>
                <m:t>n</m:t>
              </m:r>
              <m:r>
                <m:t>k</m:t>
              </m:r>
              <m:r>
                <m:rPr>
                  <m:sty m:val="p"/>
                </m:rPr>
                <m:t>,</m:t>
              </m:r>
              <m:r>
                <m:t>l</m:t>
              </m:r>
              <m:r>
                <m:t>e</m:t>
              </m:r>
              <m:r>
                <m:t>a</m:t>
              </m:r>
              <m:r>
                <m:t>f</m:t>
              </m:r>
            </m:sub>
          </m:sSub>
          <m:r>
            <m:rPr>
              <m:sty m:val="p"/>
            </m:rPr>
            <m:t>=</m:t>
          </m:r>
          <m:r>
            <m:t>S</m:t>
          </m:r>
          <m:r>
            <m:t>k</m:t>
          </m:r>
          <m:r>
            <m:rPr>
              <m:sty m:val="p"/>
            </m:rPr>
            <m:t>,</m:t>
          </m:r>
          <m:r>
            <m:t>  </m:t>
          </m:r>
          <m:sSub>
            <m:e>
              <m:r>
                <m:t>P</m:t>
              </m:r>
            </m:e>
            <m:sub>
              <m:r>
                <m:t>d</m:t>
              </m:r>
              <m:r>
                <m:t>o</m:t>
              </m:r>
              <m:r>
                <m:t>w</m:t>
              </m:r>
              <m:r>
                <m:t>n</m:t>
              </m:r>
              <m:r>
                <m:t>l</m:t>
              </m:r>
              <m:r>
                <m:t>i</m:t>
              </m:r>
              <m:r>
                <m:t>n</m:t>
              </m:r>
              <m:r>
                <m:t>k</m:t>
              </m:r>
              <m:r>
                <m:rPr>
                  <m:sty m:val="p"/>
                </m:rPr>
                <m:t>,</m:t>
              </m:r>
              <m:r>
                <m:t>s</m:t>
              </m:r>
              <m:r>
                <m:t>p</m:t>
              </m:r>
              <m:r>
                <m:t>i</m:t>
              </m:r>
              <m:r>
                <m:t>n</m:t>
              </m:r>
              <m:r>
                <m:t>e</m:t>
              </m:r>
            </m:sub>
          </m:sSub>
          <m:r>
            <m:rPr>
              <m:sty m:val="p"/>
            </m:rPr>
            <m:t>=</m:t>
          </m:r>
          <m:r>
            <m:t>L</m:t>
          </m:r>
          <m:r>
            <m:t>k</m:t>
          </m:r>
        </m:oMath>
      </m:oMathPara>
    </w:p>
    <w:tbl>
      <w:tblPr>
        <w:tblStyle w:val="Table"/>
        <w:tblW w:type="dxa" w:w="986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096"/>
        <w:gridCol w:w="4392"/>
      </w:tblGrid>
      <w:tr>
        <w:trPr>
          <w:tblHeader w:val="true"/>
          <w:cantSplit/>
          <w:tblHeader/>
        </w:trPr>
        <w:tc>
          <w:tcPr>
            <w:tcW w:type="dxa" w:w="237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입력</w:t>
            </w:r>
          </w:p>
        </w:tc>
        <w:tc>
          <w:tcPr>
            <w:tcW w:type="dxa" w:w="309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예제</w:t>
            </w:r>
          </w:p>
        </w:tc>
        <w:tc>
          <w:tcPr>
            <w:tcW w:type="dxa" w:w="4392"/>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검산</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Leaf 수</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8대</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각 4개 업링크</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Spine 수</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4대</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각 8개 연결</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쌍당 링크</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1개</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병렬 없음</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계층간 링크</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32개</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8 곱하기 4</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스위치 포트 합</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64개</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링크의 두 배</w:t>
            </w:r>
          </w:p>
        </w:tc>
      </w:tr>
    </w:tbl>
    <w:bookmarkEnd w:id="115"/>
    <w:bookmarkStart w:id="116" w:name="적용과-검증-34"/>
    <w:p>
      <w:pPr>
        <w:pStyle w:val="Heading2"/>
        <w:widowControl/>
      </w:pPr>
      <w:r>
        <w:t xml:space="preserve">적용과 검증</w:t>
      </w:r>
    </w:p>
    <w:p>
      <w:pPr>
        <w:pStyle w:val="FirstParagraph"/>
        <w:keepNext/>
        <w:widowControl/>
        <w:spacing w:after="60" w:line="280" w:lineRule="exact"/>
      </w:pPr>
      <w:r>
        <w:t xml:space="preserve">서버 연결이 별도로 128개라면 전체 링크는 160개다. 32개 계층간 링크를 양쪽 스위치에서 각각 세어 64개 케이블로 발주하지 않도록 접속표를 사용한다.</w:t>
      </w:r>
    </w:p>
    <w:p>
      <w:pPr>
        <w:pStyle w:val="BodyText"/>
        <w:widowControl/>
        <w:spacing w:before="160" w:after="60" w:line="280" w:lineRule="exact"/>
      </w:pPr>
      <w:r>
        <w:rPr>
          <w:sz w:val="17"/>
        </w:rPr>
        <w:t xml:space="preserve">근거 및 추가 읽기 [R17]</w:t>
      </w:r>
    </w:p>
    <w:bookmarkEnd w:id="116"/>
    <w:bookmarkEnd w:id="117"/>
    <w:bookmarkStart w:id="120" w:name="다운링크와-업링크의-초과가입비"/>
    <w:p>
      <w:pPr>
        <w:pStyle w:val="Heading2"/>
        <w:keepNext/>
        <w:keepLines/>
        <w:spacing w:after="100"/>
      </w:pPr>
      <w:r>
        <w:t>심화 계산: 1:1 업링크와 장애 시 1:1 요구는 다르다</w:t>
      </w:r>
    </w:p>
    <w:p>
      <w:pPr>
        <w:pStyle w:val="BodyText"/>
        <w:keepLines/>
        <w:spacing w:after="100"/>
      </w:pPr>
      <w:r>
        <w:t>64개 400G 서버 포트를 800G 업링크로 집선하는 단순 Ethernet 용량 예제(프로토콜과 제품 혼용을 피하기 위해 사례 B의 InfiniBand 구성과는 별개의 가상 설계). 하향 합계는 64×0.4=25.6 Tb/s다. 정상 1:1 집선을 하려면 총 32×800G=25.6 Tb/s가 필요하다.</w:t>
      </w:r>
    </w:p>
    <w:p>
      <w:pPr>
        <w:pStyle w:val="BodyText"/>
        <w:keepLines/>
        <w:spacing w:after="100"/>
      </w:pPr>
      <w:r>
        <w:t>독립 Spine A/B에 16개씩 800G 업링크를 분산하면 정상 1:1이지만 한 Spine 상실 후 남는 12.8Tb/s에 대해 초과가입비는 25.6/12.8=2:1이다. 장애 상황에서도 1:1을 요구한다면 Spine마다 32개씩, 합계 64개 800G 링크를 마련해야 한다. 이는 포트 합산의 필요조건이며 내부 ASIC·ECMP·경로 다양성과 FEC 오버헤드는 별도다.</w:t>
      </w:r>
    </w:p>
    <w:tbl>
      <w:tblPr>
        <w:tblW w:type="auto" w:w="0"/>
        <w:jc w:val="center"/>
        <w:tblLayout w:type="autofit"/>
        <w:tblLook w:firstColumn="1" w:firstRow="1" w:lastColumn="0" w:lastRow="0" w:noHBand="0" w:noVBand="1" w:val="04A0"/>
      </w:tblPr>
      <w:tblGrid>
        <w:gridCol w:w="1656"/>
        <w:gridCol w:w="1656"/>
        <w:gridCol w:w="1656"/>
        <w:gridCol w:w="1656"/>
        <w:gridCol w:w="1656"/>
        <w:gridCol w:w="1656"/>
      </w:tblGrid>
      <w:tr>
        <w:trPr>
          <w:tblHeader w:val="true"/>
        </w:trPr>
        <w:tc>
          <w:tcPr>
            <w:tcW w:type="dxa" w:w="1656"/>
            <w:vAlign w:val="center"/>
            <w:shd w:fill="DDEAF3"/>
          </w:tcPr>
          <w:p>
            <w:pPr>
              <w:spacing w:after="20" w:before="20"/>
            </w:pPr>
            <w:r>
              <w:rPr>
                <w:b/>
                <w:sz w:val="16"/>
              </w:rPr>
              <w:t>운영조건</w:t>
            </w:r>
          </w:p>
        </w:tc>
        <w:tc>
          <w:tcPr>
            <w:tcW w:type="dxa" w:w="1656"/>
            <w:vAlign w:val="center"/>
            <w:shd w:fill="DDEAF3"/>
          </w:tcPr>
          <w:p>
            <w:pPr>
              <w:spacing w:after="20" w:before="20"/>
            </w:pPr>
            <w:r>
              <w:rPr>
                <w:b/>
                <w:sz w:val="16"/>
              </w:rPr>
              <w:t>Spine A 800G</w:t>
            </w:r>
          </w:p>
        </w:tc>
        <w:tc>
          <w:tcPr>
            <w:tcW w:type="dxa" w:w="1656"/>
            <w:vAlign w:val="center"/>
            <w:shd w:fill="DDEAF3"/>
          </w:tcPr>
          <w:p>
            <w:pPr>
              <w:spacing w:after="20" w:before="20"/>
            </w:pPr>
            <w:r>
              <w:rPr>
                <w:b/>
                <w:sz w:val="16"/>
              </w:rPr>
              <w:t>Spine B 800G</w:t>
            </w:r>
          </w:p>
        </w:tc>
        <w:tc>
          <w:tcPr>
            <w:tcW w:type="dxa" w:w="1656"/>
            <w:vAlign w:val="center"/>
            <w:shd w:fill="DDEAF3"/>
          </w:tcPr>
          <w:p>
            <w:pPr>
              <w:spacing w:after="20" w:before="20"/>
            </w:pPr>
            <w:r>
              <w:rPr>
                <w:b/>
                <w:sz w:val="16"/>
              </w:rPr>
              <w:t>정상 uplink</w:t>
            </w:r>
          </w:p>
        </w:tc>
        <w:tc>
          <w:tcPr>
            <w:tcW w:type="dxa" w:w="1656"/>
            <w:vAlign w:val="center"/>
            <w:shd w:fill="DDEAF3"/>
          </w:tcPr>
          <w:p>
            <w:pPr>
              <w:spacing w:after="20" w:before="20"/>
            </w:pPr>
            <w:r>
              <w:rPr>
                <w:b/>
                <w:sz w:val="16"/>
              </w:rPr>
              <w:t>단일 장애 잔여</w:t>
            </w:r>
          </w:p>
        </w:tc>
        <w:tc>
          <w:tcPr>
            <w:tcW w:type="dxa" w:w="1656"/>
            <w:vAlign w:val="center"/>
            <w:shd w:fill="DDEAF3"/>
          </w:tcPr>
          <w:p>
            <w:pPr>
              <w:spacing w:after="20" w:before="20"/>
            </w:pPr>
            <w:r>
              <w:rPr>
                <w:b/>
                <w:sz w:val="16"/>
              </w:rPr>
              <w:t>비율</w:t>
            </w:r>
          </w:p>
        </w:tc>
      </w:tr>
      <w:tr>
        <w:tc>
          <w:tcPr>
            <w:tcW w:type="dxa" w:w="1656"/>
            <w:vAlign w:val="center"/>
          </w:tcPr>
          <w:p>
            <w:pPr>
              <w:spacing w:after="20" w:before="20"/>
            </w:pPr>
            <w:r>
              <w:rPr>
                <w:sz w:val="16"/>
              </w:rPr>
              <w:t>정상 1:1 정책</w:t>
            </w:r>
          </w:p>
        </w:tc>
        <w:tc>
          <w:tcPr>
            <w:tcW w:type="dxa" w:w="1656"/>
            <w:vAlign w:val="center"/>
          </w:tcPr>
          <w:p>
            <w:pPr>
              <w:spacing w:after="20" w:before="20"/>
            </w:pPr>
            <w:r>
              <w:rPr>
                <w:sz w:val="16"/>
              </w:rPr>
              <w:t>16링크</w:t>
            </w:r>
          </w:p>
        </w:tc>
        <w:tc>
          <w:tcPr>
            <w:tcW w:type="dxa" w:w="1656"/>
            <w:vAlign w:val="center"/>
          </w:tcPr>
          <w:p>
            <w:pPr>
              <w:spacing w:after="20" w:before="20"/>
            </w:pPr>
            <w:r>
              <w:rPr>
                <w:sz w:val="16"/>
              </w:rPr>
              <w:t>16링크</w:t>
            </w:r>
          </w:p>
        </w:tc>
        <w:tc>
          <w:tcPr>
            <w:tcW w:type="dxa" w:w="1656"/>
            <w:vAlign w:val="center"/>
          </w:tcPr>
          <w:p>
            <w:pPr>
              <w:spacing w:after="20" w:before="20"/>
            </w:pPr>
            <w:r>
              <w:rPr>
                <w:sz w:val="16"/>
              </w:rPr>
              <w:t>25.6Tb/s</w:t>
            </w:r>
          </w:p>
        </w:tc>
        <w:tc>
          <w:tcPr>
            <w:tcW w:type="dxa" w:w="1656"/>
            <w:vAlign w:val="center"/>
          </w:tcPr>
          <w:p>
            <w:pPr>
              <w:spacing w:after="20" w:before="20"/>
            </w:pPr>
            <w:r>
              <w:rPr>
                <w:sz w:val="16"/>
              </w:rPr>
              <w:t>12.8Tb/s</w:t>
            </w:r>
          </w:p>
        </w:tc>
        <w:tc>
          <w:tcPr>
            <w:tcW w:type="dxa" w:w="1656"/>
            <w:vAlign w:val="center"/>
          </w:tcPr>
          <w:p>
            <w:pPr>
              <w:spacing w:after="20" w:before="20"/>
            </w:pPr>
            <w:r>
              <w:rPr>
                <w:sz w:val="16"/>
              </w:rPr>
              <w:t>2:1 장애</w:t>
            </w:r>
          </w:p>
        </w:tc>
      </w:tr>
      <w:tr>
        <w:tc>
          <w:tcPr>
            <w:tcW w:type="dxa" w:w="1656"/>
            <w:vAlign w:val="center"/>
            <w:shd w:fill="F2F6FA"/>
          </w:tcPr>
          <w:p>
            <w:pPr>
              <w:spacing w:after="20" w:before="20"/>
            </w:pPr>
            <w:r>
              <w:rPr>
                <w:sz w:val="16"/>
              </w:rPr>
              <w:t>장애에도 1:1 정책</w:t>
            </w:r>
          </w:p>
        </w:tc>
        <w:tc>
          <w:tcPr>
            <w:tcW w:type="dxa" w:w="1656"/>
            <w:vAlign w:val="center"/>
            <w:shd w:fill="F2F6FA"/>
          </w:tcPr>
          <w:p>
            <w:pPr>
              <w:spacing w:after="20" w:before="20"/>
            </w:pPr>
            <w:r>
              <w:rPr>
                <w:sz w:val="16"/>
              </w:rPr>
              <w:t>32링크</w:t>
            </w:r>
          </w:p>
        </w:tc>
        <w:tc>
          <w:tcPr>
            <w:tcW w:type="dxa" w:w="1656"/>
            <w:vAlign w:val="center"/>
            <w:shd w:fill="F2F6FA"/>
          </w:tcPr>
          <w:p>
            <w:pPr>
              <w:spacing w:after="20" w:before="20"/>
            </w:pPr>
            <w:r>
              <w:rPr>
                <w:sz w:val="16"/>
              </w:rPr>
              <w:t>32링크</w:t>
            </w:r>
          </w:p>
        </w:tc>
        <w:tc>
          <w:tcPr>
            <w:tcW w:type="dxa" w:w="1656"/>
            <w:vAlign w:val="center"/>
            <w:shd w:fill="F2F6FA"/>
          </w:tcPr>
          <w:p>
            <w:pPr>
              <w:spacing w:after="20" w:before="20"/>
            </w:pPr>
            <w:r>
              <w:rPr>
                <w:sz w:val="16"/>
              </w:rPr>
              <w:t>51.2Tb/s</w:t>
            </w:r>
          </w:p>
        </w:tc>
        <w:tc>
          <w:tcPr>
            <w:tcW w:type="dxa" w:w="1656"/>
            <w:vAlign w:val="center"/>
            <w:shd w:fill="F2F6FA"/>
          </w:tcPr>
          <w:p>
            <w:pPr>
              <w:spacing w:after="20" w:before="20"/>
            </w:pPr>
            <w:r>
              <w:rPr>
                <w:sz w:val="16"/>
              </w:rPr>
              <w:t>25.6Tb/s</w:t>
            </w:r>
          </w:p>
        </w:tc>
        <w:tc>
          <w:tcPr>
            <w:tcW w:type="dxa" w:w="1656"/>
            <w:vAlign w:val="center"/>
            <w:shd w:fill="F2F6FA"/>
          </w:tcPr>
          <w:p>
            <w:pPr>
              <w:spacing w:after="20" w:before="20"/>
            </w:pPr>
            <w:r>
              <w:rPr>
                <w:sz w:val="16"/>
              </w:rPr>
              <w:t>1:1 장애</w:t>
            </w:r>
          </w:p>
        </w:tc>
      </w:tr>
      <w:tr>
        <w:tc>
          <w:tcPr>
            <w:tcW w:type="dxa" w:w="1656"/>
            <w:vAlign w:val="center"/>
          </w:tcPr>
          <w:p>
            <w:pPr>
              <w:spacing w:after="20" w:before="20"/>
            </w:pPr>
            <w:r>
              <w:rPr>
                <w:sz w:val="16"/>
              </w:rPr>
              <w:t>정상 2:1 정책</w:t>
            </w:r>
          </w:p>
        </w:tc>
        <w:tc>
          <w:tcPr>
            <w:tcW w:type="dxa" w:w="1656"/>
            <w:vAlign w:val="center"/>
          </w:tcPr>
          <w:p>
            <w:pPr>
              <w:spacing w:after="20" w:before="20"/>
            </w:pPr>
            <w:r>
              <w:rPr>
                <w:sz w:val="16"/>
              </w:rPr>
              <w:t>8링크</w:t>
            </w:r>
          </w:p>
        </w:tc>
        <w:tc>
          <w:tcPr>
            <w:tcW w:type="dxa" w:w="1656"/>
            <w:vAlign w:val="center"/>
          </w:tcPr>
          <w:p>
            <w:pPr>
              <w:spacing w:after="20" w:before="20"/>
            </w:pPr>
            <w:r>
              <w:rPr>
                <w:sz w:val="16"/>
              </w:rPr>
              <w:t>8링크</w:t>
            </w:r>
          </w:p>
        </w:tc>
        <w:tc>
          <w:tcPr>
            <w:tcW w:type="dxa" w:w="1656"/>
            <w:vAlign w:val="center"/>
          </w:tcPr>
          <w:p>
            <w:pPr>
              <w:spacing w:after="20" w:before="20"/>
            </w:pPr>
            <w:r>
              <w:rPr>
                <w:sz w:val="16"/>
              </w:rPr>
              <w:t>12.8Tb/s</w:t>
            </w:r>
          </w:p>
        </w:tc>
        <w:tc>
          <w:tcPr>
            <w:tcW w:type="dxa" w:w="1656"/>
            <w:vAlign w:val="center"/>
          </w:tcPr>
          <w:p>
            <w:pPr>
              <w:spacing w:after="20" w:before="20"/>
            </w:pPr>
            <w:r>
              <w:rPr>
                <w:sz w:val="16"/>
              </w:rPr>
              <w:t>6.4Tb/s</w:t>
            </w:r>
          </w:p>
        </w:tc>
        <w:tc>
          <w:tcPr>
            <w:tcW w:type="dxa" w:w="1656"/>
            <w:vAlign w:val="center"/>
          </w:tcPr>
          <w:p>
            <w:pPr>
              <w:spacing w:after="20" w:before="20"/>
            </w:pPr>
            <w:r>
              <w:rPr>
                <w:sz w:val="16"/>
              </w:rPr>
              <w:t>4:1 장애</w:t>
            </w:r>
          </w:p>
        </w:tc>
      </w:tr>
    </w:tbl>
    <w:p>
      <w:pPr>
        <w:pStyle w:val="BodyText"/>
        <w:keepLines/>
        <w:spacing w:after="100"/>
      </w:pPr>
      <w:r>
        <w:t>표 해석: 이 표는 Ethernet 가상 설계 예제이며 InfiniBand DGX 사례 B의 실장 장비를 교체했다는 뜻이 아니다.</w:t>
      </w:r>
    </w:p>
    <w:p>
      <w:pPr>
        <w:pStyle w:val="Heading1"/>
        <w:keepNext/>
        <w:widowControl/>
      </w:pPr>
      <w:bookmarkStart w:id="36" w:name="topic_36"/>
      <w:r>
        <w:t xml:space="preserve">36 다운링크와 업링크의 초과가입비</w:t>
      </w:r>
      <w:bookmarkEnd w:id="36"/>
    </w:p>
    <w:p>
      <w:pPr>
        <w:pStyle w:val="FirstParagraph"/>
        <w:widowControl/>
      </w:pPr>
      <w:r>
        <w:rPr>
          <w:bCs/>
          <w:b/>
        </w:rPr>
        <w:t xml:space="preserve">4부 네트워크 구조와 케이블 연결</w:t>
      </w:r>
    </w:p>
    <w:p>
      <w:pPr>
        <w:pStyle w:val="BodyText"/>
        <w:widowControl/>
      </w:pPr>
      <w:r>
        <w:t xml:space="preserve">초과가입비는 서버측 포트 대역폭 합을 상위망 대역폭 합으로 나눈 값이다. 1이면 합산 기준으로 동일하고 2이면 서버측 합계가 업링크의 두 배다. 사용률과 트래픽 방향을 함께 보지 않으면 이 숫자만으로 성능을 판단하기 어렵다.</w:t>
      </w:r>
    </w:p>
    <w:p>
      <w:pPr>
        <w:pStyle w:val="BodyText"/>
        <w:widowControl/>
      </w:pPr>
      <w:r>
        <w:t xml:space="preserve">서버가 같은 Leaf 아래에서 통신하면 업링크를 사용하지 않을 수 있다. 반대로 여러 서버가 동시에 외부나 다른 Leaf로 보내면 업링크가 병목이 된다. AI 집단 통신의 요구는 일반 업무망과 달라질 수 있다.</w:t>
      </w:r>
    </w:p>
    <w:p>
      <w:pPr>
        <w:pStyle w:val="BodyText"/>
        <w:widowControl/>
      </w:pPr>
      <w:r>
        <w:t xml:space="preserve">모든 포트 속도는 동일한 방향 기준으로 합산한다. 스위치 자료의 양방향 총 전달량과 서버의 단방향 포트 합을 비교하면 2배 차이의 착시가 생긴다.</w:t>
      </w:r>
    </w:p>
    <w:p>
      <w:pPr>
        <w:pStyle w:val="BodyText"/>
        <w:widowControl/>
      </w:pPr>
      <w:r>
        <w:t xml:space="preserve">초과가입비가 1 미만이면 업링크 합산 대역폭이 서버측보다 크다는 뜻이다. 이는 서버 내부 처리량이나 단일 세션의 속도를 개선한다는 뜻은 아니다. 고정 포트 속도 합계 외에 서버의 실제 송신 요구와 동시 통신 비중을 측정하면 비용과 여유를 더 현실적으로 비교할 수 있다.</w:t>
      </w:r>
    </w:p>
    <w:bookmarkStart w:id="118" w:name="계산식과-변수-20"/>
    <w:p>
      <w:pPr>
        <w:pStyle w:val="Heading2"/>
        <w:widowControl/>
      </w:pPr>
      <w:r>
        <w:t xml:space="preserve">계산식과 변수</w:t>
      </w:r>
    </w:p>
    <w:p>
      <w:pPr>
        <w:pStyle w:val="FirstParagraph"/>
        <w:widowControl/>
        <w:spacing w:line="252" w:lineRule="auto" w:before="100" w:after="180"/>
      </w:pPr>
      <m:oMathPara>
        <m:oMathParaPr>
          <m:jc m:val="center"/>
        </m:oMathParaPr>
        <m:oMath>
          <m:r>
            <m:t>O</m:t>
          </m:r>
          <m:r>
            <m:rPr>
              <m:sty m:val="p"/>
            </m:rPr>
            <m:t>=</m:t>
          </m:r>
          <m:f>
            <m:fPr>
              <m:type m:val="bar"/>
            </m:fPr>
            <m:num>
              <m:r>
                <m:rPr>
                  <m:sty m:val="p"/>
                </m:rPr>
                <m:t>∑</m:t>
              </m:r>
              <m:sSub>
                <m:e>
                  <m:r>
                    <m:t>B</m:t>
                  </m:r>
                </m:e>
                <m:sub>
                  <m:r>
                    <m:t>d</m:t>
                  </m:r>
                  <m:r>
                    <m:t>o</m:t>
                  </m:r>
                  <m:r>
                    <m:t>w</m:t>
                  </m:r>
                  <m:r>
                    <m:t>n</m:t>
                  </m:r>
                  <m:r>
                    <m:t>l</m:t>
                  </m:r>
                  <m:r>
                    <m:t>i</m:t>
                  </m:r>
                  <m:r>
                    <m:t>n</m:t>
                  </m:r>
                  <m:r>
                    <m:t>k</m:t>
                  </m:r>
                </m:sub>
              </m:sSub>
            </m:num>
            <m:den>
              <m:r>
                <m:rPr>
                  <m:sty m:val="p"/>
                </m:rPr>
                <m:t>∑</m:t>
              </m:r>
              <m:sSub>
                <m:e>
                  <m:r>
                    <m:t>B</m:t>
                  </m:r>
                </m:e>
                <m:sub>
                  <m:r>
                    <m:t>u</m:t>
                  </m:r>
                  <m:r>
                    <m:t>p</m:t>
                  </m:r>
                  <m:r>
                    <m:t>l</m:t>
                  </m:r>
                  <m:r>
                    <m:t>i</m:t>
                  </m:r>
                  <m:r>
                    <m:t>n</m:t>
                  </m:r>
                  <m:r>
                    <m:t>k</m:t>
                  </m:r>
                </m:sub>
              </m:sSub>
            </m:den>
          </m:f>
        </m:oMath>
      </m:oMathPara>
    </w:p>
    <w:tbl>
      <w:tblPr>
        <w:tblStyle w:val="Table"/>
        <w:tblW w:type="dxa" w:w="986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096"/>
        <w:gridCol w:w="4392"/>
      </w:tblGrid>
      <w:tr>
        <w:trPr>
          <w:tblHeader w:val="true"/>
          <w:cantSplit/>
          <w:tblHeader/>
        </w:trPr>
        <w:tc>
          <w:tcPr>
            <w:tcW w:type="dxa" w:w="237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항목</w:t>
            </w:r>
          </w:p>
        </w:tc>
        <w:tc>
          <w:tcPr>
            <w:tcW w:type="dxa" w:w="309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구성</w:t>
            </w:r>
          </w:p>
        </w:tc>
        <w:tc>
          <w:tcPr>
            <w:tcW w:type="dxa" w:w="4392"/>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대역폭</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다운링크</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32개 곱하기 100G</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3.2Tb/s</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업링크</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8개 곱하기 400G</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3.2Tb/s</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정상 초과가입비</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3.2 나누기 3.2</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1 대 1</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업링크 절반 상실</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3.2 나누기 1.6</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2 대 1</w:t>
            </w:r>
          </w:p>
        </w:tc>
      </w:tr>
    </w:tbl>
    <w:bookmarkEnd w:id="118"/>
    <w:bookmarkStart w:id="119" w:name="적용과-검증-35"/>
    <w:p>
      <w:pPr>
        <w:pStyle w:val="Heading2"/>
        <w:widowControl/>
      </w:pPr>
      <w:r>
        <w:t xml:space="preserve">적용과 검증</w:t>
      </w:r>
    </w:p>
    <w:p>
      <w:pPr>
        <w:pStyle w:val="FirstParagraph"/>
        <w:keepNext/>
        <w:widowControl/>
      </w:pPr>
      <w:r>
        <w:t xml:space="preserve">정상 상태의 1 대 1과 장애 후의 2 대 1을 각각 보고한다. 자동 우회가 성공했다는 사실과 전체 최대 대역폭이 유지된다는 사실은 다른 검증 결과다.</w:t>
      </w:r>
    </w:p>
    <w:p>
      <w:pPr>
        <w:pStyle w:val="BodyText"/>
        <w:widowControl/>
        <w:spacing w:before="160"/>
      </w:pPr>
      <w:r>
        <w:rPr>
          <w:sz w:val="17"/>
        </w:rPr>
        <w:t xml:space="preserve">근거 및 추가 읽기 [R17] [R18]</w:t>
      </w:r>
    </w:p>
    <w:bookmarkEnd w:id="119"/>
    <w:bookmarkEnd w:id="120"/>
    <w:bookmarkStart w:id="123" w:name="단일-tor와-이중-tor의-차이"/>
    <w:p>
      <w:pPr>
        <w:pStyle w:val="Heading1"/>
        <w:keepNext/>
        <w:widowControl/>
      </w:pPr>
      <w:bookmarkStart w:id="37" w:name="topic_37"/>
      <w:r>
        <w:t xml:space="preserve">37 단일 ToR와 이중 ToR의 차이</w:t>
      </w:r>
      <w:bookmarkEnd w:id="37"/>
    </w:p>
    <w:p>
      <w:pPr>
        <w:pStyle w:val="FirstParagraph"/>
        <w:widowControl/>
      </w:pPr>
      <w:r>
        <w:rPr>
          <w:bCs/>
          <w:b/>
        </w:rPr>
        <w:t xml:space="preserve">4부 네트워크 구조와 케이블 연결</w:t>
      </w:r>
    </w:p>
    <w:p>
      <w:pPr>
        <w:pStyle w:val="BodyText"/>
        <w:widowControl/>
      </w:pPr>
      <w:r>
        <w:t xml:space="preserve">단일 ToR는 구성과 비용이 단순하지만 장비나 연결 장애가 해당 서버 집단에 영향을 줄 수 있다. 이중 ToR는 서버를 서로 다른 장비에 연결해 우회 경로를 제공한다. 서버 운영체제와 네트워크가 이를 지원하도록 구성해야 한다.</w:t>
      </w:r>
    </w:p>
    <w:p>
      <w:pPr>
        <w:pStyle w:val="BodyText"/>
        <w:widowControl/>
      </w:pPr>
      <w:r>
        <w:t xml:space="preserve">서버의 포트 두 개를 두 ToR에 나눠 연결했을 때 두 링크를 동시에 쓰는지 대기 방식인지에 따라 정상 대역폭이 다르다. 이중화 방식의 이름만 보고 합산 처리량을 결정하지 않는다. 동일 스위치의 다른 포트는 스위치 자체 장애를 피하지 못한다.</w:t>
      </w:r>
    </w:p>
    <w:p>
      <w:pPr>
        <w:pStyle w:val="BodyText"/>
        <w:widowControl/>
      </w:pPr>
      <w:r>
        <w:t xml:space="preserve">한 ToR가 고장 난 뒤 남는 링크와 업링크가 요구 트래픽을 처리하는지 계산한다. A/B 장비가 같은 전원과 같은 케이블 경로를 공유하면 공통 장애 위험도 남는다.</w:t>
      </w:r>
    </w:p>
    <w:bookmarkStart w:id="121" w:name="계산식과-변수-21"/>
    <w:p>
      <w:pPr>
        <w:pStyle w:val="Heading2"/>
        <w:widowControl/>
      </w:pPr>
      <w:r>
        <w:t xml:space="preserve">계산식과 변수</w:t>
      </w:r>
    </w:p>
    <w:p>
      <w:pPr>
        <w:pStyle w:val="FirstParagraph"/>
        <w:widowControl/>
        <w:spacing w:line="252" w:lineRule="auto" w:before="100" w:after="180"/>
      </w:pPr>
      <m:oMathPara>
        <m:oMathParaPr>
          <m:jc m:val="center"/>
        </m:oMathParaPr>
        <m:oMath>
          <m:sSub>
            <m:e>
              <m:r>
                <m:t>B</m:t>
              </m:r>
            </m:e>
            <m:sub>
              <m:r>
                <m:t>s</m:t>
              </m:r>
              <m:r>
                <m:t>u</m:t>
              </m:r>
              <m:r>
                <m:t>r</m:t>
              </m:r>
              <m:r>
                <m:t>v</m:t>
              </m:r>
              <m:r>
                <m:t>i</m:t>
              </m:r>
              <m:r>
                <m:t>v</m:t>
              </m:r>
              <m:r>
                <m:t>i</m:t>
              </m:r>
              <m:r>
                <m:t>n</m:t>
              </m:r>
              <m:r>
                <m:t>g</m:t>
              </m:r>
            </m:sub>
          </m:sSub>
          <m:r>
            <m:rPr>
              <m:sty m:val="p"/>
            </m:rPr>
            <m:t>≥</m:t>
          </m:r>
          <m:sSub>
            <m:e>
              <m:r>
                <m:t>B</m:t>
              </m:r>
            </m:e>
            <m:sub>
              <m:r>
                <m:t>r</m:t>
              </m:r>
              <m:r>
                <m:t>e</m:t>
              </m:r>
              <m:r>
                <m:t>q</m:t>
              </m:r>
              <m:r>
                <m:t>u</m:t>
              </m:r>
              <m:r>
                <m:t>i</m:t>
              </m:r>
              <m:r>
                <m:t>r</m:t>
              </m:r>
              <m:r>
                <m:t>e</m:t>
              </m:r>
              <m:r>
                <m:t>d</m:t>
              </m:r>
              <m:r>
                <m:rPr>
                  <m:sty m:val="p"/>
                </m:rPr>
                <m:t>,</m:t>
              </m:r>
              <m:r>
                <m:t>f</m:t>
              </m:r>
              <m:r>
                <m:t>a</m:t>
              </m:r>
              <m:r>
                <m:t>i</m:t>
              </m:r>
              <m:r>
                <m:t>l</m:t>
              </m:r>
              <m:r>
                <m:t>u</m:t>
              </m:r>
              <m:r>
                <m:t>r</m:t>
              </m:r>
              <m:r>
                <m:t>e</m:t>
              </m:r>
            </m:sub>
          </m:sSub>
        </m:oMath>
      </m:oMathPara>
    </w:p>
    <w:tbl>
      <w:tblPr>
        <w:tblStyle w:val="Table"/>
        <w:tblW w:type="dxa" w:w="986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096"/>
        <w:gridCol w:w="4392"/>
      </w:tblGrid>
      <w:tr>
        <w:trPr>
          <w:tblHeader w:val="true"/>
          <w:cantSplit/>
          <w:tblHeader/>
        </w:trPr>
        <w:tc>
          <w:tcPr>
            <w:tcW w:type="dxa" w:w="237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구성</w:t>
            </w:r>
          </w:p>
        </w:tc>
        <w:tc>
          <w:tcPr>
            <w:tcW w:type="dxa" w:w="309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장점</w:t>
            </w:r>
          </w:p>
        </w:tc>
        <w:tc>
          <w:tcPr>
            <w:tcW w:type="dxa" w:w="4392"/>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추가 검증</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단일 ToR</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단순한 연결</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장비 단일 장애점</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이중 ToR 대기</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경로 대체</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절체 시간</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이중 ToR 동시</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여러 경로 활용</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부하 분산과 장애 후 용량</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공통 상위 장비</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구성 절약</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공통 장애 범위</w:t>
            </w:r>
          </w:p>
        </w:tc>
      </w:tr>
    </w:tbl>
    <w:bookmarkEnd w:id="121"/>
    <w:bookmarkStart w:id="122" w:name="적용과-검증-36"/>
    <w:p>
      <w:pPr>
        <w:pStyle w:val="Heading2"/>
        <w:widowControl/>
      </w:pPr>
      <w:r>
        <w:t xml:space="preserve">적용과 검증</w:t>
      </w:r>
    </w:p>
    <w:p>
      <w:pPr>
        <w:pStyle w:val="FirstParagraph"/>
        <w:keepNext/>
        <w:widowControl/>
      </w:pPr>
      <w:r>
        <w:t xml:space="preserve">서버당 2개 100G 연결을 정상 합산 200G로 사용해도 한 경로 장애 후에는 100G가 남는다. 장애 중 요구량이 150G라면 연결은 살아 있어도 성능 조건은 충족하지 않는다.</w:t>
      </w:r>
    </w:p>
    <w:p>
      <w:pPr>
        <w:pStyle w:val="BodyText"/>
        <w:widowControl/>
        <w:spacing w:before="160"/>
      </w:pPr>
      <w:r>
        <w:rPr>
          <w:sz w:val="17"/>
        </w:rPr>
        <w:t xml:space="preserve">근거 및 추가 읽기 [R17]</w:t>
      </w:r>
    </w:p>
    <w:bookmarkEnd w:id="122"/>
    <w:bookmarkEnd w:id="123"/>
    <w:bookmarkStart w:id="126" w:name="연산망-저장망과-관리망의-분리"/>
    <w:p>
      <w:pPr>
        <w:pStyle w:val="Heading1"/>
        <w:keepNext/>
        <w:widowControl/>
      </w:pPr>
      <w:bookmarkStart w:id="38" w:name="topic_38"/>
      <w:r>
        <w:t xml:space="preserve">38 연산망 저장망과 관리망의 분리</w:t>
      </w:r>
      <w:bookmarkEnd w:id="38"/>
    </w:p>
    <w:p>
      <w:pPr>
        <w:pStyle w:val="FirstParagraph"/>
        <w:widowControl/>
      </w:pPr>
      <w:r>
        <w:rPr>
          <w:bCs/>
          <w:b/>
        </w:rPr>
        <w:t xml:space="preserve">4부 네트워크 구조와 케이블 연결</w:t>
      </w:r>
    </w:p>
    <w:p>
      <w:pPr>
        <w:pStyle w:val="BodyText"/>
        <w:widowControl/>
      </w:pPr>
      <w:r>
        <w:t xml:space="preserve">연산망은 GPU 서버 간 데이터 교환을, 저장망은 데이터 읽기와 체크포인트 저장을, 관리망은 장비 설정과 상태 관찰을 담당한다. 작은 환경에서는 일부 자원을 공유하지만 업무 간 간섭과 장애 범위를 분석해야 한다.</w:t>
      </w:r>
    </w:p>
    <w:p>
      <w:pPr>
        <w:pStyle w:val="BodyText"/>
        <w:widowControl/>
      </w:pPr>
      <w:r>
        <w:t xml:space="preserve">관리망은 데이터 서비스가 중단된 상태에서도 장비에 접근하는 수단이 될 수 있다. BMC와 스위치 관리 포트를 별도 연결하면 장애 진단에 도움이 된다. 단순히 VLAN을 나눴다고 물리적으로 독립된 경로가 생기지는 않는다.</w:t>
      </w:r>
    </w:p>
    <w:p>
      <w:pPr>
        <w:pStyle w:val="BodyText"/>
        <w:widowControl/>
      </w:pPr>
      <w:r>
        <w:t xml:space="preserve">배선 수량은 망별로 산정한 뒤 합산한다. 연산망의 고속 광케이블을 계산하고 관리용 구리선과 저장망 광모듈을 누락하면 실제 BOM이 완성되지 않는다.</w:t>
      </w:r>
    </w:p>
    <w:p>
      <w:pPr>
        <w:pStyle w:val="BodyText"/>
        <w:widowControl/>
      </w:pPr>
      <w:r>
        <w:t xml:space="preserve">관리망 포트는 서버 BMC 외에 스위치, UPS, PDU와 CDU 등의 관리 인터페이스도 포함한다. 장비 수량표에 관리 포트 항목을 두면 구리 패치코드와 관리 스위치의 포트 부족을 예방할 수 있다. 관제 장비 자체의 전원과 통신 이중화도 요구조건에 맞춰 검토한다.</w:t>
      </w:r>
    </w:p>
    <w:bookmarkStart w:id="124" w:name="계산식과-변수-22"/>
    <w:p>
      <w:pPr>
        <w:pStyle w:val="Heading2"/>
        <w:widowControl/>
      </w:pPr>
      <w:r>
        <w:t xml:space="preserve">계산식과 변수</w:t>
      </w:r>
    </w:p>
    <w:p>
      <w:pPr>
        <w:pStyle w:val="FirstParagraph"/>
        <w:widowControl/>
        <w:spacing w:line="252" w:lineRule="auto" w:before="100" w:after="180"/>
      </w:pPr>
      <m:oMathPara>
        <m:oMathParaPr>
          <m:jc m:val="center"/>
        </m:oMathParaPr>
        <m:oMath>
          <m:sSub>
            <m:e>
              <m:r>
                <m:t>N</m:t>
              </m:r>
            </m:e>
            <m:sub>
              <m:r>
                <m:t>l</m:t>
              </m:r>
              <m:r>
                <m:t>i</m:t>
              </m:r>
              <m:r>
                <m:t>n</m:t>
              </m:r>
              <m:r>
                <m:t>k</m:t>
              </m:r>
              <m:r>
                <m:rPr>
                  <m:sty m:val="p"/>
                </m:rPr>
                <m:t>,</m:t>
              </m:r>
              <m:r>
                <m:t>t</m:t>
              </m:r>
              <m:r>
                <m:t>o</m:t>
              </m:r>
              <m:r>
                <m:t>t</m:t>
              </m:r>
              <m:r>
                <m:t>a</m:t>
              </m:r>
              <m:r>
                <m:t>l</m:t>
              </m:r>
            </m:sub>
          </m:sSub>
          <m:r>
            <m:rPr>
              <m:sty m:val="p"/>
            </m:rPr>
            <m:t>=</m:t>
          </m:r>
          <m:sSub>
            <m:e>
              <m:r>
                <m:t>N</m:t>
              </m:r>
            </m:e>
            <m:sub>
              <m:r>
                <m:t>c</m:t>
              </m:r>
              <m:r>
                <m:t>o</m:t>
              </m:r>
              <m:r>
                <m:t>m</m:t>
              </m:r>
              <m:r>
                <m:t>p</m:t>
              </m:r>
              <m:r>
                <m:t>u</m:t>
              </m:r>
              <m:r>
                <m:t>t</m:t>
              </m:r>
              <m:r>
                <m:t>e</m:t>
              </m:r>
            </m:sub>
          </m:sSub>
          <m:r>
            <m:rPr>
              <m:sty m:val="p"/>
            </m:rPr>
            <m:t>+</m:t>
          </m:r>
          <m:sSub>
            <m:e>
              <m:r>
                <m:t>N</m:t>
              </m:r>
            </m:e>
            <m:sub>
              <m:r>
                <m:t>s</m:t>
              </m:r>
              <m:r>
                <m:t>t</m:t>
              </m:r>
              <m:r>
                <m:t>o</m:t>
              </m:r>
              <m:r>
                <m:t>r</m:t>
              </m:r>
              <m:r>
                <m:t>a</m:t>
              </m:r>
              <m:r>
                <m:t>g</m:t>
              </m:r>
              <m:r>
                <m:t>e</m:t>
              </m:r>
            </m:sub>
          </m:sSub>
          <m:r>
            <m:rPr>
              <m:sty m:val="p"/>
            </m:rPr>
            <m:t>+</m:t>
          </m:r>
          <m:sSub>
            <m:e>
              <m:r>
                <m:t>N</m:t>
              </m:r>
            </m:e>
            <m:sub>
              <m:r>
                <m:t>m</m:t>
              </m:r>
              <m:r>
                <m:t>a</m:t>
              </m:r>
              <m:r>
                <m:t>n</m:t>
              </m:r>
              <m:r>
                <m:t>a</m:t>
              </m:r>
              <m:r>
                <m:t>g</m:t>
              </m:r>
              <m:r>
                <m:t>e</m:t>
              </m:r>
              <m:r>
                <m:t>m</m:t>
              </m:r>
              <m:r>
                <m:t>e</m:t>
              </m:r>
              <m:r>
                <m:t>n</m:t>
              </m:r>
              <m:r>
                <m:t>t</m:t>
              </m:r>
            </m:sub>
          </m:sSub>
          <m:r>
            <m:rPr>
              <m:sty m:val="p"/>
            </m:rPr>
            <m:t>+</m:t>
          </m:r>
          <m:sSub>
            <m:e>
              <m:r>
                <m:t>N</m:t>
              </m:r>
            </m:e>
            <m:sub>
              <m:r>
                <m:t>i</m:t>
              </m:r>
              <m:r>
                <m:t>n</m:t>
              </m:r>
              <m:r>
                <m:t>t</m:t>
              </m:r>
              <m:r>
                <m:t>e</m:t>
              </m:r>
              <m:r>
                <m:t>r</m:t>
              </m:r>
              <m:r>
                <m:t>c</m:t>
              </m:r>
              <m:r>
                <m:t>o</m:t>
              </m:r>
              <m:r>
                <m:t>n</m:t>
              </m:r>
              <m:r>
                <m:t>n</m:t>
              </m:r>
              <m:r>
                <m:t>e</m:t>
              </m:r>
              <m:r>
                <m:t>c</m:t>
              </m:r>
              <m:r>
                <m:t>t</m:t>
              </m:r>
            </m:sub>
          </m:sSub>
        </m:oMath>
      </m:oMathPara>
    </w:p>
    <w:tbl>
      <w:tblPr>
        <w:tblStyle w:val="Table"/>
        <w:tblW w:type="dxa" w:w="986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096"/>
        <w:gridCol w:w="4392"/>
      </w:tblGrid>
      <w:tr>
        <w:trPr>
          <w:tblHeader w:val="true"/>
          <w:cantSplit/>
          <w:tblHeader/>
        </w:trPr>
        <w:tc>
          <w:tcPr>
            <w:tcW w:type="dxa" w:w="237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망</w:t>
            </w:r>
          </w:p>
        </w:tc>
        <w:tc>
          <w:tcPr>
            <w:tcW w:type="dxa" w:w="309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예제 서버당 연결</w:t>
            </w:r>
          </w:p>
        </w:tc>
        <w:tc>
          <w:tcPr>
            <w:tcW w:type="dxa" w:w="4392"/>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8대 서버의 연결</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연산망</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8개</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64개</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저장망</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2개</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16개</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BMC 관리망</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1개</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8개</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서버측 합계</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11개</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88개</w:t>
            </w:r>
          </w:p>
        </w:tc>
      </w:tr>
    </w:tbl>
    <w:bookmarkEnd w:id="124"/>
    <w:bookmarkStart w:id="125" w:name="적용과-검증-37"/>
    <w:p>
      <w:pPr>
        <w:pStyle w:val="Heading2"/>
        <w:widowControl/>
      </w:pPr>
      <w:r>
        <w:t xml:space="preserve">적용과 검증</w:t>
      </w:r>
    </w:p>
    <w:p>
      <w:pPr>
        <w:pStyle w:val="FirstParagraph"/>
        <w:keepNext/>
        <w:widowControl/>
      </w:pPr>
      <w:r>
        <w:t xml:space="preserve">위 예제에는 스위치 간 링크와 외부 인입이 포함되지 않았다. 망마다 속도와 프로토콜, 거리와 커넥터를 정한 후 케이블 종류별 수량으로 변환한다.</w:t>
      </w:r>
    </w:p>
    <w:p>
      <w:pPr>
        <w:pStyle w:val="BodyText"/>
        <w:widowControl/>
        <w:spacing w:before="160"/>
      </w:pPr>
      <w:r>
        <w:rPr>
          <w:sz w:val="17"/>
        </w:rPr>
        <w:t xml:space="preserve">근거 및 추가 읽기 [R13] [R18]</w:t>
      </w:r>
    </w:p>
    <w:bookmarkEnd w:id="125"/>
    <w:bookmarkEnd w:id="126"/>
    <w:bookmarkStart w:id="128" w:name="ethernet과-infiniband-선택"/>
    <w:p>
      <w:pPr>
        <w:pStyle w:val="Heading1"/>
        <w:keepNext/>
        <w:widowControl/>
      </w:pPr>
      <w:bookmarkStart w:id="39" w:name="topic_39"/>
      <w:r>
        <w:t xml:space="preserve">39 Ethernet과 InfiniBand 선택</w:t>
      </w:r>
      <w:bookmarkEnd w:id="39"/>
    </w:p>
    <w:p>
      <w:pPr>
        <w:pStyle w:val="FirstParagraph"/>
        <w:widowControl/>
      </w:pPr>
      <w:r>
        <w:rPr>
          <w:bCs/>
          <w:b/>
        </w:rPr>
        <w:t xml:space="preserve">4부 네트워크 구조와 케이블 연결</w:t>
      </w:r>
    </w:p>
    <w:p>
      <w:pPr>
        <w:pStyle w:val="BodyText"/>
        <w:widowControl/>
      </w:pPr>
      <w:r>
        <w:t xml:space="preserve">Ethernet과 InfiniBand는 GPU 클러스터에서 사용할 수 있는 서로 다른 네트워크 기술이다. 포트 속도가 같다고 프레임 형식과 제어 방식 및 운영 도구가 동일하지는 않다. 스위치와 NIC의 지원 모드가 맞아야 한다.</w:t>
      </w:r>
    </w:p>
    <w:p>
      <w:pPr>
        <w:pStyle w:val="BodyText"/>
        <w:widowControl/>
      </w:pPr>
      <w:r>
        <w:t xml:space="preserve">RoCE를 사용하는 Ethernet 구성은 RDMA 동작을 위해 혼잡 제어, 큐와 버퍼 및 관련 설정을 검토한다. InfiniBand 역시 라우팅과 관리 구성이 필요하다. 어느 방식이 항상 우수하다고 단정하기보다 업무와 운영 역량 및 검증된 구성을 비교한다.</w:t>
      </w:r>
    </w:p>
    <w:p>
      <w:pPr>
        <w:pStyle w:val="BodyText"/>
        <w:widowControl/>
      </w:pPr>
      <w:r>
        <w:t xml:space="preserve">물리 케이블의 형태가 같아 보여도 프로토콜, 펌웨어, 변조, 광 규격과 브레이크아웃 지원을 확인한다. 지원 표에 없는 혼합을 단순 계산만으로 호환된다고 결론 내릴 수 없다.</w:t>
      </w:r>
    </w:p>
    <w:tbl>
      <w:tblPr>
        <w:tblStyle w:val="Table"/>
        <w:tblW w:type="dxa" w:w="986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096"/>
        <w:gridCol w:w="4392"/>
      </w:tblGrid>
      <w:tr>
        <w:trPr>
          <w:tblHeader w:val="true"/>
          <w:cantSplit/>
          <w:tblHeader/>
        </w:trPr>
        <w:tc>
          <w:tcPr>
            <w:tcW w:type="dxa" w:w="237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검토 기준</w:t>
            </w:r>
          </w:p>
        </w:tc>
        <w:tc>
          <w:tcPr>
            <w:tcW w:type="dxa" w:w="309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질문</w:t>
            </w:r>
          </w:p>
        </w:tc>
        <w:tc>
          <w:tcPr>
            <w:tcW w:type="dxa" w:w="4392"/>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확인 자료</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업무</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통신 패턴과 지연 요구</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벤치마크</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장비</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NIC와 스위치 모드 일치</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제품 매뉴얼</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운영</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관리와 혼잡 제어 가능</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운영 역량</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물리 연결</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모듈과 케이블 지원</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호환 목록</w:t>
            </w:r>
          </w:p>
        </w:tc>
      </w:tr>
    </w:tbl>
    <w:bookmarkStart w:id="127" w:name="적용과-검증-38"/>
    <w:p>
      <w:pPr>
        <w:pStyle w:val="Heading2"/>
        <w:widowControl/>
      </w:pPr>
      <w:r>
        <w:t xml:space="preserve">적용과 검증</w:t>
      </w:r>
    </w:p>
    <w:p>
      <w:pPr>
        <w:pStyle w:val="FirstParagraph"/>
        <w:keepNext/>
        <w:widowControl/>
      </w:pPr>
      <w:r>
        <w:t xml:space="preserve">백서의 일반 Ethernet 사례와 H100 InfiniBand 사례는 별도 토폴로지로 계산한다. 400G라는 속도만을 근거로 서로 다른 예제의 광모듈 형명을 교환하지 않는다.</w:t>
      </w:r>
    </w:p>
    <w:p>
      <w:pPr>
        <w:pStyle w:val="BodyText"/>
        <w:widowControl/>
        <w:spacing w:before="160"/>
      </w:pPr>
      <w:r>
        <w:rPr>
          <w:sz w:val="17"/>
        </w:rPr>
        <w:t xml:space="preserve">근거 및 추가 읽기 [R13] [R15] [R18]</w:t>
      </w:r>
    </w:p>
    <w:bookmarkEnd w:id="127"/>
    <w:bookmarkEnd w:id="128"/>
    <w:bookmarkStart w:id="130" w:name="gpu-내부-연결과-외부-네트워크-구분"/>
    <w:p>
      <w:pPr>
        <w:pStyle w:val="Heading1"/>
        <w:keepNext/>
        <w:widowControl/>
      </w:pPr>
      <w:bookmarkStart w:id="40" w:name="topic_40"/>
      <w:r>
        <w:t xml:space="preserve">40 GPU 내부 연결과 외부 네트워크 구분</w:t>
      </w:r>
      <w:bookmarkEnd w:id="40"/>
    </w:p>
    <w:p>
      <w:pPr>
        <w:pStyle w:val="FirstParagraph"/>
        <w:widowControl/>
      </w:pPr>
      <w:r>
        <w:rPr>
          <w:bCs/>
          <w:b/>
        </w:rPr>
        <w:t xml:space="preserve">4부 네트워크 구조와 케이블 연결</w:t>
      </w:r>
    </w:p>
    <w:p>
      <w:pPr>
        <w:pStyle w:val="BodyText"/>
        <w:widowControl/>
      </w:pPr>
      <w:r>
        <w:t xml:space="preserve">서버 내부에서는 GPU 사이를 NVLink와 NVSwitch 같은 기술로 연결할 수 있다. 외부 서버와의 통신은 NIC와 스위치 및 케이블을 통해 수행한다. 내부 대역폭을 외부 NIC 한 포트의 속도와 직접 합산하면 의미가 없다.</w:t>
      </w:r>
    </w:p>
    <w:p>
      <w:pPr>
        <w:pStyle w:val="BodyText"/>
        <w:widowControl/>
      </w:pPr>
      <w:r>
        <w:t xml:space="preserve">한 서버에 있는 GPU가 다른 서버로 데이터를 보낼 때 내부 버스와 NIC 매핑이 영향을 준다. Rail 구조는 이런 매핑과 집단 통신 특성을 고려해 연결을 나누는 방식이다. 단순히 스위치를 늘린다고 모든 업무가 선형으로 빨라지는 것은 아니다.</w:t>
      </w:r>
    </w:p>
    <w:p>
      <w:pPr>
        <w:pStyle w:val="BodyText"/>
        <w:widowControl/>
      </w:pPr>
      <w:r>
        <w:t xml:space="preserve">성능 비교에서는 서버 내부 연산, 서버 내부 통신과 서버 간 통신 시간을 구분한다. 외부 케이블 수는 제조사의 NIC 구성과 설계한 포트 매핑을 기준으로 계산한다.</w:t>
      </w:r>
    </w:p>
    <w:tbl>
      <w:tblPr>
        <w:tblStyle w:val="Table"/>
        <w:tblW w:type="dxa" w:w="986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096"/>
        <w:gridCol w:w="4392"/>
      </w:tblGrid>
      <w:tr>
        <w:trPr>
          <w:tblHeader w:val="true"/>
          <w:cantSplit/>
          <w:tblHeader/>
        </w:trPr>
        <w:tc>
          <w:tcPr>
            <w:tcW w:type="dxa" w:w="237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구간</w:t>
            </w:r>
          </w:p>
        </w:tc>
        <w:tc>
          <w:tcPr>
            <w:tcW w:type="dxa" w:w="309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대표 구성</w:t>
            </w:r>
          </w:p>
        </w:tc>
        <w:tc>
          <w:tcPr>
            <w:tcW w:type="dxa" w:w="4392"/>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계산 대상</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GPU 내부</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메모리와 연산 유닛</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메모리와 연산 효율</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서버 내부</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GPU 상호 연결</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내부 전달량</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서버 외부</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NIC와 Fabric</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포트와 광배선</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저장 접근</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스토리지망</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읽기와 체크포인트</w:t>
            </w:r>
          </w:p>
        </w:tc>
      </w:tr>
    </w:tbl>
    <w:bookmarkStart w:id="129" w:name="적용과-검증-39"/>
    <w:p>
      <w:pPr>
        <w:pStyle w:val="Heading2"/>
        <w:widowControl/>
      </w:pPr>
      <w:r>
        <w:t xml:space="preserve">적용과 검증</w:t>
      </w:r>
    </w:p>
    <w:p>
      <w:pPr>
        <w:pStyle w:val="FirstParagraph"/>
        <w:keepNext/>
        <w:widowControl/>
      </w:pPr>
      <w:r>
        <w:t xml:space="preserve">H100의 여덟 GPU와 여덟 연산망 인터페이스는 해당 시스템의 구성이다. 모든 8GPU 서버가 동일한 외부 포트 수를 갖는다고 일반화하지 않고 모델별 자료를 적용한다.</w:t>
      </w:r>
    </w:p>
    <w:p>
      <w:pPr>
        <w:pStyle w:val="BodyText"/>
        <w:widowControl/>
        <w:spacing w:before="160"/>
      </w:pPr>
      <w:r>
        <w:rPr>
          <w:sz w:val="17"/>
        </w:rPr>
        <w:t xml:space="preserve">근거 및 추가 읽기 [R13] [R18]</w:t>
      </w:r>
    </w:p>
    <w:bookmarkEnd w:id="129"/>
    <w:bookmarkEnd w:id="130"/>
    <w:bookmarkStart w:id="132" w:name="dac-aec와-aoc의-차이"/>
    <w:p>
      <w:pPr>
        <w:pStyle w:val="Heading1"/>
        <w:keepNext/>
        <w:widowControl/>
      </w:pPr>
      <w:bookmarkStart w:id="41" w:name="topic_41"/>
      <w:r>
        <w:t xml:space="preserve">41 DAC AEC와 AOC의 차이</w:t>
      </w:r>
      <w:bookmarkEnd w:id="41"/>
    </w:p>
    <w:p>
      <w:pPr>
        <w:pStyle w:val="FirstParagraph"/>
        <w:widowControl/>
      </w:pPr>
      <w:r>
        <w:rPr>
          <w:bCs/>
          <w:b/>
        </w:rPr>
        <w:t xml:space="preserve">4부 네트워크 구조와 케이블 연결</w:t>
      </w:r>
    </w:p>
    <w:p>
      <w:pPr>
        <w:pStyle w:val="BodyText"/>
        <w:widowControl/>
      </w:pPr>
      <w:r>
        <w:t xml:space="preserve">DAC는 근거리에서 구리 기반 직접 연결을 제공한다. AEC나 능동 구리 계열은 전자 회로를 사용해 신호 전달을 보조한다. AOC는 광섬유와 양단 광전 변환부가 하나의 조립품으로 결합된 형태다. 지원 거리는 속도와 제품에 따라 달라진다.</w:t>
      </w:r>
    </w:p>
    <w:p>
      <w:pPr>
        <w:pStyle w:val="BodyText"/>
        <w:widowControl/>
      </w:pPr>
      <w:r>
        <w:t xml:space="preserve">매체 선택에는 케이블 가격뿐 아니라 포트 호환, 소비전력, 굵기, 굴곡과 교체 방식이 영향을 준다. 랙 내부의 짧은 연결은 구리 방식이 적합할 수 있지만 전면 공간과 배선 밀도를 확인해야 한다.</w:t>
      </w:r>
    </w:p>
    <w:p>
      <w:pPr>
        <w:pStyle w:val="BodyText"/>
        <w:widowControl/>
      </w:pPr>
      <w:r>
        <w:t xml:space="preserve">AOC는 광모듈과 패치코드를 각각 교체하는 방식과 유지보수 구조가 다르다. 조립품 한 개를 링크 한 개로 발주하는지 분기형인지 확인하고 양단 부품을 중복 계산하지 않는다.</w:t>
      </w:r>
    </w:p>
    <w:tbl>
      <w:tblPr>
        <w:tblStyle w:val="Table"/>
        <w:tblW w:type="dxa" w:w="986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096"/>
        <w:gridCol w:w="4392"/>
      </w:tblGrid>
      <w:tr>
        <w:trPr>
          <w:tblHeader w:val="true"/>
          <w:cantSplit/>
          <w:tblHeader/>
        </w:trPr>
        <w:tc>
          <w:tcPr>
            <w:tcW w:type="dxa" w:w="237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매체</w:t>
            </w:r>
          </w:p>
        </w:tc>
        <w:tc>
          <w:tcPr>
            <w:tcW w:type="dxa" w:w="309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특징</w:t>
            </w:r>
          </w:p>
        </w:tc>
        <w:tc>
          <w:tcPr>
            <w:tcW w:type="dxa" w:w="4392"/>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BOM 주의점</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DAC</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구리 직접 연결</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별도 광모듈 제외</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AEC 등</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능동 구리 조립품</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제품별 전력과 지원 길이</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AOC</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광 변환부 일체형</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조립품 단위 발주</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분리형 광링크</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모듈과 광배선 분리</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양단 모듈과 배선 포함</w:t>
            </w:r>
          </w:p>
        </w:tc>
      </w:tr>
    </w:tbl>
    <w:bookmarkStart w:id="131" w:name="적용과-검증-40"/>
    <w:p>
      <w:pPr>
        <w:pStyle w:val="Heading2"/>
        <w:widowControl/>
      </w:pPr>
      <w:r>
        <w:t xml:space="preserve">적용과 검증</w:t>
      </w:r>
    </w:p>
    <w:p>
      <w:pPr>
        <w:pStyle w:val="FirstParagraph"/>
        <w:keepNext/>
        <w:widowControl/>
      </w:pPr>
      <w:r>
        <w:t xml:space="preserve">거리만으로 매체를 결정하지 않는다. 최종 BOM에는 속도, 프로토콜, 길이, 커넥터, 양단 장비와 제조사 지원 형명을 한 줄의 연결 기록으로 남긴다.</w:t>
      </w:r>
    </w:p>
    <w:p>
      <w:pPr>
        <w:pStyle w:val="BodyText"/>
        <w:widowControl/>
        <w:spacing w:before="160"/>
      </w:pPr>
      <w:r>
        <w:rPr>
          <w:sz w:val="17"/>
        </w:rPr>
        <w:t xml:space="preserve">근거 및 추가 읽기 [R13] [R16]</w:t>
      </w:r>
    </w:p>
    <w:bookmarkEnd w:id="131"/>
    <w:bookmarkEnd w:id="132"/>
    <w:bookmarkStart w:id="135" w:name="광모듈-속도와-포트-형상의-관계"/>
    <w:p>
      <w:pPr>
        <w:pStyle w:val="Heading1"/>
        <w:keepNext/>
        <w:widowControl/>
      </w:pPr>
      <w:bookmarkStart w:id="42" w:name="topic_42"/>
      <w:r>
        <w:t xml:space="preserve">42 광모듈 속도와 포트 형상의 관계</w:t>
      </w:r>
      <w:bookmarkEnd w:id="42"/>
    </w:p>
    <w:p>
      <w:pPr>
        <w:pStyle w:val="FirstParagraph"/>
        <w:widowControl/>
      </w:pPr>
      <w:r>
        <w:rPr>
          <w:bCs/>
          <w:b/>
        </w:rPr>
        <w:t xml:space="preserve">4부 네트워크 구조와 케이블 연결</w:t>
      </w:r>
    </w:p>
    <w:p>
      <w:pPr>
        <w:pStyle w:val="BodyText"/>
        <w:widowControl/>
      </w:pPr>
      <w:r>
        <w:t xml:space="preserve">QSFP 계열과 OSFP 같은 형상은 외형과 전기적 인터페이스의 범주를 뜻한다. 400G나 800G는 통신 속도를 뜻하고 DR4나 FR4는 광전송 방식의 구분이다. 서로 다른 차원의 이름을 하나의 제품명처럼 섞지 않는다.</w:t>
      </w:r>
    </w:p>
    <w:p>
      <w:pPr>
        <w:pStyle w:val="BodyText"/>
        <w:widowControl/>
      </w:pPr>
      <w:r>
        <w:t xml:space="preserve">하나의 OSFP 케이지가 800G 단일 논리 링크를 제공할 수도 있고 2×400G를 제공할 수도 있다. Quantum-2의 32개 물리 케이지와 64개 400G 포트 관계가 대표적인 예다. 따라서 케이지 수와 링크 수를 따로 검산한다.</w:t>
      </w:r>
    </w:p>
    <w:p>
      <w:pPr>
        <w:pStyle w:val="BodyText"/>
        <w:widowControl/>
      </w:pPr>
      <w:r>
        <w:t xml:space="preserve">광 커넥터 수도 모듈 구성에 따라 다르다. Twin-port 모듈은 두 광 인터페이스를 가질 수 있어 일반적인 링크당 광모듈 두 개 규칙을 그대로 적용하면 수량을 잘못 센다.</w:t>
      </w:r>
    </w:p>
    <w:p>
      <w:pPr>
        <w:pStyle w:val="BodyText"/>
        <w:widowControl/>
      </w:pPr>
      <w:r>
        <w:t xml:space="preserve">형상 호환은 필요조건일 뿐 충분조건이 아니다. 모듈은 전기 레인 속도, 장비 전력 예산과 열 배출 방향 및 소프트웨어 지원까지 맞아야 한다. 같은 OSFP라는 이름 아래 장비용 방열 구조와 DGX용 구조가 구분될 수 있으므로 단품 외형만 보고 대체하지 않는다.</w:t>
      </w:r>
    </w:p>
    <w:bookmarkStart w:id="133" w:name="계산식과-변수-23"/>
    <w:p>
      <w:pPr>
        <w:pStyle w:val="Heading2"/>
        <w:widowControl/>
      </w:pPr>
      <w:r>
        <w:t xml:space="preserve">계산식과 변수</w:t>
      </w:r>
    </w:p>
    <w:p>
      <w:pPr>
        <w:pStyle w:val="FirstParagraph"/>
        <w:widowControl/>
        <w:spacing w:line="252" w:lineRule="auto" w:before="100" w:after="180"/>
      </w:pPr>
      <m:oMathPara>
        <m:oMathParaPr>
          <m:jc m:val="center"/>
        </m:oMathParaPr>
        <m:oMath>
          <m:sSub>
            <m:e>
              <m:r>
                <m:t>N</m:t>
              </m:r>
            </m:e>
            <m:sub>
              <m:r>
                <m:t>l</m:t>
              </m:r>
              <m:r>
                <m:t>o</m:t>
              </m:r>
              <m:r>
                <m:t>g</m:t>
              </m:r>
              <m:r>
                <m:t>i</m:t>
              </m:r>
              <m:r>
                <m:t>c</m:t>
              </m:r>
              <m:r>
                <m:t>a</m:t>
              </m:r>
              <m:r>
                <m:t>l</m:t>
              </m:r>
              <m:r>
                <m:t> </m:t>
              </m:r>
              <m:r>
                <m:t>p</m:t>
              </m:r>
              <m:r>
                <m:t>o</m:t>
              </m:r>
              <m:r>
                <m:t>r</m:t>
              </m:r>
              <m:r>
                <m:t>t</m:t>
              </m:r>
            </m:sub>
          </m:sSub>
          <m:r>
            <m:rPr>
              <m:sty m:val="p"/>
            </m:rPr>
            <m:t>=</m:t>
          </m:r>
          <m:sSub>
            <m:e>
              <m:r>
                <m:t>N</m:t>
              </m:r>
            </m:e>
            <m:sub>
              <m:r>
                <m:t>c</m:t>
              </m:r>
              <m:r>
                <m:t>a</m:t>
              </m:r>
              <m:r>
                <m:t>g</m:t>
              </m:r>
              <m:r>
                <m:t>e</m:t>
              </m:r>
            </m:sub>
          </m:sSub>
          <m:sSub>
            <m:e>
              <m:r>
                <m:t>p</m:t>
              </m:r>
            </m:e>
            <m:sub>
              <m:r>
                <m:t>l</m:t>
              </m:r>
              <m:r>
                <m:t>o</m:t>
              </m:r>
              <m:r>
                <m:t>g</m:t>
              </m:r>
              <m:r>
                <m:t>i</m:t>
              </m:r>
              <m:r>
                <m:t>c</m:t>
              </m:r>
              <m:r>
                <m:t>a</m:t>
              </m:r>
              <m:r>
                <m:t>l</m:t>
              </m:r>
              <m:r>
                <m:rPr>
                  <m:sty m:val="p"/>
                </m:rPr>
                <m:t>/</m:t>
              </m:r>
              <m:r>
                <m:t>c</m:t>
              </m:r>
              <m:r>
                <m:t>a</m:t>
              </m:r>
              <m:r>
                <m:t>g</m:t>
              </m:r>
              <m:r>
                <m:t>e</m:t>
              </m:r>
            </m:sub>
          </m:sSub>
        </m:oMath>
      </m:oMathPara>
    </w:p>
    <w:tbl>
      <w:tblPr>
        <w:tblStyle w:val="Table"/>
        <w:tblW w:type="dxa" w:w="986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096"/>
        <w:gridCol w:w="4392"/>
      </w:tblGrid>
      <w:tr>
        <w:trPr>
          <w:tblHeader w:val="true"/>
          <w:cantSplit/>
          <w:tblHeader/>
        </w:trPr>
        <w:tc>
          <w:tcPr>
            <w:tcW w:type="dxa" w:w="237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구분</w:t>
            </w:r>
          </w:p>
        </w:tc>
        <w:tc>
          <w:tcPr>
            <w:tcW w:type="dxa" w:w="309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예시</w:t>
            </w:r>
          </w:p>
        </w:tc>
        <w:tc>
          <w:tcPr>
            <w:tcW w:type="dxa" w:w="4392"/>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계산에 쓰는 곳</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속도</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400Gb/s</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대역폭</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형상</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OSFP와 QSFP112</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장비 장착 호환</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광 방식</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DR4와 FR4</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심수와 거리</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논리 구성</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2 곱하기 400G</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링크와 모듈 수량</w:t>
            </w:r>
          </w:p>
        </w:tc>
      </w:tr>
    </w:tbl>
    <w:bookmarkEnd w:id="133"/>
    <w:bookmarkStart w:id="134" w:name="적용과-검증-41"/>
    <w:p>
      <w:pPr>
        <w:pStyle w:val="Heading2"/>
        <w:widowControl/>
      </w:pPr>
      <w:r>
        <w:t xml:space="preserve">적용과 검증</w:t>
      </w:r>
    </w:p>
    <w:p>
      <w:pPr>
        <w:pStyle w:val="FirstParagraph"/>
        <w:keepNext/>
        <w:widowControl/>
      </w:pPr>
      <w:r>
        <w:t xml:space="preserve">Quantum-2의 32개 케이지에 논리 포트 2개씩이면 64개 400G 포트다. 본문의 H100 사례에서는 양단 케이지와 광 인터페이스를 각각 계산한다.</w:t>
      </w:r>
    </w:p>
    <w:p>
      <w:pPr>
        <w:pStyle w:val="BodyText"/>
        <w:widowControl/>
        <w:spacing w:before="160"/>
      </w:pPr>
      <w:r>
        <w:rPr>
          <w:sz w:val="17"/>
        </w:rPr>
        <w:t xml:space="preserve">근거 및 추가 읽기 [R15] [R16]</w:t>
      </w:r>
    </w:p>
    <w:bookmarkEnd w:id="134"/>
    <w:bookmarkEnd w:id="135"/>
    <w:bookmarkStart w:id="137" w:name="포트-매핑과-브레이크아웃-검증"/>
    <w:p>
      <w:pPr>
        <w:pStyle w:val="Heading1"/>
        <w:keepNext/>
        <w:widowControl/>
      </w:pPr>
      <w:bookmarkStart w:id="43" w:name="topic_43"/>
      <w:r>
        <w:t xml:space="preserve">43 포트 매핑과 브레이크아웃 검증</w:t>
      </w:r>
      <w:bookmarkEnd w:id="43"/>
    </w:p>
    <w:p>
      <w:pPr>
        <w:pStyle w:val="FirstParagraph"/>
        <w:widowControl/>
      </w:pPr>
      <w:r>
        <w:rPr>
          <w:bCs/>
          <w:b/>
        </w:rPr>
        <w:t xml:space="preserve">4부 네트워크 구조와 케이블 연결</w:t>
      </w:r>
    </w:p>
    <w:p>
      <w:pPr>
        <w:pStyle w:val="BodyText"/>
        <w:widowControl/>
      </w:pPr>
      <w:r>
        <w:t xml:space="preserve">브레이크아웃은 하나의 고속 포트를 여러 저속 링크로 나누는 구성이다. 전기적 레인과 광학 레인의 구성 및 스위치 소프트웨어 지원이 맞아야 한다. 속도 숫자의 합이 같다는 사실만으로 임의 분기가 가능하지는 않다.</w:t>
      </w:r>
    </w:p>
    <w:p>
      <w:pPr>
        <w:pStyle w:val="BodyText"/>
        <w:widowControl/>
      </w:pPr>
      <w:r>
        <w:t xml:space="preserve">포트 매핑표에는 부모 포트, 하위 포트, 속도와 상대 장비를 기록한다. 물리 케이지가 사용 중인지와 논리 포트가 사용 중인지도 구분한다. 한 쪽만 분기 모드로 설정하면 링크가 올라오지 않을 수 있다.</w:t>
      </w:r>
    </w:p>
    <w:p>
      <w:pPr>
        <w:pStyle w:val="BodyText"/>
        <w:widowControl/>
      </w:pPr>
      <w:r>
        <w:t xml:space="preserve">기존 간선의 심수와 커넥터를 재사용하는 경우 분기 카세트와 패치코드가 극성을 유지하는지도 확인한다. 교체 후 손실 예산을 다시 계산하고 모든 하위 링크를 시험한다.</w:t>
      </w:r>
    </w:p>
    <w:tbl>
      <w:tblPr>
        <w:tblStyle w:val="Table"/>
        <w:tblW w:type="dxa" w:w="986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096"/>
        <w:gridCol w:w="4392"/>
      </w:tblGrid>
      <w:tr>
        <w:trPr>
          <w:tblHeader w:val="true"/>
          <w:cantSplit/>
          <w:tblHeader/>
        </w:trPr>
        <w:tc>
          <w:tcPr>
            <w:tcW w:type="dxa" w:w="237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기록 항목</w:t>
            </w:r>
          </w:p>
        </w:tc>
        <w:tc>
          <w:tcPr>
            <w:tcW w:type="dxa" w:w="309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예시</w:t>
            </w:r>
          </w:p>
        </w:tc>
        <w:tc>
          <w:tcPr>
            <w:tcW w:type="dxa" w:w="4392"/>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검증</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부모 포트</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Leaf 1 포트 1</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지원 분기 모드</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하위 포트</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1의 1부터 1의 4</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속도와 사용 상태</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상대 장비</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서버와 NIC 번호</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포트 일치</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물리 배선</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분기 케이블 ID</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심선과 극성</w:t>
            </w:r>
          </w:p>
        </w:tc>
      </w:tr>
    </w:tbl>
    <w:bookmarkStart w:id="136" w:name="적용과-검증-42"/>
    <w:p>
      <w:pPr>
        <w:pStyle w:val="Heading2"/>
        <w:widowControl/>
      </w:pPr>
      <w:r>
        <w:t xml:space="preserve">적용과 검증</w:t>
      </w:r>
    </w:p>
    <w:p>
      <w:pPr>
        <w:pStyle w:val="FirstParagraph"/>
        <w:keepNext/>
        <w:widowControl/>
      </w:pPr>
      <w:r>
        <w:t xml:space="preserve">400G 포트를 4×100G로 분기하는 예제에서는 지원되는 제품 조합을 먼저 정한다. 대역폭 400=4×100의 산술 검증과 실제 호환성 검증을 별도 기록한다.</w:t>
      </w:r>
    </w:p>
    <w:p>
      <w:pPr>
        <w:pStyle w:val="BodyText"/>
        <w:widowControl/>
        <w:spacing w:before="160"/>
      </w:pPr>
      <w:r>
        <w:rPr>
          <w:sz w:val="17"/>
        </w:rPr>
        <w:t xml:space="preserve">근거 및 추가 읽기 [R16] [R20]</w:t>
      </w:r>
    </w:p>
    <w:bookmarkEnd w:id="136"/>
    <w:bookmarkEnd w:id="137"/>
    <w:bookmarkStart w:id="140" w:name="네트워크-장애-후-잔여-용량-계산"/>
    <w:p>
      <w:pPr>
        <w:pStyle w:val="Heading1"/>
        <w:keepNext/>
        <w:widowControl/>
      </w:pPr>
      <w:bookmarkStart w:id="44" w:name="topic_44"/>
      <w:r>
        <w:t xml:space="preserve">44 네트워크 장애 후 잔여 용량 계산</w:t>
      </w:r>
      <w:bookmarkEnd w:id="44"/>
    </w:p>
    <w:p>
      <w:pPr>
        <w:pStyle w:val="FirstParagraph"/>
        <w:widowControl/>
      </w:pPr>
      <w:r>
        <w:rPr>
          <w:bCs/>
          <w:b/>
        </w:rPr>
        <w:t xml:space="preserve">4부 네트워크 구조와 케이블 연결</w:t>
      </w:r>
    </w:p>
    <w:p>
      <w:pPr>
        <w:pStyle w:val="BodyText"/>
        <w:widowControl/>
      </w:pPr>
      <w:r>
        <w:t xml:space="preserve">정상 토폴로지 외에 링크 한 개, Leaf 한 대와 Spine 한 대가 정지하는 조건을 검토한다. 장애 후 연결이 남아 있는지와 남은 연결의 대역폭이 요구량을 충족하는지를 따로 판단한다.</w:t>
      </w:r>
    </w:p>
    <w:p>
      <w:pPr>
        <w:pStyle w:val="BodyText"/>
        <w:widowControl/>
      </w:pPr>
      <w:r>
        <w:t xml:space="preserve">단순 집선 모델에서는 가용 업링크 수에 링크 속도를 곱해 잔여 대역폭을 계산한다. 실제 트래픽은 경로별로 균등하지 않을 수 있고 단일 흐름이 여러 링크를 모두 사용하지 못할 수 있다. 따라서 합산값은 상한 성격으로 해석한다.</w:t>
      </w:r>
    </w:p>
    <w:p>
      <w:pPr>
        <w:pStyle w:val="BodyText"/>
        <w:widowControl/>
      </w:pPr>
      <w:r>
        <w:t xml:space="preserve">절체 시간은 장비의 장애 검출과 경로 계산 및 애플리케이션의 재시도에 달려 있다. 계산 사례에서 임의의 1초 복구를 넣었다면 실측값과 구분해야 한다.</w:t>
      </w:r>
    </w:p>
    <w:bookmarkStart w:id="138" w:name="계산식과-변수-24"/>
    <w:p>
      <w:pPr>
        <w:pStyle w:val="Heading2"/>
        <w:widowControl/>
      </w:pPr>
      <w:r>
        <w:t xml:space="preserve">계산식과 변수</w:t>
      </w:r>
    </w:p>
    <w:p>
      <w:pPr>
        <w:pStyle w:val="FirstParagraph"/>
        <w:widowControl/>
        <w:spacing w:line="252" w:lineRule="auto" w:before="100" w:after="180"/>
      </w:pPr>
      <m:oMathPara>
        <m:oMathParaPr>
          <m:jc m:val="center"/>
        </m:oMathParaPr>
        <m:oMath>
          <m:sSub>
            <m:e>
              <m:r>
                <m:t>B</m:t>
              </m:r>
            </m:e>
            <m:sub>
              <m:r>
                <m:t>r</m:t>
              </m:r>
              <m:r>
                <m:t>e</m:t>
              </m:r>
              <m:r>
                <m:t>m</m:t>
              </m:r>
              <m:r>
                <m:t>a</m:t>
              </m:r>
              <m:r>
                <m:t>i</m:t>
              </m:r>
              <m:r>
                <m:t>n</m:t>
              </m:r>
            </m:sub>
          </m:sSub>
          <m:r>
            <m:rPr>
              <m:sty m:val="p"/>
            </m:rPr>
            <m:t>=</m:t>
          </m:r>
          <m:d>
            <m:dPr>
              <m:begChr m:val="("/>
              <m:endChr m:val=")"/>
              <m:sepChr m:val=""/>
              <m:grow/>
            </m:dPr>
            <m:e>
              <m:sSub>
                <m:e>
                  <m:r>
                    <m:t>n</m:t>
                  </m:r>
                </m:e>
                <m:sub>
                  <m:r>
                    <m:t>u</m:t>
                  </m:r>
                  <m:r>
                    <m:t>p</m:t>
                  </m:r>
                  <m:r>
                    <m:t>l</m:t>
                  </m:r>
                  <m:r>
                    <m:t>i</m:t>
                  </m:r>
                  <m:r>
                    <m:t>n</m:t>
                  </m:r>
                  <m:r>
                    <m:t>k</m:t>
                  </m:r>
                </m:sub>
              </m:sSub>
              <m:r>
                <m:rPr>
                  <m:sty m:val="p"/>
                </m:rPr>
                <m:t>−</m:t>
              </m:r>
              <m:sSub>
                <m:e>
                  <m:r>
                    <m:t>n</m:t>
                  </m:r>
                </m:e>
                <m:sub>
                  <m:r>
                    <m:t>f</m:t>
                  </m:r>
                  <m:r>
                    <m:t>a</m:t>
                  </m:r>
                  <m:r>
                    <m:t>i</m:t>
                  </m:r>
                  <m:r>
                    <m:t>l</m:t>
                  </m:r>
                  <m:r>
                    <m:t>e</m:t>
                  </m:r>
                  <m:r>
                    <m:t>d</m:t>
                  </m:r>
                </m:sub>
              </m:sSub>
            </m:e>
          </m:d>
          <m:sSub>
            <m:e>
              <m:r>
                <m:t>B</m:t>
              </m:r>
            </m:e>
            <m:sub>
              <m:r>
                <m:t>l</m:t>
              </m:r>
              <m:r>
                <m:t>i</m:t>
              </m:r>
              <m:r>
                <m:t>n</m:t>
              </m:r>
              <m:r>
                <m:t>k</m:t>
              </m:r>
            </m:sub>
          </m:sSub>
        </m:oMath>
      </m:oMathPara>
    </w:p>
    <w:p>
      <w:pPr>
        <w:pStyle w:val="FirstParagraph"/>
        <w:widowControl/>
        <w:spacing w:line="252" w:lineRule="auto" w:before="100" w:after="180"/>
      </w:pPr>
      <m:oMathPara>
        <m:oMathParaPr>
          <m:jc m:val="center"/>
        </m:oMathParaPr>
        <m:oMath>
          <m:sSub>
            <m:e>
              <m:r>
                <m:t>O</m:t>
              </m:r>
            </m:e>
            <m:sub>
              <m:r>
                <m:t>f</m:t>
              </m:r>
              <m:r>
                <m:t>a</m:t>
              </m:r>
              <m:r>
                <m:t>i</m:t>
              </m:r>
              <m:r>
                <m:t>l</m:t>
              </m:r>
              <m:r>
                <m:t>u</m:t>
              </m:r>
              <m:r>
                <m:t>r</m:t>
              </m:r>
              <m:r>
                <m:t>e</m:t>
              </m:r>
            </m:sub>
          </m:sSub>
          <m:r>
            <m:rPr>
              <m:sty m:val="p"/>
            </m:rPr>
            <m:t>=</m:t>
          </m:r>
          <m:f>
            <m:fPr>
              <m:type m:val="bar"/>
            </m:fPr>
            <m:num>
              <m:sSub>
                <m:e>
                  <m:r>
                    <m:t>B</m:t>
                  </m:r>
                </m:e>
                <m:sub>
                  <m:r>
                    <m:t>d</m:t>
                  </m:r>
                  <m:r>
                    <m:t>o</m:t>
                  </m:r>
                  <m:r>
                    <m:t>w</m:t>
                  </m:r>
                  <m:r>
                    <m:t>n</m:t>
                  </m:r>
                  <m:r>
                    <m:t>l</m:t>
                  </m:r>
                  <m:r>
                    <m:t>i</m:t>
                  </m:r>
                  <m:r>
                    <m:t>n</m:t>
                  </m:r>
                  <m:r>
                    <m:t>k</m:t>
                  </m:r>
                </m:sub>
              </m:sSub>
            </m:num>
            <m:den>
              <m:sSub>
                <m:e>
                  <m:r>
                    <m:t>B</m:t>
                  </m:r>
                </m:e>
                <m:sub>
                  <m:r>
                    <m:t>r</m:t>
                  </m:r>
                  <m:r>
                    <m:t>e</m:t>
                  </m:r>
                  <m:r>
                    <m:t>m</m:t>
                  </m:r>
                  <m:r>
                    <m:t>a</m:t>
                  </m:r>
                  <m:r>
                    <m:t>i</m:t>
                  </m:r>
                  <m:r>
                    <m:t>n</m:t>
                  </m:r>
                </m:sub>
              </m:sSub>
            </m:den>
          </m:f>
        </m:oMath>
      </m:oMathPara>
    </w:p>
    <w:tbl>
      <w:tblPr>
        <w:tblStyle w:val="Table"/>
        <w:tblW w:type="dxa" w:w="986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096"/>
        <w:gridCol w:w="4392"/>
      </w:tblGrid>
      <w:tr>
        <w:trPr>
          <w:tblHeader w:val="true"/>
          <w:cantSplit/>
          <w:tblHeader/>
        </w:trPr>
        <w:tc>
          <w:tcPr>
            <w:tcW w:type="dxa" w:w="237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상태</w:t>
            </w:r>
          </w:p>
        </w:tc>
        <w:tc>
          <w:tcPr>
            <w:tcW w:type="dxa" w:w="309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업링크 대역폭</w:t>
            </w:r>
          </w:p>
        </w:tc>
        <w:tc>
          <w:tcPr>
            <w:tcW w:type="dxa" w:w="4392"/>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초과가입비</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정상 4개 400G</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1.6Tb/s</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서버측 1.6T면 1 대 1</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1개 상실</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1.2Tb/s</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약 1.33 대 1</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2개 상실</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0.8Tb/s</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2 대 1</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모두 상실</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0</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상위망 연결 불가</w:t>
            </w:r>
          </w:p>
        </w:tc>
      </w:tr>
    </w:tbl>
    <w:bookmarkEnd w:id="138"/>
    <w:bookmarkStart w:id="139" w:name="적용과-검증-43"/>
    <w:p>
      <w:pPr>
        <w:pStyle w:val="Heading2"/>
        <w:widowControl/>
      </w:pPr>
      <w:r>
        <w:t xml:space="preserve">적용과 검증</w:t>
      </w:r>
    </w:p>
    <w:p>
      <w:pPr>
        <w:pStyle w:val="FirstParagraph"/>
        <w:keepNext/>
        <w:widowControl/>
      </w:pPr>
      <w:r>
        <w:t xml:space="preserve">AI 작업의 허용 통신시간이 엄격하면 정상 1 대 1 설계라도 장애 시 성능 저하를 허용할지 먼저 정한다. 무중단 연결과 무감속 성능을 다른 요구조건으로 관리한다.</w:t>
      </w:r>
    </w:p>
    <w:p>
      <w:pPr>
        <w:pStyle w:val="BodyText"/>
        <w:widowControl/>
        <w:spacing w:before="160"/>
      </w:pPr>
      <w:r>
        <w:rPr>
          <w:sz w:val="17"/>
        </w:rPr>
        <w:t xml:space="preserve">근거 및 추가 읽기 [R17] [R18] [R28]</w:t>
      </w:r>
    </w:p>
    <w:bookmarkEnd w:id="139"/>
    <w:bookmarkEnd w:id="140"/>
    <w:bookmarkStart w:id="142" w:name="광섬유-광케이블과-광링크의-차이"/>
    <w:p>
      <w:pPr>
        <w:pStyle w:val="Heading2"/>
        <w:keepNext/>
        <w:keepLines/>
        <w:spacing w:after="100"/>
      </w:pPr>
      <w:r>
        <w:t>망 장애 수치 판정: 성능 축소를 서비스 정책으로 번역</w:t>
      </w:r>
    </w:p>
    <w:p>
      <w:pPr>
        <w:pStyle w:val="BodyText"/>
        <w:keepLines/>
        <w:spacing w:after="100"/>
      </w:pPr>
      <w:r>
        <w:t>정상 1:1 설계에서 한 Spine이 정지하면 링크 수와 대역폭의 절반이 사라질 수 있다. 이때 네트워크가 논리적으로 연결된다는 사실과 모든 노드가 동일 작업을 무감속으로 수행한다는 사실은 다르다. 업무 피크 집선 요구량을 20Tb/s, 장애 후 업링크를 12.8Tb/s로 가정하면 잔여 요구 부족은 7.2Tb/s다.</w:t>
      </w:r>
    </w:p>
    <w:p>
      <w:pPr>
        <w:pStyle w:val="BodyText"/>
        <w:keepLines/>
        <w:spacing w:after="100"/>
      </w:pPr>
      <w:r>
        <w:t>대응안 A: 장애 후 허용 대역폭에 맞춰 평균 제공 부하를 12.8/20=64% 이하로 제한하는 임시 캡을 둔다. 64%는 이 특정 트래픽 예제의 집선 용량 상한이며 GPU 성능 64% 보장치가 아니다. 대응안 B: 상위 네트워크를 2N 용량으로 증설하고 독립된 MMR·광간선·전원 경로를 확인한다.</w:t>
      </w:r>
    </w:p>
    <w:p>
      <w:pPr>
        <w:pStyle w:val="BodyText"/>
        <w:keepLines/>
        <w:spacing w:after="100"/>
      </w:pPr>
      <w:r>
        <w:t>실제 설계 결정은 정상 목표, N-1 목표, 지속 허용 시간, 캡 대상 애플리케이션, 재스케줄링 기준 및 과부하 제어 알고리즘을 하나의 장애 서비스 수준 문서로 확정한다.</w:t>
      </w:r>
    </w:p>
    <w:tbl>
      <w:tblPr>
        <w:tblW w:type="auto" w:w="0"/>
        <w:jc w:val="center"/>
        <w:tblLayout w:type="autofit"/>
        <w:tblLook w:firstColumn="1" w:firstRow="1" w:lastColumn="0" w:lastRow="0" w:noHBand="0" w:noVBand="1" w:val="04A0"/>
      </w:tblPr>
      <w:tblGrid>
        <w:gridCol w:w="3312"/>
        <w:gridCol w:w="3312"/>
        <w:gridCol w:w="3312"/>
      </w:tblGrid>
      <w:tr>
        <w:trPr>
          <w:tblHeader w:val="true"/>
        </w:trPr>
        <w:tc>
          <w:tcPr>
            <w:tcW w:type="dxa" w:w="3312"/>
            <w:vAlign w:val="center"/>
            <w:shd w:fill="DDEAF3"/>
          </w:tcPr>
          <w:p>
            <w:pPr>
              <w:spacing w:after="20" w:before="20"/>
            </w:pPr>
            <w:r>
              <w:rPr>
                <w:b/>
                <w:sz w:val="16"/>
              </w:rPr>
              <w:t>항목</w:t>
            </w:r>
          </w:p>
        </w:tc>
        <w:tc>
          <w:tcPr>
            <w:tcW w:type="dxa" w:w="3312"/>
            <w:vAlign w:val="center"/>
            <w:shd w:fill="DDEAF3"/>
          </w:tcPr>
          <w:p>
            <w:pPr>
              <w:spacing w:after="20" w:before="20"/>
            </w:pPr>
            <w:r>
              <w:rPr>
                <w:b/>
                <w:sz w:val="16"/>
              </w:rPr>
              <w:t>기준</w:t>
            </w:r>
          </w:p>
        </w:tc>
        <w:tc>
          <w:tcPr>
            <w:tcW w:type="dxa" w:w="3312"/>
            <w:vAlign w:val="center"/>
            <w:shd w:fill="DDEAF3"/>
          </w:tcPr>
          <w:p>
            <w:pPr>
              <w:spacing w:after="20" w:before="20"/>
            </w:pPr>
            <w:r>
              <w:rPr>
                <w:b/>
                <w:sz w:val="16"/>
              </w:rPr>
              <w:t>판정</w:t>
            </w:r>
          </w:p>
        </w:tc>
      </w:tr>
      <w:tr>
        <w:tc>
          <w:tcPr>
            <w:tcW w:type="dxa" w:w="3312"/>
            <w:vAlign w:val="center"/>
          </w:tcPr>
          <w:p>
            <w:pPr>
              <w:spacing w:after="20" w:before="20"/>
            </w:pPr>
            <w:r>
              <w:rPr>
                <w:sz w:val="16"/>
              </w:rPr>
              <w:t>집선 피크 요구</w:t>
            </w:r>
          </w:p>
        </w:tc>
        <w:tc>
          <w:tcPr>
            <w:tcW w:type="dxa" w:w="3312"/>
            <w:vAlign w:val="center"/>
          </w:tcPr>
          <w:p>
            <w:pPr>
              <w:spacing w:after="20" w:before="20"/>
            </w:pPr>
            <w:r>
              <w:rPr>
                <w:sz w:val="16"/>
              </w:rPr>
              <w:t>20.0 Tb/s</w:t>
            </w:r>
          </w:p>
        </w:tc>
        <w:tc>
          <w:tcPr>
            <w:tcW w:type="dxa" w:w="3312"/>
            <w:vAlign w:val="center"/>
          </w:tcPr>
          <w:p>
            <w:pPr>
              <w:spacing w:after="20" w:before="20"/>
            </w:pPr>
            <w:r>
              <w:rPr>
                <w:sz w:val="16"/>
              </w:rPr>
              <w:t>가정</w:t>
            </w:r>
          </w:p>
        </w:tc>
      </w:tr>
      <w:tr>
        <w:tc>
          <w:tcPr>
            <w:tcW w:type="dxa" w:w="3312"/>
            <w:vAlign w:val="center"/>
            <w:shd w:fill="F2F6FA"/>
          </w:tcPr>
          <w:p>
            <w:pPr>
              <w:spacing w:after="20" w:before="20"/>
            </w:pPr>
            <w:r>
              <w:rPr>
                <w:sz w:val="16"/>
              </w:rPr>
              <w:t>한 Spine 상실 후 상위 공급</w:t>
            </w:r>
          </w:p>
        </w:tc>
        <w:tc>
          <w:tcPr>
            <w:tcW w:type="dxa" w:w="3312"/>
            <w:vAlign w:val="center"/>
            <w:shd w:fill="F2F6FA"/>
          </w:tcPr>
          <w:p>
            <w:pPr>
              <w:spacing w:after="20" w:before="20"/>
            </w:pPr>
            <w:r>
              <w:rPr>
                <w:sz w:val="16"/>
              </w:rPr>
              <w:t>12.8 Tb/s</w:t>
            </w:r>
          </w:p>
        </w:tc>
        <w:tc>
          <w:tcPr>
            <w:tcW w:type="dxa" w:w="3312"/>
            <w:vAlign w:val="center"/>
            <w:shd w:fill="F2F6FA"/>
          </w:tcPr>
          <w:p>
            <w:pPr>
              <w:spacing w:after="20" w:before="20"/>
            </w:pPr>
            <w:r>
              <w:rPr>
                <w:sz w:val="16"/>
              </w:rPr>
              <w:t>가정</w:t>
            </w:r>
          </w:p>
        </w:tc>
      </w:tr>
      <w:tr>
        <w:tc>
          <w:tcPr>
            <w:tcW w:type="dxa" w:w="3312"/>
            <w:vAlign w:val="center"/>
          </w:tcPr>
          <w:p>
            <w:pPr>
              <w:spacing w:after="20" w:before="20"/>
            </w:pPr>
            <w:r>
              <w:rPr>
                <w:sz w:val="16"/>
              </w:rPr>
              <w:t>부족량</w:t>
            </w:r>
          </w:p>
        </w:tc>
        <w:tc>
          <w:tcPr>
            <w:tcW w:type="dxa" w:w="3312"/>
            <w:vAlign w:val="center"/>
          </w:tcPr>
          <w:p>
            <w:pPr>
              <w:spacing w:after="20" w:before="20"/>
            </w:pPr>
            <w:r>
              <w:rPr>
                <w:sz w:val="16"/>
              </w:rPr>
              <w:t>7.2 Tb/s</w:t>
            </w:r>
          </w:p>
        </w:tc>
        <w:tc>
          <w:tcPr>
            <w:tcW w:type="dxa" w:w="3312"/>
            <w:vAlign w:val="center"/>
          </w:tcPr>
          <w:p>
            <w:pPr>
              <w:spacing w:after="20" w:before="20"/>
            </w:pPr>
            <w:r>
              <w:rPr>
                <w:sz w:val="16"/>
              </w:rPr>
              <w:t>장애 피크 수용 실패</w:t>
            </w:r>
          </w:p>
        </w:tc>
      </w:tr>
      <w:tr>
        <w:tc>
          <w:tcPr>
            <w:tcW w:type="dxa" w:w="3312"/>
            <w:vAlign w:val="center"/>
            <w:shd w:fill="F2F6FA"/>
          </w:tcPr>
          <w:p>
            <w:pPr>
              <w:spacing w:after="20" w:before="20"/>
            </w:pPr>
            <w:r>
              <w:rPr>
                <w:sz w:val="16"/>
              </w:rPr>
              <w:t>트래픽 제한 정책</w:t>
            </w:r>
          </w:p>
        </w:tc>
        <w:tc>
          <w:tcPr>
            <w:tcW w:type="dxa" w:w="3312"/>
            <w:vAlign w:val="center"/>
            <w:shd w:fill="F2F6FA"/>
          </w:tcPr>
          <w:p>
            <w:pPr>
              <w:spacing w:after="20" w:before="20"/>
            </w:pPr>
            <w:r>
              <w:rPr>
                <w:sz w:val="16"/>
              </w:rPr>
              <w:t>정상 피크 대비 64% 이하</w:t>
            </w:r>
          </w:p>
        </w:tc>
        <w:tc>
          <w:tcPr>
            <w:tcW w:type="dxa" w:w="3312"/>
            <w:vAlign w:val="center"/>
            <w:shd w:fill="F2F6FA"/>
          </w:tcPr>
          <w:p>
            <w:pPr>
              <w:spacing w:after="20" w:before="20"/>
            </w:pPr>
            <w:r>
              <w:rPr>
                <w:sz w:val="16"/>
              </w:rPr>
              <w:t>관리 정책 예시, 실효성 시험 필요</w:t>
            </w:r>
          </w:p>
        </w:tc>
      </w:tr>
    </w:tbl>
    <w:p>
      <w:pPr>
        <w:pStyle w:val="Heading1"/>
        <w:keepNext/>
        <w:widowControl/>
      </w:pPr>
      <w:bookmarkStart w:id="45" w:name="topic_45"/>
      <w:r>
        <w:t xml:space="preserve">45 광섬유 광케이블과 광링크의 차이</w:t>
      </w:r>
      <w:bookmarkEnd w:id="45"/>
    </w:p>
    <w:p>
      <w:pPr>
        <w:pStyle w:val="FirstParagraph"/>
        <w:widowControl/>
      </w:pPr>
      <w:r>
        <w:rPr>
          <w:bCs/>
          <w:b/>
        </w:rPr>
        <w:t xml:space="preserve">5부 광섬유 광케이블과 링크 예산</w:t>
      </w:r>
    </w:p>
    <w:p>
      <w:pPr>
        <w:pStyle w:val="BodyText"/>
        <w:widowControl/>
      </w:pPr>
      <w:r>
        <w:t xml:space="preserve">광섬유는 빛을 전달하는 한 가닥의 매체이고 광케이블은 여러 광섬유와 보호 구조를 포함한 제품이다. 광링크는 두 장비 사이에서 통신이 이루어지는 경로다. 한 광케이블이 여러 링크를 수용할 수 있고 한 링크가 여러 케이블 구간을 통과할 수 있다.</w:t>
      </w:r>
    </w:p>
    <w:p>
      <w:pPr>
        <w:pStyle w:val="BodyText"/>
        <w:widowControl/>
      </w:pPr>
      <w:r>
        <w:t xml:space="preserve">심수는 케이블 안의 광섬유 수를 뜻한다. 사용 심수, 설치 심수와 예비 심수를 구분해야 한다. MPO-12 커넥터를 사용한다고 한 링크가 항상 12심을 모두 사용하는 것도 아니다. 병렬 4레인 송수신에서는 8심을 쓰는 구성이 있다.</w:t>
      </w:r>
    </w:p>
    <w:p>
      <w:pPr>
        <w:pStyle w:val="BodyText"/>
        <w:widowControl/>
      </w:pPr>
      <w:r>
        <w:t xml:space="preserve">수량표에는 링크 개수, 케이블 본수와 길이, 내장 심수 및 광섬유 총연장을 각각 적는다. 이 구분은 케이블 개발자와 IT 설계자 사이의 요구조건 전달에 특히 중요하다.</w:t>
      </w:r>
    </w:p>
    <w:p>
      <w:pPr>
        <w:pStyle w:val="BodyText"/>
        <w:widowControl/>
      </w:pPr>
      <w:r>
        <w:t xml:space="preserve">설치된 예비 심은 물리적으로 포설되어 있지만 현재 통신에 사용하지 않는 섬유다. 창고의 예비 패치코드는 설치 심수에 포함하지 않는다. 이 차이를 구분하면 유지보수용 재고와 미래 확장을 위한 간선 용량을 같은 숫자로 잘못 보고하는 일을 줄일 수 있다.</w:t>
      </w:r>
    </w:p>
    <w:tbl>
      <w:tblPr>
        <w:tblStyle w:val="Table"/>
        <w:tblW w:type="dxa" w:w="986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096"/>
        <w:gridCol w:w="4392"/>
      </w:tblGrid>
      <w:tr>
        <w:trPr>
          <w:tblHeader w:val="true"/>
          <w:cantSplit/>
          <w:tblHeader/>
        </w:trPr>
        <w:tc>
          <w:tcPr>
            <w:tcW w:type="dxa" w:w="237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대상</w:t>
            </w:r>
          </w:p>
        </w:tc>
        <w:tc>
          <w:tcPr>
            <w:tcW w:type="dxa" w:w="309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단위</w:t>
            </w:r>
          </w:p>
        </w:tc>
        <w:tc>
          <w:tcPr>
            <w:tcW w:type="dxa" w:w="4392"/>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예시</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링크</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개</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400G 경로 10개</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사용 광섬유</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심</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DR4 기준 80심</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케이블</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본과 m</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96심 간선 1본 50m</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광섬유 총연장</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심 m</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96 곱하기 50은 4800</w:t>
            </w:r>
          </w:p>
        </w:tc>
      </w:tr>
    </w:tbl>
    <w:bookmarkStart w:id="141" w:name="적용과-검증-44"/>
    <w:p>
      <w:pPr>
        <w:pStyle w:val="Heading2"/>
        <w:widowControl/>
      </w:pPr>
      <w:r>
        <w:t xml:space="preserve">적용과 검증</w:t>
      </w:r>
    </w:p>
    <w:p>
      <w:pPr>
        <w:pStyle w:val="FirstParagraph"/>
        <w:keepNext/>
        <w:widowControl/>
      </w:pPr>
      <w:r>
        <w:t xml:space="preserve">96심 50m 케이블의 물리 길이는 50m이고 광섬유 총연장은 4.8심·km다. 4.8km 케이블이라고 발주하면 길이와 자재량을 혼동하게 된다.</w:t>
      </w:r>
    </w:p>
    <w:p>
      <w:pPr>
        <w:pStyle w:val="BodyText"/>
        <w:widowControl/>
        <w:spacing w:before="160"/>
      </w:pPr>
      <w:r>
        <w:rPr>
          <w:sz w:val="17"/>
        </w:rPr>
        <w:t xml:space="preserve">근거 및 추가 읽기 [R19] [R20]</w:t>
      </w:r>
    </w:p>
    <w:bookmarkEnd w:id="141"/>
    <w:bookmarkEnd w:id="142"/>
    <w:bookmarkStart w:id="144" w:name="멀티모드와-싱글모드의-선정"/>
    <w:p>
      <w:pPr>
        <w:pStyle w:val="Heading1"/>
        <w:keepNext/>
        <w:widowControl/>
      </w:pPr>
      <w:bookmarkStart w:id="46" w:name="topic_46"/>
      <w:r>
        <w:t xml:space="preserve">46 멀티모드와 싱글모드의 선정</w:t>
      </w:r>
      <w:bookmarkEnd w:id="46"/>
    </w:p>
    <w:p>
      <w:pPr>
        <w:pStyle w:val="FirstParagraph"/>
        <w:widowControl/>
      </w:pPr>
      <w:r>
        <w:rPr>
          <w:bCs/>
          <w:b/>
        </w:rPr>
        <w:t xml:space="preserve">5부 광섬유 광케이블과 링크 예산</w:t>
      </w:r>
    </w:p>
    <w:p>
      <w:pPr>
        <w:pStyle w:val="BodyText"/>
        <w:widowControl/>
      </w:pPr>
      <w:r>
        <w:t xml:space="preserve">멀티모드와 싱글모드는 빛이 전파되는 모드 특성과 적용 광학계가 다르다. 데이터센터에서는 요구 거리, 속도, 광모듈 방식과 향후 확장 계획을 함께 검토한다. 단순히 짧으면 멀티모드, 길면 싱글모드라는 말만으로 제품을 확정하지 않는다.</w:t>
      </w:r>
    </w:p>
    <w:p>
      <w:pPr>
        <w:pStyle w:val="BodyText"/>
        <w:widowControl/>
      </w:pPr>
      <w:r>
        <w:t xml:space="preserve">OM 계열과 OS 계열은 배선 사양을 구분하는 표현이며 장거리 통신용 광섬유의 ITU 분류와 같은 축은 아니다. 실제 케이블 데이터시트에서 섬유 종류와 감쇠·대역폭 및 설치 조건을 확인해야 한다.</w:t>
      </w:r>
    </w:p>
    <w:p>
      <w:pPr>
        <w:pStyle w:val="BodyText"/>
        <w:widowControl/>
      </w:pPr>
      <w:r>
        <w:t xml:space="preserve">G.654.E의 장거리 저손실 특성이 짧은 데이터센터 링크에서 항상 비용 이점을 준다고 볼 수 없다. 짧은 링크는 접속 손실, 광학 호환성, 굴곡과 패널 밀도가 더 중요한 제약이 될 수 있다.</w:t>
      </w:r>
    </w:p>
    <w:tbl>
      <w:tblPr>
        <w:tblStyle w:val="Table"/>
        <w:tblW w:type="dxa" w:w="986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096"/>
        <w:gridCol w:w="4392"/>
      </w:tblGrid>
      <w:tr>
        <w:trPr>
          <w:tblHeader w:val="true"/>
          <w:cantSplit/>
          <w:tblHeader/>
        </w:trPr>
        <w:tc>
          <w:tcPr>
            <w:tcW w:type="dxa" w:w="237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검토 기준</w:t>
            </w:r>
          </w:p>
        </w:tc>
        <w:tc>
          <w:tcPr>
            <w:tcW w:type="dxa" w:w="309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확인 항목</w:t>
            </w:r>
          </w:p>
        </w:tc>
        <w:tc>
          <w:tcPr>
            <w:tcW w:type="dxa" w:w="4392"/>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선택에 미치는 영향</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거리</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최장 실제 경로</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모듈 지원 범위</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속도</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현재와 목표 속도</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레이저와 레인 구성</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배선</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기존 심수와 커넥터</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재사용 가능성</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운영</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청소와 교체 정책</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총소유비용</w:t>
            </w:r>
          </w:p>
        </w:tc>
      </w:tr>
    </w:tbl>
    <w:bookmarkStart w:id="143" w:name="적용과-검증-45"/>
    <w:p>
      <w:pPr>
        <w:pStyle w:val="Heading2"/>
        <w:widowControl/>
      </w:pPr>
      <w:r>
        <w:t xml:space="preserve">적용과 검증</w:t>
      </w:r>
    </w:p>
    <w:p>
      <w:pPr>
        <w:pStyle w:val="FirstParagraph"/>
        <w:keepNext/>
        <w:widowControl/>
      </w:pPr>
      <w:r>
        <w:t xml:space="preserve">백서의 예제는 매체와 모듈 조합을 먼저 가정하고 계산한다. 케이블 제조사는 광섬유 사양뿐 아니라 커넥터·손실·굴곡·난연 등 완성품 요구를 함께 확인해야 한다.</w:t>
      </w:r>
    </w:p>
    <w:p>
      <w:pPr>
        <w:pStyle w:val="BodyText"/>
        <w:widowControl/>
        <w:spacing w:before="160"/>
      </w:pPr>
      <w:r>
        <w:rPr>
          <w:sz w:val="17"/>
        </w:rPr>
        <w:t xml:space="preserve">근거 및 추가 읽기 [R19] [R20] [R22]</w:t>
      </w:r>
    </w:p>
    <w:bookmarkEnd w:id="143"/>
    <w:bookmarkEnd w:id="144"/>
    <w:bookmarkStart w:id="150" w:name="듀플렉스와-병렬-광전송의-심수"/>
    <w:p>
      <w:pPr>
        <w:pStyle w:val="Heading1"/>
        <w:keepNext/>
        <w:widowControl/>
      </w:pPr>
      <w:bookmarkStart w:id="47" w:name="topic_47"/>
      <w:r>
        <w:t xml:space="preserve">47 듀플렉스와 병렬 광전송의 심수</w:t>
      </w:r>
      <w:bookmarkEnd w:id="47"/>
    </w:p>
    <w:p>
      <w:pPr>
        <w:pStyle w:val="FirstParagraph"/>
        <w:widowControl/>
      </w:pPr>
      <w:r>
        <w:rPr>
          <w:bCs/>
          <w:b/>
        </w:rPr>
        <w:t xml:space="preserve">5부 광섬유 광케이블과 링크 예산</w:t>
      </w:r>
    </w:p>
    <w:p>
      <w:pPr>
        <w:pStyle w:val="BodyText"/>
        <w:widowControl/>
      </w:pPr>
      <w:r>
        <w:t xml:space="preserve">듀플렉스 방식의 대표적인 구성은 송신과 수신에 각각 한 가닥을 사용한다. 여러 파장을 한 섬유에 실어 속도를 높일 수 있어 고속이라고 반드시 심수가 늘지는 않는다. BiDi는 한 가닥에서 양방향을 나누는 별도 방식이므로 제품 규격을 확인한다.</w:t>
      </w:r>
    </w:p>
    <w:p>
      <w:pPr>
        <w:pStyle w:val="BodyText"/>
        <w:widowControl/>
      </w:pPr>
      <w:r>
        <w:t xml:space="preserve">병렬 방식은 여러 광레인을 나란히 사용한다. 4개 송신 레인과 4개 수신 레인이 있으면 한 링크에 8심이 필요하다. 같은 400G에서도 FR4와 DR4의 배선 요구가 다를 수 있다는 점이 핵심이다.</w:t>
      </w:r>
    </w:p>
    <w:p>
      <w:pPr>
        <w:pStyle w:val="BodyText"/>
        <w:widowControl/>
      </w:pPr>
      <w:r>
        <w:t xml:space="preserve">광섬유 수량 산정에는 레인 수와 양방향 구성을 사용한다. 광모듈의 내부 레이저 수를 케이블 심수로 바로 바꾸지 않는다. WDM 여부에 따라 여러 광채널이 하나의 섬유를 공유할 수 있다.</w:t>
      </w:r>
    </w:p>
    <w:p>
      <w:pPr>
        <w:pStyle w:val="BodyText"/>
        <w:widowControl/>
      </w:pPr>
      <w:r>
        <w:t xml:space="preserve">듀플렉스 2심 링크에서는 송신과 수신을 위한 섬유가 각각 하나다. DR4는 송신 4개와 수신 4개를 나란히 사용해 8심이 된다. 광학 속도가 400G라는 사실은 같아도 광학 레인의 병렬화와 파장 다중화 방식이 달라 심수의 결론이 달라진다.</w:t>
      </w:r>
    </w:p>
    <w:p>
      <w:pPr>
        <w:pStyle w:val="CaptionedFigure"/>
        <w:widowControl/>
        <w:spacing w:line="240" w:lineRule="auto" w:before="80" w:after="120"/>
      </w:pPr>
      <w:r>
        <w:drawing>
          <wp:inline>
            <wp:extent cx="5334000" cy="1445067"/>
            <wp:effectExtent b="0" l="0" r="0" t="0"/>
            <wp:docPr descr="개념도 듀플렉스와 병렬 광전송의 심수" title="" id="146" name="Picture"/>
            <a:graphic>
              <a:graphicData uri="http://schemas.openxmlformats.org/drawingml/2006/picture">
                <pic:pic>
                  <pic:nvPicPr>
                    <pic:cNvPr descr="/workspace/scratch/4cfa22a96ecd/data/fiber.png" id="147" name="Picture"/>
                    <pic:cNvPicPr>
                      <a:picLocks noChangeArrowheads="1" noChangeAspect="1"/>
                    </pic:cNvPicPr>
                  </pic:nvPicPr>
                  <pic:blipFill>
                    <a:blip r:embed="rId145"/>
                    <a:stretch>
                      <a:fillRect/>
                    </a:stretch>
                  </pic:blipFill>
                  <pic:spPr bwMode="auto">
                    <a:xfrm>
                      <a:off x="0" y="0"/>
                      <a:ext cx="5334000" cy="1445067"/>
                    </a:xfrm>
                    <a:prstGeom prst="rect">
                      <a:avLst/>
                    </a:prstGeom>
                    <a:noFill/>
                    <a:ln w="9525">
                      <a:noFill/>
                      <a:headEnd/>
                      <a:tailEnd/>
                    </a:ln>
                  </pic:spPr>
                </pic:pic>
              </a:graphicData>
            </a:graphic>
          </wp:inline>
        </w:drawing>
      </w:r>
    </w:p>
    <w:p>
      <w:pPr>
        <w:pStyle w:val="ImageCaption"/>
        <w:widowControl/>
      </w:pPr>
      <w:r>
        <w:t xml:space="preserve">개념도 듀플렉스와 병렬 광전송의 심수</w:t>
      </w:r>
    </w:p>
    <w:bookmarkStart w:id="148" w:name="계산식과-변수-25"/>
    <w:p>
      <w:pPr>
        <w:pStyle w:val="Heading2"/>
        <w:widowControl/>
      </w:pPr>
      <w:r>
        <w:t xml:space="preserve">계산식과 변수</w:t>
      </w:r>
    </w:p>
    <w:p>
      <w:pPr>
        <w:pStyle w:val="FirstParagraph"/>
        <w:widowControl/>
        <w:spacing w:line="252" w:lineRule="auto" w:before="100" w:after="180"/>
      </w:pPr>
      <m:oMathPara>
        <m:oMathParaPr>
          <m:jc m:val="center"/>
        </m:oMathParaPr>
        <m:oMath>
          <m:sSub>
            <m:e>
              <m:r>
                <m:t>F</m:t>
              </m:r>
            </m:e>
            <m:sub>
              <m:r>
                <m:t>a</m:t>
              </m:r>
              <m:r>
                <m:t>c</m:t>
              </m:r>
              <m:r>
                <m:t>t</m:t>
              </m:r>
              <m:r>
                <m:t>i</m:t>
              </m:r>
              <m:r>
                <m:t>v</m:t>
              </m:r>
              <m:r>
                <m:t>e</m:t>
              </m:r>
            </m:sub>
          </m:sSub>
          <m:r>
            <m:rPr>
              <m:sty m:val="p"/>
            </m:rPr>
            <m:t>=</m:t>
          </m:r>
          <m:sSub>
            <m:e>
              <m:r>
                <m:t>N</m:t>
              </m:r>
            </m:e>
            <m:sub>
              <m:r>
                <m:t>l</m:t>
              </m:r>
              <m:r>
                <m:t>i</m:t>
              </m:r>
              <m:r>
                <m:t>n</m:t>
              </m:r>
              <m:r>
                <m:t>k</m:t>
              </m:r>
            </m:sub>
          </m:sSub>
          <m:sSub>
            <m:e>
              <m:r>
                <m:t>f</m:t>
              </m:r>
            </m:e>
            <m:sub>
              <m:r>
                <m:t>l</m:t>
              </m:r>
              <m:r>
                <m:t>i</m:t>
              </m:r>
              <m:r>
                <m:t>n</m:t>
              </m:r>
              <m:r>
                <m:t>k</m:t>
              </m:r>
            </m:sub>
          </m:sSub>
        </m:oMath>
      </m:oMathPara>
    </w:p>
    <w:tbl>
      <w:tblPr>
        <w:tblStyle w:val="Table"/>
        <w:tblW w:type="dxa" w:w="986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096"/>
        <w:gridCol w:w="4392"/>
      </w:tblGrid>
      <w:tr>
        <w:trPr>
          <w:tblHeader w:val="true"/>
          <w:cantSplit/>
          <w:tblHeader/>
        </w:trPr>
        <w:tc>
          <w:tcPr>
            <w:tcW w:type="dxa" w:w="237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가정한 방식</w:t>
            </w:r>
          </w:p>
        </w:tc>
        <w:tc>
          <w:tcPr>
            <w:tcW w:type="dxa" w:w="309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링크당 사용 심수</w:t>
            </w:r>
          </w:p>
        </w:tc>
        <w:tc>
          <w:tcPr>
            <w:tcW w:type="dxa" w:w="4392"/>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64링크의 사용 심수</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듀플렉스 광방식</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2심</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128심</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DR4 병렬 방식</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8심</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512심</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사용 비율 비교</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8 나누기 2</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4배</w:t>
            </w:r>
          </w:p>
        </w:tc>
      </w:tr>
    </w:tbl>
    <w:bookmarkEnd w:id="148"/>
    <w:bookmarkStart w:id="149" w:name="적용과-검증-46"/>
    <w:p>
      <w:pPr>
        <w:pStyle w:val="Heading2"/>
        <w:widowControl/>
      </w:pPr>
      <w:r>
        <w:t xml:space="preserve">적용과 검증</w:t>
      </w:r>
    </w:p>
    <w:p>
      <w:pPr>
        <w:pStyle w:val="FirstParagraph"/>
        <w:keepNext/>
        <w:widowControl/>
      </w:pPr>
      <w:r>
        <w:t xml:space="preserve">위 비교는 심수 차이를 설명하며 같은 서버 포트에 두 모듈을 임의로 바꿀 수 있다는 뜻은 아니다. 프로토콜, 장비 호환, 커넥터와 광 규격을 만족하는 각각의 완성된 구성을 비교한다.</w:t>
      </w:r>
    </w:p>
    <w:p>
      <w:pPr>
        <w:pStyle w:val="BodyText"/>
        <w:widowControl/>
        <w:spacing w:before="160"/>
      </w:pPr>
      <w:r>
        <w:rPr>
          <w:sz w:val="17"/>
        </w:rPr>
        <w:t xml:space="preserve">근거 및 추가 읽기 [R19] [R16]</w:t>
      </w:r>
    </w:p>
    <w:bookmarkEnd w:id="149"/>
    <w:bookmarkEnd w:id="150"/>
    <w:bookmarkStart w:id="152" w:name="lc-mpo와-mtp-및-vsff-커넥터"/>
    <w:p>
      <w:pPr>
        <w:pStyle w:val="Heading2"/>
        <w:keepNext/>
        <w:keepLines/>
        <w:spacing w:after="100"/>
      </w:pPr>
      <w:r>
        <w:t>차세대 실무: 800G/1.6T 광레인과 광심수의 차이</w:t>
      </w:r>
    </w:p>
    <w:p>
      <w:pPr>
        <w:pStyle w:val="BodyText"/>
        <w:keepLines/>
        <w:spacing w:after="100"/>
      </w:pPr>
      <w:r>
        <w:t>800G는 논리 포트 속도이고 광섬유 심수는 PMD의 광레인 구성에 따라 달라진다. IEEE 802.3df-2024는 800Gb/s Ethernet을 정식 포함한다 [R37]. IEEE P802.3dj는 1.6Tb/s를 포함하는 개정 작업이 2026-10-10 제3차 SA 재회람 투표를 마친 초안 단계로, 승인 완료 표준이라고 표시하지 않는다 [R38].</w:t>
      </w:r>
    </w:p>
    <w:p>
      <w:pPr>
        <w:pStyle w:val="BodyText"/>
        <w:keepLines/>
        <w:spacing w:after="100"/>
      </w:pPr>
      <w:r>
        <w:t>한 방향으로 8 광레인(각 100Gb/s)을 전송하는 800G 병렬 광 PMD는 양방향을 합쳐 사용 광섬유 16심이 필요하다. 4개의 WDM 파장을 사용하는 듀플렉스형 800G PMD는 광섬유 2심으로도 구현할 수 있으나 레인 속도, 광채널, 정격 거리 및 광학 예산이 완전히 다르다. 단순히 800G라는 이름만으로 MPO/LC 또는 심수를 발주할 수 없다.</w:t>
      </w:r>
    </w:p>
    <w:p>
      <w:pPr>
        <w:pStyle w:val="BodyText"/>
        <w:keepLines/>
        <w:spacing w:after="100"/>
      </w:pPr>
      <w:r>
        <w:t>1.6T 예시는 8×200Gb/s 병렬 광레인의 양방향 16심을 후보 설계 가정으로 놓는다. P802.3dj 최종 판본과 승인 제품의 레인·광규격이 확정되기 전에는 어느 커넥터가 규격상 필수라고 단정하지 않는다. 플러그 케이지 수량은 광심수 및 MPO 어댑터 수량과 분리하여 계산한다.</w:t>
      </w:r>
    </w:p>
    <w:tbl>
      <w:tblPr>
        <w:tblW w:type="auto" w:w="0"/>
        <w:jc w:val="center"/>
        <w:tblLayout w:type="autofit"/>
        <w:tblLook w:firstColumn="1" w:firstRow="1" w:lastColumn="0" w:lastRow="0" w:noHBand="0" w:noVBand="1" w:val="04A0"/>
      </w:tblPr>
      <w:tblGrid>
        <w:gridCol w:w="1987"/>
        <w:gridCol w:w="1987"/>
        <w:gridCol w:w="1987"/>
        <w:gridCol w:w="1987"/>
        <w:gridCol w:w="1987"/>
      </w:tblGrid>
      <w:tr>
        <w:trPr>
          <w:tblHeader w:val="true"/>
        </w:trPr>
        <w:tc>
          <w:tcPr>
            <w:tcW w:type="dxa" w:w="1987"/>
            <w:vAlign w:val="center"/>
            <w:shd w:fill="DDEAF3"/>
          </w:tcPr>
          <w:p>
            <w:pPr>
              <w:spacing w:after="20" w:before="20"/>
            </w:pPr>
            <w:r>
              <w:rPr>
                <w:b/>
                <w:sz w:val="16"/>
              </w:rPr>
              <w:t>설계 PMD/후보</w:t>
            </w:r>
          </w:p>
        </w:tc>
        <w:tc>
          <w:tcPr>
            <w:tcW w:type="dxa" w:w="1987"/>
            <w:vAlign w:val="center"/>
            <w:shd w:fill="DDEAF3"/>
          </w:tcPr>
          <w:p>
            <w:pPr>
              <w:spacing w:after="20" w:before="20"/>
            </w:pPr>
            <w:r>
              <w:rPr>
                <w:b/>
                <w:sz w:val="16"/>
              </w:rPr>
              <w:t>광 구성</w:t>
            </w:r>
          </w:p>
        </w:tc>
        <w:tc>
          <w:tcPr>
            <w:tcW w:type="dxa" w:w="1987"/>
            <w:vAlign w:val="center"/>
            <w:shd w:fill="DDEAF3"/>
          </w:tcPr>
          <w:p>
            <w:pPr>
              <w:spacing w:after="20" w:before="20"/>
            </w:pPr>
            <w:r>
              <w:rPr>
                <w:b/>
                <w:sz w:val="16"/>
              </w:rPr>
              <w:t>사용 심수/링크</w:t>
            </w:r>
          </w:p>
        </w:tc>
        <w:tc>
          <w:tcPr>
            <w:tcW w:type="dxa" w:w="1987"/>
            <w:vAlign w:val="center"/>
            <w:shd w:fill="DDEAF3"/>
          </w:tcPr>
          <w:p>
            <w:pPr>
              <w:spacing w:after="20" w:before="20"/>
            </w:pPr>
            <w:r>
              <w:rPr>
                <w:b/>
                <w:sz w:val="16"/>
              </w:rPr>
              <w:t>64링크 사용 심수</w:t>
            </w:r>
          </w:p>
        </w:tc>
        <w:tc>
          <w:tcPr>
            <w:tcW w:type="dxa" w:w="1987"/>
            <w:vAlign w:val="center"/>
            <w:shd w:fill="DDEAF3"/>
          </w:tcPr>
          <w:p>
            <w:pPr>
              <w:spacing w:after="20" w:before="20"/>
            </w:pPr>
            <w:r>
              <w:rPr>
                <w:b/>
                <w:sz w:val="16"/>
              </w:rPr>
              <w:t>규격/선정 상태</w:t>
            </w:r>
          </w:p>
        </w:tc>
      </w:tr>
      <w:tr>
        <w:tc>
          <w:tcPr>
            <w:tcW w:type="dxa" w:w="1987"/>
            <w:vAlign w:val="center"/>
          </w:tcPr>
          <w:p>
            <w:pPr>
              <w:spacing w:after="20" w:before="20"/>
            </w:pPr>
            <w:r>
              <w:rPr>
                <w:sz w:val="16"/>
              </w:rPr>
              <w:t>800G 병렬 DR8 계열</w:t>
            </w:r>
          </w:p>
        </w:tc>
        <w:tc>
          <w:tcPr>
            <w:tcW w:type="dxa" w:w="1987"/>
            <w:vAlign w:val="center"/>
          </w:tcPr>
          <w:p>
            <w:pPr>
              <w:spacing w:after="20" w:before="20"/>
            </w:pPr>
            <w:r>
              <w:rPr>
                <w:sz w:val="16"/>
              </w:rPr>
              <w:t>8 Tx+8 Rx 광레인</w:t>
            </w:r>
          </w:p>
        </w:tc>
        <w:tc>
          <w:tcPr>
            <w:tcW w:type="dxa" w:w="1987"/>
            <w:vAlign w:val="center"/>
          </w:tcPr>
          <w:p>
            <w:pPr>
              <w:spacing w:after="20" w:before="20"/>
            </w:pPr>
            <w:r>
              <w:rPr>
                <w:sz w:val="16"/>
              </w:rPr>
              <w:t>16심</w:t>
            </w:r>
          </w:p>
        </w:tc>
        <w:tc>
          <w:tcPr>
            <w:tcW w:type="dxa" w:w="1987"/>
            <w:vAlign w:val="center"/>
          </w:tcPr>
          <w:p>
            <w:pPr>
              <w:spacing w:after="20" w:before="20"/>
            </w:pPr>
            <w:r>
              <w:rPr>
                <w:sz w:val="16"/>
              </w:rPr>
              <w:t>1024심</w:t>
            </w:r>
          </w:p>
        </w:tc>
        <w:tc>
          <w:tcPr>
            <w:tcW w:type="dxa" w:w="1987"/>
            <w:vAlign w:val="center"/>
          </w:tcPr>
          <w:p>
            <w:pPr>
              <w:spacing w:after="20" w:before="20"/>
            </w:pPr>
            <w:r>
              <w:rPr>
                <w:sz w:val="16"/>
              </w:rPr>
              <w:t>IEEE 802.3df 계열: 세부 PMD 확인</w:t>
            </w:r>
          </w:p>
        </w:tc>
      </w:tr>
      <w:tr>
        <w:tc>
          <w:tcPr>
            <w:tcW w:type="dxa" w:w="1987"/>
            <w:vAlign w:val="center"/>
            <w:shd w:fill="F2F6FA"/>
          </w:tcPr>
          <w:p>
            <w:pPr>
              <w:spacing w:after="20" w:before="20"/>
            </w:pPr>
            <w:r>
              <w:rPr>
                <w:sz w:val="16"/>
              </w:rPr>
              <w:t>800G 듀플렉스 WDM 예</w:t>
            </w:r>
          </w:p>
        </w:tc>
        <w:tc>
          <w:tcPr>
            <w:tcW w:type="dxa" w:w="1987"/>
            <w:vAlign w:val="center"/>
            <w:shd w:fill="F2F6FA"/>
          </w:tcPr>
          <w:p>
            <w:pPr>
              <w:spacing w:after="20" w:before="20"/>
            </w:pPr>
            <w:r>
              <w:rPr>
                <w:sz w:val="16"/>
              </w:rPr>
              <w:t>1 Tx섬유+1 Rx섬유</w:t>
            </w:r>
          </w:p>
        </w:tc>
        <w:tc>
          <w:tcPr>
            <w:tcW w:type="dxa" w:w="1987"/>
            <w:vAlign w:val="center"/>
            <w:shd w:fill="F2F6FA"/>
          </w:tcPr>
          <w:p>
            <w:pPr>
              <w:spacing w:after="20" w:before="20"/>
            </w:pPr>
            <w:r>
              <w:rPr>
                <w:sz w:val="16"/>
              </w:rPr>
              <w:t>2심</w:t>
            </w:r>
          </w:p>
        </w:tc>
        <w:tc>
          <w:tcPr>
            <w:tcW w:type="dxa" w:w="1987"/>
            <w:vAlign w:val="center"/>
            <w:shd w:fill="F2F6FA"/>
          </w:tcPr>
          <w:p>
            <w:pPr>
              <w:spacing w:after="20" w:before="20"/>
            </w:pPr>
            <w:r>
              <w:rPr>
                <w:sz w:val="16"/>
              </w:rPr>
              <w:t>128심</w:t>
            </w:r>
          </w:p>
        </w:tc>
        <w:tc>
          <w:tcPr>
            <w:tcW w:type="dxa" w:w="1987"/>
            <w:vAlign w:val="center"/>
            <w:shd w:fill="F2F6FA"/>
          </w:tcPr>
          <w:p>
            <w:pPr>
              <w:spacing w:after="20" w:before="20"/>
            </w:pPr>
            <w:r>
              <w:rPr>
                <w:sz w:val="16"/>
              </w:rPr>
              <w:t>실제 PMD/파장·거리 확인</w:t>
            </w:r>
          </w:p>
        </w:tc>
      </w:tr>
      <w:tr>
        <w:tc>
          <w:tcPr>
            <w:tcW w:type="dxa" w:w="1987"/>
            <w:vAlign w:val="center"/>
          </w:tcPr>
          <w:p>
            <w:pPr>
              <w:spacing w:after="20" w:before="20"/>
            </w:pPr>
            <w:r>
              <w:rPr>
                <w:sz w:val="16"/>
              </w:rPr>
              <w:t>1.6T 8×200G 병렬 후보</w:t>
            </w:r>
          </w:p>
        </w:tc>
        <w:tc>
          <w:tcPr>
            <w:tcW w:type="dxa" w:w="1987"/>
            <w:vAlign w:val="center"/>
          </w:tcPr>
          <w:p>
            <w:pPr>
              <w:spacing w:after="20" w:before="20"/>
            </w:pPr>
            <w:r>
              <w:rPr>
                <w:sz w:val="16"/>
              </w:rPr>
              <w:t>8 Tx+8 Rx 광레인</w:t>
            </w:r>
          </w:p>
        </w:tc>
        <w:tc>
          <w:tcPr>
            <w:tcW w:type="dxa" w:w="1987"/>
            <w:vAlign w:val="center"/>
          </w:tcPr>
          <w:p>
            <w:pPr>
              <w:spacing w:after="20" w:before="20"/>
            </w:pPr>
            <w:r>
              <w:rPr>
                <w:sz w:val="16"/>
              </w:rPr>
              <w:t>16심</w:t>
            </w:r>
          </w:p>
        </w:tc>
        <w:tc>
          <w:tcPr>
            <w:tcW w:type="dxa" w:w="1987"/>
            <w:vAlign w:val="center"/>
          </w:tcPr>
          <w:p>
            <w:pPr>
              <w:spacing w:after="20" w:before="20"/>
            </w:pPr>
            <w:r>
              <w:rPr>
                <w:sz w:val="16"/>
              </w:rPr>
              <w:t>1024심</w:t>
            </w:r>
          </w:p>
        </w:tc>
        <w:tc>
          <w:tcPr>
            <w:tcW w:type="dxa" w:w="1987"/>
            <w:vAlign w:val="center"/>
          </w:tcPr>
          <w:p>
            <w:pPr>
              <w:spacing w:after="20" w:before="20"/>
            </w:pPr>
            <w:r>
              <w:rPr>
                <w:sz w:val="16"/>
              </w:rPr>
              <w:t>P802.3dj/제조사 정의 확정 전 가정</w:t>
            </w:r>
          </w:p>
        </w:tc>
      </w:tr>
      <w:tr>
        <w:tc>
          <w:tcPr>
            <w:tcW w:type="dxa" w:w="1987"/>
            <w:vAlign w:val="center"/>
            <w:shd w:fill="F2F6FA"/>
          </w:tcPr>
          <w:p>
            <w:pPr>
              <w:spacing w:after="20" w:before="20"/>
            </w:pPr>
            <w:r>
              <w:rPr>
                <w:sz w:val="16"/>
              </w:rPr>
              <w:t>2×400G DR4 분기 가정</w:t>
            </w:r>
          </w:p>
        </w:tc>
        <w:tc>
          <w:tcPr>
            <w:tcW w:type="dxa" w:w="1987"/>
            <w:vAlign w:val="center"/>
            <w:shd w:fill="F2F6FA"/>
          </w:tcPr>
          <w:p>
            <w:pPr>
              <w:spacing w:after="20" w:before="20"/>
            </w:pPr>
            <w:r>
              <w:rPr>
                <w:sz w:val="16"/>
              </w:rPr>
              <w:t>2개(4 Tx+4 Rx)</w:t>
            </w:r>
          </w:p>
        </w:tc>
        <w:tc>
          <w:tcPr>
            <w:tcW w:type="dxa" w:w="1987"/>
            <w:vAlign w:val="center"/>
            <w:shd w:fill="F2F6FA"/>
          </w:tcPr>
          <w:p>
            <w:pPr>
              <w:spacing w:after="20" w:before="20"/>
            </w:pPr>
            <w:r>
              <w:rPr>
                <w:sz w:val="16"/>
              </w:rPr>
              <w:t>800G 인터페이스당 16심</w:t>
            </w:r>
          </w:p>
        </w:tc>
        <w:tc>
          <w:tcPr>
            <w:tcW w:type="dxa" w:w="1987"/>
            <w:vAlign w:val="center"/>
            <w:shd w:fill="F2F6FA"/>
          </w:tcPr>
          <w:p>
            <w:pPr>
              <w:spacing w:after="20" w:before="20"/>
            </w:pPr>
            <w:r>
              <w:rPr>
                <w:sz w:val="16"/>
              </w:rPr>
              <w:t>1024심</w:t>
            </w:r>
          </w:p>
        </w:tc>
        <w:tc>
          <w:tcPr>
            <w:tcW w:type="dxa" w:w="1987"/>
            <w:vAlign w:val="center"/>
            <w:shd w:fill="F2F6FA"/>
          </w:tcPr>
          <w:p>
            <w:pPr>
              <w:spacing w:after="20" w:before="20"/>
            </w:pPr>
            <w:r>
              <w:rPr>
                <w:sz w:val="16"/>
              </w:rPr>
              <w:t>분기 지원 능력 별도 확인</w:t>
            </w:r>
          </w:p>
        </w:tc>
      </w:tr>
    </w:tbl>
    <w:p>
      <w:pPr>
        <w:pStyle w:val="BodyText"/>
        <w:keepLines/>
        <w:spacing w:after="100"/>
      </w:pPr>
      <w:r>
        <w:t>표 해석: 800G DR8 후보에 MPO-12 조립품을 그대로 적용하면 필요한 16심이 부족하다. MPO-16 또는 다른 적합한 다심 인터페이스를 실제 PMD와 일치시켜야 한다.</w:t>
      </w:r>
    </w:p>
    <w:p>
      <w:pPr>
        <w:pStyle w:val="Heading1"/>
        <w:keepNext/>
        <w:widowControl/>
      </w:pPr>
      <w:bookmarkStart w:id="48" w:name="topic_48"/>
      <w:r>
        <w:t xml:space="preserve">48 LC MPO와 MTP 및 VSFF 커넥터</w:t>
      </w:r>
      <w:bookmarkEnd w:id="48"/>
    </w:p>
    <w:p>
      <w:pPr>
        <w:pStyle w:val="FirstParagraph"/>
        <w:widowControl/>
      </w:pPr>
      <w:r>
        <w:rPr>
          <w:bCs/>
          <w:b/>
        </w:rPr>
        <w:t xml:space="preserve">5부 광섬유 광케이블과 링크 예산</w:t>
      </w:r>
    </w:p>
    <w:p>
      <w:pPr>
        <w:pStyle w:val="BodyText"/>
        <w:widowControl/>
      </w:pPr>
      <w:r>
        <w:t xml:space="preserve">LC는 듀플렉스 패치에서 널리 쓰이는 소형 커넥터이며 MPO는 여러 광섬유를 한 인터페이스로 접속하는 계열이다. MTP는 특정 제조사의 MPO 제품 상표다. 이름을 구분하면 사양서에서 표준 형식과 브랜드 요구를 혼동하지 않을 수 있다.</w:t>
      </w:r>
    </w:p>
    <w:p>
      <w:pPr>
        <w:pStyle w:val="BodyText"/>
        <w:widowControl/>
      </w:pPr>
      <w:r>
        <w:t xml:space="preserve">VSFF는 더 작은 폼팩터의 커넥터 계열을 지칭하는 범주다. 작은 크기가 자동으로 광성능 향상을 뜻하지는 않는다. 장비 포트, 어댑터, 현장 작업성과 시험 도구 및 기존 배선과의 전환을 검토한다.</w:t>
      </w:r>
    </w:p>
    <w:p>
      <w:pPr>
        <w:pStyle w:val="BodyText"/>
        <w:widowControl/>
      </w:pPr>
      <w:r>
        <w:t xml:space="preserve">같은 MPO라도 심수, 핀 유무, 키 방향과 연마 방식이 다를 수 있다. 형상이 들어맞는지뿐 아니라 광학적 정합과 극성 및 지정 제품의 호환을 확인해야 한다.</w:t>
      </w:r>
    </w:p>
    <w:tbl>
      <w:tblPr>
        <w:tblStyle w:val="Table"/>
        <w:tblW w:type="dxa" w:w="986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096"/>
        <w:gridCol w:w="4392"/>
      </w:tblGrid>
      <w:tr>
        <w:trPr>
          <w:tblHeader w:val="true"/>
          <w:cantSplit/>
          <w:tblHeader/>
        </w:trPr>
        <w:tc>
          <w:tcPr>
            <w:tcW w:type="dxa" w:w="237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구분</w:t>
            </w:r>
          </w:p>
        </w:tc>
        <w:tc>
          <w:tcPr>
            <w:tcW w:type="dxa" w:w="309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주요 확인</w:t>
            </w:r>
          </w:p>
        </w:tc>
        <w:tc>
          <w:tcPr>
            <w:tcW w:type="dxa" w:w="4392"/>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발주 표기</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LC</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듀플렉스와 연마</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단모드 또는 다중모드</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MPO</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심수 핀 키 극성</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양단 형식과 배열</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MTP</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상표와 상세 사양</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필요한 경우 브랜드 명시</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VSFF 계열</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구체 형식과 장비 호환</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형상명과 포트 구성</w:t>
            </w:r>
          </w:p>
        </w:tc>
      </w:tr>
    </w:tbl>
    <w:bookmarkStart w:id="151" w:name="적용과-검증-47"/>
    <w:p>
      <w:pPr>
        <w:pStyle w:val="Heading2"/>
        <w:widowControl/>
      </w:pPr>
      <w:r>
        <w:t xml:space="preserve">적용과 검증</w:t>
      </w:r>
    </w:p>
    <w:p>
      <w:pPr>
        <w:pStyle w:val="FirstParagraph"/>
        <w:keepNext/>
        <w:widowControl/>
      </w:pPr>
      <w:r>
        <w:t xml:space="preserve">커넥터의 통상적 사용을 모든 제품의 고정 특성으로 일반화하지 않는다. 특히 APC와 UPC의 혼합은 광학 성능과 접촉면 문제를 일으킬 수 있어 지정 조합을 따른다.</w:t>
      </w:r>
    </w:p>
    <w:p>
      <w:pPr>
        <w:pStyle w:val="BodyText"/>
        <w:widowControl/>
        <w:spacing w:before="160"/>
      </w:pPr>
      <w:r>
        <w:rPr>
          <w:sz w:val="17"/>
        </w:rPr>
        <w:t xml:space="preserve">근거 및 추가 읽기 [R20] [R24]</w:t>
      </w:r>
    </w:p>
    <w:bookmarkEnd w:id="151"/>
    <w:bookmarkEnd w:id="152"/>
    <w:bookmarkStart w:id="154" w:name="mpo-극성과-송수신-레인의-검증"/>
    <w:p>
      <w:pPr>
        <w:pStyle w:val="Heading2"/>
        <w:keepNext/>
        <w:keepLines/>
        <w:spacing w:after="100"/>
      </w:pPr>
      <w:r>
        <w:t>실무 결선: MPO-12/16/24, VSFF와 극성 검증</w:t>
      </w:r>
    </w:p>
    <w:p>
      <w:pPr>
        <w:pStyle w:val="BodyText"/>
        <w:keepLines/>
        <w:spacing w:after="100"/>
      </w:pPr>
      <w:r>
        <w:t>MPO의 12/16/24는 페룰 및 제품 구성을 나타내는 이름이다. 사용 심수와 케이블 내장 심수는 같지 않을 수 있으며 MPO-16을 적용할 때는 16개 위치의 실제 사용 여부를 광모듈 포트별 송수신 레인 지도와 대조해야 한다. MPO-12의 12개 슬롯이 있다고 해서 800G DR8의 16심 요구를 충족하는 것은 아니다.</w:t>
      </w:r>
    </w:p>
    <w:p>
      <w:pPr>
        <w:pStyle w:val="BodyText"/>
        <w:keepLines/>
        <w:spacing w:after="100"/>
      </w:pPr>
      <w:r>
        <w:t>VSFF(SN, MDC, CS 등)는 작은 외형의 듀플렉스 종단 밀도를 높이는 연결 방식이며, 모든 광모듈과 통용되는 단일 규격의 교체 부품이라는 뜻이 아니다. 800G WDM 듀플렉스 연결에는 적합한 장점이 있지만 병렬 전송의 모듈 직결 인터페이스, 페룰, APC/UPC, 극성 요구를 우선한다.</w:t>
      </w:r>
    </w:p>
    <w:p>
      <w:pPr>
        <w:pStyle w:val="BodyText"/>
        <w:keepLines/>
        <w:spacing w:after="100"/>
      </w:pPr>
      <w:r>
        <w:t>출하 시험 접속표는 [출발 장비/포트, 출발 광레인, 패널 포트, 트렁크/심선 ID, 종단 패널, 도착 광레인, 파장, 극성, 삽입손실, 반사율]을 한 행으로 관리한다. ‘커넥터 종류’만 기록하면 레인 교차 연결 오류를 발견하기 어렵다.</w:t>
      </w:r>
    </w:p>
    <w:tbl>
      <w:tblPr>
        <w:tblW w:type="auto" w:w="0"/>
        <w:jc w:val="center"/>
        <w:tblLayout w:type="autofit"/>
        <w:tblLook w:firstColumn="1" w:firstRow="1" w:lastColumn="0" w:lastRow="0" w:noHBand="0" w:noVBand="1" w:val="04A0"/>
      </w:tblPr>
      <w:tblGrid>
        <w:gridCol w:w="3312"/>
        <w:gridCol w:w="3312"/>
        <w:gridCol w:w="3312"/>
      </w:tblGrid>
      <w:tr>
        <w:trPr>
          <w:tblHeader w:val="true"/>
        </w:trPr>
        <w:tc>
          <w:tcPr>
            <w:tcW w:type="dxa" w:w="3312"/>
            <w:vAlign w:val="center"/>
            <w:shd w:fill="DDEAF3"/>
          </w:tcPr>
          <w:p>
            <w:pPr>
              <w:spacing w:after="20" w:before="20"/>
            </w:pPr>
            <w:r>
              <w:rPr>
                <w:b/>
                <w:sz w:val="16"/>
              </w:rPr>
              <w:t>항목</w:t>
            </w:r>
          </w:p>
        </w:tc>
        <w:tc>
          <w:tcPr>
            <w:tcW w:type="dxa" w:w="3312"/>
            <w:vAlign w:val="center"/>
            <w:shd w:fill="DDEAF3"/>
          </w:tcPr>
          <w:p>
            <w:pPr>
              <w:spacing w:after="20" w:before="20"/>
            </w:pPr>
            <w:r>
              <w:rPr>
                <w:b/>
                <w:sz w:val="16"/>
              </w:rPr>
              <w:t>권고 기본값(가정/검증 기준)</w:t>
            </w:r>
          </w:p>
        </w:tc>
        <w:tc>
          <w:tcPr>
            <w:tcW w:type="dxa" w:w="3312"/>
            <w:vAlign w:val="center"/>
            <w:shd w:fill="DDEAF3"/>
          </w:tcPr>
          <w:p>
            <w:pPr>
              <w:spacing w:after="20" w:before="20"/>
            </w:pPr>
            <w:r>
              <w:rPr>
                <w:b/>
                <w:sz w:val="16"/>
              </w:rPr>
              <w:t>수락 증빙</w:t>
            </w:r>
          </w:p>
        </w:tc>
      </w:tr>
      <w:tr>
        <w:tc>
          <w:tcPr>
            <w:tcW w:type="dxa" w:w="3312"/>
            <w:vAlign w:val="center"/>
          </w:tcPr>
          <w:p>
            <w:pPr>
              <w:spacing w:after="20" w:before="20"/>
            </w:pPr>
            <w:r>
              <w:rPr>
                <w:sz w:val="16"/>
              </w:rPr>
              <w:t>광레인 수</w:t>
            </w:r>
          </w:p>
        </w:tc>
        <w:tc>
          <w:tcPr>
            <w:tcW w:type="dxa" w:w="3312"/>
            <w:vAlign w:val="center"/>
          </w:tcPr>
          <w:p>
            <w:pPr>
              <w:spacing w:after="20" w:before="20"/>
            </w:pPr>
            <w:r>
              <w:rPr>
                <w:sz w:val="16"/>
              </w:rPr>
              <w:t>PMD 표/제조사 인터페이스별 확정</w:t>
            </w:r>
          </w:p>
        </w:tc>
        <w:tc>
          <w:tcPr>
            <w:tcW w:type="dxa" w:w="3312"/>
            <w:vAlign w:val="center"/>
          </w:tcPr>
          <w:p>
            <w:pPr>
              <w:spacing w:after="20" w:before="20"/>
            </w:pPr>
            <w:r>
              <w:rPr>
                <w:sz w:val="16"/>
              </w:rPr>
              <w:t>승인된 레인 지도</w:t>
            </w:r>
          </w:p>
        </w:tc>
      </w:tr>
      <w:tr>
        <w:tc>
          <w:tcPr>
            <w:tcW w:type="dxa" w:w="3312"/>
            <w:vAlign w:val="center"/>
            <w:shd w:fill="F2F6FA"/>
          </w:tcPr>
          <w:p>
            <w:pPr>
              <w:spacing w:after="20" w:before="20"/>
            </w:pPr>
            <w:r>
              <w:rPr>
                <w:sz w:val="16"/>
              </w:rPr>
              <w:t>접속 손실</w:t>
            </w:r>
          </w:p>
        </w:tc>
        <w:tc>
          <w:tcPr>
            <w:tcW w:type="dxa" w:w="3312"/>
            <w:vAlign w:val="center"/>
            <w:shd w:fill="F2F6FA"/>
          </w:tcPr>
          <w:p>
            <w:pPr>
              <w:spacing w:after="20" w:before="20"/>
            </w:pPr>
            <w:r>
              <w:rPr>
                <w:sz w:val="16"/>
              </w:rPr>
              <w:t>커넥터별 개별 IL 실측</w:t>
            </w:r>
          </w:p>
        </w:tc>
        <w:tc>
          <w:tcPr>
            <w:tcW w:type="dxa" w:w="3312"/>
            <w:vAlign w:val="center"/>
            <w:shd w:fill="F2F6FA"/>
          </w:tcPr>
          <w:p>
            <w:pPr>
              <w:spacing w:after="20" w:before="20"/>
            </w:pPr>
            <w:r>
              <w:rPr>
                <w:sz w:val="16"/>
              </w:rPr>
              <w:t>OLTS 전체 손실 + 커넥터 기록</w:t>
            </w:r>
          </w:p>
        </w:tc>
      </w:tr>
      <w:tr>
        <w:tc>
          <w:tcPr>
            <w:tcW w:type="dxa" w:w="3312"/>
            <w:vAlign w:val="center"/>
          </w:tcPr>
          <w:p>
            <w:pPr>
              <w:spacing w:after="20" w:before="20"/>
            </w:pPr>
            <w:r>
              <w:rPr>
                <w:sz w:val="16"/>
              </w:rPr>
              <w:t>반사</w:t>
            </w:r>
          </w:p>
        </w:tc>
        <w:tc>
          <w:tcPr>
            <w:tcW w:type="dxa" w:w="3312"/>
            <w:vAlign w:val="center"/>
          </w:tcPr>
          <w:p>
            <w:pPr>
              <w:spacing w:after="20" w:before="20"/>
            </w:pPr>
            <w:r>
              <w:rPr>
                <w:sz w:val="16"/>
              </w:rPr>
              <w:t>APC/UPC 혼용 금지; 제품 요구에 맞춤</w:t>
            </w:r>
          </w:p>
        </w:tc>
        <w:tc>
          <w:tcPr>
            <w:tcW w:type="dxa" w:w="3312"/>
            <w:vAlign w:val="center"/>
          </w:tcPr>
          <w:p>
            <w:pPr>
              <w:spacing w:after="20" w:before="20"/>
            </w:pPr>
            <w:r>
              <w:rPr>
                <w:sz w:val="16"/>
              </w:rPr>
              <w:t>반사 시험 + 현미경 검사</w:t>
            </w:r>
          </w:p>
        </w:tc>
      </w:tr>
      <w:tr>
        <w:tc>
          <w:tcPr>
            <w:tcW w:type="dxa" w:w="3312"/>
            <w:vAlign w:val="center"/>
            <w:shd w:fill="F2F6FA"/>
          </w:tcPr>
          <w:p>
            <w:pPr>
              <w:spacing w:after="20" w:before="20"/>
            </w:pPr>
            <w:r>
              <w:rPr>
                <w:sz w:val="16"/>
              </w:rPr>
              <w:t>극성</w:t>
            </w:r>
          </w:p>
        </w:tc>
        <w:tc>
          <w:tcPr>
            <w:tcW w:type="dxa" w:w="3312"/>
            <w:vAlign w:val="center"/>
            <w:shd w:fill="F2F6FA"/>
          </w:tcPr>
          <w:p>
            <w:pPr>
              <w:spacing w:after="20" w:before="20"/>
            </w:pPr>
            <w:r>
              <w:rPr>
                <w:sz w:val="16"/>
              </w:rPr>
              <w:t>Tx lane i → 지정 Rx lane j를 전수 확인</w:t>
            </w:r>
          </w:p>
        </w:tc>
        <w:tc>
          <w:tcPr>
            <w:tcW w:type="dxa" w:w="3312"/>
            <w:vAlign w:val="center"/>
            <w:shd w:fill="F2F6FA"/>
          </w:tcPr>
          <w:p>
            <w:pPr>
              <w:spacing w:after="20" w:before="20"/>
            </w:pPr>
            <w:r>
              <w:rPr>
                <w:sz w:val="16"/>
              </w:rPr>
              <w:t>lane-to-lane 포트 매핑</w:t>
            </w:r>
          </w:p>
        </w:tc>
      </w:tr>
      <w:tr>
        <w:tc>
          <w:tcPr>
            <w:tcW w:type="dxa" w:w="3312"/>
            <w:vAlign w:val="center"/>
          </w:tcPr>
          <w:p>
            <w:pPr>
              <w:spacing w:after="20" w:before="20"/>
            </w:pPr>
            <w:r>
              <w:rPr>
                <w:sz w:val="16"/>
              </w:rPr>
              <w:t>연마/청결</w:t>
            </w:r>
          </w:p>
        </w:tc>
        <w:tc>
          <w:tcPr>
            <w:tcW w:type="dxa" w:w="3312"/>
            <w:vAlign w:val="center"/>
          </w:tcPr>
          <w:p>
            <w:pPr>
              <w:spacing w:after="20" w:before="20"/>
            </w:pPr>
            <w:r>
              <w:rPr>
                <w:sz w:val="16"/>
              </w:rPr>
              <w:t>세정 후 검사, 기준면 정의</w:t>
            </w:r>
          </w:p>
        </w:tc>
        <w:tc>
          <w:tcPr>
            <w:tcW w:type="dxa" w:w="3312"/>
            <w:vAlign w:val="center"/>
          </w:tcPr>
          <w:p>
            <w:pPr>
              <w:spacing w:after="20" w:before="20"/>
            </w:pPr>
            <w:r>
              <w:rPr>
                <w:sz w:val="16"/>
              </w:rPr>
              <w:t>검사 이미지 + 시험 보고서</w:t>
            </w:r>
          </w:p>
        </w:tc>
      </w:tr>
    </w:tbl>
    <w:p>
      <w:pPr>
        <w:pStyle w:val="Heading1"/>
        <w:keepNext/>
        <w:widowControl/>
      </w:pPr>
      <w:bookmarkStart w:id="49" w:name="topic_49"/>
      <w:r>
        <w:t xml:space="preserve">49 MPO 극성과 송수신 레인의 검증</w:t>
      </w:r>
      <w:bookmarkEnd w:id="49"/>
    </w:p>
    <w:p>
      <w:pPr>
        <w:pStyle w:val="FirstParagraph"/>
        <w:widowControl/>
      </w:pPr>
      <w:r>
        <w:rPr>
          <w:bCs/>
          <w:b/>
        </w:rPr>
        <w:t xml:space="preserve">5부 광섬유 광케이블과 링크 예산</w:t>
      </w:r>
    </w:p>
    <w:p>
      <w:pPr>
        <w:pStyle w:val="BodyText"/>
        <w:widowControl/>
      </w:pPr>
      <w:r>
        <w:t xml:space="preserve">극성은 송신 레인이 상대 장비의 수신 레인에 도달하도록 배선하는 관계다. 커넥터의 키 방향과 케이블 배열 및 카세트 내부 전환을 함께 확인해야 한다. 커넥터의 기계적 결합이 가능하더라도 극성이 맞지 않으면 통신이 되지 않는다.</w:t>
      </w:r>
    </w:p>
    <w:p>
      <w:pPr>
        <w:pStyle w:val="BodyText"/>
        <w:widowControl/>
      </w:pPr>
      <w:r>
        <w:t xml:space="preserve">직결 케이블과 구조화 배선은 종단 구조가 다르다. 패널과 카세트를 여러 개 통과하면 각 부품의 매핑을 합성해 전체 경로를 확인한다. 임의로 중간 케이블을 바꾸면 기존 극성이 깨질 수 있다.</w:t>
      </w:r>
    </w:p>
    <w:p>
      <w:pPr>
        <w:pStyle w:val="BodyText"/>
        <w:widowControl/>
      </w:pPr>
      <w:r>
        <w:t xml:space="preserve">검증표에는 각 송신 레인의 출발 위치와 도착 수신 위치를 기록한다. 모든 심의 연속성과 극성을 확인하고 삽입손실 시험을 수행한다. 한 심만 시험하고 전체 링크를 통과로 표시하지 않는다.</w:t>
      </w:r>
    </w:p>
    <w:tbl>
      <w:tblPr>
        <w:tblStyle w:val="Table"/>
        <w:tblW w:type="dxa" w:w="986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096"/>
        <w:gridCol w:w="4392"/>
      </w:tblGrid>
      <w:tr>
        <w:trPr>
          <w:tblHeader w:val="true"/>
          <w:cantSplit/>
          <w:tblHeader/>
        </w:trPr>
        <w:tc>
          <w:tcPr>
            <w:tcW w:type="dxa" w:w="237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검토 단계</w:t>
            </w:r>
          </w:p>
        </w:tc>
        <w:tc>
          <w:tcPr>
            <w:tcW w:type="dxa" w:w="309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입력 정보</w:t>
            </w:r>
          </w:p>
        </w:tc>
        <w:tc>
          <w:tcPr>
            <w:tcW w:type="dxa" w:w="4392"/>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출력</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장비 양단</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Tx와 Rx 레인 위치</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필요 매핑</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케이블</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양단 배열과 키</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심선 연결 관계</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카세트</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내부 전환</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종단 포트 관계</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전체 경로</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모든 부품 합성</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Tx에서 상대 Rx 도착</w:t>
            </w:r>
          </w:p>
        </w:tc>
      </w:tr>
    </w:tbl>
    <w:bookmarkStart w:id="153" w:name="적용과-검증-48"/>
    <w:p>
      <w:pPr>
        <w:pStyle w:val="Heading2"/>
        <w:widowControl/>
      </w:pPr>
      <w:r>
        <w:t xml:space="preserve">적용과 검증</w:t>
      </w:r>
    </w:p>
    <w:p>
      <w:pPr>
        <w:pStyle w:val="FirstParagraph"/>
        <w:keepNext/>
        <w:widowControl/>
      </w:pPr>
      <w:r>
        <w:t xml:space="preserve">Case Study의 MPO 링크 수량은 극성이 적합하다는 조건에서만 유효하다. 발주 단계에서는 제조사가 검증한 조립품 형명과 매핑 도면을 함께 승인한다.</w:t>
      </w:r>
    </w:p>
    <w:p>
      <w:pPr>
        <w:pStyle w:val="BodyText"/>
        <w:widowControl/>
        <w:spacing w:before="160"/>
      </w:pPr>
      <w:r>
        <w:rPr>
          <w:sz w:val="17"/>
        </w:rPr>
        <w:t xml:space="preserve">근거 및 추가 읽기 [R16] [R24]</w:t>
      </w:r>
    </w:p>
    <w:bookmarkEnd w:id="153"/>
    <w:bookmarkEnd w:id="154"/>
    <w:bookmarkStart w:id="157" w:name="사용-심수에서-케이블-본수로-변환"/>
    <w:p>
      <w:pPr>
        <w:pStyle w:val="Heading1"/>
        <w:keepNext/>
        <w:widowControl/>
      </w:pPr>
      <w:bookmarkStart w:id="50" w:name="topic_50"/>
      <w:r>
        <w:t xml:space="preserve">50 사용 심수에서 케이블 본수로 변환</w:t>
      </w:r>
      <w:bookmarkEnd w:id="50"/>
    </w:p>
    <w:p>
      <w:pPr>
        <w:pStyle w:val="FirstParagraph"/>
        <w:widowControl/>
      </w:pPr>
      <w:r>
        <w:rPr>
          <w:bCs/>
          <w:b/>
        </w:rPr>
        <w:t xml:space="preserve">5부 광섬유 광케이블과 링크 예산</w:t>
      </w:r>
    </w:p>
    <w:p>
      <w:pPr>
        <w:pStyle w:val="BodyText"/>
        <w:widowControl/>
      </w:pPr>
      <w:r>
        <w:t xml:space="preserve">링크의 사용 심수를 합산한 뒤 예비 정책을 적용하면 필요한 설치 심수를 구할 수 있다. 이를 케이블 한 본의 심수로 나눠 올림하면 최소 본수다. 단 모든 링크가 같은 경로를 공유한다는 조건에서만 한 번에 합산할 수 있다.</w:t>
      </w:r>
    </w:p>
    <w:p>
      <w:pPr>
        <w:pStyle w:val="BodyText"/>
        <w:widowControl/>
      </w:pPr>
      <w:r>
        <w:t xml:space="preserve">서로 다른 랙으로 가는 링크는 경로별로 따로 올림해야 한다. 전체 심수를 먼저 합산하면 케이블 잔여 심을 서로 다른 장소에서 공유할 수 있다고 잘못 가정하게 된다. 포설 경로와 분기점이 중요하다.</w:t>
      </w:r>
    </w:p>
    <w:p>
      <w:pPr>
        <w:pStyle w:val="BodyText"/>
        <w:widowControl/>
      </w:pPr>
      <w:r>
        <w:t xml:space="preserve">병렬 링크는 필요한 심선 묶음이 종단에서 사용 가능해야 한다. 전체 잔여 심수가 충분해도 연결 단위나 패널 배열 때문에 실제 링크 하나를 더 수용하지 못할 수 있다.</w:t>
      </w:r>
    </w:p>
    <w:p>
      <w:pPr>
        <w:pStyle w:val="BodyText"/>
        <w:widowControl/>
      </w:pPr>
      <w:r>
        <w:t xml:space="preserve">케이블 한 본에 f심, 링크 한 개에 q심이 필요하면 이론상 수용 링크는 floor(f/q)다. 하지만 이 숫자는 종단 배열과 분기 구조가 맞을 때만 유효하다. 예를 들어 12심에서 8심 링크를 쓰고 남은 4심은 또 하나의 8심 링크를 완성하지 못한다.</w:t>
      </w:r>
    </w:p>
    <w:bookmarkStart w:id="155" w:name="계산식과-변수-26"/>
    <w:p>
      <w:pPr>
        <w:pStyle w:val="Heading2"/>
        <w:widowControl/>
      </w:pPr>
      <w:r>
        <w:t xml:space="preserve">계산식과 변수</w:t>
      </w:r>
    </w:p>
    <w:p>
      <w:pPr>
        <w:pStyle w:val="FirstParagraph"/>
        <w:widowControl/>
        <w:spacing w:line="252" w:lineRule="auto" w:before="100" w:after="180"/>
      </w:pPr>
      <m:oMathPara>
        <m:oMathParaPr>
          <m:jc m:val="center"/>
        </m:oMathParaPr>
        <m:oMath>
          <m:sSub>
            <m:e>
              <m:r>
                <m:t>F</m:t>
              </m:r>
            </m:e>
            <m:sub>
              <m:r>
                <m:t>d</m:t>
              </m:r>
              <m:r>
                <m:t>e</m:t>
              </m:r>
              <m:r>
                <m:t>s</m:t>
              </m:r>
              <m:r>
                <m:t>i</m:t>
              </m:r>
              <m:r>
                <m:t>g</m:t>
              </m:r>
              <m:r>
                <m:t>n</m:t>
              </m:r>
              <m:r>
                <m:rPr>
                  <m:sty m:val="p"/>
                </m:rPr>
                <m:t>,</m:t>
              </m:r>
              <m:r>
                <m:t>r</m:t>
              </m:r>
            </m:sub>
          </m:sSub>
          <m:r>
            <m:rPr>
              <m:sty m:val="p"/>
            </m:rPr>
            <m:t>=</m:t>
          </m:r>
          <m:r>
            <m:rPr>
              <m:sty m:val="p"/>
            </m:rPr>
            <m:t>ceil</m:t>
          </m:r>
          <m:d>
            <m:dPr>
              <m:begChr m:val="("/>
              <m:endChr m:val=")"/>
              <m:sepChr m:val=""/>
              <m:grow/>
            </m:dPr>
            <m:e>
              <m:sSub>
                <m:e>
                  <m:r>
                    <m:t>F</m:t>
                  </m:r>
                </m:e>
                <m:sub>
                  <m:r>
                    <m:t>a</m:t>
                  </m:r>
                  <m:r>
                    <m:t>c</m:t>
                  </m:r>
                  <m:r>
                    <m:t>t</m:t>
                  </m:r>
                  <m:r>
                    <m:t>i</m:t>
                  </m:r>
                  <m:r>
                    <m:t>v</m:t>
                  </m:r>
                  <m:r>
                    <m:t>e</m:t>
                  </m:r>
                  <m:r>
                    <m:rPr>
                      <m:sty m:val="p"/>
                    </m:rPr>
                    <m:t>,</m:t>
                  </m:r>
                  <m:r>
                    <m:t>r</m:t>
                  </m:r>
                </m:sub>
              </m:sSub>
              <m:d>
                <m:dPr>
                  <m:begChr m:val="("/>
                  <m:endChr m:val=")"/>
                  <m:sepChr m:val=""/>
                  <m:grow/>
                </m:dPr>
                <m:e>
                  <m:r>
                    <m:t>1</m:t>
                  </m:r>
                  <m:r>
                    <m:rPr>
                      <m:sty m:val="p"/>
                    </m:rPr>
                    <m:t>+</m:t>
                  </m:r>
                  <m:r>
                    <m:t>s</m:t>
                  </m:r>
                </m:e>
              </m:d>
            </m:e>
          </m:d>
        </m:oMath>
      </m:oMathPara>
    </w:p>
    <w:p>
      <w:pPr>
        <w:pStyle w:val="FirstParagraph"/>
        <w:widowControl/>
        <w:spacing w:line="252" w:lineRule="auto" w:before="100" w:after="180"/>
      </w:pPr>
      <m:oMathPara>
        <m:oMathParaPr>
          <m:jc m:val="center"/>
        </m:oMathParaPr>
        <m:oMath>
          <m:sSub>
            <m:e>
              <m:r>
                <m:t>N</m:t>
              </m:r>
            </m:e>
            <m:sub>
              <m:r>
                <m:t>c</m:t>
              </m:r>
              <m:r>
                <m:t>a</m:t>
              </m:r>
              <m:r>
                <m:t>b</m:t>
              </m:r>
              <m:r>
                <m:t>l</m:t>
              </m:r>
              <m:r>
                <m:t>e</m:t>
              </m:r>
              <m:r>
                <m:rPr>
                  <m:sty m:val="p"/>
                </m:rPr>
                <m:t>,</m:t>
              </m:r>
              <m:r>
                <m:t>r</m:t>
              </m:r>
            </m:sub>
          </m:sSub>
          <m:r>
            <m:rPr>
              <m:sty m:val="p"/>
            </m:rPr>
            <m:t>=</m:t>
          </m:r>
          <m:r>
            <m:rPr>
              <m:sty m:val="p"/>
            </m:rPr>
            <m:t>ceil</m:t>
          </m:r>
          <m:d>
            <m:dPr>
              <m:begChr m:val="("/>
              <m:endChr m:val=")"/>
              <m:sepChr m:val=""/>
              <m:grow/>
            </m:dPr>
            <m:e>
              <m:f>
                <m:fPr>
                  <m:type m:val="bar"/>
                </m:fPr>
                <m:num>
                  <m:sSub>
                    <m:e>
                      <m:r>
                        <m:t>F</m:t>
                      </m:r>
                    </m:e>
                    <m:sub>
                      <m:r>
                        <m:t>d</m:t>
                      </m:r>
                      <m:r>
                        <m:t>e</m:t>
                      </m:r>
                      <m:r>
                        <m:t>s</m:t>
                      </m:r>
                      <m:r>
                        <m:t>i</m:t>
                      </m:r>
                      <m:r>
                        <m:t>g</m:t>
                      </m:r>
                      <m:r>
                        <m:t>n</m:t>
                      </m:r>
                      <m:r>
                        <m:rPr>
                          <m:sty m:val="p"/>
                        </m:rPr>
                        <m:t>,</m:t>
                      </m:r>
                      <m:r>
                        <m:t>r</m:t>
                      </m:r>
                    </m:sub>
                  </m:sSub>
                </m:num>
                <m:den>
                  <m:sSub>
                    <m:e>
                      <m:r>
                        <m:t>F</m:t>
                      </m:r>
                    </m:e>
                    <m:sub>
                      <m:r>
                        <m:t>c</m:t>
                      </m:r>
                      <m:r>
                        <m:t>a</m:t>
                      </m:r>
                      <m:r>
                        <m:t>b</m:t>
                      </m:r>
                      <m:r>
                        <m:t>l</m:t>
                      </m:r>
                      <m:r>
                        <m:t>e</m:t>
                      </m:r>
                    </m:sub>
                  </m:sSub>
                </m:den>
              </m:f>
            </m:e>
          </m:d>
        </m:oMath>
      </m:oMathPara>
    </w:p>
    <w:tbl>
      <w:tblPr>
        <w:tblStyle w:val="Table"/>
        <w:tblW w:type="dxa" w:w="986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096"/>
        <w:gridCol w:w="4392"/>
      </w:tblGrid>
      <w:tr>
        <w:trPr>
          <w:tblHeader w:val="true"/>
          <w:cantSplit/>
          <w:tblHeader/>
        </w:trPr>
        <w:tc>
          <w:tcPr>
            <w:tcW w:type="dxa" w:w="237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경로</w:t>
            </w:r>
          </w:p>
        </w:tc>
        <w:tc>
          <w:tcPr>
            <w:tcW w:type="dxa" w:w="309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필요 심수</w:t>
            </w:r>
          </w:p>
        </w:tc>
        <w:tc>
          <w:tcPr>
            <w:tcW w:type="dxa" w:w="4392"/>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24심 케이블</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랙 A 경로</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26심</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2본</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랙 B 경로</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26심</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2본</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경로별 올림 합계</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52심 요구</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4본 설치</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잘못된 통합 올림</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52 나누기 24</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3본으로 과소 산정</w:t>
            </w:r>
          </w:p>
        </w:tc>
      </w:tr>
    </w:tbl>
    <w:bookmarkEnd w:id="155"/>
    <w:bookmarkStart w:id="156" w:name="적용과-검증-49"/>
    <w:p>
      <w:pPr>
        <w:pStyle w:val="Heading2"/>
        <w:widowControl/>
      </w:pPr>
      <w:r>
        <w:t xml:space="preserve">적용과 검증</w:t>
      </w:r>
    </w:p>
    <w:p>
      <w:pPr>
        <w:pStyle w:val="FirstParagraph"/>
        <w:keepNext/>
        <w:widowControl/>
      </w:pPr>
      <w:r>
        <w:t xml:space="preserve">위 예제는 경로가 서로 분리되어 있고 케이블을 중간에서 나누지 않는 조건이다. 실제 분기 케이블이나 집합 케이블을 쓰면 분기 구조와 접속점에 맞춰 다시 계산한다.</w:t>
      </w:r>
    </w:p>
    <w:p>
      <w:pPr>
        <w:pStyle w:val="BodyText"/>
        <w:widowControl/>
        <w:spacing w:before="160"/>
      </w:pPr>
      <w:r>
        <w:rPr>
          <w:sz w:val="17"/>
        </w:rPr>
        <w:t xml:space="preserve">근거 및 추가 읽기 [R20] [R29]</w:t>
      </w:r>
    </w:p>
    <w:bookmarkEnd w:id="156"/>
    <w:bookmarkEnd w:id="157"/>
    <w:bookmarkStart w:id="160" w:name="트렁크-길이와-광섬유-총연장"/>
    <w:p>
      <w:pPr>
        <w:pStyle w:val="Heading2"/>
        <w:keepNext/>
        <w:keepLines/>
        <w:spacing w:after="100"/>
      </w:pPr>
      <w:r>
        <w:t>800G 트렁크 BOM: 심수·경로별 본수의 정수 효과</w:t>
      </w:r>
    </w:p>
    <w:p>
      <w:pPr>
        <w:pStyle w:val="BodyText"/>
        <w:keepLines/>
        <w:spacing w:after="100"/>
      </w:pPr>
      <w:r>
        <w:t>8개 800G DR8 병렬 링크를 하나의 24심 트렁크 묶음으로 수용하려는 가정은 성립하지 않는다. 각 링크가 양방향 16심을 사용하므로 128심이 필요하며, 단일 24심 트렁크에서 가능한 링크 수는 floor(24/16)=1개뿐이다. 남은 8심은 다른 별개의 16심 DR8 링크를 수용하지 못한다.</w:t>
      </w:r>
    </w:p>
    <w:p>
      <w:pPr>
        <w:pStyle w:val="BodyText"/>
        <w:keepLines/>
        <w:spacing w:after="100"/>
      </w:pPr>
      <w:r>
        <w:t>64개 800G DR8 링크를 24심 단위로 단순 독립 경로에 나누면 링크당 트렁크 한 본으로 64본, 설치 심수 1536심, 사용 1024심, 미사용 512심이다. 한 경로에 여러 트렁크를 묶을 수 있고 144심 케이블을 경로 내 모두 활용한다면 ceil(64×16/144)=8본(1152심)이라는 전역 최솟값이 계산되지만 각 랙/동선이 달라 실제 8본으로 묶을 수 있는지는 별개다.</w:t>
      </w:r>
    </w:p>
    <w:p>
      <w:pPr>
        <w:pStyle w:val="BodyText"/>
        <w:keepLines/>
        <w:spacing w:after="100"/>
      </w:pPr>
      <w:r>
        <w:t>한 링크를 여러 트렁크로 분할할 때는 손실/레인 지연/극성을 다시 검증한다. 조립품 64개에 10% 구매 예비를 더하면 ceil(64×1.1)=71개이며, 추가 7개는 예비품이지 신규 운용 심수에 포함하지 않는다.</w:t>
      </w:r>
    </w:p>
    <w:tbl>
      <w:tblPr>
        <w:tblW w:type="auto" w:w="0"/>
        <w:jc w:val="center"/>
        <w:tblLayout w:type="autofit"/>
        <w:tblLook w:firstColumn="1" w:firstRow="1" w:lastColumn="0" w:lastRow="0" w:noHBand="0" w:noVBand="1" w:val="04A0"/>
      </w:tblPr>
      <w:tblGrid>
        <w:gridCol w:w="2484"/>
        <w:gridCol w:w="2484"/>
        <w:gridCol w:w="2484"/>
        <w:gridCol w:w="2484"/>
      </w:tblGrid>
      <w:tr>
        <w:trPr>
          <w:tblHeader w:val="true"/>
        </w:trPr>
        <w:tc>
          <w:tcPr>
            <w:tcW w:type="dxa" w:w="2484"/>
            <w:vAlign w:val="center"/>
            <w:shd w:fill="DDEAF3"/>
          </w:tcPr>
          <w:p>
            <w:pPr>
              <w:spacing w:after="20" w:before="20"/>
            </w:pPr>
            <w:r>
              <w:rPr>
                <w:b/>
                <w:sz w:val="16"/>
              </w:rPr>
              <w:t>BOM 방식</w:t>
            </w:r>
          </w:p>
        </w:tc>
        <w:tc>
          <w:tcPr>
            <w:tcW w:type="dxa" w:w="2484"/>
            <w:vAlign w:val="center"/>
            <w:shd w:fill="DDEAF3"/>
          </w:tcPr>
          <w:p>
            <w:pPr>
              <w:spacing w:after="20" w:before="20"/>
            </w:pPr>
            <w:r>
              <w:rPr>
                <w:b/>
                <w:sz w:val="16"/>
              </w:rPr>
              <w:t>단위</w:t>
            </w:r>
          </w:p>
        </w:tc>
        <w:tc>
          <w:tcPr>
            <w:tcW w:type="dxa" w:w="2484"/>
            <w:vAlign w:val="center"/>
            <w:shd w:fill="DDEAF3"/>
          </w:tcPr>
          <w:p>
            <w:pPr>
              <w:spacing w:after="20" w:before="20"/>
            </w:pPr>
            <w:r>
              <w:rPr>
                <w:b/>
                <w:sz w:val="16"/>
              </w:rPr>
              <w:t>계산</w:t>
            </w:r>
          </w:p>
        </w:tc>
        <w:tc>
          <w:tcPr>
            <w:tcW w:type="dxa" w:w="2484"/>
            <w:vAlign w:val="center"/>
            <w:shd w:fill="DDEAF3"/>
          </w:tcPr>
          <w:p>
            <w:pPr>
              <w:spacing w:after="20" w:before="20"/>
            </w:pPr>
            <w:r>
              <w:rPr>
                <w:b/>
                <w:sz w:val="16"/>
              </w:rPr>
              <w:t>결과</w:t>
            </w:r>
          </w:p>
        </w:tc>
      </w:tr>
      <w:tr>
        <w:tc>
          <w:tcPr>
            <w:tcW w:type="dxa" w:w="2484"/>
            <w:vAlign w:val="center"/>
          </w:tcPr>
          <w:p>
            <w:pPr>
              <w:spacing w:after="20" w:before="20"/>
            </w:pPr>
            <w:r>
              <w:rPr>
                <w:sz w:val="16"/>
              </w:rPr>
              <w:t>64개 링크, 16심 사용</w:t>
            </w:r>
          </w:p>
        </w:tc>
        <w:tc>
          <w:tcPr>
            <w:tcW w:type="dxa" w:w="2484"/>
            <w:vAlign w:val="center"/>
          </w:tcPr>
          <w:p>
            <w:pPr>
              <w:spacing w:after="20" w:before="20"/>
            </w:pPr>
            <w:r>
              <w:rPr>
                <w:sz w:val="16"/>
              </w:rPr>
              <w:t>사용 심수</w:t>
            </w:r>
          </w:p>
        </w:tc>
        <w:tc>
          <w:tcPr>
            <w:tcW w:type="dxa" w:w="2484"/>
            <w:vAlign w:val="center"/>
          </w:tcPr>
          <w:p>
            <w:pPr>
              <w:spacing w:after="20" w:before="20"/>
            </w:pPr>
            <w:r>
              <w:rPr>
                <w:sz w:val="16"/>
              </w:rPr>
              <w:t>64×16</w:t>
            </w:r>
          </w:p>
        </w:tc>
        <w:tc>
          <w:tcPr>
            <w:tcW w:type="dxa" w:w="2484"/>
            <w:vAlign w:val="center"/>
          </w:tcPr>
          <w:p>
            <w:pPr>
              <w:spacing w:after="20" w:before="20"/>
            </w:pPr>
            <w:r>
              <w:rPr>
                <w:sz w:val="16"/>
              </w:rPr>
              <w:t>1024심</w:t>
            </w:r>
          </w:p>
        </w:tc>
      </w:tr>
      <w:tr>
        <w:tc>
          <w:tcPr>
            <w:tcW w:type="dxa" w:w="2484"/>
            <w:vAlign w:val="center"/>
            <w:shd w:fill="F2F6FA"/>
          </w:tcPr>
          <w:p>
            <w:pPr>
              <w:spacing w:after="20" w:before="20"/>
            </w:pPr>
            <w:r>
              <w:rPr>
                <w:sz w:val="16"/>
              </w:rPr>
              <w:t>24심 케이블 1본/링크</w:t>
            </w:r>
          </w:p>
        </w:tc>
        <w:tc>
          <w:tcPr>
            <w:tcW w:type="dxa" w:w="2484"/>
            <w:vAlign w:val="center"/>
            <w:shd w:fill="F2F6FA"/>
          </w:tcPr>
          <w:p>
            <w:pPr>
              <w:spacing w:after="20" w:before="20"/>
            </w:pPr>
            <w:r>
              <w:rPr>
                <w:sz w:val="16"/>
              </w:rPr>
              <w:t>설치 심수</w:t>
            </w:r>
          </w:p>
        </w:tc>
        <w:tc>
          <w:tcPr>
            <w:tcW w:type="dxa" w:w="2484"/>
            <w:vAlign w:val="center"/>
            <w:shd w:fill="F2F6FA"/>
          </w:tcPr>
          <w:p>
            <w:pPr>
              <w:spacing w:after="20" w:before="20"/>
            </w:pPr>
            <w:r>
              <w:rPr>
                <w:sz w:val="16"/>
              </w:rPr>
              <w:t>64×24</w:t>
            </w:r>
          </w:p>
        </w:tc>
        <w:tc>
          <w:tcPr>
            <w:tcW w:type="dxa" w:w="2484"/>
            <w:vAlign w:val="center"/>
            <w:shd w:fill="F2F6FA"/>
          </w:tcPr>
          <w:p>
            <w:pPr>
              <w:spacing w:after="20" w:before="20"/>
            </w:pPr>
            <w:r>
              <w:rPr>
                <w:sz w:val="16"/>
              </w:rPr>
              <w:t>1536심</w:t>
            </w:r>
          </w:p>
        </w:tc>
      </w:tr>
      <w:tr>
        <w:tc>
          <w:tcPr>
            <w:tcW w:type="dxa" w:w="2484"/>
            <w:vAlign w:val="center"/>
          </w:tcPr>
          <w:p>
            <w:pPr>
              <w:spacing w:after="20" w:before="20"/>
            </w:pPr>
            <w:r>
              <w:rPr>
                <w:sz w:val="16"/>
              </w:rPr>
              <w:t>24심 케이블 1본/링크</w:t>
            </w:r>
          </w:p>
        </w:tc>
        <w:tc>
          <w:tcPr>
            <w:tcW w:type="dxa" w:w="2484"/>
            <w:vAlign w:val="center"/>
          </w:tcPr>
          <w:p>
            <w:pPr>
              <w:spacing w:after="20" w:before="20"/>
            </w:pPr>
            <w:r>
              <w:rPr>
                <w:sz w:val="16"/>
              </w:rPr>
              <w:t>미사용 심수</w:t>
            </w:r>
          </w:p>
        </w:tc>
        <w:tc>
          <w:tcPr>
            <w:tcW w:type="dxa" w:w="2484"/>
            <w:vAlign w:val="center"/>
          </w:tcPr>
          <w:p>
            <w:pPr>
              <w:spacing w:after="20" w:before="20"/>
            </w:pPr>
            <w:r>
              <w:rPr>
                <w:sz w:val="16"/>
              </w:rPr>
              <w:t>1536−1024</w:t>
            </w:r>
          </w:p>
        </w:tc>
        <w:tc>
          <w:tcPr>
            <w:tcW w:type="dxa" w:w="2484"/>
            <w:vAlign w:val="center"/>
          </w:tcPr>
          <w:p>
            <w:pPr>
              <w:spacing w:after="20" w:before="20"/>
            </w:pPr>
            <w:r>
              <w:rPr>
                <w:sz w:val="16"/>
              </w:rPr>
              <w:t>512심</w:t>
            </w:r>
          </w:p>
        </w:tc>
      </w:tr>
      <w:tr>
        <w:tc>
          <w:tcPr>
            <w:tcW w:type="dxa" w:w="2484"/>
            <w:vAlign w:val="center"/>
            <w:shd w:fill="F2F6FA"/>
          </w:tcPr>
          <w:p>
            <w:pPr>
              <w:spacing w:after="20" w:before="20"/>
            </w:pPr>
            <w:r>
              <w:rPr>
                <w:sz w:val="16"/>
              </w:rPr>
              <w:t>144심 전역 풀링 이상적 최솟값</w:t>
            </w:r>
          </w:p>
        </w:tc>
        <w:tc>
          <w:tcPr>
            <w:tcW w:type="dxa" w:w="2484"/>
            <w:vAlign w:val="center"/>
            <w:shd w:fill="F2F6FA"/>
          </w:tcPr>
          <w:p>
            <w:pPr>
              <w:spacing w:after="20" w:before="20"/>
            </w:pPr>
            <w:r>
              <w:rPr>
                <w:sz w:val="16"/>
              </w:rPr>
              <w:t>케이블 본수</w:t>
            </w:r>
          </w:p>
        </w:tc>
        <w:tc>
          <w:tcPr>
            <w:tcW w:type="dxa" w:w="2484"/>
            <w:vAlign w:val="center"/>
            <w:shd w:fill="F2F6FA"/>
          </w:tcPr>
          <w:p>
            <w:pPr>
              <w:spacing w:after="20" w:before="20"/>
            </w:pPr>
            <w:r>
              <w:rPr>
                <w:sz w:val="16"/>
              </w:rPr>
              <w:t>ceil(1024/144)</w:t>
            </w:r>
          </w:p>
        </w:tc>
        <w:tc>
          <w:tcPr>
            <w:tcW w:type="dxa" w:w="2484"/>
            <w:vAlign w:val="center"/>
            <w:shd w:fill="F2F6FA"/>
          </w:tcPr>
          <w:p>
            <w:pPr>
              <w:spacing w:after="20" w:before="20"/>
            </w:pPr>
            <w:r>
              <w:rPr>
                <w:sz w:val="16"/>
              </w:rPr>
              <w:t>8본 (경로 제약 미반영)</w:t>
            </w:r>
          </w:p>
        </w:tc>
      </w:tr>
      <w:tr>
        <w:tc>
          <w:tcPr>
            <w:tcW w:type="dxa" w:w="2484"/>
            <w:vAlign w:val="center"/>
          </w:tcPr>
          <w:p>
            <w:pPr>
              <w:spacing w:after="20" w:before="20"/>
            </w:pPr>
            <w:r>
              <w:rPr>
                <w:sz w:val="16"/>
              </w:rPr>
              <w:t>예비 구매 10%</w:t>
            </w:r>
          </w:p>
        </w:tc>
        <w:tc>
          <w:tcPr>
            <w:tcW w:type="dxa" w:w="2484"/>
            <w:vAlign w:val="center"/>
          </w:tcPr>
          <w:p>
            <w:pPr>
              <w:spacing w:after="20" w:before="20"/>
            </w:pPr>
            <w:r>
              <w:rPr>
                <w:sz w:val="16"/>
              </w:rPr>
              <w:t>조립품 주문 수</w:t>
            </w:r>
          </w:p>
        </w:tc>
        <w:tc>
          <w:tcPr>
            <w:tcW w:type="dxa" w:w="2484"/>
            <w:vAlign w:val="center"/>
          </w:tcPr>
          <w:p>
            <w:pPr>
              <w:spacing w:after="20" w:before="20"/>
            </w:pPr>
            <w:r>
              <w:rPr>
                <w:sz w:val="16"/>
              </w:rPr>
              <w:t>ceil(64×1.1)</w:t>
            </w:r>
          </w:p>
        </w:tc>
        <w:tc>
          <w:tcPr>
            <w:tcW w:type="dxa" w:w="2484"/>
            <w:vAlign w:val="center"/>
          </w:tcPr>
          <w:p>
            <w:pPr>
              <w:spacing w:after="20" w:before="20"/>
            </w:pPr>
            <w:r>
              <w:rPr>
                <w:sz w:val="16"/>
              </w:rPr>
              <w:t>71개</w:t>
            </w:r>
          </w:p>
        </w:tc>
      </w:tr>
    </w:tbl>
    <w:p>
      <w:pPr>
        <w:pStyle w:val="BodyText"/>
        <w:keepLines/>
        <w:spacing w:after="100"/>
      </w:pPr>
      <w:r>
        <w:t>표 해석: 전역 풀링 최소 본수는 구매 확정값이 아니며 각 랙별 경로 분리, 이중화 및 접속 구조에 따라 증가한다.</w:t>
      </w:r>
    </w:p>
    <w:p>
      <w:pPr>
        <w:pStyle w:val="Heading1"/>
        <w:keepNext/>
        <w:widowControl/>
      </w:pPr>
      <w:bookmarkStart w:id="51" w:name="topic_51"/>
      <w:r>
        <w:t xml:space="preserve">51 트렁크 길이와 광섬유 총연장</w:t>
      </w:r>
      <w:bookmarkEnd w:id="51"/>
    </w:p>
    <w:p>
      <w:pPr>
        <w:pStyle w:val="FirstParagraph"/>
        <w:widowControl/>
      </w:pPr>
      <w:r>
        <w:rPr>
          <w:bCs/>
          <w:b/>
        </w:rPr>
        <w:t xml:space="preserve">5부 광섬유 광케이블과 링크 예산</w:t>
      </w:r>
    </w:p>
    <w:p>
      <w:pPr>
        <w:pStyle w:val="BodyText"/>
        <w:widowControl/>
      </w:pPr>
      <w:r>
        <w:t xml:space="preserve">케이블 길이는 장비 간 직선거리보다 실제 경로를 기준으로 산정한다. 수평 트레이, 수직 상승, 랙 내부 이동과 정비 여장을 합한다. 현장 실측 전의 여유율과 실제 서비스 루프를 중복으로 과도하게 더하지 않는다.</w:t>
      </w:r>
    </w:p>
    <w:p>
      <w:pPr>
        <w:pStyle w:val="BodyText"/>
        <w:widowControl/>
      </w:pPr>
      <w:r>
        <w:t xml:space="preserve">광섬유 총연장은 각 케이블의 길이와 내장 심수를 곱한 값을 합한 것이다. 사용 중인 심만의 총연장을 구하려면 사용 심수를 따로 적용한다. 자재량과 광학 성능 계산의 경계를 구분한다.</w:t>
      </w:r>
    </w:p>
    <w:p>
      <w:pPr>
        <w:pStyle w:val="BodyText"/>
        <w:widowControl/>
      </w:pPr>
      <w:r>
        <w:t xml:space="preserve">패치코드와 간선 케이블을 따로 발주한다면 각 구간의 길이와 수량을 별도 집계한다. 링크 전체 길이는 이 구간들의 합이며 허용 거리 검증에는 전체 채널 경로를 적용한다.</w:t>
      </w:r>
    </w:p>
    <w:bookmarkStart w:id="158" w:name="계산식과-변수-27"/>
    <w:p>
      <w:pPr>
        <w:pStyle w:val="Heading2"/>
        <w:widowControl/>
      </w:pPr>
      <w:r>
        <w:t xml:space="preserve">계산식과 변수</w:t>
      </w:r>
    </w:p>
    <w:p>
      <w:pPr>
        <w:pStyle w:val="FirstParagraph"/>
        <w:widowControl/>
        <w:spacing w:line="252" w:lineRule="auto" w:before="100" w:after="180"/>
      </w:pPr>
      <m:oMathPara>
        <m:oMathParaPr>
          <m:jc m:val="center"/>
        </m:oMathParaPr>
        <m:oMath>
          <m:sSub>
            <m:e>
              <m:r>
                <m:t>L</m:t>
              </m:r>
            </m:e>
            <m:sub>
              <m:r>
                <m:t>c</m:t>
              </m:r>
              <m:r>
                <m:t>a</m:t>
              </m:r>
              <m:r>
                <m:t>b</m:t>
              </m:r>
              <m:r>
                <m:t>l</m:t>
              </m:r>
              <m:r>
                <m:t>e</m:t>
              </m:r>
            </m:sub>
          </m:sSub>
          <m:r>
            <m:rPr>
              <m:sty m:val="p"/>
            </m:rPr>
            <m:t>=</m:t>
          </m:r>
          <m:sSub>
            <m:e>
              <m:r>
                <m:t>L</m:t>
              </m:r>
            </m:e>
            <m:sub>
              <m:r>
                <m:t>t</m:t>
              </m:r>
              <m:r>
                <m:t>r</m:t>
              </m:r>
              <m:r>
                <m:t>a</m:t>
              </m:r>
              <m:r>
                <m:t>y</m:t>
              </m:r>
            </m:sub>
          </m:sSub>
          <m:r>
            <m:rPr>
              <m:sty m:val="p"/>
            </m:rPr>
            <m:t>+</m:t>
          </m:r>
          <m:sSub>
            <m:e>
              <m:r>
                <m:t>L</m:t>
              </m:r>
            </m:e>
            <m:sub>
              <m:r>
                <m:t>v</m:t>
              </m:r>
              <m:r>
                <m:t>e</m:t>
              </m:r>
              <m:r>
                <m:t>r</m:t>
              </m:r>
              <m:r>
                <m:t>t</m:t>
              </m:r>
              <m:r>
                <m:t>i</m:t>
              </m:r>
              <m:r>
                <m:t>c</m:t>
              </m:r>
              <m:r>
                <m:t>a</m:t>
              </m:r>
              <m:r>
                <m:t>l</m:t>
              </m:r>
            </m:sub>
          </m:sSub>
          <m:r>
            <m:rPr>
              <m:sty m:val="p"/>
            </m:rPr>
            <m:t>+</m:t>
          </m:r>
          <m:sSub>
            <m:e>
              <m:r>
                <m:t>L</m:t>
              </m:r>
            </m:e>
            <m:sub>
              <m:r>
                <m:t>i</m:t>
              </m:r>
              <m:r>
                <m:t>n</m:t>
              </m:r>
              <m:r>
                <m:t>r</m:t>
              </m:r>
              <m:r>
                <m:t>a</m:t>
              </m:r>
              <m:r>
                <m:t>c</m:t>
              </m:r>
              <m:r>
                <m:t>k</m:t>
              </m:r>
            </m:sub>
          </m:sSub>
          <m:r>
            <m:rPr>
              <m:sty m:val="p"/>
            </m:rPr>
            <m:t>+</m:t>
          </m:r>
          <m:sSub>
            <m:e>
              <m:r>
                <m:t>L</m:t>
              </m:r>
            </m:e>
            <m:sub>
              <m:r>
                <m:t>s</m:t>
              </m:r>
              <m:r>
                <m:t>e</m:t>
              </m:r>
              <m:r>
                <m:t>r</m:t>
              </m:r>
              <m:r>
                <m:t>v</m:t>
              </m:r>
              <m:r>
                <m:t>i</m:t>
              </m:r>
              <m:r>
                <m:t>c</m:t>
              </m:r>
              <m:r>
                <m:t>e</m:t>
              </m:r>
            </m:sub>
          </m:sSub>
        </m:oMath>
      </m:oMathPara>
    </w:p>
    <w:p>
      <w:pPr>
        <w:pStyle w:val="FirstParagraph"/>
        <w:widowControl/>
        <w:spacing w:line="252" w:lineRule="auto" w:before="100" w:after="180"/>
      </w:pPr>
      <m:oMathPara>
        <m:oMathParaPr>
          <m:jc m:val="center"/>
        </m:oMathParaPr>
        <m:oMath>
          <m:sSub>
            <m:e>
              <m:r>
                <m:t>L</m:t>
              </m:r>
            </m:e>
            <m:sub>
              <m:r>
                <m:t>f</m:t>
              </m:r>
              <m:r>
                <m:t>i</m:t>
              </m:r>
              <m:r>
                <m:t>b</m:t>
              </m:r>
              <m:r>
                <m:t>e</m:t>
              </m:r>
              <m:r>
                <m:t>r</m:t>
              </m:r>
              <m:r>
                <m:rPr>
                  <m:sty m:val="p"/>
                </m:rPr>
                <m:t>,</m:t>
              </m:r>
              <m:r>
                <m:t>t</m:t>
              </m:r>
              <m:r>
                <m:t>o</m:t>
              </m:r>
              <m:r>
                <m:t>t</m:t>
              </m:r>
              <m:r>
                <m:t>a</m:t>
              </m:r>
              <m:r>
                <m:t>l</m:t>
              </m:r>
            </m:sub>
          </m:sSub>
          <m:r>
            <m:rPr>
              <m:sty m:val="p"/>
            </m:rPr>
            <m:t>=</m:t>
          </m:r>
          <m:nary>
            <m:naryPr>
              <m:chr m:val="∑"/>
              <m:limLoc m:val="undOvr"/>
              <m:subHide m:val="off"/>
              <m:supHide m:val="on"/>
            </m:naryPr>
            <m:sub>
              <m:r>
                <m:t>j</m:t>
              </m:r>
            </m:sub>
            <m:sup>
              <m:r>
                <m:t>​</m:t>
              </m:r>
            </m:sup>
            <m:e>
              <m:sSub>
                <m:e>
                  <m:r>
                    <m:t>F</m:t>
                  </m:r>
                </m:e>
                <m:sub>
                  <m:r>
                    <m:t>j</m:t>
                  </m:r>
                </m:sub>
              </m:sSub>
            </m:e>
          </m:nary>
          <m:sSub>
            <m:e>
              <m:r>
                <m:t>L</m:t>
              </m:r>
            </m:e>
            <m:sub>
              <m:r>
                <m:t>j</m:t>
              </m:r>
            </m:sub>
          </m:sSub>
        </m:oMath>
      </m:oMathPara>
    </w:p>
    <w:tbl>
      <w:tblPr>
        <w:tblStyle w:val="Table"/>
        <w:tblW w:type="dxa" w:w="986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096"/>
        <w:gridCol w:w="4392"/>
      </w:tblGrid>
      <w:tr>
        <w:trPr>
          <w:tblHeader w:val="true"/>
          <w:cantSplit/>
          <w:tblHeader/>
        </w:trPr>
        <w:tc>
          <w:tcPr>
            <w:tcW w:type="dxa" w:w="237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항목</w:t>
            </w:r>
          </w:p>
        </w:tc>
        <w:tc>
          <w:tcPr>
            <w:tcW w:type="dxa" w:w="309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예제</w:t>
            </w:r>
          </w:p>
        </w:tc>
        <w:tc>
          <w:tcPr>
            <w:tcW w:type="dxa" w:w="4392"/>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산출</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수평 경로</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40m</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트레이 실측 가정</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수직과 랙 내부</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6m</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양단 합계</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서비스 여장</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4m</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설계 선택</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케이블 1본</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50m 96심</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4800심 m</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동일 케이블 3본</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150m</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14400심 m</w:t>
            </w:r>
          </w:p>
        </w:tc>
      </w:tr>
    </w:tbl>
    <w:bookmarkEnd w:id="158"/>
    <w:bookmarkStart w:id="159" w:name="적용과-검증-50"/>
    <w:p>
      <w:pPr>
        <w:pStyle w:val="Heading2"/>
        <w:widowControl/>
      </w:pPr>
      <w:r>
        <w:t xml:space="preserve">적용과 검증</w:t>
      </w:r>
    </w:p>
    <w:p>
      <w:pPr>
        <w:pStyle w:val="FirstParagraph"/>
        <w:keepNext/>
        <w:widowControl/>
      </w:pPr>
      <w:r>
        <w:t xml:space="preserve">광손실을 계산할 때는 실제 빛이 통과하는 섬유 길이를 사용한다. 96심이라는 이유로 감쇠 계산의 거리를 96배 늘리는 것은 잘못이다.</w:t>
      </w:r>
    </w:p>
    <w:p>
      <w:pPr>
        <w:pStyle w:val="BodyText"/>
        <w:widowControl/>
        <w:spacing w:before="160"/>
      </w:pPr>
      <w:r>
        <w:rPr>
          <w:sz w:val="17"/>
        </w:rPr>
        <w:t xml:space="preserve">근거 및 추가 읽기 [R21] [R22]</w:t>
      </w:r>
    </w:p>
    <w:bookmarkEnd w:id="159"/>
    <w:bookmarkEnd w:id="160"/>
    <w:bookmarkStart w:id="163" w:name="광링크-삽입손실-예산"/>
    <w:p>
      <w:pPr>
        <w:pStyle w:val="Heading1"/>
        <w:keepNext/>
        <w:widowControl/>
      </w:pPr>
      <w:bookmarkStart w:id="52" w:name="topic_52"/>
      <w:r>
        <w:t xml:space="preserve">52 광링크 삽입손실 예산</w:t>
      </w:r>
      <w:bookmarkEnd w:id="52"/>
    </w:p>
    <w:p>
      <w:pPr>
        <w:pStyle w:val="FirstParagraph"/>
        <w:widowControl/>
      </w:pPr>
      <w:r>
        <w:rPr>
          <w:bCs/>
          <w:b/>
        </w:rPr>
        <w:t xml:space="preserve">5부 광섬유 광케이블과 링크 예산</w:t>
      </w:r>
    </w:p>
    <w:p>
      <w:pPr>
        <w:pStyle w:val="BodyText"/>
        <w:widowControl/>
      </w:pPr>
      <w:r>
        <w:t xml:space="preserve">삽입손실은 광섬유 전파 손실, 커넥터 결합 손실과 접속 손실을 더해 구한다. 감쇠 계수의 단위가 dB/km라면 거리는 km로 환산한다. 짧은 데이터센터 링크에서는 커넥터 손실이 전체에서 큰 비중을 차지할 수 있다.</w:t>
      </w:r>
    </w:p>
    <w:p>
      <w:pPr>
        <w:pStyle w:val="BodyText"/>
        <w:widowControl/>
      </w:pPr>
      <w:r>
        <w:t xml:space="preserve">커넥터 수는 실제로 빛이 통과하는 결합 쌍을 기준으로 센다. 어댑터와 양쪽 플러그를 각각 독립 손실로 더하면 중복될 수 있다. 패널 통과 횟수와 측정 기준면을 도면에 표시한다.</w:t>
      </w:r>
    </w:p>
    <w:p>
      <w:pPr>
        <w:pStyle w:val="BodyText"/>
        <w:widowControl/>
      </w:pPr>
      <w:r>
        <w:t xml:space="preserve">계산 예산은 제조사 최대 보증값 또는 프로젝트 합의값으로 작성하고 실측값은 별도 기록한다. 전형값으로 설계한 뒤 모든 납품품이 그 값 이하일 것으로 가정하지 않는다.</w:t>
      </w:r>
    </w:p>
    <w:p>
      <w:pPr>
        <w:pStyle w:val="BodyText"/>
        <w:widowControl/>
      </w:pPr>
      <w:r>
        <w:t xml:space="preserve">광 감쇠 항은 0.4dB/km×100m×1km/1000m처럼 단위를 지워 검산한다. 결과는 0.04dB다. 단위를 생략하면 40dB로 잘못 계산할 수 있다. 이 링크에서는 결합 손실 1.4dB가 전파 손실보다 훨씬 커 접속점 관리가 설계의 주요 변수가 된다.</w:t>
      </w:r>
    </w:p>
    <w:bookmarkStart w:id="161" w:name="계산식과-변수-28"/>
    <w:p>
      <w:pPr>
        <w:pStyle w:val="Heading2"/>
        <w:widowControl/>
      </w:pPr>
      <w:r>
        <w:t xml:space="preserve">계산식과 변수</w:t>
      </w:r>
    </w:p>
    <w:p>
      <w:pPr>
        <w:pStyle w:val="FirstParagraph"/>
        <w:widowControl/>
        <w:spacing w:line="252" w:lineRule="auto" w:before="100" w:after="180"/>
      </w:pPr>
      <m:oMathPara>
        <m:oMathParaPr>
          <m:jc m:val="center"/>
        </m:oMathParaPr>
        <m:oMath>
          <m:sSub>
            <m:e>
              <m:r>
                <m:t>L</m:t>
              </m:r>
            </m:e>
            <m:sub>
              <m:r>
                <m:t>c</m:t>
              </m:r>
              <m:r>
                <m:t>h</m:t>
              </m:r>
              <m:r>
                <m:t>a</m:t>
              </m:r>
              <m:r>
                <m:t>n</m:t>
              </m:r>
              <m:r>
                <m:t>n</m:t>
              </m:r>
              <m:r>
                <m:t>e</m:t>
              </m:r>
              <m:r>
                <m:t>l</m:t>
              </m:r>
            </m:sub>
          </m:sSub>
          <m:r>
            <m:rPr>
              <m:sty m:val="p"/>
            </m:rPr>
            <m:t>=</m:t>
          </m:r>
          <m:r>
            <m:t>α</m:t>
          </m:r>
          <m:r>
            <m:t>L</m:t>
          </m:r>
          <m:r>
            <m:rPr>
              <m:sty m:val="p"/>
            </m:rPr>
            <m:t>+</m:t>
          </m:r>
          <m:sSub>
            <m:e>
              <m:r>
                <m:t>N</m:t>
              </m:r>
            </m:e>
            <m:sub>
              <m:r>
                <m:t>c</m:t>
              </m:r>
            </m:sub>
          </m:sSub>
          <m:sSub>
            <m:e>
              <m:r>
                <m:t>l</m:t>
              </m:r>
            </m:e>
            <m:sub>
              <m:r>
                <m:t>c</m:t>
              </m:r>
            </m:sub>
          </m:sSub>
          <m:r>
            <m:rPr>
              <m:sty m:val="p"/>
            </m:rPr>
            <m:t>+</m:t>
          </m:r>
          <m:sSub>
            <m:e>
              <m:r>
                <m:t>N</m:t>
              </m:r>
            </m:e>
            <m:sub>
              <m:r>
                <m:t>s</m:t>
              </m:r>
            </m:sub>
          </m:sSub>
          <m:sSub>
            <m:e>
              <m:r>
                <m:t>l</m:t>
              </m:r>
            </m:e>
            <m:sub>
              <m:r>
                <m:t>s</m:t>
              </m:r>
            </m:sub>
          </m:sSub>
        </m:oMath>
      </m:oMathPara>
    </w:p>
    <w:tbl>
      <w:tblPr>
        <w:tblStyle w:val="Table"/>
        <w:tblW w:type="dxa" w:w="986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096"/>
        <w:gridCol w:w="4392"/>
      </w:tblGrid>
      <w:tr>
        <w:trPr>
          <w:tblHeader w:val="true"/>
          <w:cantSplit/>
          <w:tblHeader/>
        </w:trPr>
        <w:tc>
          <w:tcPr>
            <w:tcW w:type="dxa" w:w="237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손실 항목</w:t>
            </w:r>
          </w:p>
        </w:tc>
        <w:tc>
          <w:tcPr>
            <w:tcW w:type="dxa" w:w="309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가정</w:t>
            </w:r>
          </w:p>
        </w:tc>
        <w:tc>
          <w:tcPr>
            <w:tcW w:type="dxa" w:w="4392"/>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기여</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광섬유</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0.4dB/km 0.1km</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0.04dB</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결합 쌍</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4쌍 각 0.35dB</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1.40dB</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융착</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2개 각 0.10dB</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0.20dB</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합계</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전파와 접속 합산</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1.64dB</w:t>
            </w:r>
          </w:p>
        </w:tc>
      </w:tr>
    </w:tbl>
    <w:bookmarkEnd w:id="161"/>
    <w:bookmarkStart w:id="162" w:name="적용과-검증-51"/>
    <w:p>
      <w:pPr>
        <w:pStyle w:val="Heading2"/>
        <w:widowControl/>
      </w:pPr>
      <w:r>
        <w:t xml:space="preserve">적용과 검증</w:t>
      </w:r>
    </w:p>
    <w:p>
      <w:pPr>
        <w:pStyle w:val="FirstParagraph"/>
        <w:keepNext/>
        <w:widowControl/>
      </w:pPr>
      <w:r>
        <w:t xml:space="preserve">위 계수는 예제 가정이며 모든 단모드·MPO 제품의 표준값이 아니다. 선택한 광모듈의 채널 허용손실과 비교하고 시험 기준면을 동일하게 설정한다. 고속 PAM4 적합 판정은 §53의 OMA·TDECQ와 반사 조건, §54의 분산 조건 및 §89의 사례 D를 추가 적용한다.</w:t>
      </w:r>
    </w:p>
    <w:p>
      <w:pPr>
        <w:pStyle w:val="BodyText"/>
        <w:widowControl/>
        <w:spacing w:before="160"/>
      </w:pPr>
      <w:r>
        <w:rPr>
          <w:sz w:val="17"/>
        </w:rPr>
        <w:t xml:space="preserve">근거 및 추가 읽기 [R21] [R22]</w:t>
      </w:r>
    </w:p>
    <w:bookmarkEnd w:id="162"/>
    <w:bookmarkEnd w:id="163"/>
    <w:bookmarkStart w:id="173" w:name="pam4-광예산과-수신-과부하-반사-mpi"/>
    <w:p>
      <w:pPr>
        <w:pStyle w:val="Heading1"/>
        <w:keepNext/>
        <w:widowControl/>
      </w:pPr>
      <w:bookmarkStart w:id="53" w:name="topic_53"/>
      <w:r>
        <w:t xml:space="preserve">53 PAM4 광예산과 수신 과부하 반사 MPI</w:t>
      </w:r>
      <w:bookmarkEnd w:id="53"/>
    </w:p>
    <w:p>
      <w:pPr>
        <w:pStyle w:val="FirstParagraph"/>
        <w:widowControl/>
      </w:pPr>
      <w:r>
        <w:rPr>
          <w:bCs/>
          <w:b/>
        </w:rPr>
        <w:t xml:space="preserve">5부 광섬유 광케이블과 링크 예산</w:t>
      </w:r>
    </w:p>
    <w:p>
      <w:pPr>
        <w:pStyle w:val="BodyText"/>
        <w:widowControl/>
      </w:pPr>
      <w:r>
        <w:t xml:space="preserve">평균 광전력만으로 400G PAM4 링크를 판정할 수 없다. 이 절은 평균 전력의 하한·상한, OMAouter, 송신 품질인 TDECQ, 수신 시험의 스트레스인 SECQ, 접속 반사와 MPI를 분리한다. 먼저 지표를 맞추고 각 레인·각 방향을 계산한 다음 제품 호환성과 BER 시험으로 판정한다. §54는 분산 계산, §82는 사례 B, §89는 사례 D의 보강 검증으로 연결된다.</w:t>
      </w:r>
    </w:p>
    <w:bookmarkStart w:id="164" w:name="광학-지표와-측정-기준면"/>
    <w:p>
      <w:pPr>
        <w:pStyle w:val="Heading2"/>
        <w:widowControl/>
      </w:pPr>
      <w:r>
        <w:t xml:space="preserve">광학 지표와 측정 기준면</w:t>
      </w:r>
    </w:p>
    <w:p>
      <w:pPr>
        <w:pStyle w:val="FirstParagraph"/>
        <w:widowControl/>
      </w:pPr>
      <w:r>
        <w:t xml:space="preserve">Pavg는 시간 평균 광전력이다. OMAouter는 PAM4의 최고 레벨 P3와 최저 레벨 P0의 차이이며, dBm으로 표현하더라도 평균 전력과 같은 물리량은 아니다. 각각의 레벨 전력과 OMA는 선형 mW에서 계산한 다음 dBm으로 변환한다. ER은 P3/P0의 비율이다. 제품의 DOM/DDM 수신전력은 통상 평균 전력을 관찰하는 값이며 그 값만으로 OMA나 TDECQ를 측정할 수 없다. [R31] [R36]</w:t>
      </w:r>
    </w:p>
    <w:p>
      <w:pPr>
        <w:pStyle w:val="BodyText"/>
        <w:widowControl/>
        <w:spacing w:line="252" w:lineRule="auto" w:before="100" w:after="180"/>
      </w:pPr>
      <m:oMathPara>
        <m:oMathParaPr>
          <m:jc m:val="center"/>
        </m:oMathParaPr>
        <m:oMath>
          <m:sSub>
            <m:e>
              <m:r>
                <m:t>P</m:t>
              </m:r>
            </m:e>
            <m:sub>
              <m:r>
                <m:t>d</m:t>
              </m:r>
              <m:r>
                <m:t>B</m:t>
              </m:r>
              <m:r>
                <m:t>m</m:t>
              </m:r>
            </m:sub>
          </m:sSub>
          <m:r>
            <m:rPr>
              <m:sty m:val="p"/>
            </m:rPr>
            <m:t>=</m:t>
          </m:r>
          <m:r>
            <m:t>10</m:t>
          </m:r>
          <m:sSub>
            <m:e>
              <m:r>
                <m:rPr>
                  <m:sty m:val="p"/>
                </m:rPr>
                <m:t>log</m:t>
              </m:r>
            </m:e>
            <m:sub>
              <m:r>
                <m:t>10</m:t>
              </m:r>
            </m:sub>
          </m:sSub>
          <m:d>
            <m:dPr>
              <m:begChr m:val="("/>
              <m:endChr m:val=")"/>
              <m:sepChr m:val=""/>
              <m:grow/>
            </m:dPr>
            <m:e>
              <m:sSub>
                <m:e>
                  <m:r>
                    <m:t>P</m:t>
                  </m:r>
                </m:e>
                <m:sub>
                  <m:r>
                    <m:t>m</m:t>
                  </m:r>
                  <m:r>
                    <m:t>W</m:t>
                  </m:r>
                </m:sub>
              </m:sSub>
            </m:e>
          </m:d>
          <m:r>
            <m:rPr>
              <m:sty m:val="p"/>
            </m:rPr>
            <m:t>,</m:t>
          </m:r>
          <m:r>
            <m:t>  </m:t>
          </m:r>
          <m:r>
            <m:t>O</m:t>
          </m:r>
          <m:r>
            <m:t>M</m:t>
          </m:r>
          <m:sSub>
            <m:e>
              <m:r>
                <m:t>A</m:t>
              </m:r>
            </m:e>
            <m:sub>
              <m:r>
                <m:t>o</m:t>
              </m:r>
              <m:r>
                <m:t>u</m:t>
              </m:r>
              <m:r>
                <m:t>t</m:t>
              </m:r>
              <m:r>
                <m:t>e</m:t>
              </m:r>
              <m:r>
                <m:t>r</m:t>
              </m:r>
            </m:sub>
          </m:sSub>
          <m:r>
            <m:rPr>
              <m:sty m:val="p"/>
            </m:rPr>
            <m:t>=</m:t>
          </m:r>
          <m:sSub>
            <m:e>
              <m:r>
                <m:t>P</m:t>
              </m:r>
            </m:e>
            <m:sub>
              <m:r>
                <m:t>3</m:t>
              </m:r>
            </m:sub>
          </m:sSub>
          <m:r>
            <m:rPr>
              <m:sty m:val="p"/>
            </m:rPr>
            <m:t>−</m:t>
          </m:r>
          <m:sSub>
            <m:e>
              <m:r>
                <m:t>P</m:t>
              </m:r>
            </m:e>
            <m:sub>
              <m:r>
                <m:t>0</m:t>
              </m:r>
            </m:sub>
          </m:sSub>
        </m:oMath>
      </m:oMathPara>
    </w:p>
    <w:p>
      <w:pPr>
        <w:pStyle w:val="FirstParagraph"/>
        <w:widowControl/>
        <w:spacing w:line="252" w:lineRule="auto" w:before="100" w:after="180"/>
      </w:pPr>
      <m:oMathPara>
        <m:oMathParaPr>
          <m:jc m:val="center"/>
        </m:oMathParaPr>
        <m:oMath>
          <m:r>
            <m:t>E</m:t>
          </m:r>
          <m:sSub>
            <m:e>
              <m:r>
                <m:t>R</m:t>
              </m:r>
            </m:e>
            <m:sub>
              <m:r>
                <m:t>d</m:t>
              </m:r>
              <m:r>
                <m:t>B</m:t>
              </m:r>
            </m:sub>
          </m:sSub>
          <m:r>
            <m:rPr>
              <m:sty m:val="p"/>
            </m:rPr>
            <m:t>=</m:t>
          </m:r>
          <m:r>
            <m:t>10</m:t>
          </m:r>
          <m:sSub>
            <m:e>
              <m:r>
                <m:rPr>
                  <m:sty m:val="p"/>
                </m:rPr>
                <m:t>log</m:t>
              </m:r>
            </m:e>
            <m:sub>
              <m:r>
                <m:t>10</m:t>
              </m:r>
            </m:sub>
          </m:sSub>
          <m:d>
            <m:dPr>
              <m:begChr m:val="("/>
              <m:endChr m:val=")"/>
              <m:sepChr m:val=""/>
              <m:grow/>
            </m:dPr>
            <m:e>
              <m:sSub>
                <m:e>
                  <m:r>
                    <m:t>P</m:t>
                  </m:r>
                </m:e>
                <m:sub>
                  <m:r>
                    <m:t>3</m:t>
                  </m:r>
                </m:sub>
              </m:sSub>
              <m:r>
                <m:rPr>
                  <m:sty m:val="p"/>
                </m:rPr>
                <m:t>/</m:t>
              </m:r>
              <m:sSub>
                <m:e>
                  <m:r>
                    <m:t>P</m:t>
                  </m:r>
                </m:e>
                <m:sub>
                  <m:r>
                    <m:t>0</m:t>
                  </m:r>
                </m:sub>
              </m:sSub>
            </m:e>
          </m:d>
        </m:oMath>
      </m:oMathPara>
    </w:p>
    <w:p>
      <w:pPr>
        <w:pStyle w:val="FirstParagraph"/>
        <w:widowControl/>
      </w:pPr>
      <w:r>
        <w:t xml:space="preserve">Tx 출력 기준면과 Rx 입력 기준면 사이에 있는 패치코드·패널·트렁크를 채널로 정의한다. 기준면 밖의 손실을 다시 더하거나 측정용 기준 코드를 본 채널에 중복 포함하지 않는다. DR4의 네 광레인은 각각 검사하고 역방향 레인도 별도 계산한다. 모듈 전체 광출력을 레인당 감도와 비교하는 것은 잘못이다.</w:t>
      </w:r>
    </w:p>
    <w:tbl>
      <w:tblPr>
        <w:tblStyle w:val="Table"/>
        <w:tblW w:type="dxa" w:w="986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096"/>
        <w:gridCol w:w="4392"/>
      </w:tblGrid>
      <w:tr>
        <w:trPr>
          <w:tblHeader w:val="true"/>
          <w:cantSplit/>
          <w:tblHeader/>
        </w:trPr>
        <w:tc>
          <w:tcPr>
            <w:tcW w:type="dxa" w:w="237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지표</w:t>
            </w:r>
          </w:p>
        </w:tc>
        <w:tc>
          <w:tcPr>
            <w:tcW w:type="dxa" w:w="309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단위와 의미</w:t>
            </w:r>
          </w:p>
        </w:tc>
        <w:tc>
          <w:tcPr>
            <w:tcW w:type="dxa" w:w="4392"/>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실무에서 비교할 대상</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평균 광전력</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dBm의 평균값</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평균 수신 범위와 손상 한계</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OMAouter</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dBm의 외측 변조 진폭</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OMA 수신 조건과 상한</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TDECQ</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dB의 송신 품질 페널티</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송신 상한과 OMA 결합 조건</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SECQ와 SRS</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수신 시험 입력의 스트레스와 감도</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동일 시험 조건의 수신 성능</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IL와 반사</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전방 감쇠와 후방 반사</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서로 독립된 배선 조건</w:t>
            </w:r>
          </w:p>
        </w:tc>
      </w:tr>
    </w:tbl>
    <w:bookmarkEnd w:id="164"/>
    <w:bookmarkStart w:id="165" w:name="평균-전력에서-oma를-계산할-수-있는-조건"/>
    <w:p>
      <w:pPr>
        <w:pStyle w:val="Heading2"/>
        <w:widowControl/>
      </w:pPr>
      <w:r>
        <w:t xml:space="preserve">평균 전력에서 OMA를 계산할 수 있는 조건</w:t>
      </w:r>
    </w:p>
    <w:p>
      <w:pPr>
        <w:pStyle w:val="FirstParagraph"/>
        <w:widowControl/>
      </w:pPr>
      <w:r>
        <w:t xml:space="preserve">네 레벨이 선형 전력에서 등간격이고 발생 확률이 같으며 파형 왜곡을 무시할 때만 Pavg=(P0+P3)/2로 놓는다. r=10^(ER/10)으로 두고 P3=rP0를 대입하면 아래 식이 나온다. 실제 파형의 레벨 불균등, 전이부와 확률 분포가 다르면 파형 측정값을 사용한다.</w:t>
      </w:r>
    </w:p>
    <w:p>
      <w:pPr>
        <w:pStyle w:val="BodyText"/>
        <w:widowControl/>
        <w:spacing w:line="252" w:lineRule="auto" w:before="100" w:after="180"/>
      </w:pPr>
      <m:oMathPara>
        <m:oMathParaPr>
          <m:jc m:val="center"/>
        </m:oMathParaPr>
        <m:oMath>
          <m:r>
            <m:t>O</m:t>
          </m:r>
          <m:r>
            <m:t>M</m:t>
          </m:r>
          <m:sSub>
            <m:e>
              <m:r>
                <m:t>A</m:t>
              </m:r>
            </m:e>
            <m:sub>
              <m:r>
                <m:t>m</m:t>
              </m:r>
              <m:r>
                <m:t>W</m:t>
              </m:r>
            </m:sub>
          </m:sSub>
          <m:r>
            <m:rPr>
              <m:sty m:val="p"/>
            </m:rPr>
            <m:t>=</m:t>
          </m:r>
          <m:r>
            <m:t>2</m:t>
          </m:r>
          <m:sSub>
            <m:e>
              <m:r>
                <m:t>P</m:t>
              </m:r>
            </m:e>
            <m:sub>
              <m:r>
                <m:t>a</m:t>
              </m:r>
              <m:r>
                <m:t>v</m:t>
              </m:r>
              <m:r>
                <m:t>g</m:t>
              </m:r>
              <m:r>
                <m:rPr>
                  <m:sty m:val="p"/>
                </m:rPr>
                <m:t>,</m:t>
              </m:r>
              <m:r>
                <m:t>m</m:t>
              </m:r>
              <m:r>
                <m:t>W</m:t>
              </m:r>
            </m:sub>
          </m:sSub>
          <m:f>
            <m:fPr>
              <m:type m:val="bar"/>
            </m:fPr>
            <m:num>
              <m:r>
                <m:t>r</m:t>
              </m:r>
              <m:r>
                <m:rPr>
                  <m:sty m:val="p"/>
                </m:rPr>
                <m:t>−</m:t>
              </m:r>
              <m:r>
                <m:t>1</m:t>
              </m:r>
            </m:num>
            <m:den>
              <m:r>
                <m:t>r</m:t>
              </m:r>
              <m:r>
                <m:rPr>
                  <m:sty m:val="p"/>
                </m:rPr>
                <m:t>+</m:t>
              </m:r>
              <m:r>
                <m:t>1</m:t>
              </m:r>
            </m:den>
          </m:f>
          <m:r>
            <m:rPr>
              <m:sty m:val="p"/>
            </m:rPr>
            <m:t>,</m:t>
          </m:r>
          <m:r>
            <m:t>  </m:t>
          </m:r>
          <m:r>
            <m:t>r</m:t>
          </m:r>
          <m:r>
            <m:rPr>
              <m:sty m:val="p"/>
            </m:rPr>
            <m:t>=</m:t>
          </m:r>
          <m:sSup>
            <m:e>
              <m:r>
                <m:t>10</m:t>
              </m:r>
            </m:e>
            <m:sup>
              <m:r>
                <m:t>E</m:t>
              </m:r>
              <m:sSub>
                <m:e>
                  <m:r>
                    <m:t>R</m:t>
                  </m:r>
                </m:e>
                <m:sub>
                  <m:r>
                    <m:t>d</m:t>
                  </m:r>
                  <m:r>
                    <m:t>B</m:t>
                  </m:r>
                </m:sub>
              </m:sSub>
              <m:r>
                <m:rPr>
                  <m:sty m:val="p"/>
                </m:rPr>
                <m:t>/</m:t>
              </m:r>
              <m:r>
                <m:t>10</m:t>
              </m:r>
            </m:sup>
          </m:sSup>
        </m:oMath>
      </m:oMathPara>
    </w:p>
    <w:p>
      <w:pPr>
        <w:pStyle w:val="FirstParagraph"/>
        <w:widowControl/>
        <w:spacing w:line="252" w:lineRule="auto" w:before="100" w:after="180"/>
      </w:pPr>
      <m:oMathPara>
        <m:oMathParaPr>
          <m:jc m:val="center"/>
        </m:oMathParaPr>
        <m:oMath>
          <m:r>
            <m:t>O</m:t>
          </m:r>
          <m:r>
            <m:t>M</m:t>
          </m:r>
          <m:sSub>
            <m:e>
              <m:r>
                <m:t>A</m:t>
              </m:r>
            </m:e>
            <m:sub>
              <m:r>
                <m:t>d</m:t>
              </m:r>
              <m:r>
                <m:t>B</m:t>
              </m:r>
              <m:r>
                <m:t>m</m:t>
              </m:r>
            </m:sub>
          </m:sSub>
          <m:r>
            <m:rPr>
              <m:sty m:val="p"/>
            </m:rPr>
            <m:t>=</m:t>
          </m:r>
          <m:sSub>
            <m:e>
              <m:r>
                <m:t>P</m:t>
              </m:r>
            </m:e>
            <m:sub>
              <m:r>
                <m:t>a</m:t>
              </m:r>
              <m:r>
                <m:t>v</m:t>
              </m:r>
              <m:r>
                <m:t>g</m:t>
              </m:r>
              <m:r>
                <m:rPr>
                  <m:sty m:val="p"/>
                </m:rPr>
                <m:t>,</m:t>
              </m:r>
              <m:r>
                <m:t>d</m:t>
              </m:r>
              <m:r>
                <m:t>B</m:t>
              </m:r>
              <m:r>
                <m:t>m</m:t>
              </m:r>
            </m:sub>
          </m:sSub>
          <m:r>
            <m:rPr>
              <m:sty m:val="p"/>
            </m:rPr>
            <m:t>+</m:t>
          </m:r>
          <m:r>
            <m:t>10</m:t>
          </m:r>
          <m:sSub>
            <m:e>
              <m:r>
                <m:rPr>
                  <m:sty m:val="p"/>
                </m:rPr>
                <m:t>log</m:t>
              </m:r>
            </m:e>
            <m:sub>
              <m:r>
                <m:t>10</m:t>
              </m:r>
            </m:sub>
          </m:sSub>
          <m:d>
            <m:dPr>
              <m:begChr m:val="("/>
              <m:endChr m:val=")"/>
              <m:sepChr m:val=""/>
              <m:grow/>
            </m:dPr>
            <m:e>
              <m:r>
                <m:t>2</m:t>
              </m:r>
              <m:f>
                <m:fPr>
                  <m:type m:val="bar"/>
                </m:fPr>
                <m:num>
                  <m:r>
                    <m:t>r</m:t>
                  </m:r>
                  <m:r>
                    <m:rPr>
                      <m:sty m:val="p"/>
                    </m:rPr>
                    <m:t>−</m:t>
                  </m:r>
                  <m:r>
                    <m:t>1</m:t>
                  </m:r>
                </m:num>
                <m:den>
                  <m:r>
                    <m:t>r</m:t>
                  </m:r>
                  <m:r>
                    <m:rPr>
                      <m:sty m:val="p"/>
                    </m:rPr>
                    <m:t>+</m:t>
                  </m:r>
                  <m:r>
                    <m:t>1</m:t>
                  </m:r>
                </m:den>
              </m:f>
            </m:e>
          </m:d>
        </m:oMath>
      </m:oMathPara>
    </w:p>
    <w:p>
      <w:pPr>
        <w:pStyle w:val="FirstParagraph"/>
        <w:widowControl/>
      </w:pPr>
      <w:r>
        <w:t xml:space="preserve">Pavg=0dBm, ER=3.5dB라는 가정이면 Pavg=1mW, r=2.23872, P0=0.61753mW, P3=1.38247mW다. OMA는 0.764945mW 즉 −1.16370dBm이다. 평균 0dBm을 OMA 0dBm으로 대신 넣으면 1.16370dB의 오차가 생긴다. 이 변환은 송신 품질이나 BER을 증명하지 않으며 데이터시트의 최소 평균값에서 최소 OMA를 자동 유도하는 공식도 아니다.</w:t>
      </w:r>
    </w:p>
    <w:bookmarkEnd w:id="165"/>
    <w:bookmarkStart w:id="166" w:name="tdecq를-손실로-중복-차감하지-않기"/>
    <w:p>
      <w:pPr>
        <w:pStyle w:val="Heading2"/>
        <w:widowControl/>
      </w:pPr>
      <w:r>
        <w:t xml:space="preserve">TDECQ를 손실로 중복 차감하지 않기</w:t>
      </w:r>
    </w:p>
    <w:p>
      <w:pPr>
        <w:pStyle w:val="FirstParagraph"/>
        <w:widowControl/>
      </w:pPr>
      <w:r>
        <w:t xml:space="preserve">TDECQ는 정해진 패턴, 광학·전기 참조 필터, 분산 조건, 참조 등화기와 목표 오류율에서 송신 품질을 평가하는 지표다. 규격에서 지정한 설정을 바꾸면 수치가 달라질 수 있다. 수신단에서 광파워미터로 읽은 값과는 다르다. [R31] [R35]</w:t>
      </w:r>
    </w:p>
    <w:p>
      <w:pPr>
        <w:pStyle w:val="BodyText"/>
        <w:widowControl/>
      </w:pPr>
      <w:r>
        <w:t xml:space="preserve">채널이 선형 감쇠만 더한다면 평균 전력과 OMA는 같은 dB만큼 낮아지지만 TDECQ가 삽입손실만큼 증가하는 것은 아니다. 반대로 반사·분산·대역 제한은 파형을 바꾸므로 단순 감쇠 모델에서 벗어난다. TDECQ를 시스템 전체 BER 시험의 대체 지표로 사용하지 않는다.</w:t>
      </w:r>
    </w:p>
    <w:p>
      <w:pPr>
        <w:pStyle w:val="BodyText"/>
        <w:widowControl/>
      </w:pPr>
      <w:r>
        <w:t xml:space="preserve">송신 조건은 보통 OMA 최소, OMA−TDECQ 최소와 TDECQ 최대를 동시에 확인한다. OMA−TDECQ를 사용한 뒤 수신 감도에서 동일한 페널티를 다시 차감하면 중복일 수 있다. 스트레스 수신감도에는 지정된 SECQ 등의 시험 조건이 이미 적용되어 있다. 송신 TDECQ와 수신 시험 SECQ도 정의와 기준면이 다르므로 무조건 같은 숫자로 놓지 않는다.</w:t>
      </w:r>
    </w:p>
    <w:p>
      <w:pPr>
        <w:pStyle w:val="BodyText"/>
        <w:widowControl/>
        <w:spacing w:line="252" w:lineRule="auto" w:before="100" w:after="180"/>
      </w:pPr>
      <m:oMathPara>
        <m:oMathParaPr>
          <m:jc m:val="center"/>
        </m:oMathParaPr>
        <m:oMath>
          <m:r>
            <m:t>O</m:t>
          </m:r>
          <m:r>
            <m:t>M</m:t>
          </m:r>
          <m:sSub>
            <m:e>
              <m:r>
                <m:t>A</m:t>
              </m:r>
            </m:e>
            <m:sub>
              <m:r>
                <m:t>T</m:t>
              </m:r>
              <m:r>
                <m:t>x</m:t>
              </m:r>
            </m:sub>
          </m:sSub>
          <m:r>
            <m:rPr>
              <m:sty m:val="p"/>
            </m:rPr>
            <m:t>≥</m:t>
          </m:r>
          <m:r>
            <m:t>O</m:t>
          </m:r>
          <m:r>
            <m:t>M</m:t>
          </m:r>
          <m:sSub>
            <m:e>
              <m:r>
                <m:t>A</m:t>
              </m:r>
            </m:e>
            <m:sub>
              <m:r>
                <m:t>m</m:t>
              </m:r>
              <m:r>
                <m:t>i</m:t>
              </m:r>
              <m:r>
                <m:t>n</m:t>
              </m:r>
            </m:sub>
          </m:sSub>
          <m:r>
            <m:rPr>
              <m:sty m:val="p"/>
            </m:rPr>
            <m:t>,</m:t>
          </m:r>
          <m:r>
            <m:t>  </m:t>
          </m:r>
          <m:r>
            <m:t>O</m:t>
          </m:r>
          <m:r>
            <m:t>M</m:t>
          </m:r>
          <m:sSub>
            <m:e>
              <m:r>
                <m:t>A</m:t>
              </m:r>
            </m:e>
            <m:sub>
              <m:r>
                <m:t>T</m:t>
              </m:r>
              <m:r>
                <m:t>x</m:t>
              </m:r>
            </m:sub>
          </m:sSub>
          <m:r>
            <m:rPr>
              <m:sty m:val="p"/>
            </m:rPr>
            <m:t>−</m:t>
          </m:r>
          <m:r>
            <m:t>T</m:t>
          </m:r>
          <m:r>
            <m:t>D</m:t>
          </m:r>
          <m:r>
            <m:t>E</m:t>
          </m:r>
          <m:r>
            <m:t>C</m:t>
          </m:r>
          <m:r>
            <m:t>Q</m:t>
          </m:r>
          <m:r>
            <m:rPr>
              <m:sty m:val="p"/>
            </m:rPr>
            <m:t>≥</m:t>
          </m:r>
          <m:sSub>
            <m:e>
              <m:r>
                <m:t>K</m:t>
              </m:r>
            </m:e>
            <m:sub>
              <m:r>
                <m:t>m</m:t>
              </m:r>
              <m:r>
                <m:t>i</m:t>
              </m:r>
              <m:r>
                <m:t>n</m:t>
              </m:r>
            </m:sub>
          </m:sSub>
        </m:oMath>
      </m:oMathPara>
    </w:p>
    <w:p>
      <w:pPr>
        <w:pStyle w:val="FirstParagraph"/>
        <w:widowControl/>
        <w:spacing w:line="252" w:lineRule="auto" w:before="100" w:after="180"/>
      </w:pPr>
      <m:oMathPara>
        <m:oMathParaPr>
          <m:jc m:val="center"/>
        </m:oMathParaPr>
        <m:oMath>
          <m:r>
            <m:t>T</m:t>
          </m:r>
          <m:r>
            <m:t>D</m:t>
          </m:r>
          <m:r>
            <m:t>E</m:t>
          </m:r>
          <m:r>
            <m:t>C</m:t>
          </m:r>
          <m:r>
            <m:t>Q</m:t>
          </m:r>
          <m:r>
            <m:rPr>
              <m:sty m:val="p"/>
            </m:rPr>
            <m:t>≤</m:t>
          </m:r>
          <m:r>
            <m:t>T</m:t>
          </m:r>
          <m:r>
            <m:t>D</m:t>
          </m:r>
          <m:r>
            <m:t>E</m:t>
          </m:r>
          <m:r>
            <m:t>C</m:t>
          </m:r>
          <m:sSub>
            <m:e>
              <m:r>
                <m:t>Q</m:t>
              </m:r>
            </m:e>
            <m:sub>
              <m:r>
                <m:t>m</m:t>
              </m:r>
              <m:r>
                <m:t>a</m:t>
              </m:r>
              <m:r>
                <m:t>x</m:t>
              </m:r>
            </m:sub>
          </m:sSub>
          <m:r>
            <m:rPr>
              <m:sty m:val="p"/>
            </m:rPr>
            <m:t>,</m:t>
          </m:r>
          <m:r>
            <m:t>  </m:t>
          </m:r>
          <m:r>
            <m:t>O</m:t>
          </m:r>
          <m:r>
            <m:t>M</m:t>
          </m:r>
          <m:sSub>
            <m:e>
              <m:r>
                <m:t>A</m:t>
              </m:r>
            </m:e>
            <m:sub>
              <m:r>
                <m:t>R</m:t>
              </m:r>
              <m:r>
                <m:t>x</m:t>
              </m:r>
            </m:sub>
          </m:sSub>
          <m:r>
            <m:rPr>
              <m:sty m:val="p"/>
            </m:rPr>
            <m:t>=</m:t>
          </m:r>
          <m:r>
            <m:t>O</m:t>
          </m:r>
          <m:r>
            <m:t>M</m:t>
          </m:r>
          <m:sSub>
            <m:e>
              <m:r>
                <m:t>A</m:t>
              </m:r>
            </m:e>
            <m:sub>
              <m:r>
                <m:t>T</m:t>
              </m:r>
              <m:r>
                <m:t>x</m:t>
              </m:r>
            </m:sub>
          </m:sSub>
          <m:r>
            <m:rPr>
              <m:sty m:val="p"/>
            </m:rPr>
            <m:t>−</m:t>
          </m:r>
          <m:r>
            <m:t>I</m:t>
          </m:r>
          <m:r>
            <m:t>L</m:t>
          </m:r>
        </m:oMath>
      </m:oMathPara>
    </w:p>
    <w:p>
      <w:pPr>
        <w:pStyle w:val="FirstParagraph"/>
        <w:widowControl/>
      </w:pPr>
      <w:r>
        <w:t xml:space="preserve">아래 계산은 서로 다른 두 방식 중 하나를 선택한다. 이상 기준 수신감도와 모든 추가 페널티가 명확하면 항목별 예산을 만들 수 있다. 제품의 스트레스 수신감도를 쓰면 그 시험에 포함된 페널티를 다시 더하지 않는다. 어느 경우에도 서로 다른 광학 규격과 데이터시트의 숫자를 섞지 않는다.</w:t>
      </w:r>
    </w:p>
    <w:bookmarkEnd w:id="166"/>
    <w:bookmarkStart w:id="167" w:name="공식-제품-사양을-이용한-결합-조건-검산"/>
    <w:p>
      <w:pPr>
        <w:pStyle w:val="Heading2"/>
        <w:widowControl/>
      </w:pPr>
      <w:r>
        <w:t xml:space="preserve">공식 제품 사양을 이용한 결합 조건 검산</w:t>
      </w:r>
    </w:p>
    <w:p>
      <w:pPr>
        <w:pStyle w:val="FirstParagraph"/>
        <w:widowControl/>
      </w:pPr>
      <w:r>
        <w:t xml:space="preserve">NVIDIA MMS4X00-NS 2×400G 100m 제품군의 공개 광학 표에서 레인당 평균 송신 범위 −1.0~4.0dBm, OMAouter 범위 −3.0~5.0dBm, OMAouter−TDECQ 하한 −2.2dBm과 TDECQ 상한 3.4dB를 확인할 수 있다. 수신 표에는 평균 −5.0~4.0dBm, OMA 상한 4.2dBm이 별도로 있다. 이 값은 해당 제품군의 사양이며 IEEE 500m DR4나 다른 제조사 제품의 공통 한계가 아니다. [R30]</w:t>
      </w:r>
    </w:p>
    <w:p>
      <w:pPr>
        <w:pStyle w:val="BodyText"/>
        <w:widowControl/>
      </w:pPr>
      <w:r>
        <w:t xml:space="preserve">송신 OMA 최소는 TDECQ와의 결합 조건 때문에 아래와 같이 해석해야 한다. 예를 들어 TDECQ=3.4dB인 송신기에 OMA=−3.0dBm을 동시에 적용하면 −6.4dBm으로 결합 하한을 위반한다. 데이터시트 각 행의 극값을 독립적으로 조합하는 오류를 이 계산으로 찾을 수 있다.</w:t>
      </w:r>
    </w:p>
    <w:p>
      <w:pPr>
        <w:pStyle w:val="BodyText"/>
        <w:widowControl/>
        <w:spacing w:line="252" w:lineRule="auto" w:before="100" w:after="180"/>
      </w:pPr>
      <m:oMathPara>
        <m:oMathParaPr>
          <m:jc m:val="center"/>
        </m:oMathParaPr>
        <m:oMath>
          <m:r>
            <m:t>O</m:t>
          </m:r>
          <m:r>
            <m:t>M</m:t>
          </m:r>
          <m:sSub>
            <m:e>
              <m:r>
                <m:t>A</m:t>
              </m:r>
            </m:e>
            <m:sub>
              <m:r>
                <m:t>T</m:t>
              </m:r>
              <m:r>
                <m:t>x</m:t>
              </m:r>
              <m:r>
                <m:rPr>
                  <m:sty m:val="p"/>
                </m:rPr>
                <m:t>,</m:t>
              </m:r>
              <m:r>
                <m:t>r</m:t>
              </m:r>
              <m:r>
                <m:t>e</m:t>
              </m:r>
              <m:r>
                <m:t>q</m:t>
              </m:r>
              <m:r>
                <m:t>u</m:t>
              </m:r>
              <m:r>
                <m:t>i</m:t>
              </m:r>
              <m:r>
                <m:t>r</m:t>
              </m:r>
              <m:r>
                <m:t>e</m:t>
              </m:r>
              <m:r>
                <m:t>d</m:t>
              </m:r>
            </m:sub>
          </m:sSub>
          <m:r>
            <m:rPr>
              <m:sty m:val="p"/>
            </m:rPr>
            <m:t>=</m:t>
          </m:r>
          <m:r>
            <m:rPr>
              <m:sty m:val="p"/>
            </m:rPr>
            <m:t>max</m:t>
          </m:r>
          <m:d>
            <m:dPr>
              <m:begChr m:val="("/>
              <m:endChr m:val=")"/>
              <m:sepChr m:val=""/>
              <m:grow/>
            </m:dPr>
            <m:e>
              <m:r>
                <m:rPr>
                  <m:sty m:val="p"/>
                </m:rPr>
                <m:t>−</m:t>
              </m:r>
              <m:r>
                <m:t>3.0</m:t>
              </m:r>
              <m:r>
                <m:rPr>
                  <m:sty m:val="p"/>
                </m:rPr>
                <m:t>,</m:t>
              </m:r>
              <m:r>
                <m:t> </m:t>
              </m:r>
              <m:r>
                <m:t>T</m:t>
              </m:r>
              <m:r>
                <m:t>D</m:t>
              </m:r>
              <m:r>
                <m:t>E</m:t>
              </m:r>
              <m:r>
                <m:t>C</m:t>
              </m:r>
              <m:r>
                <m:t>Q</m:t>
              </m:r>
              <m:r>
                <m:rPr>
                  <m:sty m:val="p"/>
                </m:rPr>
                <m:t>−</m:t>
              </m:r>
              <m:r>
                <m:t>2.2</m:t>
              </m:r>
            </m:e>
          </m:d>
          <m:r>
            <m:t> </m:t>
          </m:r>
          <m:r>
            <m:rPr>
              <m:sty m:val="p"/>
            </m:rPr>
            <m:t>d</m:t>
          </m:r>
          <m:r>
            <m:rPr>
              <m:sty m:val="p"/>
            </m:rPr>
            <m:t>B</m:t>
          </m:r>
          <m:r>
            <m:rPr>
              <m:sty m:val="p"/>
            </m:rPr>
            <m:t>m</m:t>
          </m:r>
        </m:oMath>
      </m:oMathPara>
    </w:p>
    <w:tbl>
      <w:tblPr>
        <w:tblStyle w:val="Table"/>
        <w:tblW w:type="dxa" w:w="986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096"/>
        <w:gridCol w:w="4392"/>
      </w:tblGrid>
      <w:tr>
        <w:trPr>
          <w:tblHeader w:val="true"/>
          <w:cantSplit/>
          <w:tblHeader/>
        </w:trPr>
        <w:tc>
          <w:tcPr>
            <w:tcW w:type="dxa" w:w="237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가정한 TDECQ</w:t>
            </w:r>
          </w:p>
        </w:tc>
        <w:tc>
          <w:tcPr>
            <w:tcW w:type="dxa" w:w="309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결합 조건의 필요 OMA</w:t>
            </w:r>
          </w:p>
        </w:tc>
        <w:tc>
          <w:tcPr>
            <w:tcW w:type="dxa" w:w="4392"/>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OMA를 −3dBm으로 놓으면</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1.0dB</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−1.2dBm 이상</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1.8dB 부족</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2.0dB</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−0.2dBm 이상</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2.8dB 부족</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3.4dB</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1.2dBm 이상</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4.2dB 부족</w:t>
            </w:r>
          </w:p>
        </w:tc>
      </w:tr>
    </w:tbl>
    <w:p>
      <w:pPr>
        <w:pStyle w:val="BodyText"/>
        <w:widowControl/>
      </w:pPr>
      <w:r>
        <w:t xml:space="preserve">같은 공개 표의 수신감도 −4.4dBm OMA는 SECQ=0.9dB 조건의 참고 항목이다. 스트레스 수신감도 −1.9dBm OMA는 SECQ=3.4dB와 다른 간섭 레인의 OMA=4.2dBm 등 별도 시험 조건에서 제시되며, 표의 주석은 시험 신호의 BER=2.4×10^−4를 명시한다. 이 두 수신감도를 무조건적인 입력 범위처럼 교환할 수 없다. 실제 서비스에서는 지정된 프로토콜·FEC·모듈 형명과 시험 조건을 확인한다.</w:t>
      </w:r>
    </w:p>
    <w:bookmarkEnd w:id="167"/>
    <w:bookmarkStart w:id="168" w:name="수신-과부하와-손상-한계의-수치-예제"/>
    <w:p>
      <w:pPr>
        <w:pStyle w:val="Heading2"/>
        <w:widowControl/>
      </w:pPr>
      <w:r>
        <w:t xml:space="preserve">수신 과부하와 손상 한계의 수치 예제</w:t>
      </w:r>
    </w:p>
    <w:p>
      <w:pPr>
        <w:pStyle w:val="FirstParagraph"/>
        <w:widowControl/>
      </w:pPr>
      <w:r>
        <w:t xml:space="preserve">과부하는 충분히 밝은 신호에서도 수신 회로의 선형성이나 검출 동작이 유지되지 않는 문제다. 손상 한계는 영구 손상을 피하기 위한 다른 조건이다. 손상되지 않는다고 정상 BER이 보장되는 것은 아니다. 평균 입력과 OMA 입력의 최대값을 각각 검토한다.</w:t>
      </w:r>
    </w:p>
    <w:p>
      <w:pPr>
        <w:pStyle w:val="BodyText"/>
        <w:widowControl/>
      </w:pPr>
      <w:r>
        <w:t xml:space="preserve">위 제품의 송신기가 Pavg=3.60dBm, OMA=4.85dBm, TDECQ=2.0dB인 점을 가정한다. 등간격 PAM4를 가정한 두 전력의 차이 1.25dB는 ER 약 7dB와도 일관된다. 최소 채널 손실이 0.20dB이면 수신 평균은 3.40dBm으로 평균 상한 4.0dBm 이하지만 수신 OMA는 4.65dBm으로 상한 4.2dBm을 0.45dB 초과한다. 평균 파워미터 값만으로는 이 실패를 찾지 못한다.</w:t>
      </w:r>
    </w:p>
    <w:p>
      <w:pPr>
        <w:pStyle w:val="BodyText"/>
        <w:widowControl/>
        <w:spacing w:line="252" w:lineRule="auto" w:before="100" w:after="180"/>
      </w:pPr>
      <m:oMathPara>
        <m:oMathParaPr>
          <m:jc m:val="center"/>
        </m:oMathParaPr>
        <m:oMath>
          <m:sSub>
            <m:e>
              <m:r>
                <m:t>P</m:t>
              </m:r>
            </m:e>
            <m:sub>
              <m:r>
                <m:t>a</m:t>
              </m:r>
              <m:r>
                <m:t>v</m:t>
              </m:r>
              <m:r>
                <m:t>g</m:t>
              </m:r>
              <m:r>
                <m:rPr>
                  <m:sty m:val="p"/>
                </m:rPr>
                <m:t>,</m:t>
              </m:r>
              <m:r>
                <m:t>R</m:t>
              </m:r>
              <m:r>
                <m:t>x</m:t>
              </m:r>
              <m:r>
                <m:rPr>
                  <m:sty m:val="p"/>
                </m:rPr>
                <m:t>,</m:t>
              </m:r>
              <m:r>
                <m:t>m</m:t>
              </m:r>
              <m:r>
                <m:t>a</m:t>
              </m:r>
              <m:r>
                <m:t>x</m:t>
              </m:r>
            </m:sub>
          </m:sSub>
          <m:r>
            <m:rPr>
              <m:sty m:val="p"/>
            </m:rPr>
            <m:t>=</m:t>
          </m:r>
          <m:r>
            <m:t>3.60</m:t>
          </m:r>
          <m:r>
            <m:rPr>
              <m:sty m:val="p"/>
            </m:rPr>
            <m:t>−</m:t>
          </m:r>
          <m:r>
            <m:t>0.20</m:t>
          </m:r>
          <m:r>
            <m:rPr>
              <m:sty m:val="p"/>
            </m:rPr>
            <m:t>=</m:t>
          </m:r>
          <m:r>
            <m:t>3.40</m:t>
          </m:r>
          <m:r>
            <m:t> </m:t>
          </m:r>
          <m:r>
            <m:rPr>
              <m:sty m:val="p"/>
            </m:rPr>
            <m:t>d</m:t>
          </m:r>
          <m:r>
            <m:rPr>
              <m:sty m:val="p"/>
            </m:rPr>
            <m:t>B</m:t>
          </m:r>
          <m:r>
            <m:rPr>
              <m:sty m:val="p"/>
            </m:rPr>
            <m:t>m</m:t>
          </m:r>
        </m:oMath>
      </m:oMathPara>
    </w:p>
    <w:p>
      <w:pPr>
        <w:pStyle w:val="FirstParagraph"/>
        <w:widowControl/>
        <w:spacing w:line="252" w:lineRule="auto" w:before="100" w:after="180"/>
      </w:pPr>
      <m:oMathPara>
        <m:oMathParaPr>
          <m:jc m:val="center"/>
        </m:oMathParaPr>
        <m:oMath>
          <m:r>
            <m:t>O</m:t>
          </m:r>
          <m:r>
            <m:t>M</m:t>
          </m:r>
          <m:sSub>
            <m:e>
              <m:r>
                <m:t>A</m:t>
              </m:r>
            </m:e>
            <m:sub>
              <m:r>
                <m:t>R</m:t>
              </m:r>
              <m:r>
                <m:t>x</m:t>
              </m:r>
              <m:r>
                <m:rPr>
                  <m:sty m:val="p"/>
                </m:rPr>
                <m:t>,</m:t>
              </m:r>
              <m:r>
                <m:t>m</m:t>
              </m:r>
              <m:r>
                <m:t>a</m:t>
              </m:r>
              <m:r>
                <m:t>x</m:t>
              </m:r>
            </m:sub>
          </m:sSub>
          <m:r>
            <m:rPr>
              <m:sty m:val="p"/>
            </m:rPr>
            <m:t>=</m:t>
          </m:r>
          <m:r>
            <m:t>4.85</m:t>
          </m:r>
          <m:r>
            <m:rPr>
              <m:sty m:val="p"/>
            </m:rPr>
            <m:t>−</m:t>
          </m:r>
          <m:r>
            <m:t>0.20</m:t>
          </m:r>
          <m:r>
            <m:rPr>
              <m:sty m:val="p"/>
            </m:rPr>
            <m:t>=</m:t>
          </m:r>
          <m:r>
            <m:t>4.65</m:t>
          </m:r>
          <m:r>
            <m:t> </m:t>
          </m:r>
          <m:r>
            <m:rPr>
              <m:sty m:val="p"/>
            </m:rPr>
            <m:t>d</m:t>
          </m:r>
          <m:r>
            <m:rPr>
              <m:sty m:val="p"/>
            </m:rPr>
            <m:t>B</m:t>
          </m:r>
          <m:r>
            <m:rPr>
              <m:sty m:val="p"/>
            </m:rPr>
            <m:t>m</m:t>
          </m:r>
        </m:oMath>
      </m:oMathPara>
    </w:p>
    <w:tbl>
      <w:tblPr>
        <w:tblStyle w:val="Table"/>
        <w:tblW w:type="dxa" w:w="986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096"/>
        <w:gridCol w:w="4392"/>
      </w:tblGrid>
      <w:tr>
        <w:trPr>
          <w:tblHeader w:val="true"/>
          <w:cantSplit/>
          <w:tblHeader/>
        </w:trPr>
        <w:tc>
          <w:tcPr>
            <w:tcW w:type="dxa" w:w="237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검사</w:t>
            </w:r>
          </w:p>
        </w:tc>
        <w:tc>
          <w:tcPr>
            <w:tcW w:type="dxa" w:w="309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계산</w:t>
            </w:r>
          </w:p>
        </w:tc>
        <w:tc>
          <w:tcPr>
            <w:tcW w:type="dxa" w:w="4392"/>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결과</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평균 수신 상한</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3.40≤4.00dBm</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통과</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OMA 수신 상한</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4.65&gt;4.20dBm</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실패</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평균 손상 한계 참고</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3.40&lt;5.00dBm</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이것만으로 동작 판정 불가</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추가 0.70±0.10dB 감쇠</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총 최소 손실 0.80dB</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최악 OMA 4.05dBm</w:t>
            </w:r>
          </w:p>
        </w:tc>
      </w:tr>
    </w:tbl>
    <w:p>
      <w:pPr>
        <w:pStyle w:val="BodyText"/>
        <w:widowControl/>
      </w:pPr>
      <w:r>
        <w:t xml:space="preserve">추가 감쇠가 상한 문제를 해결해도 하한 예산을 다시 검사해야 한다. 가변 감쇠기·고정 감쇠기는 파장, 다심 구성, 반사와 제품 지원을 함께 검토한다. 오염이나 의도적 굴곡을 감쇠기 대신 사용하지 않는다. 위 예제는 최악 상한의 검산이며 링크 전체 합격 판정은 아니다.</w:t>
      </w:r>
    </w:p>
    <w:bookmarkEnd w:id="168"/>
    <w:bookmarkStart w:id="169" w:name="삽입손실-반사율과-orl의-구분"/>
    <w:p>
      <w:pPr>
        <w:pStyle w:val="Heading2"/>
        <w:widowControl/>
      </w:pPr>
      <w:r>
        <w:t xml:space="preserve">삽입손실 반사율과 ORL의 구분</w:t>
      </w:r>
    </w:p>
    <w:p>
      <w:pPr>
        <w:pStyle w:val="FirstParagraph"/>
        <w:widowControl/>
      </w:pPr>
      <w:r>
        <w:t xml:space="preserve">반사율 R은 특정 사건에서 되돌아간 전력의 비율이며 보통 음수 dB로 표시한다. 사건의 반사손실은 같은 기준면에서 −R_dB로 양수 표시한다. 채널 전체 ORL은 여러 사건과 분포 후방산란을 입력 기준면으로 환산해 합산한 결과다. 여러 반사율의 dB를 더하거나 평균해서 ORL을 만들 수 없다. [R33]</w:t>
      </w:r>
    </w:p>
    <w:p>
      <w:pPr>
        <w:pStyle w:val="BodyText"/>
        <w:widowControl/>
        <w:spacing w:line="252" w:lineRule="auto" w:before="100" w:after="180"/>
      </w:pPr>
      <m:oMathPara>
        <m:oMathParaPr>
          <m:jc m:val="center"/>
        </m:oMathParaPr>
        <m:oMath>
          <m:sSub>
            <m:e>
              <m:r>
                <m:t>R</m:t>
              </m:r>
            </m:e>
            <m:sub>
              <m:r>
                <m:t>d</m:t>
              </m:r>
              <m:r>
                <m:t>B</m:t>
              </m:r>
            </m:sub>
          </m:sSub>
          <m:r>
            <m:rPr>
              <m:sty m:val="p"/>
            </m:rPr>
            <m:t>=</m:t>
          </m:r>
          <m:r>
            <m:t>10</m:t>
          </m:r>
          <m:sSub>
            <m:e>
              <m:r>
                <m:rPr>
                  <m:sty m:val="p"/>
                </m:rPr>
                <m:t>log</m:t>
              </m:r>
            </m:e>
            <m:sub>
              <m:r>
                <m:t>10</m:t>
              </m:r>
            </m:sub>
          </m:sSub>
          <m:d>
            <m:dPr>
              <m:begChr m:val="("/>
              <m:endChr m:val=")"/>
              <m:sepChr m:val=""/>
              <m:grow/>
            </m:dPr>
            <m:e>
              <m:sSub>
                <m:e>
                  <m:r>
                    <m:t>P</m:t>
                  </m:r>
                </m:e>
                <m:sub>
                  <m:r>
                    <m:t>r</m:t>
                  </m:r>
                  <m:r>
                    <m:t>e</m:t>
                  </m:r>
                  <m:r>
                    <m:t>f</m:t>
                  </m:r>
                  <m:r>
                    <m:t>l</m:t>
                  </m:r>
                  <m:r>
                    <m:t>e</m:t>
                  </m:r>
                  <m:r>
                    <m:t>c</m:t>
                  </m:r>
                  <m:r>
                    <m:t>t</m:t>
                  </m:r>
                  <m:r>
                    <m:t>e</m:t>
                  </m:r>
                  <m:r>
                    <m:t>d</m:t>
                  </m:r>
                </m:sub>
              </m:sSub>
              <m:r>
                <m:rPr>
                  <m:sty m:val="p"/>
                </m:rPr>
                <m:t>/</m:t>
              </m:r>
              <m:sSub>
                <m:e>
                  <m:r>
                    <m:t>P</m:t>
                  </m:r>
                </m:e>
                <m:sub>
                  <m:r>
                    <m:t>i</m:t>
                  </m:r>
                  <m:r>
                    <m:t>n</m:t>
                  </m:r>
                  <m:r>
                    <m:t>c</m:t>
                  </m:r>
                  <m:r>
                    <m:t>i</m:t>
                  </m:r>
                  <m:r>
                    <m:t>d</m:t>
                  </m:r>
                  <m:r>
                    <m:t>e</m:t>
                  </m:r>
                  <m:r>
                    <m:t>n</m:t>
                  </m:r>
                  <m:r>
                    <m:t>t</m:t>
                  </m:r>
                </m:sub>
              </m:sSub>
            </m:e>
          </m:d>
          <m:r>
            <m:rPr>
              <m:sty m:val="p"/>
            </m:rPr>
            <m:t>,</m:t>
          </m:r>
          <m:r>
            <m:t>  </m:t>
          </m:r>
          <m:r>
            <m:t>R</m:t>
          </m:r>
          <m:r>
            <m:t>L</m:t>
          </m:r>
          <m:r>
            <m:rPr>
              <m:sty m:val="p"/>
            </m:rPr>
            <m:t>=</m:t>
          </m:r>
          <m:r>
            <m:rPr>
              <m:sty m:val="p"/>
            </m:rPr>
            <m:t>−</m:t>
          </m:r>
          <m:sSub>
            <m:e>
              <m:r>
                <m:t>R</m:t>
              </m:r>
            </m:e>
            <m:sub>
              <m:r>
                <m:t>d</m:t>
              </m:r>
              <m:r>
                <m:t>B</m:t>
              </m:r>
            </m:sub>
          </m:sSub>
        </m:oMath>
      </m:oMathPara>
    </w:p>
    <w:p>
      <w:pPr>
        <w:pStyle w:val="FirstParagraph"/>
        <w:widowControl/>
        <w:spacing w:line="252" w:lineRule="auto" w:before="100" w:after="180"/>
      </w:pPr>
      <m:oMathPara>
        <m:oMathParaPr>
          <m:jc m:val="center"/>
        </m:oMathParaPr>
        <m:oMath>
          <m:r>
            <m:t>O</m:t>
          </m:r>
          <m:r>
            <m:t>R</m:t>
          </m:r>
          <m:r>
            <m:t>L</m:t>
          </m:r>
          <m:r>
            <m:rPr>
              <m:sty m:val="p"/>
            </m:rPr>
            <m:t>=</m:t>
          </m:r>
          <m:r>
            <m:rPr>
              <m:sty m:val="p"/>
            </m:rPr>
            <m:t>−</m:t>
          </m:r>
          <m:r>
            <m:t>10</m:t>
          </m:r>
          <m:sSub>
            <m:e>
              <m:r>
                <m:rPr>
                  <m:sty m:val="p"/>
                </m:rPr>
                <m:t>log</m:t>
              </m:r>
            </m:e>
            <m:sub>
              <m:r>
                <m:t>10</m:t>
              </m:r>
            </m:sub>
          </m:sSub>
          <m:d>
            <m:dPr>
              <m:begChr m:val="["/>
              <m:endChr m:val="]"/>
              <m:sepChr m:val=""/>
              <m:grow/>
            </m:dPr>
            <m:e>
              <m:nary>
                <m:naryPr>
                  <m:chr m:val="∑"/>
                  <m:limLoc m:val="undOvr"/>
                  <m:subHide m:val="off"/>
                  <m:supHide m:val="on"/>
                </m:naryPr>
                <m:sub>
                  <m:r>
                    <m:t>i</m:t>
                  </m:r>
                </m:sub>
                <m:sup>
                  <m:r>
                    <m:t>​</m:t>
                  </m:r>
                </m:sup>
                <m:e>
                  <m:sSup>
                    <m:e>
                      <m:r>
                        <m:t>10</m:t>
                      </m:r>
                    </m:e>
                    <m:sup>
                      <m:d>
                        <m:dPr>
                          <m:begChr m:val="("/>
                          <m:endChr m:val=")"/>
                          <m:sepChr m:val=""/>
                          <m:grow/>
                        </m:dPr>
                        <m:e>
                          <m:sSub>
                            <m:e>
                              <m:r>
                                <m:t>R</m:t>
                              </m:r>
                            </m:e>
                            <m:sub>
                              <m:r>
                                <m:t>i</m:t>
                              </m:r>
                              <m:r>
                                <m:rPr>
                                  <m:sty m:val="p"/>
                                </m:rPr>
                                <m:t>,</m:t>
                              </m:r>
                              <m:r>
                                <m:t>d</m:t>
                              </m:r>
                              <m:r>
                                <m:t>B</m:t>
                              </m:r>
                            </m:sub>
                          </m:sSub>
                          <m:r>
                            <m:rPr>
                              <m:sty m:val="p"/>
                            </m:rPr>
                            <m:t>−</m:t>
                          </m:r>
                          <m:r>
                            <m:t>2</m:t>
                          </m:r>
                          <m:sSub>
                            <m:e>
                              <m:r>
                                <m:t>A</m:t>
                              </m:r>
                            </m:e>
                            <m:sub>
                              <m:r>
                                <m:t>i</m:t>
                              </m:r>
                            </m:sub>
                          </m:sSub>
                        </m:e>
                      </m:d>
                      <m:r>
                        <m:rPr>
                          <m:sty m:val="p"/>
                        </m:rPr>
                        <m:t>/</m:t>
                      </m:r>
                      <m:r>
                        <m:t>10</m:t>
                      </m:r>
                    </m:sup>
                  </m:sSup>
                </m:e>
              </m:nary>
              <m:r>
                <m:rPr>
                  <m:sty m:val="p"/>
                </m:rPr>
                <m:t>+</m:t>
              </m:r>
              <m:sSub>
                <m:e>
                  <m:r>
                    <m:t>R</m:t>
                  </m:r>
                </m:e>
                <m:sub>
                  <m:r>
                    <m:t>s</m:t>
                  </m:r>
                  <m:r>
                    <m:t>c</m:t>
                  </m:r>
                  <m:r>
                    <m:t>a</m:t>
                  </m:r>
                  <m:r>
                    <m:t>t</m:t>
                  </m:r>
                  <m:r>
                    <m:t>t</m:t>
                  </m:r>
                  <m:r>
                    <m:t>e</m:t>
                  </m:r>
                  <m:r>
                    <m:t>r</m:t>
                  </m:r>
                </m:sub>
              </m:sSub>
            </m:e>
          </m:d>
        </m:oMath>
      </m:oMathPara>
    </w:p>
    <w:p>
      <w:pPr>
        <w:pStyle w:val="FirstParagraph"/>
        <w:widowControl/>
      </w:pPr>
      <w:r>
        <w:t xml:space="preserve">Ai는 입력 기준면에서 반사점까지의 편도 손실이다. 위 ORL 식은 반사 전력을 비간섭 합산한 근사이며 다중 재반사와 위상 간섭을 생략한다. MPI 계산은 별도의 전계 모델로 다룬다. 단일 사건의 반사율, 채널 ORL과 수신 감도는 서로 다른 합격 조건이다.</w:t>
      </w:r>
    </w:p>
    <w:p>
      <w:pPr>
        <w:pStyle w:val="BodyText"/>
        <w:widowControl/>
      </w:pPr>
      <w:r>
        <w:t xml:space="preserve">입사 0dBm을 기준으로 −60dB 반사는 −60dBm 즉 1nW, −35dB 반사는 −35dBm 즉 약 316.2nW다. 편도 손실과 후방산란을 무시하고 −60dB 사건 네 개를 합하면 ORL=53.98dB다. 그중 한 개만 −35dB로 악화되면 ORL=34.96dB로 떨어진다. 이 값들은 설명용 사건 입력이며 APC 제품 전체의 보증값이 아니다.</w:t>
      </w:r>
    </w:p>
    <w:tbl>
      <w:tblPr>
        <w:tblStyle w:val="Table"/>
        <w:tblW w:type="dxa" w:w="986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096"/>
        <w:gridCol w:w="4392"/>
      </w:tblGrid>
      <w:tr>
        <w:trPr>
          <w:tblHeader w:val="true"/>
          <w:cantSplit/>
          <w:tblHeader/>
        </w:trPr>
        <w:tc>
          <w:tcPr>
            <w:tcW w:type="dxa" w:w="237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가정한 사건 조합</w:t>
            </w:r>
          </w:p>
        </w:tc>
        <w:tc>
          <w:tcPr>
            <w:tcW w:type="dxa" w:w="309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전력 반사비의 합</w:t>
            </w:r>
          </w:p>
        </w:tc>
        <w:tc>
          <w:tcPr>
            <w:tcW w:type="dxa" w:w="4392"/>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근사 ORL</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−60dB 사건 4개</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4.0×10^−6</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53.98dB</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−60dB 3개와 −35dB 1개</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3.1923×10^−4</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34.96dB</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프로젝트 ORL 목표를 35dB로 가정</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두 번째 조합</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0.04dB 부족</w:t>
            </w:r>
          </w:p>
        </w:tc>
      </w:tr>
    </w:tbl>
    <w:p>
      <w:pPr>
        <w:pStyle w:val="BodyText"/>
        <w:widowControl/>
      </w:pPr>
      <w:r>
        <w:t xml:space="preserve">APC는 반사광이 코어로 다시 결합하는 양을 줄이도록 연마면을 기울인 구조다. APC라고 모든 커넥터가 일률적으로 −60dB를 만족한다고 단정하지 않는다. 접촉 형상, 오염, 핀·홀과 다심 정렬, 파장 및 제조사 규격을 확인한다. UPC와 APC를 직접 맞물리게 하지 않는다. 서로 다른 연마를 양끝에 사용하는 전환 코드와 부적합한 연마면끼리의 직접 결합도 구분한다.</w:t>
      </w:r>
    </w:p>
    <w:p>
      <w:pPr>
        <w:pStyle w:val="BodyText"/>
        <w:widowControl/>
      </w:pPr>
      <w:r>
        <w:t xml:space="preserve">참고로 굴절률 1.45인 매질과 공기의 평면 수직 경계라면 프레넬 전력 반사비는 ((1.45−1)/(1.45+1))²≈0.03374, 반사율은 약 −14.72dB다. 이는 공기 간극이 큰 반사를 만드는 원리 예제이며 실제 APC의 반사율 예측식이 아니다. 모드 결합과 연마각을 포함하지 않기 때문이다.</w:t>
      </w:r>
    </w:p>
    <w:p>
      <w:pPr>
        <w:pStyle w:val="BodyText"/>
        <w:widowControl/>
      </w:pPr>
      <w:r>
        <w:t xml:space="preserve">Corning의 공개 해설은 400GBASE-DR4 배선에서 사건 수와 허용 반사율을 함께 검토하는 예로 6개 결합 쌍에서 각 −47dB, 10개에서 각 −49dB를 설명한다. 이 해설의 PMD·판본과 사례 B의 NVIDIA 100m 제품을 구분한다. 최종 규격은 적용 표준 원문과 해당 모듈의 승인 배선 조건으로 확정한다. [R33]</w:t>
      </w:r>
    </w:p>
    <w:bookmarkEnd w:id="169"/>
    <w:bookmarkStart w:id="170" w:name="mpi의-이중-반사-경로와-전계-계산"/>
    <w:p>
      <w:pPr>
        <w:pStyle w:val="Heading2"/>
        <w:widowControl/>
      </w:pPr>
      <w:r>
        <w:t xml:space="preserve">MPI의 이중 반사 경로와 전계 계산</w:t>
      </w:r>
    </w:p>
    <w:p>
      <w:pPr>
        <w:pStyle w:val="FirstParagraph"/>
        <w:widowControl/>
      </w:pPr>
      <w:r>
        <w:t xml:space="preserve">전방 신호의 일부가 한 지점에서 뒤로 반사되고 다른 지점에서 다시 앞으로 반사되면 지연 복제 신호가 수신기에 도달한다. 이것이 원신호와 간섭하는 효과가 MPI다. 두 반사점 사이 간격을 d, 그 사이의 편도 손실을 Ab라고 하자. 단일 에코의 원신호 대비 전력비 q는 다음과 같이 근사한다.</w:t>
      </w:r>
    </w:p>
    <w:p>
      <w:pPr>
        <w:pStyle w:val="BodyText"/>
        <w:widowControl/>
        <w:spacing w:line="252" w:lineRule="auto" w:before="100" w:after="180"/>
      </w:pPr>
      <m:oMathPara>
        <m:oMathParaPr>
          <m:jc m:val="center"/>
        </m:oMathParaPr>
        <m:oMath>
          <m:r>
            <m:t>q</m:t>
          </m:r>
          <m:r>
            <m:rPr>
              <m:sty m:val="p"/>
            </m:rPr>
            <m:t>=</m:t>
          </m:r>
          <m:sSup>
            <m:e>
              <m:r>
                <m:t>10</m:t>
              </m:r>
            </m:e>
            <m:sup>
              <m:d>
                <m:dPr>
                  <m:begChr m:val="("/>
                  <m:endChr m:val=")"/>
                  <m:sepChr m:val=""/>
                  <m:grow/>
                </m:dPr>
                <m:e>
                  <m:sSub>
                    <m:e>
                      <m:r>
                        <m:t>R</m:t>
                      </m:r>
                    </m:e>
                    <m:sub>
                      <m:r>
                        <m:t>1</m:t>
                      </m:r>
                      <m:r>
                        <m:rPr>
                          <m:sty m:val="p"/>
                        </m:rPr>
                        <m:t>,</m:t>
                      </m:r>
                      <m:r>
                        <m:t>d</m:t>
                      </m:r>
                      <m:r>
                        <m:t>B</m:t>
                      </m:r>
                    </m:sub>
                  </m:sSub>
                  <m:r>
                    <m:rPr>
                      <m:sty m:val="p"/>
                    </m:rPr>
                    <m:t>+</m:t>
                  </m:r>
                  <m:sSub>
                    <m:e>
                      <m:r>
                        <m:t>R</m:t>
                      </m:r>
                    </m:e>
                    <m:sub>
                      <m:r>
                        <m:t>2</m:t>
                      </m:r>
                      <m:r>
                        <m:rPr>
                          <m:sty m:val="p"/>
                        </m:rPr>
                        <m:t>,</m:t>
                      </m:r>
                      <m:r>
                        <m:t>d</m:t>
                      </m:r>
                      <m:r>
                        <m:t>B</m:t>
                      </m:r>
                    </m:sub>
                  </m:sSub>
                  <m:r>
                    <m:rPr>
                      <m:sty m:val="p"/>
                    </m:rPr>
                    <m:t>−</m:t>
                  </m:r>
                  <m:r>
                    <m:t>2</m:t>
                  </m:r>
                  <m:sSub>
                    <m:e>
                      <m:r>
                        <m:t>A</m:t>
                      </m:r>
                    </m:e>
                    <m:sub>
                      <m:r>
                        <m:t>b</m:t>
                      </m:r>
                    </m:sub>
                  </m:sSub>
                </m:e>
              </m:d>
              <m:r>
                <m:rPr>
                  <m:sty m:val="p"/>
                </m:rPr>
                <m:t>/</m:t>
              </m:r>
              <m:r>
                <m:t>10</m:t>
              </m:r>
            </m:sup>
          </m:sSup>
          <m:r>
            <m:rPr>
              <m:sty m:val="p"/>
            </m:rPr>
            <m:t>,</m:t>
          </m:r>
          <m:r>
            <m:t>  </m:t>
          </m:r>
          <m:r>
            <m:t>τ</m:t>
          </m:r>
          <m:r>
            <m:rPr>
              <m:sty m:val="p"/>
            </m:rPr>
            <m:t>=</m:t>
          </m:r>
          <m:r>
            <m:t>2</m:t>
          </m:r>
          <m:sSub>
            <m:e>
              <m:r>
                <m:t>n</m:t>
              </m:r>
            </m:e>
            <m:sub>
              <m:r>
                <m:t>g</m:t>
              </m:r>
            </m:sub>
          </m:sSub>
          <m:r>
            <m:t>d</m:t>
          </m:r>
          <m:r>
            <m:rPr>
              <m:sty m:val="p"/>
            </m:rPr>
            <m:t>/</m:t>
          </m:r>
          <m:r>
            <m:t>c</m:t>
          </m:r>
        </m:oMath>
      </m:oMathPara>
    </w:p>
    <w:p>
      <w:pPr>
        <w:pStyle w:val="FirstParagraph"/>
        <w:widowControl/>
        <w:spacing w:line="252" w:lineRule="auto" w:before="100" w:after="180"/>
      </w:pPr>
      <m:oMathPara>
        <m:oMathParaPr>
          <m:jc m:val="center"/>
        </m:oMathParaPr>
        <m:oMath>
          <m:sSub>
            <m:e>
              <m:r>
                <m:t>E</m:t>
              </m:r>
            </m:e>
            <m:sub>
              <m:r>
                <m:t>r</m:t>
              </m:r>
            </m:sub>
          </m:sSub>
          <m:d>
            <m:dPr>
              <m:begChr m:val="("/>
              <m:endChr m:val=")"/>
              <m:sepChr m:val=""/>
              <m:grow/>
            </m:dPr>
            <m:e>
              <m:r>
                <m:t>t</m:t>
              </m:r>
            </m:e>
          </m:d>
          <m:r>
            <m:rPr>
              <m:sty m:val="p"/>
            </m:rPr>
            <m:t>=</m:t>
          </m:r>
          <m:sSub>
            <m:e>
              <m:r>
                <m:t>E</m:t>
              </m:r>
            </m:e>
            <m:sub>
              <m:r>
                <m:t>0</m:t>
              </m:r>
            </m:sub>
          </m:sSub>
          <m:d>
            <m:dPr>
              <m:begChr m:val="("/>
              <m:endChr m:val=")"/>
              <m:sepChr m:val=""/>
              <m:grow/>
            </m:dPr>
            <m:e>
              <m:r>
                <m:t>t</m:t>
              </m:r>
            </m:e>
          </m:d>
          <m:r>
            <m:rPr>
              <m:sty m:val="p"/>
            </m:rPr>
            <m:t>+</m:t>
          </m:r>
          <m:rad>
            <m:radPr>
              <m:degHide m:val="on"/>
            </m:radPr>
            <m:deg/>
            <m:e>
              <m:r>
                <m:t>q</m:t>
              </m:r>
            </m:e>
          </m:rad>
          <m:r>
            <m:t> </m:t>
          </m:r>
          <m:sSub>
            <m:e>
              <m:r>
                <m:t>E</m:t>
              </m:r>
            </m:e>
            <m:sub>
              <m:r>
                <m:t>0</m:t>
              </m:r>
            </m:sub>
          </m:sSub>
          <m:d>
            <m:dPr>
              <m:begChr m:val="("/>
              <m:endChr m:val=")"/>
              <m:sepChr m:val=""/>
              <m:grow/>
            </m:dPr>
            <m:e>
              <m:r>
                <m:t>t</m:t>
              </m:r>
              <m:r>
                <m:rPr>
                  <m:sty m:val="p"/>
                </m:rPr>
                <m:t>−</m:t>
              </m:r>
              <m:r>
                <m:t>τ</m:t>
              </m:r>
            </m:e>
          </m:d>
          <m:sSup>
            <m:e>
              <m:r>
                <m:t>e</m:t>
              </m:r>
            </m:e>
            <m:sup>
              <m:r>
                <m:t>j</m:t>
              </m:r>
              <m:r>
                <m:t>ϕ</m:t>
              </m:r>
            </m:sup>
          </m:sSup>
        </m:oMath>
      </m:oMathPara>
    </w:p>
    <w:p>
      <w:pPr>
        <w:pStyle w:val="FirstParagraph"/>
        <w:widowControl/>
        <w:spacing w:line="252" w:lineRule="auto" w:before="100" w:after="180"/>
      </w:pPr>
      <m:oMathPara>
        <m:oMathParaPr>
          <m:jc m:val="center"/>
        </m:oMathParaPr>
        <m:oMath>
          <m:sSub>
            <m:e>
              <m:r>
                <m:t>P</m:t>
              </m:r>
            </m:e>
            <m:sub>
              <m:r>
                <m:t>r</m:t>
              </m:r>
            </m:sub>
          </m:sSub>
          <m:r>
            <m:rPr>
              <m:sty m:val="p"/>
            </m:rPr>
            <m:t>=</m:t>
          </m:r>
          <m:sSub>
            <m:e>
              <m:r>
                <m:t>P</m:t>
              </m:r>
            </m:e>
            <m:sub>
              <m:r>
                <m:t>d</m:t>
              </m:r>
            </m:sub>
          </m:sSub>
          <m:d>
            <m:dPr>
              <m:begChr m:val="("/>
              <m:endChr m:val=")"/>
              <m:sepChr m:val=""/>
              <m:grow/>
            </m:dPr>
            <m:e>
              <m:r>
                <m:t>1</m:t>
              </m:r>
              <m:r>
                <m:rPr>
                  <m:sty m:val="p"/>
                </m:rPr>
                <m:t>+</m:t>
              </m:r>
              <m:r>
                <m:t>q</m:t>
              </m:r>
              <m:r>
                <m:rPr>
                  <m:sty m:val="p"/>
                </m:rPr>
                <m:t>+</m:t>
              </m:r>
              <m:r>
                <m:t>2</m:t>
              </m:r>
              <m:rad>
                <m:radPr>
                  <m:degHide m:val="on"/>
                </m:radPr>
                <m:deg/>
                <m:e>
                  <m:r>
                    <m:t>q</m:t>
                  </m:r>
                </m:e>
              </m:rad>
              <m:r>
                <m:rPr>
                  <m:sty m:val="p"/>
                </m:rPr>
                <m:t>cos</m:t>
              </m:r>
              <m:r>
                <m:t>ϕ</m:t>
              </m:r>
            </m:e>
          </m:d>
        </m:oMath>
      </m:oMathPara>
    </w:p>
    <w:p>
      <w:pPr>
        <w:pStyle w:val="FirstParagraph"/>
        <w:widowControl/>
      </w:pPr>
      <w:r>
        <w:t xml:space="preserve">마지막 식은 두 전계가 완전히 코히어런트하고 같은 편광이며 단일 레벨이 일정한 특수 조건이다. 간섭의 진폭은 q가 아니라 √q에 비례하므로 작은 반사 전력도 파형에 영향을 줄 수 있다. 실제 PAM4에서는 에코가 다른 심볼을 운반하며 편광·위상·레이저 코히어런스와 수신 등화가 변한다. 정적 리플을 곧바로 BER 페널티로 읽으면 안 된다. IEEE의 MPI 공개 기고도 조건별 측정과 모델링을 구분한다. [R34]</w:t>
      </w:r>
    </w:p>
    <w:p>
      <w:pPr>
        <w:pStyle w:val="BodyText"/>
        <w:widowControl/>
      </w:pPr>
      <w:r>
        <w:t xml:space="preserve">반사 −26dB 두 개, Ab≈0이라는 설명용 가정이면 q=6.3096×10^−6이고 √q=0.0025119다. 완전 코히어런트 정적 조건의 전력 변동은 약 ±0.5024%이며 최대·최소 전력비 리플은 0.04364dB다. 간격 10m와 군굴절률 1.468을 가정하면 에코 지연은 약 97.93ns다. 이 지연은 53.125GBd의 약 5203심볼에 해당한다.</w:t>
      </w:r>
    </w:p>
    <w:p>
      <w:pPr>
        <w:pStyle w:val="BodyText"/>
        <w:widowControl/>
        <w:spacing w:line="252" w:lineRule="auto" w:before="100" w:after="180"/>
      </w:pPr>
      <m:oMathPara>
        <m:oMathParaPr>
          <m:jc m:val="center"/>
        </m:oMathParaPr>
        <m:oMath>
          <m:r>
            <m:t>R</m:t>
          </m:r>
          <m:r>
            <m:t>i</m:t>
          </m:r>
          <m:r>
            <m:t>p</m:t>
          </m:r>
          <m:r>
            <m:t>p</m:t>
          </m:r>
          <m:r>
            <m:t>l</m:t>
          </m:r>
          <m:sSub>
            <m:e>
              <m:r>
                <m:t>e</m:t>
              </m:r>
            </m:e>
            <m:sub>
              <m:r>
                <m:t>p</m:t>
              </m:r>
              <m:r>
                <m:t>p</m:t>
              </m:r>
            </m:sub>
          </m:sSub>
          <m:r>
            <m:rPr>
              <m:sty m:val="p"/>
            </m:rPr>
            <m:t>=</m:t>
          </m:r>
          <m:r>
            <m:t>20</m:t>
          </m:r>
          <m:sSub>
            <m:e>
              <m:r>
                <m:rPr>
                  <m:sty m:val="p"/>
                </m:rPr>
                <m:t>log</m:t>
              </m:r>
            </m:e>
            <m:sub>
              <m:r>
                <m:t>10</m:t>
              </m:r>
            </m:sub>
          </m:sSub>
          <m:d>
            <m:dPr>
              <m:begChr m:val="("/>
              <m:endChr m:val=")"/>
              <m:sepChr m:val=""/>
              <m:grow/>
            </m:dPr>
            <m:e>
              <m:f>
                <m:fPr>
                  <m:type m:val="bar"/>
                </m:fPr>
                <m:num>
                  <m:r>
                    <m:t>1</m:t>
                  </m:r>
                  <m:r>
                    <m:rPr>
                      <m:sty m:val="p"/>
                    </m:rPr>
                    <m:t>+</m:t>
                  </m:r>
                  <m:rad>
                    <m:radPr>
                      <m:degHide m:val="on"/>
                    </m:radPr>
                    <m:deg/>
                    <m:e>
                      <m:r>
                        <m:t>q</m:t>
                      </m:r>
                    </m:e>
                  </m:rad>
                </m:num>
                <m:den>
                  <m:r>
                    <m:t>1</m:t>
                  </m:r>
                  <m:r>
                    <m:rPr>
                      <m:sty m:val="p"/>
                    </m:rPr>
                    <m:t>−</m:t>
                  </m:r>
                  <m:rad>
                    <m:radPr>
                      <m:degHide m:val="on"/>
                    </m:radPr>
                    <m:deg/>
                    <m:e>
                      <m:r>
                        <m:t>q</m:t>
                      </m:r>
                    </m:e>
                  </m:rad>
                </m:den>
              </m:f>
            </m:e>
          </m:d>
        </m:oMath>
      </m:oMathPara>
    </w:p>
    <w:bookmarkEnd w:id="170"/>
    <w:bookmarkStart w:id="171" w:name="pam4-눈-폐쇄를-이용한-보수적-mpi-수치-예제"/>
    <w:p>
      <w:pPr>
        <w:pStyle w:val="Heading2"/>
        <w:widowControl/>
      </w:pPr>
      <w:r>
        <w:t xml:space="preserve">PAM4 눈 폐쇄를 이용한 보수적 MPI 수치 예제</w:t>
      </w:r>
    </w:p>
    <w:p>
      <w:pPr>
        <w:pStyle w:val="FirstParagraph"/>
        <w:widowControl/>
      </w:pPr>
      <w:r>
        <w:t xml:space="preserve">아래는 표준 MPI 식이나 인증용 BER 모델이 아니라 본 백서에서 유도한 단일 에코의 보수적 기하 모델이다. 이상적인 등간격 PAM4, ER=3.5dB, 같은 편광과 완전 코히어런스, 위상의 최악 조합 및 수신 등화 없음으로 놓는다. q≪1일 때 에코의 전력 교란을 최대 ±2√qP3로 두면 인접 눈의 간격 OMA/3은 최악 약 4√qP3만큼 감소한다.</w:t>
      </w:r>
    </w:p>
    <w:p>
      <w:pPr>
        <w:pStyle w:val="BodyText"/>
        <w:widowControl/>
        <w:spacing w:line="252" w:lineRule="auto" w:before="100" w:after="180"/>
      </w:pPr>
      <m:oMathPara>
        <m:oMathParaPr>
          <m:jc m:val="center"/>
        </m:oMathParaPr>
        <m:oMath>
          <m:sSub>
            <m:e>
              <m:r>
                <m:t>δ</m:t>
              </m:r>
            </m:e>
            <m:sub>
              <m:r>
                <m:t>e</m:t>
              </m:r>
              <m:r>
                <m:t>y</m:t>
              </m:r>
              <m:r>
                <m:t>e</m:t>
              </m:r>
            </m:sub>
          </m:sSub>
          <m:r>
            <m:rPr>
              <m:sty m:val="p"/>
            </m:rPr>
            <m:t>=</m:t>
          </m:r>
          <m:r>
            <m:t>12</m:t>
          </m:r>
          <m:rad>
            <m:radPr>
              <m:degHide m:val="on"/>
            </m:radPr>
            <m:deg/>
            <m:e>
              <m:r>
                <m:t>q</m:t>
              </m:r>
            </m:e>
          </m:rad>
          <m:f>
            <m:fPr>
              <m:type m:val="bar"/>
            </m:fPr>
            <m:num>
              <m:sSub>
                <m:e>
                  <m:r>
                    <m:t>P</m:t>
                  </m:r>
                </m:e>
                <m:sub>
                  <m:r>
                    <m:t>3</m:t>
                  </m:r>
                </m:sub>
              </m:sSub>
            </m:num>
            <m:den>
              <m:r>
                <m:t>O</m:t>
              </m:r>
              <m:r>
                <m:t>M</m:t>
              </m:r>
              <m:r>
                <m:t>A</m:t>
              </m:r>
            </m:den>
          </m:f>
          <m:r>
            <m:rPr>
              <m:sty m:val="p"/>
            </m:rPr>
            <m:t>=</m:t>
          </m:r>
          <m:r>
            <m:t>12</m:t>
          </m:r>
          <m:rad>
            <m:radPr>
              <m:degHide m:val="on"/>
            </m:radPr>
            <m:deg/>
            <m:e>
              <m:r>
                <m:t>q</m:t>
              </m:r>
            </m:e>
          </m:rad>
          <m:f>
            <m:fPr>
              <m:type m:val="bar"/>
            </m:fPr>
            <m:num>
              <m:r>
                <m:t>r</m:t>
              </m:r>
            </m:num>
            <m:den>
              <m:r>
                <m:t>r</m:t>
              </m:r>
              <m:r>
                <m:rPr>
                  <m:sty m:val="p"/>
                </m:rPr>
                <m:t>−</m:t>
              </m:r>
              <m:r>
                <m:t>1</m:t>
              </m:r>
            </m:den>
          </m:f>
        </m:oMath>
      </m:oMathPara>
    </w:p>
    <w:p>
      <w:pPr>
        <w:pStyle w:val="FirstParagraph"/>
        <w:widowControl/>
        <w:spacing w:line="252" w:lineRule="auto" w:before="100" w:after="180"/>
      </w:pPr>
      <m:oMathPara>
        <m:oMathParaPr>
          <m:jc m:val="center"/>
        </m:oMathParaPr>
        <m:oMath>
          <m:sSub>
            <m:e>
              <m:r>
                <m:t>P</m:t>
              </m:r>
            </m:e>
            <m:sub>
              <m:r>
                <m:t>g</m:t>
              </m:r>
              <m:r>
                <m:t>e</m:t>
              </m:r>
              <m:r>
                <m:t>o</m:t>
              </m:r>
              <m:r>
                <m:t>m</m:t>
              </m:r>
              <m:r>
                <m:t>e</m:t>
              </m:r>
              <m:r>
                <m:t>t</m:t>
              </m:r>
              <m:r>
                <m:t>r</m:t>
              </m:r>
              <m:r>
                <m:t>y</m:t>
              </m:r>
            </m:sub>
          </m:sSub>
          <m:r>
            <m:rPr>
              <m:sty m:val="p"/>
            </m:rPr>
            <m:t>=</m:t>
          </m:r>
          <m:r>
            <m:rPr>
              <m:sty m:val="p"/>
            </m:rPr>
            <m:t>−</m:t>
          </m:r>
          <m:r>
            <m:t>10</m:t>
          </m:r>
          <m:sSub>
            <m:e>
              <m:r>
                <m:rPr>
                  <m:sty m:val="p"/>
                </m:rPr>
                <m:t>log</m:t>
              </m:r>
            </m:e>
            <m:sub>
              <m:r>
                <m:t>10</m:t>
              </m:r>
            </m:sub>
          </m:sSub>
          <m:d>
            <m:dPr>
              <m:begChr m:val="("/>
              <m:endChr m:val=")"/>
              <m:sepChr m:val=""/>
              <m:grow/>
            </m:dPr>
            <m:e>
              <m:r>
                <m:t>1</m:t>
              </m:r>
              <m:r>
                <m:rPr>
                  <m:sty m:val="p"/>
                </m:rPr>
                <m:t>−</m:t>
              </m:r>
              <m:sSub>
                <m:e>
                  <m:r>
                    <m:t>δ</m:t>
                  </m:r>
                </m:e>
                <m:sub>
                  <m:r>
                    <m:t>e</m:t>
                  </m:r>
                  <m:r>
                    <m:t>y</m:t>
                  </m:r>
                  <m:r>
                    <m:t>e</m:t>
                  </m:r>
                </m:sub>
              </m:sSub>
            </m:e>
          </m:d>
          <m:r>
            <m:rPr>
              <m:sty m:val="p"/>
            </m:rPr>
            <m:t>,</m:t>
          </m:r>
          <m:r>
            <m:t>  </m:t>
          </m:r>
          <m:r>
            <m:t>0</m:t>
          </m:r>
          <m:r>
            <m:rPr>
              <m:sty m:val="p"/>
            </m:rPr>
            <m:t>≤</m:t>
          </m:r>
          <m:sSub>
            <m:e>
              <m:r>
                <m:t>δ</m:t>
              </m:r>
            </m:e>
            <m:sub>
              <m:r>
                <m:t>e</m:t>
              </m:r>
              <m:r>
                <m:t>y</m:t>
              </m:r>
              <m:r>
                <m:t>e</m:t>
              </m:r>
            </m:sub>
          </m:sSub>
          <m:r>
            <m:rPr>
              <m:sty m:val="p"/>
            </m:rPr>
            <m:t>&lt;</m:t>
          </m:r>
          <m:r>
            <m:t>1</m:t>
          </m:r>
        </m:oMath>
      </m:oMathPara>
    </w:p>
    <w:p>
      <w:pPr>
        <w:pStyle w:val="FirstParagraph"/>
        <w:widowControl/>
      </w:pPr>
      <w:r>
        <w:t xml:space="preserve">Pgeometry는 이 모델에서 눈 높이 감소를 보상하는 OMA 증가량을 dB로 환산한 지표다. 정적 광전력 리플, TDECQ와 동일하지 않고, IEEE가 할당한 MPI 페널티를 대체하지 않는다. 지연·위상·편광에 따라 동시에 달성되지 않는 최악 조합을 포함해 실제값보다 보수적일 수 있다. 이 모델의 숫자를 기존 PMD 페널티에 추가해 이중 계상하지 않는다.</w:t>
      </w:r>
    </w:p>
    <w:tbl>
      <w:tblPr>
        <w:tblStyle w:val="Table"/>
        <w:tblW w:type="dxa" w:w="986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466"/>
        <w:gridCol w:w="2466"/>
        <w:gridCol w:w="2466"/>
        <w:gridCol w:w="2466"/>
      </w:tblGrid>
      <w:tr>
        <w:trPr>
          <w:tblHeader w:val="true"/>
          <w:cantSplit/>
          <w:tblHeader/>
        </w:trPr>
        <w:tc>
          <w:tcPr>
            <w:tcW w:type="dxa" w:w="246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두 사건의 반사율 가정</w:t>
            </w:r>
          </w:p>
        </w:tc>
        <w:tc>
          <w:tcPr>
            <w:tcW w:type="dxa" w:w="246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q</w:t>
            </w:r>
          </w:p>
        </w:tc>
        <w:tc>
          <w:tcPr>
            <w:tcW w:type="dxa" w:w="246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눈 간격 감소</w:t>
            </w:r>
          </w:p>
        </w:tc>
        <w:tc>
          <w:tcPr>
            <w:tcW w:type="dxa" w:w="246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기하 보상 지표</w:t>
            </w:r>
          </w:p>
        </w:tc>
      </w:tr>
      <w:tr>
        <w:trPr>
          <w:cantSplit/>
        </w:trPr>
        <w:tc>
          <w:tcPr>
            <w:tcW w:type="dxa" w:w="246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−26dB와 −26dB</w:t>
            </w:r>
          </w:p>
        </w:tc>
        <w:tc>
          <w:tcPr>
            <w:tcW w:type="dxa" w:w="246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6.3096×10^−6</w:t>
            </w:r>
          </w:p>
        </w:tc>
        <w:tc>
          <w:tcPr>
            <w:tcW w:type="dxa" w:w="246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5.448%</w:t>
            </w:r>
          </w:p>
        </w:tc>
        <w:tc>
          <w:tcPr>
            <w:tcW w:type="dxa" w:w="246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0.2433dB</w:t>
            </w:r>
          </w:p>
        </w:tc>
      </w:tr>
      <w:tr>
        <w:trPr>
          <w:cantSplit/>
        </w:trPr>
        <w:tc>
          <w:tcPr>
            <w:tcW w:type="dxa" w:w="246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−35dB와 −35dB</w:t>
            </w:r>
          </w:p>
        </w:tc>
        <w:tc>
          <w:tcPr>
            <w:tcW w:type="dxa" w:w="246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1.0×10^−7</w:t>
            </w:r>
          </w:p>
        </w:tc>
        <w:tc>
          <w:tcPr>
            <w:tcW w:type="dxa" w:w="246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0.6858%</w:t>
            </w:r>
          </w:p>
        </w:tc>
        <w:tc>
          <w:tcPr>
            <w:tcW w:type="dxa" w:w="246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0.02989dB</w:t>
            </w:r>
          </w:p>
        </w:tc>
      </w:tr>
      <w:tr>
        <w:trPr>
          <w:cantSplit/>
        </w:trPr>
        <w:tc>
          <w:tcPr>
            <w:tcW w:type="dxa" w:w="246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−50dB와 −50dB</w:t>
            </w:r>
          </w:p>
        </w:tc>
        <w:tc>
          <w:tcPr>
            <w:tcW w:type="dxa" w:w="246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1.0×10^−10</w:t>
            </w:r>
          </w:p>
        </w:tc>
        <w:tc>
          <w:tcPr>
            <w:tcW w:type="dxa" w:w="246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0.02169%</w:t>
            </w:r>
          </w:p>
        </w:tc>
        <w:tc>
          <w:tcPr>
            <w:tcW w:type="dxa" w:w="246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0.000942dB</w:t>
            </w:r>
          </w:p>
        </w:tc>
      </w:tr>
      <w:tr>
        <w:trPr>
          <w:cantSplit/>
        </w:trPr>
        <w:tc>
          <w:tcPr>
            <w:tcW w:type="dxa" w:w="246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−60dB와 −60dB</w:t>
            </w:r>
          </w:p>
        </w:tc>
        <w:tc>
          <w:tcPr>
            <w:tcW w:type="dxa" w:w="246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1.0×10^−12</w:t>
            </w:r>
          </w:p>
        </w:tc>
        <w:tc>
          <w:tcPr>
            <w:tcW w:type="dxa" w:w="246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0.002169%</w:t>
            </w:r>
          </w:p>
        </w:tc>
        <w:tc>
          <w:tcPr>
            <w:tcW w:type="dxa" w:w="246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0.0000942dB</w:t>
            </w:r>
          </w:p>
        </w:tc>
      </w:tr>
      <w:tr>
        <w:trPr>
          <w:cantSplit/>
        </w:trPr>
        <w:tc>
          <w:tcPr>
            <w:tcW w:type="dxa" w:w="246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−14dB와 −26dB</w:t>
            </w:r>
          </w:p>
        </w:tc>
        <w:tc>
          <w:tcPr>
            <w:tcW w:type="dxa" w:w="246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1.0×10^−4</w:t>
            </w:r>
          </w:p>
        </w:tc>
        <w:tc>
          <w:tcPr>
            <w:tcW w:type="dxa" w:w="246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21.687%</w:t>
            </w:r>
          </w:p>
        </w:tc>
        <w:tc>
          <w:tcPr>
            <w:tcW w:type="dxa" w:w="246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1.0617dB</w:t>
            </w:r>
          </w:p>
        </w:tc>
      </w:tr>
    </w:tbl>
    <w:p>
      <w:pPr>
        <w:pStyle w:val="BodyText"/>
        <w:widowControl/>
      </w:pPr>
      <w:r>
        <w:t xml:space="preserve">네 개의 반사점이 있으면 가능한 이중 반사 쌍은 6개다. 위치별 왕복 감쇠를 포함한 qij를 계산하고, 무작위 위상 평균 전력의 합과 최악 위상 전계의 합을 구분한다. 위상 평균 qtotal=Σqij를 사용한 결과를 항상 최악 경계라고 주장하지 않는다. 반사율만으로 실제 링크의 MPI BER 페널티를 유일하게 결정할 수는 없다.</w:t>
      </w:r>
    </w:p>
    <w:bookmarkEnd w:id="171"/>
    <w:bookmarkStart w:id="172" w:name="광연결-실무자의-시험과-판정표"/>
    <w:p>
      <w:pPr>
        <w:pStyle w:val="Heading2"/>
        <w:widowControl/>
      </w:pPr>
      <w:r>
        <w:t xml:space="preserve">광연결 실무자의 시험과 판정표</w:t>
      </w:r>
    </w:p>
    <w:tbl>
      <w:tblPr>
        <w:tblStyle w:val="Table"/>
        <w:tblW w:type="dxa" w:w="986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096"/>
        <w:gridCol w:w="4392"/>
      </w:tblGrid>
      <w:tr>
        <w:trPr>
          <w:tblHeader w:val="true"/>
          <w:cantSplit/>
          <w:tblHeader/>
        </w:trPr>
        <w:tc>
          <w:tcPr>
            <w:tcW w:type="dxa" w:w="237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확인 대상</w:t>
            </w:r>
          </w:p>
        </w:tc>
        <w:tc>
          <w:tcPr>
            <w:tcW w:type="dxa" w:w="309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필요한 방법 또는 자료</w:t>
            </w:r>
          </w:p>
        </w:tc>
        <w:tc>
          <w:tcPr>
            <w:tcW w:type="dxa" w:w="4392"/>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이 방법만으로 알 수 없는 것</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전체 삽입손실과 극성</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모든 사용 심의 OLTS와 매핑</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TDECQ와 수신 BER</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국부 반사와 위치</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적절한 분해능의 OTDR 등</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데드존 안의 모든 접속 분리</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전체 ORL</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규정 기준면의 ORL 측정</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각 사건 반사율과 MPI 위상</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송신 품질</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참조 설정의 OMA ER TDECQ</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전체 설치 환경의 BER 보증</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수신 스트레스 내성</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규정 스트레스 파형과 BER 시험</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모든 현장의 단일 숫자 마진</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설치 링크 동작</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모든 레인·방향의 BER와 FEC 통계</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장기 모든 환경의 무오류 보장</w:t>
            </w:r>
          </w:p>
        </w:tc>
      </w:tr>
    </w:tbl>
    <w:p>
      <w:pPr>
        <w:pStyle w:val="BodyText"/>
        <w:widowControl/>
      </w:pPr>
      <w:r>
        <w:t xml:space="preserve">단면 검사와 청소 이후에도 반사가 높으면 커넥터 형상과 실제 결합 쌍을 확인한다. 짧은 데이터센터 링크에서는 OTDR 데드존 때문에 가까운 사건이 합쳐질 수 있다. 시험 장비의 거리 분해능·반사 동적범위·런치와 리시브 코드 조건을 기록한다. DOM 평균 전력이 정상이라는 이유로 반사·OMA·TDECQ 검사를 생략하지 않는다.</w:t>
      </w:r>
    </w:p>
    <w:p>
      <w:pPr>
        <w:pStyle w:val="BodyText"/>
        <w:keepNext/>
        <w:widowControl/>
      </w:pPr>
      <w:r>
        <w:t xml:space="preserve">설계 결과에는 레인별 최소 입력과 최대 입력, Tx 결합 조건, 실제 채널 손실, 반사·ORL 기준, 적용 PMD와 FEC 및 최종 미확인 항목을 남긴다. 파형 품질을 확인하지 못한 상태는 수량·손실 검산 통과로만 표시하고 링크 전체 합격으로 확장하지 않는다.</w:t>
      </w:r>
    </w:p>
    <w:p>
      <w:pPr>
        <w:pStyle w:val="BodyText"/>
        <w:widowControl/>
        <w:spacing w:before="160"/>
      </w:pPr>
      <w:r>
        <w:rPr>
          <w:sz w:val="17"/>
        </w:rPr>
        <w:t xml:space="preserve">근거 및 추가 읽기 [R16] [R21–R24] [R30–R36]</w:t>
      </w:r>
    </w:p>
    <w:bookmarkEnd w:id="172"/>
    <w:bookmarkEnd w:id="173"/>
    <w:bookmarkStart w:id="182" w:name="색분산-pmd와-광링크-동시-제약"/>
    <w:p>
      <w:pPr>
        <w:pStyle w:val="Heading2"/>
        <w:keepNext/>
        <w:keepLines/>
        <w:spacing w:after="100"/>
      </w:pPr>
      <w:r>
        <w:t>차세대 PAM4: LPO/리타이머 전기광학 시험경계</w:t>
      </w:r>
    </w:p>
    <w:p>
      <w:pPr>
        <w:pStyle w:val="BodyText"/>
        <w:keepLines/>
        <w:spacing w:after="100"/>
      </w:pPr>
      <w:r>
        <w:t>LPO는 모듈 내부 DSP를 제거해 전력과 지연을 줄이려는 아키텍처다. LPO MSA는 2025년 100Gb/s per lane 기반 최대 800G SMF 규격을 공개했다 [R39]. LPO와 일반 리타임 모듈을 광소자만 바꿔 같은 BER 성능이라고 가정해서는 안 된다. 채널 손실이 호스트 SerDes, 보드 트레이스, 패키지, 모듈과 광링크에 서로 분배되므로 호스트–모듈 결합 검증이 필수다.</w:t>
      </w:r>
    </w:p>
    <w:p>
      <w:pPr>
        <w:pStyle w:val="BodyText"/>
        <w:keepLines/>
        <w:spacing w:after="100"/>
      </w:pPr>
      <w:r>
        <w:t>권고 시험 순서: ① 전기 경로의 삽입손실/반사손실 및 jitter/eye, ② 송신 OMAouter와 TDECQ, ③ Rx 스트레스 조건, ④ 링크 전송 BER/pre-FEC 및 FEC 후 오류, ⑤ 온도·전압·노화 코너, ⑥ 케이블 재접속·오염·반사 변화의 스트레스 시험. OMA−TDECQ를 단순 여유 지표로만 쓰고 실제 수신 SECQ/링크 페널티와 직접 동일시하지 않는다.</w:t>
      </w:r>
    </w:p>
    <w:p>
      <w:pPr>
        <w:pStyle w:val="BodyText"/>
        <w:keepLines/>
        <w:spacing w:after="100"/>
      </w:pPr>
      <w:r>
        <w:t>일반 리타임 예산의 광 IL 2.0dB를 LPO에도 자동 적용하는 것은 부적절하다. 광수신기 감도·C2M 기저잡음 및 호스트 신호 복원 능력을 합친 통합 시스템 시험에 합격해야 한다. 설계 선택의 비교 척도는 총소비전력(W/port), end-to-end pre-FEC BER, 성능 여유, 교체·현장 정비 가능성이다.</w:t>
      </w:r>
    </w:p>
    <w:tbl>
      <w:tblPr>
        <w:tblW w:type="auto" w:w="0"/>
        <w:jc w:val="center"/>
        <w:tblLayout w:type="autofit"/>
        <w:tblLook w:firstColumn="1" w:firstRow="1" w:lastColumn="0" w:lastRow="0" w:noHBand="0" w:noVBand="1" w:val="04A0"/>
      </w:tblPr>
      <w:tblGrid>
        <w:gridCol w:w="2484"/>
        <w:gridCol w:w="2484"/>
        <w:gridCol w:w="2484"/>
        <w:gridCol w:w="2484"/>
      </w:tblGrid>
      <w:tr>
        <w:trPr>
          <w:tblHeader w:val="true"/>
        </w:trPr>
        <w:tc>
          <w:tcPr>
            <w:tcW w:type="dxa" w:w="2484"/>
            <w:vAlign w:val="center"/>
            <w:shd w:fill="DDEAF3"/>
          </w:tcPr>
          <w:p>
            <w:pPr>
              <w:spacing w:after="20" w:before="20"/>
            </w:pPr>
            <w:r>
              <w:rPr>
                <w:b/>
                <w:sz w:val="16"/>
              </w:rPr>
              <w:t>비교</w:t>
            </w:r>
          </w:p>
        </w:tc>
        <w:tc>
          <w:tcPr>
            <w:tcW w:type="dxa" w:w="2484"/>
            <w:vAlign w:val="center"/>
            <w:shd w:fill="DDEAF3"/>
          </w:tcPr>
          <w:p>
            <w:pPr>
              <w:spacing w:after="20" w:before="20"/>
            </w:pPr>
            <w:r>
              <w:rPr>
                <w:b/>
                <w:sz w:val="16"/>
              </w:rPr>
              <w:t>리타임 플러그</w:t>
            </w:r>
          </w:p>
        </w:tc>
        <w:tc>
          <w:tcPr>
            <w:tcW w:type="dxa" w:w="2484"/>
            <w:vAlign w:val="center"/>
            <w:shd w:fill="DDEAF3"/>
          </w:tcPr>
          <w:p>
            <w:pPr>
              <w:spacing w:after="20" w:before="20"/>
            </w:pPr>
            <w:r>
              <w:rPr>
                <w:b/>
                <w:sz w:val="16"/>
              </w:rPr>
              <w:t>LPO 모듈</w:t>
            </w:r>
          </w:p>
        </w:tc>
        <w:tc>
          <w:tcPr>
            <w:tcW w:type="dxa" w:w="2484"/>
            <w:vAlign w:val="center"/>
            <w:shd w:fill="DDEAF3"/>
          </w:tcPr>
          <w:p>
            <w:pPr>
              <w:spacing w:after="20" w:before="20"/>
            </w:pPr>
            <w:r>
              <w:rPr>
                <w:b/>
                <w:sz w:val="16"/>
              </w:rPr>
              <w:t>승인 조건</w:t>
            </w:r>
          </w:p>
        </w:tc>
      </w:tr>
      <w:tr>
        <w:tc>
          <w:tcPr>
            <w:tcW w:type="dxa" w:w="2484"/>
            <w:vAlign w:val="center"/>
          </w:tcPr>
          <w:p>
            <w:pPr>
              <w:spacing w:after="20" w:before="20"/>
            </w:pPr>
            <w:r>
              <w:rPr>
                <w:sz w:val="16"/>
              </w:rPr>
              <w:t>신호 보정</w:t>
            </w:r>
          </w:p>
        </w:tc>
        <w:tc>
          <w:tcPr>
            <w:tcW w:type="dxa" w:w="2484"/>
            <w:vAlign w:val="center"/>
          </w:tcPr>
          <w:p>
            <w:pPr>
              <w:spacing w:after="20" w:before="20"/>
            </w:pPr>
            <w:r>
              <w:rPr>
                <w:sz w:val="16"/>
              </w:rPr>
              <w:t>모듈 내 DSP/리타임 가능</w:t>
            </w:r>
          </w:p>
        </w:tc>
        <w:tc>
          <w:tcPr>
            <w:tcW w:type="dxa" w:w="2484"/>
            <w:vAlign w:val="center"/>
          </w:tcPr>
          <w:p>
            <w:pPr>
              <w:spacing w:after="20" w:before="20"/>
            </w:pPr>
            <w:r>
              <w:rPr>
                <w:sz w:val="16"/>
              </w:rPr>
              <w:t>호스트 통합 보정 의존</w:t>
            </w:r>
          </w:p>
        </w:tc>
        <w:tc>
          <w:tcPr>
            <w:tcW w:type="dxa" w:w="2484"/>
            <w:vAlign w:val="center"/>
          </w:tcPr>
          <w:p>
            <w:pPr>
              <w:spacing w:after="20" w:before="20"/>
            </w:pPr>
            <w:r>
              <w:rPr>
                <w:sz w:val="16"/>
              </w:rPr>
              <w:t>호스트 및 모듈 공동 시험</w:t>
            </w:r>
          </w:p>
        </w:tc>
      </w:tr>
      <w:tr>
        <w:tc>
          <w:tcPr>
            <w:tcW w:type="dxa" w:w="2484"/>
            <w:vAlign w:val="center"/>
            <w:shd w:fill="F2F6FA"/>
          </w:tcPr>
          <w:p>
            <w:pPr>
              <w:spacing w:after="20" w:before="20"/>
            </w:pPr>
            <w:r>
              <w:rPr>
                <w:sz w:val="16"/>
              </w:rPr>
              <w:t>광학 시험</w:t>
            </w:r>
          </w:p>
        </w:tc>
        <w:tc>
          <w:tcPr>
            <w:tcW w:type="dxa" w:w="2484"/>
            <w:vAlign w:val="center"/>
            <w:shd w:fill="F2F6FA"/>
          </w:tcPr>
          <w:p>
            <w:pPr>
              <w:spacing w:after="20" w:before="20"/>
            </w:pPr>
            <w:r>
              <w:rPr>
                <w:sz w:val="16"/>
              </w:rPr>
              <w:t>OMA/TDECQ/IL/Rx 조건</w:t>
            </w:r>
          </w:p>
        </w:tc>
        <w:tc>
          <w:tcPr>
            <w:tcW w:type="dxa" w:w="2484"/>
            <w:vAlign w:val="center"/>
            <w:shd w:fill="F2F6FA"/>
          </w:tcPr>
          <w:p>
            <w:pPr>
              <w:spacing w:after="20" w:before="20"/>
            </w:pPr>
            <w:r>
              <w:rPr>
                <w:sz w:val="16"/>
              </w:rPr>
              <w:t>동일 지표 + E2E 전기 잡음</w:t>
            </w:r>
          </w:p>
        </w:tc>
        <w:tc>
          <w:tcPr>
            <w:tcW w:type="dxa" w:w="2484"/>
            <w:vAlign w:val="center"/>
            <w:shd w:fill="F2F6FA"/>
          </w:tcPr>
          <w:p>
            <w:pPr>
              <w:spacing w:after="20" w:before="20"/>
            </w:pPr>
            <w:r>
              <w:rPr>
                <w:sz w:val="16"/>
              </w:rPr>
              <w:t>전 온도 BER/FEC 검증</w:t>
            </w:r>
          </w:p>
        </w:tc>
      </w:tr>
      <w:tr>
        <w:tc>
          <w:tcPr>
            <w:tcW w:type="dxa" w:w="2484"/>
            <w:vAlign w:val="center"/>
          </w:tcPr>
          <w:p>
            <w:pPr>
              <w:spacing w:after="20" w:before="20"/>
            </w:pPr>
            <w:r>
              <w:rPr>
                <w:sz w:val="16"/>
              </w:rPr>
              <w:t>전력</w:t>
            </w:r>
          </w:p>
        </w:tc>
        <w:tc>
          <w:tcPr>
            <w:tcW w:type="dxa" w:w="2484"/>
            <w:vAlign w:val="center"/>
          </w:tcPr>
          <w:p>
            <w:pPr>
              <w:spacing w:after="20" w:before="20"/>
            </w:pPr>
            <w:r>
              <w:rPr>
                <w:sz w:val="16"/>
              </w:rPr>
              <w:t>모듈 측 사용량이 큼(정량 별도)</w:t>
            </w:r>
          </w:p>
        </w:tc>
        <w:tc>
          <w:tcPr>
            <w:tcW w:type="dxa" w:w="2484"/>
            <w:vAlign w:val="center"/>
          </w:tcPr>
          <w:p>
            <w:pPr>
              <w:spacing w:after="20" w:before="20"/>
            </w:pPr>
            <w:r>
              <w:rPr>
                <w:sz w:val="16"/>
              </w:rPr>
              <w:t>모듈 측 절감 가능</w:t>
            </w:r>
          </w:p>
        </w:tc>
        <w:tc>
          <w:tcPr>
            <w:tcW w:type="dxa" w:w="2484"/>
            <w:vAlign w:val="center"/>
          </w:tcPr>
          <w:p>
            <w:pPr>
              <w:spacing w:after="20" w:before="20"/>
            </w:pPr>
            <w:r>
              <w:rPr>
                <w:sz w:val="16"/>
              </w:rPr>
              <w:t>동일 속도/거리의 실측 비교</w:t>
            </w:r>
          </w:p>
        </w:tc>
      </w:tr>
      <w:tr>
        <w:tc>
          <w:tcPr>
            <w:tcW w:type="dxa" w:w="2484"/>
            <w:vAlign w:val="center"/>
            <w:shd w:fill="F2F6FA"/>
          </w:tcPr>
          <w:p>
            <w:pPr>
              <w:spacing w:after="20" w:before="20"/>
            </w:pPr>
            <w:r>
              <w:rPr>
                <w:sz w:val="16"/>
              </w:rPr>
              <w:t>부품 교체</w:t>
            </w:r>
          </w:p>
        </w:tc>
        <w:tc>
          <w:tcPr>
            <w:tcW w:type="dxa" w:w="2484"/>
            <w:vAlign w:val="center"/>
            <w:shd w:fill="F2F6FA"/>
          </w:tcPr>
          <w:p>
            <w:pPr>
              <w:spacing w:after="20" w:before="20"/>
            </w:pPr>
            <w:r>
              <w:rPr>
                <w:sz w:val="16"/>
              </w:rPr>
              <w:t>포트별 교체 가능</w:t>
            </w:r>
          </w:p>
        </w:tc>
        <w:tc>
          <w:tcPr>
            <w:tcW w:type="dxa" w:w="2484"/>
            <w:vAlign w:val="center"/>
            <w:shd w:fill="F2F6FA"/>
          </w:tcPr>
          <w:p>
            <w:pPr>
              <w:spacing w:after="20" w:before="20"/>
            </w:pPr>
            <w:r>
              <w:rPr>
                <w:sz w:val="16"/>
              </w:rPr>
              <w:t>포트별 교체 가능</w:t>
            </w:r>
          </w:p>
        </w:tc>
        <w:tc>
          <w:tcPr>
            <w:tcW w:type="dxa" w:w="2484"/>
            <w:vAlign w:val="center"/>
            <w:shd w:fill="F2F6FA"/>
          </w:tcPr>
          <w:p>
            <w:pPr>
              <w:spacing w:after="20" w:before="20"/>
            </w:pPr>
            <w:r>
              <w:rPr>
                <w:sz w:val="16"/>
              </w:rPr>
              <w:t>MSA·호환 목록 일치</w:t>
            </w:r>
          </w:p>
        </w:tc>
      </w:tr>
    </w:tbl>
    <w:p>
      <w:pPr>
        <w:pStyle w:val="Heading1"/>
        <w:keepNext/>
        <w:widowControl/>
      </w:pPr>
      <w:bookmarkStart w:id="54" w:name="topic_54"/>
      <w:r>
        <w:t xml:space="preserve">54 색분산 PMD와 광링크 동시 제약</w:t>
      </w:r>
      <w:bookmarkEnd w:id="54"/>
    </w:p>
    <w:p>
      <w:pPr>
        <w:pStyle w:val="FirstParagraph"/>
        <w:widowControl/>
        <w:spacing w:after="100" w:line="290" w:lineRule="exact"/>
      </w:pPr>
      <w:r>
        <w:rPr>
          <w:bCs/>
          <w:b/>
        </w:rPr>
        <w:t xml:space="preserve">5부 광섬유 광케이블과 링크 예산</w:t>
      </w:r>
    </w:p>
    <w:p>
      <w:pPr>
        <w:pStyle w:val="BodyText"/>
        <w:widowControl/>
        <w:spacing w:after="100" w:line="290" w:lineRule="exact"/>
      </w:pPr>
      <w:r>
        <w:t xml:space="preserve">이 절은 거리를 데이터시트와 비교하는 데서 끝내지 않고 색분산 계수, 누적 분산, 펄스 시간 확산, PAM4 심볼 시간, PMD와 레인 스큐를 계산한다. 단순 시간 확산에서 TDECQ나 BER로 넘어가려면 송신 파형·처프·대역폭과 참조 수신기가 필요하다는 경계도 명시한다. 먼저 배선 담당자가 확인할 수 있는 섬유와 길이의 영향을 수치로 구하고 그 결과를 광모듈 규격과 연결한다.</w:t>
      </w:r>
    </w:p>
    <w:bookmarkStart w:id="174" w:name="색분산-계수에서-누적-분산을-유도하기"/>
    <w:p>
      <w:pPr>
        <w:pStyle w:val="Heading2"/>
        <w:widowControl/>
      </w:pPr>
      <w:r>
        <w:t xml:space="preserve">색분산 계수에서 누적 분산을 유도하기</w:t>
      </w:r>
    </w:p>
    <w:p>
      <w:pPr>
        <w:pStyle w:val="FirstParagraph"/>
        <w:widowControl/>
        <w:spacing w:after="100" w:line="290" w:lineRule="exact"/>
      </w:pPr>
      <w:r>
        <w:t xml:space="preserve">파장 λ가 변할 때 군지연 τg가 얼마나 달라지는지가 색분산 계수 D다. D의 단위는 ps/(nm·km)이며 길이를 곱하면 채널의 누적 분산 Cλ가 ps/nm로 나온다. Cλ는 섬유가 서로 다를 때 부호를 포함해 구간별로 더한다. 절댓값을 먼저 더하면 서로 다른 부호의 영향과 실제 경로를 혼동할 수 있다.</w:t>
      </w:r>
    </w:p>
    <w:p>
      <w:pPr>
        <w:pStyle w:val="BodyText"/>
        <w:widowControl/>
        <w:spacing w:line="252" w:lineRule="auto" w:before="80" w:after="140"/>
      </w:pPr>
      <m:oMathPara>
        <m:oMathParaPr>
          <m:jc m:val="center"/>
        </m:oMathParaPr>
        <m:oMath>
          <m:r>
            <m:t>D</m:t>
          </m:r>
          <m:d>
            <m:dPr>
              <m:begChr m:val="("/>
              <m:endChr m:val=")"/>
              <m:sepChr m:val=""/>
              <m:grow/>
            </m:dPr>
            <m:e>
              <m:r>
                <m:t>λ</m:t>
              </m:r>
            </m:e>
          </m:d>
          <m:r>
            <m:rPr>
              <m:sty m:val="p"/>
            </m:rPr>
            <m:t>=</m:t>
          </m:r>
          <m:f>
            <m:fPr>
              <m:type m:val="bar"/>
            </m:fPr>
            <m:num>
              <m:r>
                <m:t>1</m:t>
              </m:r>
            </m:num>
            <m:den>
              <m:r>
                <m:t>L</m:t>
              </m:r>
            </m:den>
          </m:f>
          <m:f>
            <m:fPr>
              <m:type m:val="bar"/>
            </m:fPr>
            <m:num>
              <m:r>
                <m:t>d</m:t>
              </m:r>
              <m:sSub>
                <m:e>
                  <m:r>
                    <m:t>τ</m:t>
                  </m:r>
                </m:e>
                <m:sub>
                  <m:r>
                    <m:t>g</m:t>
                  </m:r>
                </m:sub>
              </m:sSub>
            </m:num>
            <m:den>
              <m:r>
                <m:t>d</m:t>
              </m:r>
              <m:r>
                <m:t>λ</m:t>
              </m:r>
            </m:den>
          </m:f>
          <m:r>
            <m:rPr>
              <m:sty m:val="p"/>
            </m:rPr>
            <m:t>,</m:t>
          </m:r>
          <m:r>
            <m:t>  </m:t>
          </m:r>
          <m:sSub>
            <m:e>
              <m:r>
                <m:t>C</m:t>
              </m:r>
            </m:e>
            <m:sub>
              <m:r>
                <m:t>λ</m:t>
              </m:r>
            </m:sub>
          </m:sSub>
          <m:d>
            <m:dPr>
              <m:begChr m:val="("/>
              <m:endChr m:val=")"/>
              <m:sepChr m:val=""/>
              <m:grow/>
            </m:dPr>
            <m:e>
              <m:r>
                <m:t>λ</m:t>
              </m:r>
            </m:e>
          </m:d>
          <m:r>
            <m:rPr>
              <m:sty m:val="p"/>
            </m:rPr>
            <m:t>=</m:t>
          </m:r>
          <m:nary>
            <m:naryPr>
              <m:chr m:val="∑"/>
              <m:limLoc m:val="undOvr"/>
              <m:subHide m:val="off"/>
              <m:supHide m:val="on"/>
            </m:naryPr>
            <m:sub>
              <m:r>
                <m:t>i</m:t>
              </m:r>
            </m:sub>
            <m:sup>
              <m:r>
                <m:t>​</m:t>
              </m:r>
            </m:sup>
            <m:e>
              <m:sSub>
                <m:e>
                  <m:r>
                    <m:t>D</m:t>
                  </m:r>
                </m:e>
                <m:sub>
                  <m:r>
                    <m:t>i</m:t>
                  </m:r>
                </m:sub>
              </m:sSub>
            </m:e>
          </m:nary>
          <m:d>
            <m:dPr>
              <m:begChr m:val="("/>
              <m:endChr m:val=")"/>
              <m:sepChr m:val=""/>
              <m:grow/>
            </m:dPr>
            <m:e>
              <m:r>
                <m:t>λ</m:t>
              </m:r>
            </m:e>
          </m:d>
          <m:sSub>
            <m:e>
              <m:r>
                <m:t>L</m:t>
              </m:r>
            </m:e>
            <m:sub>
              <m:r>
                <m:t>i</m:t>
              </m:r>
            </m:sub>
          </m:sSub>
        </m:oMath>
      </m:oMathPara>
    </w:p>
    <w:p>
      <w:pPr>
        <w:pStyle w:val="FirstParagraph"/>
        <w:widowControl/>
        <w:spacing w:after="100" w:line="290" w:lineRule="exact"/>
      </w:pPr>
      <w:r>
        <w:t xml:space="preserve">작은 파장 간격 Δλ에 대한 지연 차이는 Δτ≈CλΔλ다. 이것은 같은 링크를 통해 전달된 서로 다른 광학 주파수 성분의 상대 지연이며, 채널 전체의 절대 전파시간과는 다르다. D=17ps/(nm·km), L=2km, Δλ=0.4nm라면 Cλ=34ps/nm와 Δτ≈13.6ps다. 2km의 전파시간 약 9.8μs와 이 13.6ps를 같은 지표로 비교하지 않는다.</w:t>
      </w:r>
    </w:p>
    <w:bookmarkEnd w:id="174"/>
    <w:bookmarkStart w:id="175" w:name="o-대역의-분산-곡선과-영분산-파장"/>
    <w:p>
      <w:pPr>
        <w:pStyle w:val="Heading2"/>
        <w:widowControl/>
      </w:pPr>
      <w:r>
        <w:t xml:space="preserve">O 대역의 분산 곡선과 영분산 파장</w:t>
      </w:r>
    </w:p>
    <w:p>
      <w:pPr>
        <w:pStyle w:val="FirstParagraph"/>
        <w:widowControl/>
        <w:spacing w:after="100" w:line="290" w:lineRule="exact"/>
      </w:pPr>
      <w:r>
        <w:t xml:space="preserve">영분산 파장 λ0 부근의 설명용 모델로 다음 식을 사용한다. λ와 λ0는 nm, S0는 ps/(nm²·km)로 넣는다. ITU-T G.652(08/2024)는 O 대역의 파장 의존성과 경계 계산에 관련 식을 제시하며 G.652.D에는 부호에 따라 적용할 S0 상·하한도 구분한다. 아래의 단일 곡선은 선택한 섬유의 근사이며 모든 G.652.D 섬유의 고정값이 아니다. [R32]</w:t>
      </w:r>
    </w:p>
    <w:p>
      <w:pPr>
        <w:pStyle w:val="BodyText"/>
        <w:widowControl/>
        <w:spacing w:line="252" w:lineRule="auto" w:before="80" w:after="140"/>
      </w:pPr>
      <m:oMathPara>
        <m:oMathParaPr>
          <m:jc m:val="center"/>
        </m:oMathParaPr>
        <m:oMath>
          <m:r>
            <m:t>D</m:t>
          </m:r>
          <m:d>
            <m:dPr>
              <m:begChr m:val="("/>
              <m:endChr m:val=")"/>
              <m:sepChr m:val=""/>
              <m:grow/>
            </m:dPr>
            <m:e>
              <m:r>
                <m:t>λ</m:t>
              </m:r>
            </m:e>
          </m:d>
          <m:r>
            <m:rPr>
              <m:sty m:val="p"/>
            </m:rPr>
            <m:t>=</m:t>
          </m:r>
          <m:f>
            <m:fPr>
              <m:type m:val="bar"/>
            </m:fPr>
            <m:num>
              <m:sSub>
                <m:e>
                  <m:r>
                    <m:t>S</m:t>
                  </m:r>
                </m:e>
                <m:sub>
                  <m:r>
                    <m:t>0</m:t>
                  </m:r>
                </m:sub>
              </m:sSub>
            </m:num>
            <m:den>
              <m:r>
                <m:t>4</m:t>
              </m:r>
            </m:den>
          </m:f>
          <m:d>
            <m:dPr>
              <m:begChr m:val="("/>
              <m:endChr m:val=")"/>
              <m:sepChr m:val=""/>
              <m:grow/>
            </m:dPr>
            <m:e>
              <m:r>
                <m:t>λ</m:t>
              </m:r>
              <m:r>
                <m:rPr>
                  <m:sty m:val="p"/>
                </m:rPr>
                <m:t>−</m:t>
              </m:r>
              <m:f>
                <m:fPr>
                  <m:type m:val="bar"/>
                </m:fPr>
                <m:num>
                  <m:sSubSup>
                    <m:e>
                      <m:r>
                        <m:t>λ</m:t>
                      </m:r>
                    </m:e>
                    <m:sub>
                      <m:r>
                        <m:t>0</m:t>
                      </m:r>
                    </m:sub>
                    <m:sup>
                      <m:r>
                        <m:t>4</m:t>
                      </m:r>
                    </m:sup>
                  </m:sSubSup>
                </m:num>
                <m:den>
                  <m:sSup>
                    <m:e>
                      <m:r>
                        <m:t>λ</m:t>
                      </m:r>
                    </m:e>
                    <m:sup>
                      <m:r>
                        <m:t>3</m:t>
                      </m:r>
                    </m:sup>
                  </m:sSup>
                </m:den>
              </m:f>
            </m:e>
          </m:d>
        </m:oMath>
      </m:oMathPara>
    </w:p>
    <w:p>
      <w:pPr>
        <w:pStyle w:val="FirstParagraph"/>
        <w:widowControl/>
        <w:spacing w:after="100" w:line="290" w:lineRule="exact"/>
      </w:pPr>
      <w:r>
        <w:t xml:space="preserve">S0=0.086ps/(nm²·km), λ0=1310nm를 가정하면 D(1311)=0.08590ps/(nm·km)다. 1310nm 부근이므로 분산이 작지만 정확히 0이라고 할 수 없다. 데이터시트의 전체 파장 범위와 섬유의 λ0 분포를 함께 검토해야 한다. C 대역까지 이 근사식을 무비판적으로 외삽하지 말고 해당 파장의 실측 D 또는 규정 경계를 사용한다.</w:t>
      </w:r>
    </w:p>
    <w:tbl>
      <w:tblPr>
        <w:tblStyle w:val="Table"/>
        <w:tblW w:type="dxa" w:w="986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096"/>
        <w:gridCol w:w="4392"/>
      </w:tblGrid>
      <w:tr>
        <w:trPr>
          <w:tblHeader w:val="true"/>
          <w:cantSplit/>
          <w:tblHeader/>
        </w:trPr>
        <w:tc>
          <w:tcPr>
            <w:tcW w:type="dxa" w:w="237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파장 가정</w:t>
            </w:r>
          </w:p>
        </w:tc>
        <w:tc>
          <w:tcPr>
            <w:tcW w:type="dxa" w:w="309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명목 D 값</w:t>
            </w:r>
          </w:p>
        </w:tc>
        <w:tc>
          <w:tcPr>
            <w:tcW w:type="dxa" w:w="4392"/>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500m 누적 분산</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1271nm</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−3.51156ps/(nm·km)</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−1.75578ps/nm</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1291nm</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−1.67043ps/(nm·km)</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−0.83521ps/nm</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1311nm</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0.08590ps/(nm·km)</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0.04295ps/nm</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1331nm</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1.76371ps/(nm·km)</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0.88185ps/nm</w:t>
            </w:r>
          </w:p>
        </w:tc>
      </w:tr>
    </w:tbl>
    <w:p>
      <w:pPr>
        <w:pStyle w:val="BodyText"/>
        <w:widowControl/>
        <w:spacing w:after="100" w:line="290" w:lineRule="exact"/>
      </w:pPr>
      <w:r>
        <w:t xml:space="preserve">네 파장은 다중 파장 비교용 입력이다. 단일 파장 병렬 DR4의 네 레인과 FR4의 서로 다른 파장 레인을 혼동하지 않는다. FR4라면 레인별 중심 파장과 온도 드리프트 범위를 각각 검토한다. DR4도 모든 레인이 동일한 실제 파장으로 발광한다고 가정하지 않는다.</w:t>
      </w:r>
    </w:p>
    <w:bookmarkEnd w:id="175"/>
    <w:bookmarkStart w:id="176" w:name="제품-파장-범위에서-최악-분산을-계산하기"/>
    <w:p>
      <w:pPr>
        <w:pStyle w:val="Heading2"/>
        <w:widowControl/>
      </w:pPr>
      <w:r>
        <w:t xml:space="preserve">제품 파장 범위에서 최악 분산을 계산하기</w:t>
      </w:r>
    </w:p>
    <w:p>
      <w:pPr>
        <w:pStyle w:val="FirstParagraph"/>
        <w:widowControl/>
        <w:spacing w:after="100" w:line="290" w:lineRule="exact"/>
      </w:pPr>
      <w:r>
        <w:t xml:space="preserve">사례 B와 연결되는 공개 NVIDIA 제품군의 파장 범위는 1304.5~1317.5nm다. λ0 범위를 1300~1324nm로, S0 범위를 0.073~0.092ps/(nm²·km)로 선택한 O 대역 예제를 계산한다. 이 범위는 G.652.D 공개 표의 분산 파라미터를 참고한 것이며 실제 케이블의 성적서가 있으면 그 값을 우선한다. [R30] [R32]</w:t>
      </w:r>
    </w:p>
    <w:p>
      <w:pPr>
        <w:pStyle w:val="BodyText"/>
        <w:widowControl/>
        <w:spacing w:after="100" w:line="290" w:lineRule="exact"/>
      </w:pPr>
      <w:r>
        <w:t xml:space="preserve">이 창에서는 최소 D를 찾을 때 λ=1304.5nm, λ0=1324nm, S0=0.092를 사용하면 −1.83463ps/(nm·km)다. 최대 D는 λ=1317.5nm, λ0=1300nm, S0=0.092에서 1.57821ps/(nm·km)다. 따라서 이 모델과 범위의 보수적 절댓값은 1.83463ps/(nm·km)다. 1311nm 명목값만 쓴 결과보다 훨씬 크다.</w:t>
      </w:r>
    </w:p>
    <w:tbl>
      <w:tblPr>
        <w:tblStyle w:val="Table"/>
        <w:tblW w:type="dxa" w:w="986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096"/>
        <w:gridCol w:w="4392"/>
      </w:tblGrid>
      <w:tr>
        <w:trPr>
          <w:tblHeader w:val="true"/>
          <w:cantSplit/>
          <w:tblHeader/>
        </w:trPr>
        <w:tc>
          <w:tcPr>
            <w:tcW w:type="dxa" w:w="237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조건</w:t>
            </w:r>
          </w:p>
        </w:tc>
        <w:tc>
          <w:tcPr>
            <w:tcW w:type="dxa" w:w="309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D 범위</w:t>
            </w:r>
          </w:p>
        </w:tc>
        <w:tc>
          <w:tcPr>
            <w:tcW w:type="dxa" w:w="4392"/>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100m 누적 분산 범위</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파장 1304.5nm</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−1.83463~0.41186</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−0.18346~0.04119ps/nm</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파장 1311nm</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−1.21391~0.99933</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−0.12139~0.09993ps/nm</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파장 1317.5nm</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−0.60244~1.57821</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−0.06024~0.15782ps/nm</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파장·섬유를 전체 탐색</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−1.83463~1.57821</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−0.18346~0.15782ps/nm</w:t>
            </w:r>
          </w:p>
        </w:tc>
      </w:tr>
    </w:tbl>
    <w:p>
      <w:pPr>
        <w:pStyle w:val="BodyText"/>
        <w:widowControl/>
        <w:spacing w:after="100" w:line="290" w:lineRule="exact"/>
      </w:pPr>
      <w:r>
        <w:t xml:space="preserve">D 열의 단위는 ps/(nm·km)다. 표의 경계는 이 식과 입력 범위에서 계산한 설계 예제이며 실제 모든 조합이 생산 분포에서 같은 확률로 나타난다는 뜻이 아니다. 복수 케이블 접속 시 분산 분포의 통계적 평균 효과를 적용하려면 제조사 데이터와 명시한 초과확률이 필요하다. 단일 링크에서 근거 없이 평균 효과를 인정하지 않는다.</w:t>
      </w:r>
    </w:p>
    <w:bookmarkEnd w:id="176"/>
    <w:bookmarkStart w:id="177" w:name="펄스-시간-확산과-레인-심볼-시간"/>
    <w:p>
      <w:pPr>
        <w:pStyle w:val="Heading2"/>
        <w:widowControl/>
      </w:pPr>
      <w:r>
        <w:t xml:space="preserve">펄스 시간 확산과 레인 심볼 시간</w:t>
      </w:r>
    </w:p>
    <w:p>
      <w:pPr>
        <w:pStyle w:val="FirstParagraph"/>
        <w:widowControl/>
        <w:spacing w:after="100" w:line="290" w:lineRule="exact"/>
      </w:pPr>
      <w:r>
        <w:t xml:space="preserve">협대역·선형 군지연 근사에서 광학 스펙트럼의 RMS 폭을 σλ로 놓으면 분산에 의한 시간 확산 규모를 아래 식으로 계산한다. σλ의 단위는 nm이며 RMS와 FWHM을 섞지 않는다. 무변조 레이저의 정적 선폭과 변조된 파형의 유효 스펙트럼 폭도 다르다. 여기서 σλ=0.4nm는 모델 가정이며 실제 400G 모듈의 보증 선폭이 아니다.</w:t>
      </w:r>
    </w:p>
    <w:p>
      <w:pPr>
        <w:pStyle w:val="BodyText"/>
        <w:widowControl/>
        <w:spacing w:line="252" w:lineRule="auto" w:before="80" w:after="140"/>
      </w:pPr>
      <m:oMathPara>
        <m:oMathParaPr>
          <m:jc m:val="center"/>
        </m:oMathParaPr>
        <m:oMath>
          <m:sSub>
            <m:e>
              <m:r>
                <m:t>σ</m:t>
              </m:r>
            </m:e>
            <m:sub>
              <m:r>
                <m:t>t</m:t>
              </m:r>
              <m:r>
                <m:rPr>
                  <m:sty m:val="p"/>
                </m:rPr>
                <m:t>,</m:t>
              </m:r>
              <m:r>
                <m:t>C</m:t>
              </m:r>
              <m:r>
                <m:t>D</m:t>
              </m:r>
            </m:sub>
          </m:sSub>
          <m:r>
            <m:rPr>
              <m:sty m:val="p"/>
            </m:rPr>
            <m:t>≃</m:t>
          </m:r>
          <m:d>
            <m:dPr>
              <m:begChr m:val="|"/>
              <m:endChr m:val="|"/>
              <m:sepChr m:val=""/>
              <m:grow/>
            </m:dPr>
            <m:e>
              <m:sSub>
                <m:e>
                  <m:r>
                    <m:t>C</m:t>
                  </m:r>
                </m:e>
                <m:sub>
                  <m:r>
                    <m:t>λ</m:t>
                  </m:r>
                </m:sub>
              </m:sSub>
            </m:e>
          </m:d>
          <m:sSub>
            <m:e>
              <m:r>
                <m:t>σ</m:t>
              </m:r>
            </m:e>
            <m:sub>
              <m:r>
                <m:t>λ</m:t>
              </m:r>
            </m:sub>
          </m:sSub>
          <m:r>
            <m:rPr>
              <m:sty m:val="p"/>
            </m:rPr>
            <m:t>,</m:t>
          </m:r>
          <m:r>
            <m:t>  </m:t>
          </m:r>
          <m:sSub>
            <m:e>
              <m:r>
                <m:t>T</m:t>
              </m:r>
            </m:e>
            <m:sub>
              <m:r>
                <m:t>U</m:t>
              </m:r>
              <m:r>
                <m:t>I</m:t>
              </m:r>
            </m:sub>
          </m:sSub>
          <m:r>
            <m:rPr>
              <m:sty m:val="p"/>
            </m:rPr>
            <m:t>=</m:t>
          </m:r>
          <m:r>
            <m:t>1</m:t>
          </m:r>
          <m:r>
            <m:rPr>
              <m:sty m:val="p"/>
            </m:rPr>
            <m:t>/</m:t>
          </m:r>
          <m:sSub>
            <m:e>
              <m:r>
                <m:t>R</m:t>
              </m:r>
            </m:e>
            <m:sub>
              <m:r>
                <m:t>s</m:t>
              </m:r>
            </m:sub>
          </m:sSub>
        </m:oMath>
      </m:oMathPara>
    </w:p>
    <w:p>
      <w:pPr>
        <w:pStyle w:val="FirstParagraph"/>
        <w:widowControl/>
        <w:spacing w:after="100" w:line="290" w:lineRule="exact"/>
      </w:pPr>
      <w:r>
        <w:t xml:space="preserve">사례의 레인 심볼률 Rs=53.125GBd이면 TUI=18.82353ps다. PAM4 한 심볼은 2비트를 담으므로 레인 원시 비트율은 106.25Gb/s이며 100Gb/s라는 서비스 명칭과 부호화 오버헤드를 구분한다. 400G를 그대로 심볼률로 넣어 UI=2.5ps로 계산하면 레인 구조를 무시한 오류다.</w:t>
      </w:r>
    </w:p>
    <w:tbl>
      <w:tblPr>
        <w:tblStyle w:val="Table"/>
        <w:tblW w:type="dxa" w:w="986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096"/>
        <w:gridCol w:w="4392"/>
      </w:tblGrid>
      <w:tr>
        <w:trPr>
          <w:tblHeader w:val="true"/>
          <w:cantSplit/>
          <w:tblHeader/>
        </w:trPr>
        <w:tc>
          <w:tcPr>
            <w:tcW w:type="dxa" w:w="237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길이와 분산 가정</w:t>
            </w:r>
          </w:p>
        </w:tc>
        <w:tc>
          <w:tcPr>
            <w:tcW w:type="dxa" w:w="309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누적 분산 절댓값</w:t>
            </w:r>
          </w:p>
        </w:tc>
        <w:tc>
          <w:tcPr>
            <w:tcW w:type="dxa" w:w="4392"/>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σt와 UI 비율</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O 대역 30m D=1.83463</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0.05504ps/nm</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0.02202ps 약 0.117%</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O 대역 100m D=1.83463</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0.18346ps/nm</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0.07339ps 약 0.390%</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O 대역 500m D=1.83463</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0.91731ps/nm</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0.36693ps 약 1.949%</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1550nm 500m D=17</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8.50ps/nm</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3.40ps 약 18.063%</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1550nm 2km D=17</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34.00ps/nm</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13.60ps 약 72.250%</w:t>
            </w:r>
          </w:p>
        </w:tc>
      </w:tr>
    </w:tbl>
    <w:p>
      <w:pPr>
        <w:pStyle w:val="BodyText"/>
        <w:widowControl/>
        <w:spacing w:after="100" w:line="290" w:lineRule="exact"/>
      </w:pPr>
      <w:r>
        <w:t xml:space="preserve">이 표는 분산의 시간 규모를 비교한다. UI 비율이 작다는 사실만으로 BER 통과를 선언하지 않는다. σt는 이 모델의 확산 규모이고 표준이 지정한 허용 눈 폐쇄나 TDECQ와 같은 숫자가 아니다. RMS 폭과 비동기 스펙트럼에 대한 근사를 실제 EML·DML의 처프 파형에 그대로 적용하면 오차가 생길 수 있다.</w:t>
      </w:r>
    </w:p>
    <w:bookmarkEnd w:id="177"/>
    <w:bookmarkStart w:id="178" w:name="강도변조-직접검출의-주파수-응답-예제"/>
    <w:p>
      <w:pPr>
        <w:pStyle w:val="Heading2"/>
        <w:widowControl/>
      </w:pPr>
      <w:r>
        <w:t xml:space="preserve">강도변조 직접검출의 주파수 응답 예제</w:t>
      </w:r>
    </w:p>
    <w:p>
      <w:pPr>
        <w:pStyle w:val="FirstParagraph"/>
        <w:widowControl/>
        <w:spacing w:after="100" w:line="290" w:lineRule="exact"/>
      </w:pPr>
      <w:r>
        <w:t xml:space="preserve">분산은 단순 펄스폭 외에도 강도변조 직접검출 채널의 주파수 응답을 바꿀 수 있다. 아래 식은 처프 0, 양측파대 소신호 강도변조, 선형 섬유, 광학 비대칭과 등화 없음으로 직접 유도한 이상 모델이다. β2의 전계 위상에 대해 두 측파대와 반송파의 비팅을 합하면 코사인 형태가 나온다. 실제 제품 적합성 모델이 아니다.</w:t>
      </w:r>
    </w:p>
    <w:p>
      <w:pPr>
        <w:pStyle w:val="BodyText"/>
        <w:widowControl/>
        <w:spacing w:line="252" w:lineRule="auto" w:before="80" w:after="140"/>
      </w:pPr>
      <m:oMathPara>
        <m:oMathParaPr>
          <m:jc m:val="center"/>
        </m:oMathParaPr>
        <m:oMath>
          <m:sSub>
            <m:e>
              <m:r>
                <m:t>β</m:t>
              </m:r>
            </m:e>
            <m:sub>
              <m:r>
                <m:t>2</m:t>
              </m:r>
            </m:sub>
          </m:sSub>
          <m:r>
            <m:rPr>
              <m:sty m:val="p"/>
            </m:rPr>
            <m:t>=</m:t>
          </m:r>
          <m:r>
            <m:rPr>
              <m:sty m:val="p"/>
            </m:rPr>
            <m:t>−</m:t>
          </m:r>
          <m:f>
            <m:fPr>
              <m:type m:val="bar"/>
            </m:fPr>
            <m:num>
              <m:sSup>
                <m:e>
                  <m:r>
                    <m:t>λ</m:t>
                  </m:r>
                </m:e>
                <m:sup>
                  <m:r>
                    <m:t>2</m:t>
                  </m:r>
                </m:sup>
              </m:sSup>
              <m:r>
                <m:t>D</m:t>
              </m:r>
            </m:num>
            <m:den>
              <m:r>
                <m:t>2</m:t>
              </m:r>
              <m:r>
                <m:t>π</m:t>
              </m:r>
              <m:r>
                <m:t>c</m:t>
              </m:r>
            </m:den>
          </m:f>
          <m:r>
            <m:rPr>
              <m:sty m:val="p"/>
            </m:rPr>
            <m:t>,</m:t>
          </m:r>
          <m:r>
            <m:t>  </m:t>
          </m:r>
          <m:sSub>
            <m:e>
              <m:r>
                <m:t>H</m:t>
              </m:r>
            </m:e>
            <m:sub>
              <m:r>
                <m:t>I</m:t>
              </m:r>
              <m:r>
                <m:t>M</m:t>
              </m:r>
              <m:r>
                <m:t>D</m:t>
              </m:r>
              <m:r>
                <m:t>D</m:t>
              </m:r>
            </m:sub>
          </m:sSub>
          <m:d>
            <m:dPr>
              <m:begChr m:val="("/>
              <m:endChr m:val=")"/>
              <m:sepChr m:val=""/>
              <m:grow/>
            </m:dPr>
            <m:e>
              <m:r>
                <m:t>f</m:t>
              </m:r>
            </m:e>
          </m:d>
          <m:r>
            <m:rPr>
              <m:sty m:val="p"/>
            </m:rPr>
            <m:t>=</m:t>
          </m:r>
          <m:r>
            <m:rPr>
              <m:sty m:val="p"/>
            </m:rPr>
            <m:t>cos</m:t>
          </m:r>
          <m:d>
            <m:dPr>
              <m:begChr m:val="("/>
              <m:endChr m:val=")"/>
              <m:sepChr m:val=""/>
              <m:grow/>
            </m:dPr>
            <m:e>
              <m:f>
                <m:fPr>
                  <m:type m:val="bar"/>
                </m:fPr>
                <m:num>
                  <m:r>
                    <m:t>π</m:t>
                  </m:r>
                  <m:r>
                    <m:t>D</m:t>
                  </m:r>
                  <m:sSup>
                    <m:e>
                      <m:r>
                        <m:t>λ</m:t>
                      </m:r>
                    </m:e>
                    <m:sup>
                      <m:r>
                        <m:t>2</m:t>
                      </m:r>
                    </m:sup>
                  </m:sSup>
                  <m:r>
                    <m:t>L</m:t>
                  </m:r>
                  <m:sSup>
                    <m:e>
                      <m:r>
                        <m:t>f</m:t>
                      </m:r>
                    </m:e>
                    <m:sup>
                      <m:r>
                        <m:t>2</m:t>
                      </m:r>
                    </m:sup>
                  </m:sSup>
                </m:num>
                <m:den>
                  <m:r>
                    <m:t>c</m:t>
                  </m:r>
                </m:den>
              </m:f>
            </m:e>
          </m:d>
        </m:oMath>
      </m:oMathPara>
    </w:p>
    <w:p>
      <w:pPr>
        <w:pStyle w:val="FirstParagraph"/>
        <w:widowControl/>
        <w:spacing w:line="252" w:lineRule="auto" w:before="80" w:after="140"/>
      </w:pPr>
      <m:oMathPara>
        <m:oMathParaPr>
          <m:jc m:val="center"/>
        </m:oMathParaPr>
        <m:oMath>
          <m:sSub>
            <m:e>
              <m:r>
                <m:t>f</m:t>
              </m:r>
            </m:e>
            <m:sub>
              <m:r>
                <m:t>n</m:t>
              </m:r>
              <m:r>
                <m:t>u</m:t>
              </m:r>
              <m:r>
                <m:t>l</m:t>
              </m:r>
              <m:r>
                <m:t>l</m:t>
              </m:r>
              <m:r>
                <m:rPr>
                  <m:sty m:val="p"/>
                </m:rPr>
                <m:t>,</m:t>
              </m:r>
              <m:r>
                <m:t>1</m:t>
              </m:r>
            </m:sub>
          </m:sSub>
          <m:r>
            <m:rPr>
              <m:sty m:val="p"/>
            </m:rPr>
            <m:t>=</m:t>
          </m:r>
          <m:rad>
            <m:radPr>
              <m:degHide m:val="on"/>
            </m:radPr>
            <m:deg/>
            <m:e>
              <m:f>
                <m:fPr>
                  <m:type m:val="bar"/>
                </m:fPr>
                <m:num>
                  <m:r>
                    <m:t>c</m:t>
                  </m:r>
                </m:num>
                <m:den>
                  <m:r>
                    <m:t>2</m:t>
                  </m:r>
                  <m:d>
                    <m:dPr>
                      <m:begChr m:val="|"/>
                      <m:endChr m:val="|"/>
                      <m:sepChr m:val=""/>
                      <m:grow/>
                    </m:dPr>
                    <m:e>
                      <m:r>
                        <m:t>D</m:t>
                      </m:r>
                    </m:e>
                  </m:d>
                  <m:sSup>
                    <m:e>
                      <m:r>
                        <m:t>λ</m:t>
                      </m:r>
                    </m:e>
                    <m:sup>
                      <m:r>
                        <m:t>2</m:t>
                      </m:r>
                    </m:sup>
                  </m:sSup>
                  <m:r>
                    <m:t>L</m:t>
                  </m:r>
                </m:den>
              </m:f>
            </m:e>
          </m:rad>
        </m:oMath>
      </m:oMathPara>
    </w:p>
    <w:p>
      <w:pPr>
        <w:pStyle w:val="FirstParagraph"/>
        <w:widowControl/>
        <w:spacing w:after="100" w:line="290" w:lineRule="exact"/>
      </w:pPr>
      <w:r>
        <w:t xml:space="preserve">이 식은 SI 단위로 계산한다. D의 1ps/(nm·km)는 10^−6s/m², λ는 m, L은 m, f는 Hz다. |H|는 광강도 변조에 비례하는 수신 전류의 소신호 전달비이며 전기 RF 전력 응답은 |H|²에 비례한다. −20log10|H|로 표시한 전기 RF 감쇠를 광 링크의 OMA 페널티로 그대로 차감하지 않는다.</w:t>
      </w:r>
    </w:p>
    <w:tbl>
      <w:tblPr>
        <w:tblStyle w:val="Table"/>
        <w:tblW w:type="dxa" w:w="986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096"/>
        <w:gridCol w:w="4392"/>
      </w:tblGrid>
      <w:tr>
        <w:trPr>
          <w:tblHeader w:val="true"/>
          <w:cantSplit/>
          <w:tblHeader/>
        </w:trPr>
        <w:tc>
          <w:tcPr>
            <w:tcW w:type="dxa" w:w="237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입력 가정</w:t>
            </w:r>
          </w:p>
        </w:tc>
        <w:tc>
          <w:tcPr>
            <w:tcW w:type="dxa" w:w="309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첫 번째 영점</w:t>
            </w:r>
          </w:p>
        </w:tc>
        <w:tc>
          <w:tcPr>
            <w:tcW w:type="dxa" w:w="4392"/>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26.5625GHz에서의 전기 RF 감쇠</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1311nm D=1.2139 L=500m</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약 379.07GHz</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약 0.00026dB</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1550nm D=17 L=500m</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약 85.68GHz</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약 0.0994dB</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1550nm D=17 L=2km</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약 42.84GHz</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약 1.6910dB</w:t>
            </w:r>
          </w:p>
        </w:tc>
      </w:tr>
    </w:tbl>
    <w:p>
      <w:pPr>
        <w:pStyle w:val="BodyText"/>
        <w:widowControl/>
        <w:spacing w:after="100" w:line="290" w:lineRule="exact"/>
      </w:pPr>
      <w:r>
        <w:t xml:space="preserve">26.5625GHz는 53.125GBd의 절반을 비교 주파수로 택한 것이다. 실제 펄스 성형과 신호 스펙트럼은 이 한 주파수에만 존재하지 않는다. O 대역의 낮은 분산이 짧은 직접검출 링크에 유리한 이유를 설명할 수 있지만 이 식 하나로 TDECQ·등화 가능성·FEC 후 BER을 예측하지 않는다.</w:t>
      </w:r>
    </w:p>
    <w:bookmarkEnd w:id="178"/>
    <w:bookmarkStart w:id="179" w:name="처프와-tdecq-검증으로-연결하기"/>
    <w:p>
      <w:pPr>
        <w:pStyle w:val="Heading2"/>
        <w:widowControl/>
      </w:pPr>
      <w:r>
        <w:t xml:space="preserve">처프와 TDECQ 검증으로 연결하기</w:t>
      </w:r>
    </w:p>
    <w:p>
      <w:pPr>
        <w:pStyle w:val="FirstParagraph"/>
        <w:widowControl/>
        <w:spacing w:after="100" w:line="290" w:lineRule="exact"/>
      </w:pPr>
      <w:r>
        <w:t xml:space="preserve">동일 D와 길이에서도 EML과 DML의 동적 처프, 레이저 스펙트럼, 광학·전기 대역폭과 등화 조건이 다르면 눈 폐쇄가 달라진다. 색분산의 부호와 처프의 조합 때문에 최악 조건이 단순히 최대 |D|인 한 점으로 정해지지 않을 수 있다. 양의 분산과 음의 분산 코너를 모두 확인한다.</w:t>
      </w:r>
    </w:p>
    <w:p>
      <w:pPr>
        <w:pStyle w:val="BodyText"/>
        <w:widowControl/>
        <w:spacing w:after="100" w:line="290" w:lineRule="exact"/>
      </w:pPr>
      <w:r>
        <w:t xml:space="preserve">TDECQ 수치가 필요하면 송신 파형을 해당 PMD의 참조 분산 조건에 통과시키고 규정된 참조 수신 필터·등화기 및 목표 SER에서 평가한다. 또는 해당 모듈의 온도·파장·전압 코너에서 규격 시험을 수행한다. 단순 σt 계산을 임의의 계수로 dB로 바꾸는 식은 이 백서에 도입하지 않는다. [R31] [R35]</w:t>
      </w:r>
    </w:p>
    <w:p>
      <w:pPr>
        <w:pStyle w:val="BodyText"/>
        <w:widowControl/>
        <w:spacing w:after="100" w:line="290" w:lineRule="exact"/>
      </w:pPr>
      <w:r>
        <w:t xml:space="preserve">물리 시뮬레이션을 만들 경우 전계 전파에는 다음 위상항을 사용할 수 있다. 변조·처프를 포함한 입력 전계, 검출과 수신 잡음, 대역 제한 및 실제 시험 알고리즘을 더해야 TDECQ와 연결된다. 부호 규약과 FFT 주파수 정의를 모델 안에서 일치시킨다.</w:t>
      </w:r>
    </w:p>
    <w:p>
      <w:pPr>
        <w:pStyle w:val="BodyText"/>
        <w:widowControl/>
        <w:spacing w:line="252" w:lineRule="auto" w:before="80" w:after="140"/>
      </w:pPr>
      <m:oMathPara>
        <m:oMathParaPr>
          <m:jc m:val="center"/>
        </m:oMathParaPr>
        <m:oMath>
          <m:sSub>
            <m:e>
              <m:r>
                <m:t>H</m:t>
              </m:r>
            </m:e>
            <m:sub>
              <m:r>
                <m:t>f</m:t>
              </m:r>
              <m:r>
                <m:t>i</m:t>
              </m:r>
              <m:r>
                <m:t>b</m:t>
              </m:r>
              <m:r>
                <m:t>e</m:t>
              </m:r>
              <m:r>
                <m:t>r</m:t>
              </m:r>
            </m:sub>
          </m:sSub>
          <m:d>
            <m:dPr>
              <m:begChr m:val="("/>
              <m:endChr m:val=")"/>
              <m:sepChr m:val=""/>
              <m:grow/>
            </m:dPr>
            <m:e>
              <m:r>
                <m:t>Ω</m:t>
              </m:r>
            </m:e>
          </m:d>
          <m:r>
            <m:rPr>
              <m:sty m:val="p"/>
            </m:rPr>
            <m:t>=</m:t>
          </m:r>
          <m:r>
            <m:rPr>
              <m:sty m:val="p"/>
            </m:rPr>
            <m:t>exp</m:t>
          </m:r>
          <m:d>
            <m:dPr>
              <m:begChr m:val="("/>
              <m:endChr m:val=")"/>
              <m:sepChr m:val=""/>
              <m:grow/>
            </m:dPr>
            <m:e>
              <m:r>
                <m:rPr>
                  <m:sty m:val="p"/>
                </m:rPr>
                <m:t>−</m:t>
              </m:r>
              <m:r>
                <m:t>j</m:t>
              </m:r>
              <m:f>
                <m:fPr>
                  <m:type m:val="bar"/>
                </m:fPr>
                <m:num>
                  <m:sSub>
                    <m:e>
                      <m:r>
                        <m:t>β</m:t>
                      </m:r>
                    </m:e>
                    <m:sub>
                      <m:r>
                        <m:t>2</m:t>
                      </m:r>
                    </m:sub>
                  </m:sSub>
                  <m:r>
                    <m:t>L</m:t>
                  </m:r>
                </m:num>
                <m:den>
                  <m:r>
                    <m:t>2</m:t>
                  </m:r>
                </m:den>
              </m:f>
              <m:sSup>
                <m:e>
                  <m:r>
                    <m:t>Ω</m:t>
                  </m:r>
                </m:e>
                <m:sup>
                  <m:r>
                    <m:t>2</m:t>
                  </m:r>
                </m:sup>
              </m:sSup>
            </m:e>
          </m:d>
        </m:oMath>
      </m:oMathPara>
    </w:p>
    <w:p>
      <w:pPr>
        <w:pStyle w:val="FirstParagraph"/>
        <w:widowControl/>
        <w:spacing w:after="100" w:line="290" w:lineRule="exact"/>
      </w:pPr>
      <w:r>
        <w:t xml:space="preserve">이 전계 위상식만으로 감쇠나 반사 및 MPI를 포함했다고 주장하지 않는다. 손실은 전계 진폭 10^(−IL/20)로, 다중 경로는 지연된 복제 전계의 합으로 별도 구현한다. 입력과 출력에서 평균·OMA·반사와 오류율을 각각 기록한다.</w:t>
      </w:r>
    </w:p>
    <w:bookmarkEnd w:id="179"/>
    <w:bookmarkStart w:id="180" w:name="pmd와-다중-레인-스큐의-분리"/>
    <w:p>
      <w:pPr>
        <w:pStyle w:val="Heading2"/>
        <w:widowControl/>
      </w:pPr>
      <w:r>
        <w:t xml:space="preserve">PMD와 다중 레인 스큐의 분리</w:t>
      </w:r>
    </w:p>
    <w:p>
      <w:pPr>
        <w:pStyle w:val="FirstParagraph"/>
        <w:widowControl/>
        <w:spacing w:after="100" w:line="290" w:lineRule="exact"/>
      </w:pPr>
      <w:r>
        <w:t xml:space="preserve">PMD는 한 광섬유에서 편광별 군지연 차이가 생기는 현상이다. 대표적인 길이 스케일 모델은 PMD 계수와 √L의 곱이다. 계수와 DGD는 통계적 의미를 갖기 때문에 이 값을 결정론적 최대 DGD라고 쓰지 않는다. 케이블 길이가 짧으면 커넥터·광학부품의 편광 특성이 상대적으로 중요해질 수도 있다.</w:t>
      </w:r>
    </w:p>
    <w:p>
      <w:pPr>
        <w:pStyle w:val="BodyText"/>
        <w:widowControl/>
        <w:spacing w:line="252" w:lineRule="auto" w:before="80" w:after="140"/>
      </w:pPr>
      <m:oMathPara>
        <m:oMathParaPr>
          <m:jc m:val="center"/>
        </m:oMathParaPr>
        <m:oMath>
          <m:r>
            <m:t>D</m:t>
          </m:r>
          <m:r>
            <m:t>G</m:t>
          </m:r>
          <m:sSub>
            <m:e>
              <m:r>
                <m:t>D</m:t>
              </m:r>
            </m:e>
            <m:sub>
              <m:r>
                <m:t>s</m:t>
              </m:r>
              <m:r>
                <m:t>c</m:t>
              </m:r>
              <m:r>
                <m:t>a</m:t>
              </m:r>
              <m:r>
                <m:t>l</m:t>
              </m:r>
              <m:r>
                <m:t>e</m:t>
              </m:r>
            </m:sub>
          </m:sSub>
          <m:r>
            <m:rPr>
              <m:sty m:val="p"/>
            </m:rPr>
            <m:t>≃</m:t>
          </m:r>
          <m:sSub>
            <m:e>
              <m:r>
                <m:t>p</m:t>
              </m:r>
            </m:e>
            <m:sub>
              <m:r>
                <m:t>P</m:t>
              </m:r>
              <m:r>
                <m:t>M</m:t>
              </m:r>
              <m:r>
                <m:t>D</m:t>
              </m:r>
            </m:sub>
          </m:sSub>
          <m:rad>
            <m:radPr>
              <m:degHide m:val="on"/>
            </m:radPr>
            <m:deg/>
            <m:e>
              <m:r>
                <m:t>L</m:t>
              </m:r>
            </m:e>
          </m:rad>
        </m:oMath>
      </m:oMathPara>
    </w:p>
    <w:p>
      <w:pPr>
        <w:pStyle w:val="FirstParagraph"/>
        <w:widowControl/>
        <w:spacing w:after="100" w:line="290" w:lineRule="exact"/>
      </w:pPr>
      <w:r>
        <w:t xml:space="preserve">pPMD=0.1ps/√km, L=0.5km라는 가정이면 DGD 규모는 0.07071ps로, 18.82353ps UI의 약 0.376%다. 이 계산은 선택한 계수에서의 대표 규모이며 규격의 최대 허용 DGD나 특정 초과확률을 보증하지 않는다. 최종 PMD 페널티는 적용 PMD의 수신 시험과 코너 조건으로 확인한다.</w:t>
      </w:r>
    </w:p>
    <w:p>
      <w:pPr>
        <w:pStyle w:val="BodyText"/>
        <w:widowControl/>
        <w:spacing w:after="100" w:line="290" w:lineRule="exact"/>
      </w:pPr>
      <w:r>
        <w:t xml:space="preserve">DR4 레인 사이 섬유 길이가 다른 데서 생기는 스큐는 PMD와 다르다. 군굴절률 1.468일 때 1cm의 광경로 차이는 약 48.97ps, 즉 약 2.60UI다. σt가 0.1ps보다 작아도 여러 레인 길이 차이 때문에 수십 ps 스큐가 생길 수 있다. 허용 스큐는 PCS/FEC와 제품의 데스큐 능력으로 검토한다.</w:t>
      </w:r>
    </w:p>
    <w:p>
      <w:pPr>
        <w:pStyle w:val="BodyText"/>
        <w:widowControl/>
        <w:spacing w:line="252" w:lineRule="auto" w:before="80" w:after="140"/>
      </w:pPr>
      <m:oMathPara>
        <m:oMathParaPr>
          <m:jc m:val="center"/>
        </m:oMathParaPr>
        <m:oMath>
          <m:r>
            <m:t>Δ</m:t>
          </m:r>
          <m:sSub>
            <m:e>
              <m:r>
                <m:t>τ</m:t>
              </m:r>
            </m:e>
            <m:sub>
              <m:r>
                <m:t>s</m:t>
              </m:r>
              <m:r>
                <m:t>k</m:t>
              </m:r>
              <m:r>
                <m:t>e</m:t>
              </m:r>
              <m:r>
                <m:t>w</m:t>
              </m:r>
            </m:sub>
          </m:sSub>
          <m:r>
            <m:rPr>
              <m:sty m:val="p"/>
            </m:rPr>
            <m:t>=</m:t>
          </m:r>
          <m:sSub>
            <m:e>
              <m:r>
                <m:t>n</m:t>
              </m:r>
            </m:e>
            <m:sub>
              <m:r>
                <m:t>g</m:t>
              </m:r>
            </m:sub>
          </m:sSub>
          <m:r>
            <m:t>Δ</m:t>
          </m:r>
          <m:r>
            <m:t>L</m:t>
          </m:r>
          <m:r>
            <m:rPr>
              <m:sty m:val="p"/>
            </m:rPr>
            <m:t>/</m:t>
          </m:r>
          <m:r>
            <m:t>c</m:t>
          </m:r>
        </m:oMath>
      </m:oMathPara>
    </w:p>
    <w:tbl>
      <w:tblPr>
        <w:tblStyle w:val="Table"/>
        <w:tblW w:type="dxa" w:w="986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096"/>
        <w:gridCol w:w="4392"/>
      </w:tblGrid>
      <w:tr>
        <w:trPr>
          <w:tblHeader w:val="true"/>
          <w:cantSplit/>
          <w:tblHeader/>
        </w:trPr>
        <w:tc>
          <w:tcPr>
            <w:tcW w:type="dxa" w:w="237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차이의 원인</w:t>
            </w:r>
          </w:p>
        </w:tc>
        <w:tc>
          <w:tcPr>
            <w:tcW w:type="dxa" w:w="309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길이 의존성의 예</w:t>
            </w:r>
          </w:p>
        </w:tc>
        <w:tc>
          <w:tcPr>
            <w:tcW w:type="dxa" w:w="4392"/>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확인 방법</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색분산</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D×L×광학 파장 폭</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D 곡선과 변조 스펙트럼</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PMD</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대표적으로 p×√L</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통계 계수와 수신 조건</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레인 길이 차이</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ng×ΔL/c</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조립품 길이와 데스큐 한계</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모듈 지연 차이</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제품별</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전기·광 레인 매핑과 시험</w:t>
            </w:r>
          </w:p>
        </w:tc>
      </w:tr>
    </w:tbl>
    <w:bookmarkEnd w:id="180"/>
    <w:bookmarkStart w:id="181" w:name="설계-판정과-케이블-성적서에-필요한-값"/>
    <w:p>
      <w:pPr>
        <w:pStyle w:val="Heading2"/>
        <w:widowControl/>
      </w:pPr>
      <w:r>
        <w:t xml:space="preserve">설계 판정과 케이블 성적서에 필요한 값</w:t>
      </w:r>
    </w:p>
    <w:p>
      <w:pPr>
        <w:pStyle w:val="FirstParagraph"/>
        <w:widowControl/>
        <w:spacing w:after="100" w:line="290" w:lineRule="exact"/>
      </w:pPr>
      <w:r>
        <w:t xml:space="preserve">계산은 거리, IL, 수신 평균 상·하한, OMA 상한, 송신 TDECQ 결합 조건과 분산·반사 조건을 동시에 확인한다. 조건을 하나라도 모르면 미확인으로 남긴다. 명목 분산이 작다고 광모듈 거리 한계를 넘겨 사용하는 근거로 삼지 않는다. 100m 지원 제품을 500m로 연장하는 판단은 아래의 500m 시간 확산 표만으로 할 수 없다.</w:t>
      </w:r>
    </w:p>
    <w:p>
      <w:pPr>
        <w:pStyle w:val="BodyText"/>
        <w:widowControl/>
        <w:spacing w:after="100" w:line="290" w:lineRule="exact"/>
      </w:pPr>
      <w:r>
        <w:t xml:space="preserve">케이블 성적서에서는 적용 파장과 감쇠, 조립품 전체 IL, 사용 심 전체의 극성과 반사, 길이 및 필요 시 D와 PMD 자료를 확보한다. λ0와 S0만 제시된 경우 적용 가능한 파장 창과 계산 모델을 기록한다. 실제 실내 패치케이블의 감쇠는 완성품 보증값을 적용하며 장거리 G.652 표의 감쇠를 모든 짧은 조립품의 의무값으로 해석하지 않는다. [R32]</w:t>
      </w:r>
    </w:p>
    <w:p>
      <w:pPr>
        <w:pStyle w:val="BodyText"/>
        <w:keepNext/>
        <w:widowControl/>
        <w:spacing w:after="100" w:line="290" w:lineRule="exact"/>
      </w:pPr>
      <w:r>
        <w:t xml:space="preserve">설계 기록에는 분산 입력의 근거가 섬유 실측인지 표준 경계인지 가정인지 구분한다. 사례 B는 짧은 링크의 양단 모듈 조건을 검증하고 사례 D는 접속점 증가가 IL뿐 아니라 반사·MPI 검토 항목을 늘린다는 방향으로 해석한다.</w:t>
      </w:r>
    </w:p>
    <w:p>
      <w:pPr>
        <w:pStyle w:val="BodyText"/>
        <w:widowControl/>
        <w:spacing w:before="160" w:after="100" w:line="290" w:lineRule="exact"/>
      </w:pPr>
      <w:r>
        <w:rPr>
          <w:sz w:val="17"/>
        </w:rPr>
        <w:t xml:space="preserve">근거 및 추가 읽기 [R16] [R21–R24] [R30–R36]</w:t>
      </w:r>
    </w:p>
    <w:bookmarkEnd w:id="181"/>
    <w:bookmarkEnd w:id="182"/>
    <w:bookmarkStart w:id="184" w:name="olts-otdr와-광배선-인수-시험"/>
    <w:p>
      <w:pPr>
        <w:pStyle w:val="Heading2"/>
        <w:keepNext/>
        <w:keepLines/>
        <w:spacing w:after="100"/>
      </w:pPr>
      <w:r>
        <w:t>CPO와 외부 레이저: 광연결 개발자의 추가 검증항목</w:t>
      </w:r>
    </w:p>
    <w:p>
      <w:pPr>
        <w:pStyle w:val="BodyText"/>
        <w:keepLines/>
        <w:spacing w:after="100"/>
      </w:pPr>
      <w:r>
        <w:t>CPO(Co-Packaged Optics)는 ASIC 가까이에 광학 엔진을 배치해 고속 전기 채널을 줄이는 방식이며, LPO처럼 단순히 플러그형 모듈의 DSP만 없애는 구조와 다르다. 광학 패키지 교체 단위, 파이버 어레이 탈착, 외부 광원 공급(ELS), 전기·열·광 서비스 경계가 신규 설계변수다. OIF의 Co-Packaging 3.2T 모듈 및 ELSFP 합의문을 1차 설계 근거로 활용하되, 특정 판매 제품이 해당 규격과 호환됨을 자동 보증하지 않는다 [R46][R47].</w:t>
      </w:r>
    </w:p>
    <w:p>
      <w:pPr>
        <w:pStyle w:val="BodyText"/>
        <w:keepLines/>
        <w:spacing w:after="100"/>
      </w:pPr>
      <w:r>
        <w:t>가상 비교: 800G 광포트 64개에 대해 플러그형 모듈 18W/port, CPO 광 엔진과 외부 레이저 기여분 합산 9W/port를 가정하면 광부 전력 차이는 64×(18−9)=576W다. IT전력 감소가 전부 발열 저감으로 이어지는 경계에서 열부하 차이도 약 0.576kW다. 이 값은 실제 CPO 제품의 보증 절감률이 아니다. ASIC, 호스트 전력, 펌프 여유, 냉각 펌프와 예비 광원까지 더한 시스템 레벨로 다시 비교해야 한다.</w:t>
      </w:r>
    </w:p>
    <w:p>
      <w:pPr>
        <w:pStyle w:val="BodyText"/>
        <w:keepLines/>
        <w:spacing w:after="100"/>
      </w:pPr>
      <w:r>
        <w:t>CPO 광접속 승인 체크리스트: ① 광엔진–파이버 어레이 탈착 횟수와 허용 IL/반사 변화 ② 패키지 열사이클과 광축 정렬 오차 ③ ELS 레이저 고장 후 잔여 광원·광출력 ④ 기판·패키지 수리 단위와 서비스 중단 범위 ⑤ 먼지·청결/현장 검사 접근 ⑥ 랙에서 MMR까지 물리 배선의 분계점. 단일 실패가 수십 포트에 미치는 ‘고장 도메인’을 모듈 방식과 비교한다.</w:t>
      </w:r>
    </w:p>
    <w:p>
      <w:pPr>
        <w:pStyle w:val="BodyText"/>
        <w:keepLines/>
        <w:spacing w:after="100"/>
      </w:pPr>
      <w:r>
        <w:t>광섬유 측면에서는 광엔진 근처 굴곡 반경, 진동, 열응력, 페룰 위치 공차, MFD 불일치 결합 손실, 리본·PMF 요구 여부를 광학 엔진별로 정의해야 한다. CPO라고 모든 패키지가 PMF를 요구하는 것은 아니며 레이저·편광 처리 구조에 따라 달라진다.</w:t>
      </w:r>
    </w:p>
    <w:tbl>
      <w:tblPr>
        <w:tblW w:type="auto" w:w="0"/>
        <w:jc w:val="center"/>
        <w:tblLayout w:type="autofit"/>
        <w:tblLook w:firstColumn="1" w:firstRow="1" w:lastColumn="0" w:lastRow="0" w:noHBand="0" w:noVBand="1" w:val="04A0"/>
      </w:tblPr>
      <w:tblGrid>
        <w:gridCol w:w="3312"/>
        <w:gridCol w:w="3312"/>
        <w:gridCol w:w="3312"/>
      </w:tblGrid>
      <w:tr>
        <w:trPr>
          <w:tblHeader w:val="true"/>
        </w:trPr>
        <w:tc>
          <w:tcPr>
            <w:tcW w:type="dxa" w:w="3312"/>
            <w:vAlign w:val="center"/>
            <w:shd w:fill="DDEAF3"/>
          </w:tcPr>
          <w:p>
            <w:pPr>
              <w:spacing w:after="20" w:before="20"/>
            </w:pPr>
            <w:r>
              <w:rPr>
                <w:b/>
                <w:sz w:val="16"/>
              </w:rPr>
              <w:t>개발 시험</w:t>
            </w:r>
          </w:p>
        </w:tc>
        <w:tc>
          <w:tcPr>
            <w:tcW w:type="dxa" w:w="3312"/>
            <w:vAlign w:val="center"/>
            <w:shd w:fill="DDEAF3"/>
          </w:tcPr>
          <w:p>
            <w:pPr>
              <w:spacing w:after="20" w:before="20"/>
            </w:pPr>
            <w:r>
              <w:rPr>
                <w:b/>
                <w:sz w:val="16"/>
              </w:rPr>
              <w:t>관찰값</w:t>
            </w:r>
          </w:p>
        </w:tc>
        <w:tc>
          <w:tcPr>
            <w:tcW w:type="dxa" w:w="3312"/>
            <w:vAlign w:val="center"/>
            <w:shd w:fill="DDEAF3"/>
          </w:tcPr>
          <w:p>
            <w:pPr>
              <w:spacing w:after="20" w:before="20"/>
            </w:pPr>
            <w:r>
              <w:rPr>
                <w:b/>
                <w:sz w:val="16"/>
              </w:rPr>
              <w:t>불합격/대응 예</w:t>
            </w:r>
          </w:p>
        </w:tc>
      </w:tr>
      <w:tr>
        <w:tc>
          <w:tcPr>
            <w:tcW w:type="dxa" w:w="3312"/>
            <w:vAlign w:val="center"/>
          </w:tcPr>
          <w:p>
            <w:pPr>
              <w:spacing w:after="20" w:before="20"/>
            </w:pPr>
            <w:r>
              <w:rPr>
                <w:sz w:val="16"/>
              </w:rPr>
              <w:t>결합 IL</w:t>
            </w:r>
          </w:p>
        </w:tc>
        <w:tc>
          <w:tcPr>
            <w:tcW w:type="dxa" w:w="3312"/>
            <w:vAlign w:val="center"/>
          </w:tcPr>
          <w:p>
            <w:pPr>
              <w:spacing w:after="20" w:before="20"/>
            </w:pPr>
            <w:r>
              <w:rPr>
                <w:sz w:val="16"/>
              </w:rPr>
              <w:t>초기/100회 재착탈 IL 분포</w:t>
            </w:r>
          </w:p>
        </w:tc>
        <w:tc>
          <w:tcPr>
            <w:tcW w:type="dxa" w:w="3312"/>
            <w:vAlign w:val="center"/>
          </w:tcPr>
          <w:p>
            <w:pPr>
              <w:spacing w:after="20" w:before="20"/>
            </w:pPr>
            <w:r>
              <w:rPr>
                <w:sz w:val="16"/>
              </w:rPr>
              <w:t>상한 초과 시 페룰·정렬 재설계</w:t>
            </w:r>
          </w:p>
        </w:tc>
      </w:tr>
      <w:tr>
        <w:tc>
          <w:tcPr>
            <w:tcW w:type="dxa" w:w="3312"/>
            <w:vAlign w:val="center"/>
            <w:shd w:fill="F2F6FA"/>
          </w:tcPr>
          <w:p>
            <w:pPr>
              <w:spacing w:after="20" w:before="20"/>
            </w:pPr>
            <w:r>
              <w:rPr>
                <w:sz w:val="16"/>
              </w:rPr>
              <w:t>반사 및 MPI</w:t>
            </w:r>
          </w:p>
        </w:tc>
        <w:tc>
          <w:tcPr>
            <w:tcW w:type="dxa" w:w="3312"/>
            <w:vAlign w:val="center"/>
            <w:shd w:fill="F2F6FA"/>
          </w:tcPr>
          <w:p>
            <w:pPr>
              <w:spacing w:after="20" w:before="20"/>
            </w:pPr>
            <w:r>
              <w:rPr>
                <w:sz w:val="16"/>
              </w:rPr>
              <w:t>개별 event 반사, 전체 ORL, 신호 패널티</w:t>
            </w:r>
          </w:p>
        </w:tc>
        <w:tc>
          <w:tcPr>
            <w:tcW w:type="dxa" w:w="3312"/>
            <w:vAlign w:val="center"/>
            <w:shd w:fill="F2F6FA"/>
          </w:tcPr>
          <w:p>
            <w:pPr>
              <w:spacing w:after="20" w:before="20"/>
            </w:pPr>
            <w:r>
              <w:rPr>
                <w:sz w:val="16"/>
              </w:rPr>
              <w:t>APC/반사 위치와 인터페이스 검토</w:t>
            </w:r>
          </w:p>
        </w:tc>
      </w:tr>
      <w:tr>
        <w:tc>
          <w:tcPr>
            <w:tcW w:type="dxa" w:w="3312"/>
            <w:vAlign w:val="center"/>
          </w:tcPr>
          <w:p>
            <w:pPr>
              <w:spacing w:after="20" w:before="20"/>
            </w:pPr>
            <w:r>
              <w:rPr>
                <w:sz w:val="16"/>
              </w:rPr>
              <w:t>온도 드리프트</w:t>
            </w:r>
          </w:p>
        </w:tc>
        <w:tc>
          <w:tcPr>
            <w:tcW w:type="dxa" w:w="3312"/>
            <w:vAlign w:val="center"/>
          </w:tcPr>
          <w:p>
            <w:pPr>
              <w:spacing w:after="20" w:before="20"/>
            </w:pPr>
            <w:r>
              <w:rPr>
                <w:sz w:val="16"/>
              </w:rPr>
              <w:t>냉열 사이클 전후 OMA/BER</w:t>
            </w:r>
          </w:p>
        </w:tc>
        <w:tc>
          <w:tcPr>
            <w:tcW w:type="dxa" w:w="3312"/>
            <w:vAlign w:val="center"/>
          </w:tcPr>
          <w:p>
            <w:pPr>
              <w:spacing w:after="20" w:before="20"/>
            </w:pPr>
            <w:r>
              <w:rPr>
                <w:sz w:val="16"/>
              </w:rPr>
              <w:t>열 팽창·레이저 제어 개선</w:t>
            </w:r>
          </w:p>
        </w:tc>
      </w:tr>
      <w:tr>
        <w:tc>
          <w:tcPr>
            <w:tcW w:type="dxa" w:w="3312"/>
            <w:vAlign w:val="center"/>
            <w:shd w:fill="F2F6FA"/>
          </w:tcPr>
          <w:p>
            <w:pPr>
              <w:spacing w:after="20" w:before="20"/>
            </w:pPr>
            <w:r>
              <w:rPr>
                <w:sz w:val="16"/>
              </w:rPr>
              <w:t>ELS 장애</w:t>
            </w:r>
          </w:p>
        </w:tc>
        <w:tc>
          <w:tcPr>
            <w:tcW w:type="dxa" w:w="3312"/>
            <w:vAlign w:val="center"/>
            <w:shd w:fill="F2F6FA"/>
          </w:tcPr>
          <w:p>
            <w:pPr>
              <w:spacing w:after="20" w:before="20"/>
            </w:pPr>
            <w:r>
              <w:rPr>
                <w:sz w:val="16"/>
              </w:rPr>
              <w:t>한 광원 제거 시 잔여 링크·복구 시간</w:t>
            </w:r>
          </w:p>
        </w:tc>
        <w:tc>
          <w:tcPr>
            <w:tcW w:type="dxa" w:w="3312"/>
            <w:vAlign w:val="center"/>
            <w:shd w:fill="F2F6FA"/>
          </w:tcPr>
          <w:p>
            <w:pPr>
              <w:spacing w:after="20" w:before="20"/>
            </w:pPr>
            <w:r>
              <w:rPr>
                <w:sz w:val="16"/>
              </w:rPr>
              <w:t>광원 이중화 또는 장애 격리</w:t>
            </w:r>
          </w:p>
        </w:tc>
      </w:tr>
      <w:tr>
        <w:tc>
          <w:tcPr>
            <w:tcW w:type="dxa" w:w="3312"/>
            <w:vAlign w:val="center"/>
          </w:tcPr>
          <w:p>
            <w:pPr>
              <w:spacing w:after="20" w:before="20"/>
            </w:pPr>
            <w:r>
              <w:rPr>
                <w:sz w:val="16"/>
              </w:rPr>
              <w:t>정비 비용</w:t>
            </w:r>
          </w:p>
        </w:tc>
        <w:tc>
          <w:tcPr>
            <w:tcW w:type="dxa" w:w="3312"/>
            <w:vAlign w:val="center"/>
          </w:tcPr>
          <w:p>
            <w:pPr>
              <w:spacing w:after="20" w:before="20"/>
            </w:pPr>
            <w:r>
              <w:rPr>
                <w:sz w:val="16"/>
              </w:rPr>
              <w:t>포트 단위 vs 패키지 단위 교체시간</w:t>
            </w:r>
          </w:p>
        </w:tc>
        <w:tc>
          <w:tcPr>
            <w:tcW w:type="dxa" w:w="3312"/>
            <w:vAlign w:val="center"/>
          </w:tcPr>
          <w:p>
            <w:pPr>
              <w:spacing w:after="20" w:before="20"/>
            </w:pPr>
            <w:r>
              <w:rPr>
                <w:sz w:val="16"/>
              </w:rPr>
              <w:t>현장 교체성 설계 재평가</w:t>
            </w:r>
          </w:p>
        </w:tc>
      </w:tr>
    </w:tbl>
    <w:p>
      <w:pPr>
        <w:pStyle w:val="Heading1"/>
        <w:keepNext/>
        <w:widowControl/>
      </w:pPr>
      <w:bookmarkStart w:id="55" w:name="topic_55"/>
      <w:r>
        <w:t xml:space="preserve">55 OLTS OTDR와 광배선 인수 시험</w:t>
      </w:r>
      <w:bookmarkEnd w:id="55"/>
    </w:p>
    <w:p>
      <w:pPr>
        <w:pStyle w:val="FirstParagraph"/>
        <w:widowControl/>
      </w:pPr>
      <w:r>
        <w:rPr>
          <w:bCs/>
          <w:b/>
        </w:rPr>
        <w:t xml:space="preserve">5부 광섬유 광케이블과 링크 예산</w:t>
      </w:r>
    </w:p>
    <w:p>
      <w:pPr>
        <w:pStyle w:val="BodyText"/>
        <w:widowControl/>
      </w:pPr>
      <w:r>
        <w:t xml:space="preserve">OLTS는 광원과 파워미터를 이용해 경로 전체의 손실을 측정한다. OTDR은 시간에 따른 후방산란과 반사를 이용해 사건 위치와 특성을 분석한다. 두 방법은 목적이 달라 서로 보완적으로 사용한다.</w:t>
      </w:r>
    </w:p>
    <w:p>
      <w:pPr>
        <w:pStyle w:val="BodyText"/>
        <w:widowControl/>
      </w:pPr>
      <w:r>
        <w:t xml:space="preserve">인수 시험에서는 길이, 극성, 손실과 접속 품질을 계약한 기준으로 확인한다. 다심 커넥터는 모든 사용 심을 검사하고 필요 시 예비 심도 시험한다. 단면 청소와 현미경 검사는 접속 손실 문제를 예방하는 기본 작업이다.</w:t>
      </w:r>
    </w:p>
    <w:p>
      <w:pPr>
        <w:pStyle w:val="BodyText"/>
        <w:widowControl/>
      </w:pPr>
      <w:r>
        <w:t xml:space="preserve">OTDR 사건표의 한 값만으로 전체 채널 적합성을 확정하지 않는다. 측정 파장, 방향, 기준 코드, 발사·수신 광섬유와 기준 설정에 따라 해석이 달라질 수 있다. 시험 결과는 연결 ID와 함께 보관한다.</w:t>
      </w:r>
    </w:p>
    <w:tbl>
      <w:tblPr>
        <w:tblStyle w:val="Table"/>
        <w:tblW w:type="dxa" w:w="986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096"/>
        <w:gridCol w:w="4392"/>
      </w:tblGrid>
      <w:tr>
        <w:trPr>
          <w:tblHeader w:val="true"/>
          <w:cantSplit/>
          <w:tblHeader/>
        </w:trPr>
        <w:tc>
          <w:tcPr>
            <w:tcW w:type="dxa" w:w="237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시험</w:t>
            </w:r>
          </w:p>
        </w:tc>
        <w:tc>
          <w:tcPr>
            <w:tcW w:type="dxa" w:w="309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주요 목적</w:t>
            </w:r>
          </w:p>
        </w:tc>
        <w:tc>
          <w:tcPr>
            <w:tcW w:type="dxa" w:w="4392"/>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기록</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단면 검사</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오염과 손상 확인</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검사 결과</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극성 시험</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송수신 배열 확인</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심선 매핑</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OLTS</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전체 삽입손실</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파장과 기준면</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OTDR</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위치별 사건 분석</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트레이스와 조건</w:t>
            </w:r>
          </w:p>
        </w:tc>
      </w:tr>
    </w:tbl>
    <w:bookmarkStart w:id="183" w:name="적용과-검증-52"/>
    <w:p>
      <w:pPr>
        <w:pStyle w:val="Heading2"/>
        <w:widowControl/>
      </w:pPr>
      <w:r>
        <w:t xml:space="preserve">적용과 검증</w:t>
      </w:r>
    </w:p>
    <w:p>
      <w:pPr>
        <w:pStyle w:val="FirstParagraph"/>
        <w:keepNext/>
        <w:widowControl/>
      </w:pPr>
      <w:r>
        <w:t xml:space="preserve">다심 간선의 일부 심만 시험한 결과를 전체 케이블의 통과로 확대하지 않는다. 광모듈 연결 전 배선 시험과 실제 링크 동작 시험을 구분해 기록한다. OMA와 TDECQ는 OLTS 또는 OTDR로 대신 측정할 수 없다. §53의 시험표에 따라 파형·수신 시험을 분리한다.</w:t>
      </w:r>
    </w:p>
    <w:p>
      <w:pPr>
        <w:pStyle w:val="BodyText"/>
        <w:widowControl/>
        <w:spacing w:before="160"/>
      </w:pPr>
      <w:r>
        <w:rPr>
          <w:sz w:val="17"/>
        </w:rPr>
        <w:t xml:space="preserve">근거 및 추가 읽기 [R23] [R24]</w:t>
      </w:r>
    </w:p>
    <w:bookmarkEnd w:id="183"/>
    <w:bookmarkEnd w:id="184"/>
    <w:bookmarkStart w:id="187" w:name="광배선-bom과-변경-이력-관리"/>
    <w:p>
      <w:pPr>
        <w:pStyle w:val="Heading2"/>
        <w:keepNext/>
        <w:keepLines/>
        <w:spacing w:after="100"/>
      </w:pPr>
      <w:r>
        <w:t>인수 시험 강화: ISO/IEC 규격상의 손실 기준면 일치</w:t>
      </w:r>
    </w:p>
    <w:p>
      <w:pPr>
        <w:pStyle w:val="BodyText"/>
        <w:keepLines/>
        <w:spacing w:after="100"/>
      </w:pPr>
      <w:r>
        <w:t>설계/인수 시 “영구 링크(Permanent Link)”, “채널(Channel)”, “광모듈–모듈 총 경로”의 시작·종단 기준면을 반드시 고정한다. 커넥터 조립품 자체의 공장 IL 데이터에 장비 쪽 커넥터 접속 손실이 포함된 경우 설치 예산에서 중복 차감하지 않는다.</w:t>
      </w:r>
    </w:p>
    <w:p>
      <w:pPr>
        <w:pStyle w:val="BodyText"/>
        <w:keepLines/>
        <w:spacing w:after="100"/>
      </w:pPr>
      <w:r>
        <w:t>ISO/IEC 11801-5:2017 §5.6.2(채널·링크), §6.3.3(광채널 전송 성능), §7.3(광링크 성능), §8.3(광 배선 참조 구현), §10.3(광 커넥팅 하드웨어)를 참조한다 [R41]. ISO/IEC 14763-3:2024는 설치된 광배선의 검사·시험을 규율한다 [R42]. ANSI/TIA-568.3-E는 광케이블, 커넥터, 극성 및 시험을 다루지만, 미열람 유료 원문의 세부 조항번호를 임의 기재하지 않는다 [R43].</w:t>
      </w:r>
    </w:p>
    <w:p>
      <w:pPr>
        <w:pStyle w:val="BodyText"/>
        <w:keepLines/>
        <w:spacing w:after="100"/>
      </w:pPr>
      <w:r>
        <w:t>ITU-T G.652(08/2024)는 §6.10이 색분산, §7.1이 감쇠, §7.2가 PMD, §8 표 2가 G.652.D 권고값, 부록 I.1과 I.2가 링크 감쇠·분산 예제이다 [R32]. 기존 참고문헌의 §6.8 색분산 인용은 본 개정판에서 바로잡았다.</w:t>
      </w:r>
    </w:p>
    <w:tbl>
      <w:tblPr>
        <w:tblW w:type="auto" w:w="0"/>
        <w:jc w:val="center"/>
        <w:tblLayout w:type="autofit"/>
        <w:tblLook w:firstColumn="1" w:firstRow="1" w:lastColumn="0" w:lastRow="0" w:noHBand="0" w:noVBand="1" w:val="04A0"/>
      </w:tblPr>
      <w:tblGrid>
        <w:gridCol w:w="2484"/>
        <w:gridCol w:w="2484"/>
        <w:gridCol w:w="2484"/>
        <w:gridCol w:w="2484"/>
      </w:tblGrid>
      <w:tr>
        <w:trPr>
          <w:tblHeader w:val="true"/>
        </w:trPr>
        <w:tc>
          <w:tcPr>
            <w:tcW w:type="dxa" w:w="2484"/>
            <w:vAlign w:val="center"/>
            <w:shd w:fill="DDEAF3"/>
          </w:tcPr>
          <w:p>
            <w:pPr>
              <w:spacing w:after="20" w:before="20"/>
            </w:pPr>
            <w:r>
              <w:rPr>
                <w:b/>
                <w:sz w:val="16"/>
              </w:rPr>
              <w:t>규격/판본</w:t>
            </w:r>
          </w:p>
        </w:tc>
        <w:tc>
          <w:tcPr>
            <w:tcW w:type="dxa" w:w="2484"/>
            <w:vAlign w:val="center"/>
            <w:shd w:fill="DDEAF3"/>
          </w:tcPr>
          <w:p>
            <w:pPr>
              <w:spacing w:after="20" w:before="20"/>
            </w:pPr>
            <w:r>
              <w:rPr>
                <w:b/>
                <w:sz w:val="16"/>
              </w:rPr>
              <w:t>실제 확인한 조항/근거</w:t>
            </w:r>
          </w:p>
        </w:tc>
        <w:tc>
          <w:tcPr>
            <w:tcW w:type="dxa" w:w="2484"/>
            <w:vAlign w:val="center"/>
            <w:shd w:fill="DDEAF3"/>
          </w:tcPr>
          <w:p>
            <w:pPr>
              <w:spacing w:after="20" w:before="20"/>
            </w:pPr>
            <w:r>
              <w:rPr>
                <w:b/>
                <w:sz w:val="16"/>
              </w:rPr>
              <w:t>적용 범위</w:t>
            </w:r>
          </w:p>
        </w:tc>
        <w:tc>
          <w:tcPr>
            <w:tcW w:type="dxa" w:w="2484"/>
            <w:vAlign w:val="center"/>
            <w:shd w:fill="DDEAF3"/>
          </w:tcPr>
          <w:p>
            <w:pPr>
              <w:spacing w:after="20" w:before="20"/>
            </w:pPr>
            <w:r>
              <w:rPr>
                <w:b/>
                <w:sz w:val="16"/>
              </w:rPr>
              <w:t>검증 수준</w:t>
            </w:r>
          </w:p>
        </w:tc>
      </w:tr>
      <w:tr>
        <w:tc>
          <w:tcPr>
            <w:tcW w:type="dxa" w:w="2484"/>
            <w:vAlign w:val="center"/>
          </w:tcPr>
          <w:p>
            <w:pPr>
              <w:spacing w:after="20" w:before="20"/>
            </w:pPr>
            <w:r>
              <w:rPr>
                <w:sz w:val="16"/>
              </w:rPr>
              <w:t>ISO/IEC 11801-5:2017</w:t>
            </w:r>
          </w:p>
        </w:tc>
        <w:tc>
          <w:tcPr>
            <w:tcW w:type="dxa" w:w="2484"/>
            <w:vAlign w:val="center"/>
          </w:tcPr>
          <w:p>
            <w:pPr>
              <w:spacing w:after="20" w:before="20"/>
            </w:pPr>
            <w:r>
              <w:rPr>
                <w:sz w:val="16"/>
              </w:rPr>
              <w:t>5.6.2; 6.3.3; 7.3; 8.3; 10.3</w:t>
            </w:r>
          </w:p>
        </w:tc>
        <w:tc>
          <w:tcPr>
            <w:tcW w:type="dxa" w:w="2484"/>
            <w:vAlign w:val="center"/>
          </w:tcPr>
          <w:p>
            <w:pPr>
              <w:spacing w:after="20" w:before="20"/>
            </w:pPr>
            <w:r>
              <w:rPr>
                <w:sz w:val="16"/>
              </w:rPr>
              <w:t>데이터센터 광 채널/링크/부품</w:t>
            </w:r>
          </w:p>
        </w:tc>
        <w:tc>
          <w:tcPr>
            <w:tcW w:type="dxa" w:w="2484"/>
            <w:vAlign w:val="center"/>
          </w:tcPr>
          <w:p>
            <w:pPr>
              <w:spacing w:after="20" w:before="20"/>
            </w:pPr>
            <w:r>
              <w:rPr>
                <w:sz w:val="16"/>
              </w:rPr>
              <w:t>공개 목차로 번호 검증</w:t>
            </w:r>
          </w:p>
        </w:tc>
      </w:tr>
      <w:tr>
        <w:tc>
          <w:tcPr>
            <w:tcW w:type="dxa" w:w="2484"/>
            <w:vAlign w:val="center"/>
            <w:shd w:fill="F2F6FA"/>
          </w:tcPr>
          <w:p>
            <w:pPr>
              <w:spacing w:after="20" w:before="20"/>
            </w:pPr>
            <w:r>
              <w:rPr>
                <w:sz w:val="16"/>
              </w:rPr>
              <w:t>ITU-T G.652(08/2024)</w:t>
            </w:r>
          </w:p>
        </w:tc>
        <w:tc>
          <w:tcPr>
            <w:tcW w:type="dxa" w:w="2484"/>
            <w:vAlign w:val="center"/>
            <w:shd w:fill="F2F6FA"/>
          </w:tcPr>
          <w:p>
            <w:pPr>
              <w:spacing w:after="20" w:before="20"/>
            </w:pPr>
            <w:r>
              <w:rPr>
                <w:sz w:val="16"/>
              </w:rPr>
              <w:t>6.10; 7.1; 7.2; 8 표2; I.1–I.2</w:t>
            </w:r>
          </w:p>
        </w:tc>
        <w:tc>
          <w:tcPr>
            <w:tcW w:type="dxa" w:w="2484"/>
            <w:vAlign w:val="center"/>
            <w:shd w:fill="F2F6FA"/>
          </w:tcPr>
          <w:p>
            <w:pPr>
              <w:spacing w:after="20" w:before="20"/>
            </w:pPr>
            <w:r>
              <w:rPr>
                <w:sz w:val="16"/>
              </w:rPr>
              <w:t>SMF 분산/감쇠/PMD</w:t>
            </w:r>
          </w:p>
        </w:tc>
        <w:tc>
          <w:tcPr>
            <w:tcW w:type="dxa" w:w="2484"/>
            <w:vAlign w:val="center"/>
            <w:shd w:fill="F2F6FA"/>
          </w:tcPr>
          <w:p>
            <w:pPr>
              <w:spacing w:after="20" w:before="20"/>
            </w:pPr>
            <w:r>
              <w:rPr>
                <w:sz w:val="16"/>
              </w:rPr>
              <w:t>ITU 공개 원문 검증</w:t>
            </w:r>
          </w:p>
        </w:tc>
      </w:tr>
      <w:tr>
        <w:tc>
          <w:tcPr>
            <w:tcW w:type="dxa" w:w="2484"/>
            <w:vAlign w:val="center"/>
          </w:tcPr>
          <w:p>
            <w:pPr>
              <w:spacing w:after="20" w:before="20"/>
            </w:pPr>
            <w:r>
              <w:rPr>
                <w:sz w:val="16"/>
              </w:rPr>
              <w:t>ANSI/TIA-942-C:2024</w:t>
            </w:r>
          </w:p>
        </w:tc>
        <w:tc>
          <w:tcPr>
            <w:tcW w:type="dxa" w:w="2484"/>
            <w:vAlign w:val="center"/>
          </w:tcPr>
          <w:p>
            <w:pPr>
              <w:spacing w:after="20" w:before="20"/>
            </w:pPr>
            <w:r>
              <w:rPr>
                <w:sz w:val="16"/>
              </w:rPr>
              <w:t>조항번호 미확인</w:t>
            </w:r>
          </w:p>
        </w:tc>
        <w:tc>
          <w:tcPr>
            <w:tcW w:type="dxa" w:w="2484"/>
            <w:vAlign w:val="center"/>
          </w:tcPr>
          <w:p>
            <w:pPr>
              <w:spacing w:after="20" w:before="20"/>
            </w:pPr>
            <w:r>
              <w:rPr>
                <w:sz w:val="16"/>
              </w:rPr>
              <w:t>데이터센터 공간·배선·경로</w:t>
            </w:r>
          </w:p>
        </w:tc>
        <w:tc>
          <w:tcPr>
            <w:tcW w:type="dxa" w:w="2484"/>
            <w:vAlign w:val="center"/>
          </w:tcPr>
          <w:p>
            <w:pPr>
              <w:spacing w:after="20" w:before="20"/>
            </w:pPr>
            <w:r>
              <w:rPr>
                <w:sz w:val="16"/>
              </w:rPr>
              <w:t>TIA 공개 발표로 범위 확인</w:t>
            </w:r>
          </w:p>
        </w:tc>
      </w:tr>
      <w:tr>
        <w:tc>
          <w:tcPr>
            <w:tcW w:type="dxa" w:w="2484"/>
            <w:vAlign w:val="center"/>
            <w:shd w:fill="F2F6FA"/>
          </w:tcPr>
          <w:p>
            <w:pPr>
              <w:spacing w:after="20" w:before="20"/>
            </w:pPr>
            <w:r>
              <w:rPr>
                <w:sz w:val="16"/>
              </w:rPr>
              <w:t>ANSI/TIA-568.3-E:2022</w:t>
            </w:r>
          </w:p>
        </w:tc>
        <w:tc>
          <w:tcPr>
            <w:tcW w:type="dxa" w:w="2484"/>
            <w:vAlign w:val="center"/>
            <w:shd w:fill="F2F6FA"/>
          </w:tcPr>
          <w:p>
            <w:pPr>
              <w:spacing w:after="20" w:before="20"/>
            </w:pPr>
            <w:r>
              <w:rPr>
                <w:sz w:val="16"/>
              </w:rPr>
              <w:t>조항번호 미확인</w:t>
            </w:r>
          </w:p>
        </w:tc>
        <w:tc>
          <w:tcPr>
            <w:tcW w:type="dxa" w:w="2484"/>
            <w:vAlign w:val="center"/>
            <w:shd w:fill="F2F6FA"/>
          </w:tcPr>
          <w:p>
            <w:pPr>
              <w:spacing w:after="20" w:before="20"/>
            </w:pPr>
            <w:r>
              <w:rPr>
                <w:sz w:val="16"/>
              </w:rPr>
              <w:t>광커넥터·극성·시험</w:t>
            </w:r>
          </w:p>
        </w:tc>
        <w:tc>
          <w:tcPr>
            <w:tcW w:type="dxa" w:w="2484"/>
            <w:vAlign w:val="center"/>
            <w:shd w:fill="F2F6FA"/>
          </w:tcPr>
          <w:p>
            <w:pPr>
              <w:spacing w:after="20" w:before="20"/>
            </w:pPr>
            <w:r>
              <w:rPr>
                <w:sz w:val="16"/>
              </w:rPr>
              <w:t>TIA 공식 범위 확인</w:t>
            </w:r>
          </w:p>
        </w:tc>
      </w:tr>
      <w:tr>
        <w:tc>
          <w:tcPr>
            <w:tcW w:type="dxa" w:w="2484"/>
            <w:vAlign w:val="center"/>
          </w:tcPr>
          <w:p>
            <w:pPr>
              <w:spacing w:after="20" w:before="20"/>
            </w:pPr>
            <w:r>
              <w:rPr>
                <w:sz w:val="16"/>
              </w:rPr>
              <w:t>ISO/IEC 14763-3:2024</w:t>
            </w:r>
          </w:p>
        </w:tc>
        <w:tc>
          <w:tcPr>
            <w:tcW w:type="dxa" w:w="2484"/>
            <w:vAlign w:val="center"/>
          </w:tcPr>
          <w:p>
            <w:pPr>
              <w:spacing w:after="20" w:before="20"/>
            </w:pPr>
            <w:r>
              <w:rPr>
                <w:sz w:val="16"/>
              </w:rPr>
              <w:t>조항번호 미확인</w:t>
            </w:r>
          </w:p>
        </w:tc>
        <w:tc>
          <w:tcPr>
            <w:tcW w:type="dxa" w:w="2484"/>
            <w:vAlign w:val="center"/>
          </w:tcPr>
          <w:p>
            <w:pPr>
              <w:spacing w:after="20" w:before="20"/>
            </w:pPr>
            <w:r>
              <w:rPr>
                <w:sz w:val="16"/>
              </w:rPr>
              <w:t>현장 광배선 시험</w:t>
            </w:r>
          </w:p>
        </w:tc>
        <w:tc>
          <w:tcPr>
            <w:tcW w:type="dxa" w:w="2484"/>
            <w:vAlign w:val="center"/>
          </w:tcPr>
          <w:p>
            <w:pPr>
              <w:spacing w:after="20" w:before="20"/>
            </w:pPr>
            <w:r>
              <w:rPr>
                <w:sz w:val="16"/>
              </w:rPr>
              <w:t>ISO 공식 표제·판본 확인</w:t>
            </w:r>
          </w:p>
        </w:tc>
      </w:tr>
      <w:tr>
        <w:tc>
          <w:tcPr>
            <w:tcW w:type="dxa" w:w="2484"/>
            <w:vAlign w:val="center"/>
            <w:shd w:fill="F2F6FA"/>
          </w:tcPr>
          <w:p>
            <w:pPr>
              <w:spacing w:after="20" w:before="20"/>
            </w:pPr>
            <w:r>
              <w:rPr>
                <w:sz w:val="16"/>
              </w:rPr>
              <w:t>OIF 800ZR-01.0</w:t>
            </w:r>
          </w:p>
        </w:tc>
        <w:tc>
          <w:tcPr>
            <w:tcW w:type="dxa" w:w="2484"/>
            <w:vAlign w:val="center"/>
            <w:shd w:fill="F2F6FA"/>
          </w:tcPr>
          <w:p>
            <w:pPr>
              <w:spacing w:after="20" w:before="20"/>
            </w:pPr>
            <w:r>
              <w:rPr>
                <w:sz w:val="16"/>
              </w:rPr>
              <w:t>6.1.330; 6.1.341; 6.1.350</w:t>
            </w:r>
          </w:p>
        </w:tc>
        <w:tc>
          <w:tcPr>
            <w:tcW w:type="dxa" w:w="2484"/>
            <w:vAlign w:val="center"/>
            <w:shd w:fill="F2F6FA"/>
          </w:tcPr>
          <w:p>
            <w:pPr>
              <w:spacing w:after="20" w:before="20"/>
            </w:pPr>
            <w:r>
              <w:rPr>
                <w:sz w:val="16"/>
              </w:rPr>
              <w:t>코히어런트 OSNR/CD/PMD</w:t>
            </w:r>
          </w:p>
        </w:tc>
        <w:tc>
          <w:tcPr>
            <w:tcW w:type="dxa" w:w="2484"/>
            <w:vAlign w:val="center"/>
            <w:shd w:fill="F2F6FA"/>
          </w:tcPr>
          <w:p>
            <w:pPr>
              <w:spacing w:after="20" w:before="20"/>
            </w:pPr>
            <w:r>
              <w:rPr>
                <w:sz w:val="16"/>
              </w:rPr>
              <w:t>OIF 공식 IA 조항 검증</w:t>
            </w:r>
          </w:p>
        </w:tc>
      </w:tr>
    </w:tbl>
    <w:p>
      <w:pPr>
        <w:pStyle w:val="BodyText"/>
        <w:keepLines/>
        <w:spacing w:after="100"/>
      </w:pPr>
      <w:r>
        <w:t>표 해석: 유료 규격의 본문 미확인 번호는 ‘미확인’으로 남긴다. 구매 전 판본과 인용문을 별도 대조한다.</w:t>
      </w:r>
    </w:p>
    <w:p>
      <w:pPr>
        <w:pStyle w:val="Heading1"/>
        <w:keepNext/>
        <w:widowControl/>
      </w:pPr>
      <w:bookmarkStart w:id="56" w:name="topic_56"/>
      <w:r>
        <w:t xml:space="preserve">56 광배선 BOM과 변경 이력 관리</w:t>
      </w:r>
      <w:bookmarkEnd w:id="56"/>
    </w:p>
    <w:p>
      <w:pPr>
        <w:pStyle w:val="FirstParagraph"/>
        <w:widowControl/>
      </w:pPr>
      <w:r>
        <w:rPr>
          <w:bCs/>
          <w:b/>
        </w:rPr>
        <w:t xml:space="preserve">5부 광섬유 광케이블과 링크 예산</w:t>
      </w:r>
    </w:p>
    <w:p>
      <w:pPr>
        <w:pStyle w:val="BodyText"/>
        <w:widowControl/>
      </w:pPr>
      <w:r>
        <w:t xml:space="preserve">완전한 광배선 BOM은 간선 케이블 외에 하우징, 패널, 어댑터, 카세트, 패치코드, 광모듈과 관리 부품을 포함한다. 접속 구조에 따라 필요 부품이 달라지므로 먼저 링크 구간도를 작성한다.</w:t>
      </w:r>
    </w:p>
    <w:p>
      <w:pPr>
        <w:pStyle w:val="BodyText"/>
        <w:widowControl/>
      </w:pPr>
      <w:r>
        <w:t xml:space="preserve">광섬유 예비율은 향후 증설과 고장 대응을 위한 정책이다. 예비 심이 있더라도 빈 패널 포트와 광모듈 및 스위치 포트가 없으면 즉시 사용할 수 없다. 증설 가능량은 가장 부족한 자원이 결정한다.</w:t>
      </w:r>
    </w:p>
    <w:p>
      <w:pPr>
        <w:pStyle w:val="BodyText"/>
        <w:widowControl/>
      </w:pPr>
      <w:r>
        <w:t xml:space="preserve">교체와 재배선 이후에는 접속표와 자산 기록 및 시험 결과를 갱신한다. 같은 케이블 ID를 유지하더라도 종단 포트가 달라지면 서비스 관계가 바뀐다. 도면과 현물이 다른 상태는 장애 복구를 어렵게 한다.</w:t>
      </w:r>
    </w:p>
    <w:bookmarkStart w:id="185" w:name="계산식과-변수-29"/>
    <w:p>
      <w:pPr>
        <w:pStyle w:val="Heading2"/>
        <w:widowControl/>
      </w:pPr>
      <w:r>
        <w:t xml:space="preserve">계산식과 변수</w:t>
      </w:r>
    </w:p>
    <w:p>
      <w:pPr>
        <w:pStyle w:val="FirstParagraph"/>
        <w:widowControl/>
        <w:spacing w:line="252" w:lineRule="auto" w:before="100" w:after="180"/>
      </w:pPr>
      <m:oMathPara>
        <m:oMathParaPr>
          <m:jc m:val="center"/>
        </m:oMathParaPr>
        <m:oMath>
          <m:sSub>
            <m:e>
              <m:r>
                <m:t>N</m:t>
              </m:r>
            </m:e>
            <m:sub>
              <m:r>
                <m:t>e</m:t>
              </m:r>
              <m:r>
                <m:t>x</m:t>
              </m:r>
              <m:r>
                <m:t>p</m:t>
              </m:r>
              <m:r>
                <m:t>a</m:t>
              </m:r>
              <m:r>
                <m:t>n</m:t>
              </m:r>
              <m:r>
                <m:t>d</m:t>
              </m:r>
            </m:sub>
          </m:sSub>
          <m:r>
            <m:rPr>
              <m:sty m:val="p"/>
            </m:rPr>
            <m:t>=</m:t>
          </m:r>
          <m:r>
            <m:rPr>
              <m:sty m:val="p"/>
            </m:rPr>
            <m:t>min</m:t>
          </m:r>
          <m:d>
            <m:dPr>
              <m:begChr m:val="("/>
              <m:endChr m:val=")"/>
              <m:sepChr m:val=""/>
              <m:grow/>
            </m:dPr>
            <m:e>
              <m:sSub>
                <m:e>
                  <m:r>
                    <m:t>N</m:t>
                  </m:r>
                </m:e>
                <m:sub>
                  <m:r>
                    <m:t>f</m:t>
                  </m:r>
                  <m:r>
                    <m:t>i</m:t>
                  </m:r>
                  <m:r>
                    <m:t>b</m:t>
                  </m:r>
                  <m:r>
                    <m:t>e</m:t>
                  </m:r>
                  <m:r>
                    <m:t>r</m:t>
                  </m:r>
                  <m:r>
                    <m:t> </m:t>
                  </m:r>
                  <m:r>
                    <m:t>l</m:t>
                  </m:r>
                  <m:r>
                    <m:t>i</m:t>
                  </m:r>
                  <m:r>
                    <m:t>n</m:t>
                  </m:r>
                  <m:r>
                    <m:t>k</m:t>
                  </m:r>
                  <m:r>
                    <m:t>s</m:t>
                  </m:r>
                </m:sub>
              </m:sSub>
              <m:r>
                <m:rPr>
                  <m:sty m:val="p"/>
                </m:rPr>
                <m:t>,</m:t>
              </m:r>
              <m:sSub>
                <m:e>
                  <m:r>
                    <m:t>N</m:t>
                  </m:r>
                </m:e>
                <m:sub>
                  <m:r>
                    <m:t>p</m:t>
                  </m:r>
                  <m:r>
                    <m:t>a</m:t>
                  </m:r>
                  <m:r>
                    <m:t>n</m:t>
                  </m:r>
                  <m:r>
                    <m:t>e</m:t>
                  </m:r>
                  <m:r>
                    <m:t>l</m:t>
                  </m:r>
                  <m:r>
                    <m:t> </m:t>
                  </m:r>
                  <m:r>
                    <m:t>p</m:t>
                  </m:r>
                  <m:r>
                    <m:t>o</m:t>
                  </m:r>
                  <m:r>
                    <m:t>r</m:t>
                  </m:r>
                  <m:r>
                    <m:t>t</m:t>
                  </m:r>
                  <m:r>
                    <m:t>s</m:t>
                  </m:r>
                </m:sub>
              </m:sSub>
              <m:r>
                <m:rPr>
                  <m:sty m:val="p"/>
                </m:rPr>
                <m:t>,</m:t>
              </m:r>
              <m:sSub>
                <m:e>
                  <m:r>
                    <m:t>N</m:t>
                  </m:r>
                </m:e>
                <m:sub>
                  <m:r>
                    <m:t>s</m:t>
                  </m:r>
                  <m:r>
                    <m:t>w</m:t>
                  </m:r>
                  <m:r>
                    <m:t>i</m:t>
                  </m:r>
                  <m:r>
                    <m:t>t</m:t>
                  </m:r>
                  <m:r>
                    <m:t>c</m:t>
                  </m:r>
                  <m:r>
                    <m:t>h</m:t>
                  </m:r>
                  <m:r>
                    <m:t> </m:t>
                  </m:r>
                  <m:r>
                    <m:t>p</m:t>
                  </m:r>
                  <m:r>
                    <m:t>o</m:t>
                  </m:r>
                  <m:r>
                    <m:t>r</m:t>
                  </m:r>
                  <m:r>
                    <m:t>t</m:t>
                  </m:r>
                  <m:r>
                    <m:t>s</m:t>
                  </m:r>
                </m:sub>
              </m:sSub>
              <m:r>
                <m:rPr>
                  <m:sty m:val="p"/>
                </m:rPr>
                <m:t>,</m:t>
              </m:r>
              <m:sSub>
                <m:e>
                  <m:r>
                    <m:t>N</m:t>
                  </m:r>
                </m:e>
                <m:sub>
                  <m:r>
                    <m:t>o</m:t>
                  </m:r>
                  <m:r>
                    <m:t>p</m:t>
                  </m:r>
                  <m:r>
                    <m:t>t</m:t>
                  </m:r>
                  <m:r>
                    <m:t>i</m:t>
                  </m:r>
                  <m:r>
                    <m:t>c</m:t>
                  </m:r>
                  <m:r>
                    <m:t>s</m:t>
                  </m:r>
                </m:sub>
              </m:sSub>
            </m:e>
          </m:d>
        </m:oMath>
      </m:oMathPara>
    </w:p>
    <w:tbl>
      <w:tblPr>
        <w:tblStyle w:val="Table"/>
        <w:tblW w:type="dxa" w:w="986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096"/>
        <w:gridCol w:w="4392"/>
      </w:tblGrid>
      <w:tr>
        <w:trPr>
          <w:tblHeader w:val="true"/>
          <w:cantSplit/>
          <w:tblHeader/>
        </w:trPr>
        <w:tc>
          <w:tcPr>
            <w:tcW w:type="dxa" w:w="237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부품</w:t>
            </w:r>
          </w:p>
        </w:tc>
        <w:tc>
          <w:tcPr>
            <w:tcW w:type="dxa" w:w="309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수량 기준</w:t>
            </w:r>
          </w:p>
        </w:tc>
        <w:tc>
          <w:tcPr>
            <w:tcW w:type="dxa" w:w="4392"/>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검증</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광모듈</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양단 포트와 모듈 구성</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형명 호환</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패치코드</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경로 양끝과 중간 연결</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길이와 극성</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트렁크</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경로별 심수</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본수와 여장</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패널과 하우징</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종단 포트와 밀도</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공간과 손실</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관리 부품</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굴곡과 고정</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정비 접근</w:t>
            </w:r>
          </w:p>
        </w:tc>
      </w:tr>
    </w:tbl>
    <w:bookmarkEnd w:id="185"/>
    <w:bookmarkStart w:id="186" w:name="적용과-검증-53"/>
    <w:p>
      <w:pPr>
        <w:pStyle w:val="Heading2"/>
        <w:widowControl/>
      </w:pPr>
      <w:r>
        <w:t xml:space="preserve">적용과 검증</w:t>
      </w:r>
    </w:p>
    <w:p>
      <w:pPr>
        <w:pStyle w:val="FirstParagraph"/>
        <w:keepNext/>
        <w:widowControl/>
      </w:pPr>
      <w:r>
        <w:t xml:space="preserve">고객과 제조사가 같은 BOM을 보면서 링크 단위로 누락을 확인한다. 자재 총량표와 양단 접속표를 함께 제공하면 광케이블 공급 범위와 설치 책임을 명확히 할 수 있다.</w:t>
      </w:r>
    </w:p>
    <w:p>
      <w:pPr>
        <w:pStyle w:val="BodyText"/>
        <w:widowControl/>
        <w:spacing w:before="160"/>
      </w:pPr>
      <w:r>
        <w:rPr>
          <w:sz w:val="17"/>
        </w:rPr>
        <w:t xml:space="preserve">근거 및 추가 읽기 [R20] [R29]</w:t>
      </w:r>
    </w:p>
    <w:bookmarkEnd w:id="186"/>
    <w:bookmarkEnd w:id="187"/>
    <w:bookmarkStart w:id="190" w:name="it-소비전력에서-발열량을-계산하기"/>
    <w:p>
      <w:pPr>
        <w:pStyle w:val="Heading1"/>
        <w:keepNext/>
        <w:widowControl/>
      </w:pPr>
      <w:bookmarkStart w:id="57" w:name="topic_57"/>
      <w:r>
        <w:t xml:space="preserve">57 IT 소비전력에서 발열량을 계산하기</w:t>
      </w:r>
      <w:bookmarkEnd w:id="57"/>
    </w:p>
    <w:p>
      <w:pPr>
        <w:pStyle w:val="FirstParagraph"/>
        <w:widowControl/>
      </w:pPr>
      <w:r>
        <w:rPr>
          <w:bCs/>
          <w:b/>
        </w:rPr>
        <w:t xml:space="preserve">6부 냉각과 열수지 계산</w:t>
      </w:r>
    </w:p>
    <w:p>
      <w:pPr>
        <w:pStyle w:val="BodyText"/>
        <w:widowControl/>
      </w:pPr>
      <w:r>
        <w:t xml:space="preserve">서버에 들어간 전기에너지는 대부분 최종적으로 열이 된다. 시설의 정상 상태 열수지에서는 IT 전력과 IT 발열을 거의 같게 놓을 수 있다. 다만 열이 공기로 가는지 액체로 가는지에 따라 각 냉각 계통의 요구가 달라진다.</w:t>
      </w:r>
    </w:p>
    <w:p>
      <w:pPr>
        <w:pStyle w:val="BodyText"/>
        <w:widowControl/>
      </w:pPr>
      <w:r>
        <w:t xml:space="preserve">서버 팬의 전력은 일반적으로 시스템 입력전력에 포함된다. 여기에 팬 전력을 다시 더하면 중복이다. UPS나 변압기 손실은 다른 위치에서 열이 되므로 해당 공간의 냉각에 반영한다.</w:t>
      </w:r>
    </w:p>
    <w:p>
      <w:pPr>
        <w:pStyle w:val="BodyText"/>
        <w:widowControl/>
      </w:pPr>
      <w:r>
        <w:t xml:space="preserve">IT 전력으로 냉각기의 전기 소비전력을 바로 정할 수는 없다. 열을 제거하는 능력인 kW열과 냉각 장치에 투입되는 kW전기를 구분한다. 냉동기의 효율과 팬·펌프가 전기 소비를 결정한다.</w:t>
      </w:r>
    </w:p>
    <w:bookmarkStart w:id="188" w:name="계산식과-변수-30"/>
    <w:p>
      <w:pPr>
        <w:pStyle w:val="Heading2"/>
        <w:widowControl/>
      </w:pPr>
      <w:r>
        <w:t xml:space="preserve">계산식과 변수</w:t>
      </w:r>
    </w:p>
    <w:p>
      <w:pPr>
        <w:pStyle w:val="FirstParagraph"/>
        <w:widowControl/>
        <w:spacing w:line="252" w:lineRule="auto" w:before="100" w:after="180"/>
      </w:pPr>
      <m:oMathPara>
        <m:oMathParaPr>
          <m:jc m:val="center"/>
        </m:oMathParaPr>
        <m:oMath>
          <m:sSub>
            <m:e>
              <m:r>
                <m:t>Q</m:t>
              </m:r>
            </m:e>
            <m:sub>
              <m:r>
                <m:t>I</m:t>
              </m:r>
              <m:r>
                <m:t>T</m:t>
              </m:r>
            </m:sub>
          </m:sSub>
          <m:r>
            <m:rPr>
              <m:sty m:val="p"/>
            </m:rPr>
            <m:t>≃</m:t>
          </m:r>
          <m:sSub>
            <m:e>
              <m:r>
                <m:t>P</m:t>
              </m:r>
            </m:e>
            <m:sub>
              <m:r>
                <m:t>I</m:t>
              </m:r>
              <m:r>
                <m:t>T</m:t>
              </m:r>
            </m:sub>
          </m:sSub>
        </m:oMath>
      </m:oMathPara>
    </w:p>
    <w:p>
      <w:pPr>
        <w:pStyle w:val="FirstParagraph"/>
        <w:widowControl/>
        <w:spacing w:line="252" w:lineRule="auto" w:before="100" w:after="180"/>
      </w:pPr>
      <m:oMathPara>
        <m:oMathParaPr>
          <m:jc m:val="center"/>
        </m:oMathParaPr>
        <m:oMath>
          <m:r>
            <m:t>1</m:t>
          </m:r>
          <m:r>
            <m:t> </m:t>
          </m:r>
          <m:r>
            <m:rPr>
              <m:sty m:val="p"/>
            </m:rPr>
            <m:t>k</m:t>
          </m:r>
          <m:r>
            <m:rPr>
              <m:sty m:val="p"/>
            </m:rPr>
            <m:t>W</m:t>
          </m:r>
          <m:r>
            <m:rPr>
              <m:sty m:val="p"/>
            </m:rPr>
            <m:t>=</m:t>
          </m:r>
          <m:r>
            <m:t>3412.14</m:t>
          </m:r>
          <m:r>
            <m:t> </m:t>
          </m:r>
          <m:r>
            <m:rPr>
              <m:sty m:val="p"/>
            </m:rPr>
            <m:t>B</m:t>
          </m:r>
          <m:r>
            <m:rPr>
              <m:sty m:val="p"/>
            </m:rPr>
            <m:t>T</m:t>
          </m:r>
          <m:r>
            <m:rPr>
              <m:sty m:val="p"/>
            </m:rPr>
            <m:t>U</m:t>
          </m:r>
          <m:r>
            <m:rPr>
              <m:sty m:val="p"/>
            </m:rPr>
            <m:t>/</m:t>
          </m:r>
          <m:r>
            <m:rPr>
              <m:sty m:val="p"/>
            </m:rPr>
            <m:t>h</m:t>
          </m:r>
        </m:oMath>
      </m:oMathPara>
    </w:p>
    <w:tbl>
      <w:tblPr>
        <w:tblStyle w:val="Table"/>
        <w:tblW w:type="dxa" w:w="986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096"/>
        <w:gridCol w:w="4392"/>
      </w:tblGrid>
      <w:tr>
        <w:trPr>
          <w:tblHeader w:val="true"/>
          <w:cantSplit/>
          <w:tblHeader/>
        </w:trPr>
        <w:tc>
          <w:tcPr>
            <w:tcW w:type="dxa" w:w="237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대상</w:t>
            </w:r>
          </w:p>
        </w:tc>
        <w:tc>
          <w:tcPr>
            <w:tcW w:type="dxa" w:w="309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예제값</w:t>
            </w:r>
          </w:p>
        </w:tc>
        <w:tc>
          <w:tcPr>
            <w:tcW w:type="dxa" w:w="4392"/>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해석</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IT 전력</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40kW</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장비 입력</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발열 근사</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40kW열</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정상 열수지</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BTU 환산</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약 136486BTU/h</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단위 변환</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냉각 전력</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별도 산정</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40kW와 동일하지 않음</w:t>
            </w:r>
          </w:p>
        </w:tc>
      </w:tr>
    </w:tbl>
    <w:bookmarkEnd w:id="188"/>
    <w:bookmarkStart w:id="189" w:name="적용과-검증-54"/>
    <w:p>
      <w:pPr>
        <w:pStyle w:val="Heading2"/>
        <w:widowControl/>
      </w:pPr>
      <w:r>
        <w:t xml:space="preserve">적용과 검증</w:t>
      </w:r>
    </w:p>
    <w:p>
      <w:pPr>
        <w:pStyle w:val="FirstParagraph"/>
        <w:keepNext/>
        <w:widowControl/>
      </w:pPr>
      <w:r>
        <w:t xml:space="preserve">제조사 문서의 최대 발열과 최대 소비전력 수치가 다르면 평가 조건과 사양 경계를 확인한다. 서로 다른 조건의 값을 억지로 일치시키지 말고 설계에 적용한 값을 명시한다.</w:t>
      </w:r>
    </w:p>
    <w:p>
      <w:pPr>
        <w:pStyle w:val="BodyText"/>
        <w:widowControl/>
        <w:spacing w:before="160"/>
      </w:pPr>
      <w:r>
        <w:rPr>
          <w:sz w:val="17"/>
        </w:rPr>
        <w:t xml:space="preserve">근거 및 추가 읽기 [R09] [R13]</w:t>
      </w:r>
    </w:p>
    <w:bookmarkEnd w:id="189"/>
    <w:bookmarkEnd w:id="190"/>
    <w:bookmarkStart w:id="193" w:name="공랭에서-필요한-공기-유량"/>
    <w:p>
      <w:pPr>
        <w:pStyle w:val="Heading1"/>
        <w:keepNext/>
        <w:widowControl/>
      </w:pPr>
      <w:bookmarkStart w:id="58" w:name="topic_58"/>
      <w:r>
        <w:t xml:space="preserve">58 공랭에서 필요한 공기 유량</w:t>
      </w:r>
      <w:bookmarkEnd w:id="58"/>
    </w:p>
    <w:p>
      <w:pPr>
        <w:pStyle w:val="FirstParagraph"/>
        <w:widowControl/>
      </w:pPr>
      <w:r>
        <w:rPr>
          <w:bCs/>
          <w:b/>
        </w:rPr>
        <w:t xml:space="preserve">6부 냉각과 열수지 계산</w:t>
      </w:r>
    </w:p>
    <w:p>
      <w:pPr>
        <w:pStyle w:val="BodyText"/>
        <w:widowControl/>
      </w:pPr>
      <w:r>
        <w:t xml:space="preserve">공기는 질량유량과 비열 및 온도 상승량에 비례해 열을 운반한다. 허용 공기 온도 상승을 정하면 필요한 유량을 역산할 수 있다. 이는 랙을 통과한 실제 유량이며 공조기 명목 풍량과 같다고 가정하지 않는다.</w:t>
      </w:r>
    </w:p>
    <w:p>
      <w:pPr>
        <w:pStyle w:val="BodyText"/>
        <w:widowControl/>
      </w:pPr>
      <w:r>
        <w:t xml:space="preserve">누설, 바이패스와 재순환이 있으면 공조기에서 보낸 공기의 일부가 장비를 충분히 냉각하지 못한다. 팬의 운전점은 압력 손실과 팬 특성으로 결정되므로 유량 계산만으로 팬을 선정할 수 없다.</w:t>
      </w:r>
    </w:p>
    <w:p>
      <w:pPr>
        <w:pStyle w:val="BodyText"/>
        <w:widowControl/>
      </w:pPr>
      <w:r>
        <w:t xml:space="preserve">공기 밀도와 비열은 온도와 기압에 따라 변한다. 예제에서는 상수로 근사하며 고도와 고온 환경에서는 보정한다. 서버 자체가 요구하는 최소 풍량도 함께 확인한다.</w:t>
      </w:r>
    </w:p>
    <w:p>
      <w:pPr>
        <w:pStyle w:val="BodyText"/>
        <w:widowControl/>
      </w:pPr>
      <w:r>
        <w:t xml:space="preserve">공기식에서 밀도 kg/m³, 비열 kJ/kg·K, 유량 m³/s와 온도차 K를 곱하면 kJ/s 즉 kW가 된다. 온도차를 절반으로 제한하면 같은 열을 옮기기 위해 유량이 두 배 필요하다. 높은 풍량이 실제로 공급 가능한지는 장비와 시설의 압력 조건으로 확인한다.</w:t>
      </w:r>
    </w:p>
    <w:bookmarkStart w:id="191" w:name="계산식과-변수-31"/>
    <w:p>
      <w:pPr>
        <w:pStyle w:val="Heading2"/>
        <w:widowControl/>
      </w:pPr>
      <w:r>
        <w:t xml:space="preserve">계산식과 변수</w:t>
      </w:r>
    </w:p>
    <w:p>
      <w:pPr>
        <w:pStyle w:val="FirstParagraph"/>
        <w:widowControl/>
        <w:spacing w:line="252" w:lineRule="auto" w:before="100" w:after="180"/>
      </w:pPr>
      <m:oMathPara>
        <m:oMathParaPr>
          <m:jc m:val="center"/>
        </m:oMathParaPr>
        <m:oMath>
          <m:r>
            <m:t>Q</m:t>
          </m:r>
          <m:r>
            <m:rPr>
              <m:sty m:val="p"/>
            </m:rPr>
            <m:t>=</m:t>
          </m:r>
          <m:r>
            <m:t>ρ</m:t>
          </m:r>
          <m:sSub>
            <m:e>
              <m:r>
                <m:t>c</m:t>
              </m:r>
            </m:e>
            <m:sub>
              <m:r>
                <m:t>p</m:t>
              </m:r>
            </m:sub>
          </m:sSub>
          <m:acc>
            <m:accPr>
              <m:chr m:val="̇"/>
            </m:accPr>
            <m:e>
              <m:r>
                <m:t>V</m:t>
              </m:r>
            </m:e>
          </m:acc>
          <m:r>
            <m:t>Δ</m:t>
          </m:r>
          <m:r>
            <m:t>T</m:t>
          </m:r>
        </m:oMath>
      </m:oMathPara>
    </w:p>
    <w:p>
      <w:pPr>
        <w:pStyle w:val="FirstParagraph"/>
        <w:widowControl/>
        <w:spacing w:line="252" w:lineRule="auto" w:before="100" w:after="180"/>
      </w:pPr>
      <m:oMathPara>
        <m:oMathParaPr>
          <m:jc m:val="center"/>
        </m:oMathParaPr>
        <m:oMath>
          <m:acc>
            <m:accPr>
              <m:chr m:val="̇"/>
            </m:accPr>
            <m:e>
              <m:r>
                <m:t>V</m:t>
              </m:r>
            </m:e>
          </m:acc>
          <m:r>
            <m:rPr>
              <m:sty m:val="p"/>
            </m:rPr>
            <m:t>=</m:t>
          </m:r>
          <m:f>
            <m:fPr>
              <m:type m:val="bar"/>
            </m:fPr>
            <m:num>
              <m:r>
                <m:t>Q</m:t>
              </m:r>
            </m:num>
            <m:den>
              <m:r>
                <m:t>ρ</m:t>
              </m:r>
              <m:sSub>
                <m:e>
                  <m:r>
                    <m:t>c</m:t>
                  </m:r>
                </m:e>
                <m:sub>
                  <m:r>
                    <m:t>p</m:t>
                  </m:r>
                </m:sub>
              </m:sSub>
              <m:r>
                <m:t>Δ</m:t>
              </m:r>
              <m:r>
                <m:t>T</m:t>
              </m:r>
            </m:den>
          </m:f>
        </m:oMath>
      </m:oMathPara>
    </w:p>
    <w:tbl>
      <w:tblPr>
        <w:tblStyle w:val="Table"/>
        <w:tblW w:type="dxa" w:w="986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096"/>
        <w:gridCol w:w="4392"/>
      </w:tblGrid>
      <w:tr>
        <w:trPr>
          <w:tblHeader w:val="true"/>
          <w:cantSplit/>
          <w:tblHeader/>
        </w:trPr>
        <w:tc>
          <w:tcPr>
            <w:tcW w:type="dxa" w:w="237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변수</w:t>
            </w:r>
          </w:p>
        </w:tc>
        <w:tc>
          <w:tcPr>
            <w:tcW w:type="dxa" w:w="309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가정값</w:t>
            </w:r>
          </w:p>
        </w:tc>
        <w:tc>
          <w:tcPr>
            <w:tcW w:type="dxa" w:w="4392"/>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단위</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제거할 열 Q</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40.8</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kW</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공기 밀도</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1.2</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kg/m³</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공기 비열</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1.005</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kJ/kg K</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온도 상승</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15</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K</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필요 유량</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약 2.255</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m³/s</w:t>
            </w:r>
          </w:p>
        </w:tc>
      </w:tr>
    </w:tbl>
    <w:bookmarkEnd w:id="191"/>
    <w:bookmarkStart w:id="192" w:name="적용과-검증-55"/>
    <w:p>
      <w:pPr>
        <w:pStyle w:val="Heading2"/>
        <w:widowControl/>
      </w:pPr>
      <w:r>
        <w:t xml:space="preserve">적용과 검증</w:t>
      </w:r>
    </w:p>
    <w:p>
      <w:pPr>
        <w:pStyle w:val="FirstParagraph"/>
        <w:keepNext/>
        <w:widowControl/>
      </w:pPr>
      <w:r>
        <w:t xml:space="preserve">계산값은 약 8119m³/h이며 CFM으로 약 4778이다. 공기 흐름의 누설과 장비 압력 조건을 추가로 검증해야 한다. 이 숫자만으로 특정 공조기의 적합성을 확정하지 않는다.</w:t>
      </w:r>
    </w:p>
    <w:p>
      <w:pPr>
        <w:pStyle w:val="BodyText"/>
        <w:widowControl/>
        <w:spacing w:before="160"/>
      </w:pPr>
      <w:r>
        <w:rPr>
          <w:sz w:val="17"/>
        </w:rPr>
        <w:t xml:space="preserve">근거 및 추가 읽기 [R09]</w:t>
      </w:r>
    </w:p>
    <w:bookmarkEnd w:id="192"/>
    <w:bookmarkEnd w:id="193"/>
    <w:bookmarkStart w:id="195" w:name="컨테인먼트와-핫스팟의-원리"/>
    <w:p>
      <w:pPr>
        <w:pStyle w:val="Heading1"/>
        <w:keepNext/>
        <w:widowControl/>
      </w:pPr>
      <w:bookmarkStart w:id="59" w:name="topic_59"/>
      <w:r>
        <w:t xml:space="preserve">59 컨테인먼트와 핫스팟의 원리</w:t>
      </w:r>
      <w:bookmarkEnd w:id="59"/>
    </w:p>
    <w:p>
      <w:pPr>
        <w:pStyle w:val="FirstParagraph"/>
        <w:widowControl/>
      </w:pPr>
      <w:r>
        <w:rPr>
          <w:bCs/>
          <w:b/>
        </w:rPr>
        <w:t xml:space="preserve">6부 냉각과 열수지 계산</w:t>
      </w:r>
    </w:p>
    <w:p>
      <w:pPr>
        <w:pStyle w:val="BodyText"/>
        <w:widowControl/>
      </w:pPr>
      <w:r>
        <w:t xml:space="preserve">컨테인먼트는 찬 공기와 뜨거운 공기의 혼합을 줄여 서버 흡입면으로 필요한 공기를 전달하도록 돕는다. 냉각기의 명목 용량이 충분해도 공기가 장비에 도달하지 못하면 핫스팟이 생긴다.</w:t>
      </w:r>
    </w:p>
    <w:p>
      <w:pPr>
        <w:pStyle w:val="BodyText"/>
        <w:widowControl/>
      </w:pPr>
      <w:r>
        <w:t xml:space="preserve">랙 상단과 빈 RU 및 케이블 관통부는 재순환과 우회 흐름의 경로가 될 수 있다. 블랭킹 패널과 씰을 적용하고 랙 전후 압력과 온도 분포를 확인한다. 과도한 공기 공급도 팬 전력을 늘리고 제어를 불안정하게 할 수 있다.</w:t>
      </w:r>
    </w:p>
    <w:p>
      <w:pPr>
        <w:pStyle w:val="BodyText"/>
        <w:widowControl/>
      </w:pPr>
      <w:r>
        <w:t xml:space="preserve">평균 온도만으로 랙 전체를 판정하지 않는다. 서버 흡입면의 높이별 온도와 부하 조건을 측정한다. CFD는 흐름을 이해하는 데 유용하지만 경계조건과 실제 측정의 대조가 있어야 설계 근거가 강화된다.</w:t>
      </w:r>
    </w:p>
    <w:tbl>
      <w:tblPr>
        <w:tblStyle w:val="Table"/>
        <w:tblW w:type="dxa" w:w="986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096"/>
        <w:gridCol w:w="4392"/>
      </w:tblGrid>
      <w:tr>
        <w:trPr>
          <w:tblHeader w:val="true"/>
          <w:cantSplit/>
          <w:tblHeader/>
        </w:trPr>
        <w:tc>
          <w:tcPr>
            <w:tcW w:type="dxa" w:w="237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현상</w:t>
            </w:r>
          </w:p>
        </w:tc>
        <w:tc>
          <w:tcPr>
            <w:tcW w:type="dxa" w:w="309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가능 원인</w:t>
            </w:r>
          </w:p>
        </w:tc>
        <w:tc>
          <w:tcPr>
            <w:tcW w:type="dxa" w:w="4392"/>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확인 방법</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상단 과열</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배기 재순환</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높이별 흡입 온도</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일부 장비 과열</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배선과 필터 저항</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장비 앞뒤 압력</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바닥 근처 과냉</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불균등 공급</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구역별 풍량</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평균 정상 핫스팟</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평균에 가려진 편차</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랙별 센서 분포</w:t>
            </w:r>
          </w:p>
        </w:tc>
      </w:tr>
    </w:tbl>
    <w:bookmarkStart w:id="194" w:name="적용과-검증-56"/>
    <w:p>
      <w:pPr>
        <w:pStyle w:val="Heading2"/>
        <w:widowControl/>
      </w:pPr>
      <w:r>
        <w:t xml:space="preserve">적용과 검증</w:t>
      </w:r>
    </w:p>
    <w:p>
      <w:pPr>
        <w:pStyle w:val="FirstParagraph"/>
        <w:keepNext/>
        <w:widowControl/>
      </w:pPr>
      <w:r>
        <w:t xml:space="preserve">가상의 열손실이나 온도 상승 속도를 현장 값으로 일반화하지 않는다. 실제 핫스팟 사례에서는 공급온도, 풍량, 팬 상태와 부하 로그를 같은 시각으로 맞춰 원인을 분석한다.</w:t>
      </w:r>
    </w:p>
    <w:p>
      <w:pPr>
        <w:pStyle w:val="BodyText"/>
        <w:widowControl/>
        <w:spacing w:before="160"/>
      </w:pPr>
      <w:r>
        <w:rPr>
          <w:sz w:val="17"/>
        </w:rPr>
        <w:t xml:space="preserve">근거 및 추가 읽기 [R09] [R12]</w:t>
      </w:r>
    </w:p>
    <w:bookmarkEnd w:id="194"/>
    <w:bookmarkEnd w:id="195"/>
    <w:bookmarkStart w:id="198" w:name="액체냉각의-물-유량-계산"/>
    <w:p>
      <w:pPr>
        <w:pStyle w:val="Heading1"/>
        <w:keepNext/>
        <w:widowControl/>
      </w:pPr>
      <w:bookmarkStart w:id="60" w:name="topic_60"/>
      <w:r>
        <w:t xml:space="preserve">60 액체냉각의 물 유량 계산</w:t>
      </w:r>
      <w:bookmarkEnd w:id="60"/>
    </w:p>
    <w:p>
      <w:pPr>
        <w:pStyle w:val="FirstParagraph"/>
        <w:widowControl/>
      </w:pPr>
      <w:r>
        <w:rPr>
          <w:bCs/>
          <w:b/>
        </w:rPr>
        <w:t xml:space="preserve">6부 냉각과 열수지 계산</w:t>
      </w:r>
    </w:p>
    <w:p>
      <w:pPr>
        <w:pStyle w:val="BodyText"/>
        <w:widowControl/>
      </w:pPr>
      <w:r>
        <w:t xml:space="preserve">물은 단위 부피당 열을 운반하는 능력이 공기보다 크다. 냉각 유량은 제거할 열을 비열과 온도 상승량으로 나눠 질량유량을 구한 뒤 밀도로 환산한다. 냉각수의 혼합비와 온도에 맞는 물성을 사용한다.</w:t>
      </w:r>
    </w:p>
    <w:p>
      <w:pPr>
        <w:pStyle w:val="BodyText"/>
        <w:widowControl/>
      </w:pPr>
      <w:r>
        <w:t xml:space="preserve">GPU 서버가 액체냉각을 지원한다고 모든 열이 액체로 이동하는 것은 아니다. CPU, 메모리, 전원장치와 NIC의 열이 공기에 남을 수 있다. 액체가 회수하는 비율을 명시하고 잔여 공랭 계통을 유지한다.</w:t>
      </w:r>
    </w:p>
    <w:p>
      <w:pPr>
        <w:pStyle w:val="BodyText"/>
        <w:widowControl/>
      </w:pPr>
      <w:r>
        <w:t xml:space="preserve">유량은 열수지 조건이며 펌프 선정에는 압력 손실과 제어 여유가 필요하다. 빠른 연결부와 매니폴드 및 냉각판의 압력 손실을 제품 데이터로 확인한다.</w:t>
      </w:r>
    </w:p>
    <w:p>
      <w:pPr>
        <w:pStyle w:val="BodyText"/>
        <w:widowControl/>
      </w:pPr>
      <w:r>
        <w:t xml:space="preserve">물의 비열 4.186kJ/kg·K와 온도차 10K는 물 1kg이 41.86kJ를 운반한다는 뜻이다. 매초 80kJ를 제거하려면 80/41.86kg의 물이 흐르면 된다. 이를 분 단위로 바꾸면 약 114.67L/min이다. 이 과정이 유량식의 물리적 유도다.</w:t>
      </w:r>
    </w:p>
    <w:bookmarkStart w:id="196" w:name="계산식과-변수-32"/>
    <w:p>
      <w:pPr>
        <w:pStyle w:val="Heading2"/>
        <w:widowControl/>
      </w:pPr>
      <w:r>
        <w:t xml:space="preserve">계산식과 변수</w:t>
      </w:r>
    </w:p>
    <w:p>
      <w:pPr>
        <w:pStyle w:val="FirstParagraph"/>
        <w:widowControl/>
        <w:spacing w:line="252" w:lineRule="auto" w:before="100" w:after="180"/>
      </w:pPr>
      <m:oMathPara>
        <m:oMathParaPr>
          <m:jc m:val="center"/>
        </m:oMathParaPr>
        <m:oMath>
          <m:acc>
            <m:accPr>
              <m:chr m:val="̇"/>
            </m:accPr>
            <m:e>
              <m:r>
                <m:t>m</m:t>
              </m:r>
            </m:e>
          </m:acc>
          <m:r>
            <m:rPr>
              <m:sty m:val="p"/>
            </m:rPr>
            <m:t>=</m:t>
          </m:r>
          <m:f>
            <m:fPr>
              <m:type m:val="bar"/>
            </m:fPr>
            <m:num>
              <m:r>
                <m:t>Q</m:t>
              </m:r>
            </m:num>
            <m:den>
              <m:sSub>
                <m:e>
                  <m:r>
                    <m:t>c</m:t>
                  </m:r>
                </m:e>
                <m:sub>
                  <m:r>
                    <m:t>p</m:t>
                  </m:r>
                </m:sub>
              </m:sSub>
              <m:r>
                <m:t>Δ</m:t>
              </m:r>
              <m:r>
                <m:t>T</m:t>
              </m:r>
            </m:den>
          </m:f>
        </m:oMath>
      </m:oMathPara>
    </w:p>
    <w:p>
      <w:pPr>
        <w:pStyle w:val="FirstParagraph"/>
        <w:widowControl/>
        <w:spacing w:line="252" w:lineRule="auto" w:before="100" w:after="180"/>
      </w:pPr>
      <m:oMathPara>
        <m:oMathParaPr>
          <m:jc m:val="center"/>
        </m:oMathParaPr>
        <m:oMath>
          <m:sSub>
            <m:e>
              <m:acc>
                <m:accPr>
                  <m:chr m:val="̇"/>
                </m:accPr>
                <m:e>
                  <m:r>
                    <m:t>V</m:t>
                  </m:r>
                </m:e>
              </m:acc>
            </m:e>
            <m:sub>
              <m:r>
                <m:t>L</m:t>
              </m:r>
              <m:r>
                <m:rPr>
                  <m:sty m:val="p"/>
                </m:rPr>
                <m:t>/</m:t>
              </m:r>
              <m:r>
                <m:t>m</m:t>
              </m:r>
              <m:r>
                <m:t>i</m:t>
              </m:r>
              <m:r>
                <m:t>n</m:t>
              </m:r>
            </m:sub>
          </m:sSub>
          <m:r>
            <m:rPr>
              <m:sty m:val="p"/>
            </m:rPr>
            <m:t>=</m:t>
          </m:r>
          <m:r>
            <m:t>60</m:t>
          </m:r>
          <m:f>
            <m:fPr>
              <m:type m:val="bar"/>
            </m:fPr>
            <m:num>
              <m:r>
                <m:t>Q</m:t>
              </m:r>
            </m:num>
            <m:den>
              <m:sSub>
                <m:e>
                  <m:r>
                    <m:t>c</m:t>
                  </m:r>
                </m:e>
                <m:sub>
                  <m:r>
                    <m:t>p</m:t>
                  </m:r>
                </m:sub>
              </m:sSub>
              <m:r>
                <m:t>Δ</m:t>
              </m:r>
              <m:r>
                <m:t>T</m:t>
              </m:r>
            </m:den>
          </m:f>
          <m:r>
            <m:t> </m:t>
          </m:r>
          <m:d>
            <m:dPr>
              <m:begChr m:val="("/>
              <m:endChr m:val=")"/>
              <m:sepChr m:val=""/>
              <m:grow/>
            </m:dPr>
            <m:e>
              <m:r>
                <m:t>ρ</m:t>
              </m:r>
              <m:r>
                <m:rPr>
                  <m:sty m:val="p"/>
                </m:rPr>
                <m:t>≃</m:t>
              </m:r>
              <m:r>
                <m:t>1</m:t>
              </m:r>
              <m:r>
                <m:t> </m:t>
              </m:r>
              <m:r>
                <m:rPr>
                  <m:sty m:val="p"/>
                </m:rPr>
                <m:t>k</m:t>
              </m:r>
              <m:r>
                <m:rPr>
                  <m:sty m:val="p"/>
                </m:rPr>
                <m:t>g</m:t>
              </m:r>
              <m:r>
                <m:rPr>
                  <m:sty m:val="p"/>
                </m:rPr>
                <m:t>/</m:t>
              </m:r>
              <m:r>
                <m:rPr>
                  <m:sty m:val="p"/>
                </m:rPr>
                <m:t>L</m:t>
              </m:r>
            </m:e>
          </m:d>
        </m:oMath>
      </m:oMathPara>
    </w:p>
    <w:tbl>
      <w:tblPr>
        <w:tblStyle w:val="Table"/>
        <w:tblW w:type="dxa" w:w="986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096"/>
        <w:gridCol w:w="4392"/>
      </w:tblGrid>
      <w:tr>
        <w:trPr>
          <w:tblHeader w:val="true"/>
          <w:cantSplit/>
          <w:tblHeader/>
        </w:trPr>
        <w:tc>
          <w:tcPr>
            <w:tcW w:type="dxa" w:w="237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변수</w:t>
            </w:r>
          </w:p>
        </w:tc>
        <w:tc>
          <w:tcPr>
            <w:tcW w:type="dxa" w:w="309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가정</w:t>
            </w:r>
          </w:p>
        </w:tc>
        <w:tc>
          <w:tcPr>
            <w:tcW w:type="dxa" w:w="4392"/>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계산</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액체로 제거할 열</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80kW</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랙별 부하</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비열</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4.186kJ/kg K</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물 근사</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온도 상승</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10K</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설계 가정</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필요 질량유량</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1.911kg/s</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열수지</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필요 체적유량</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114.67L/min</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밀도 근사</w:t>
            </w:r>
          </w:p>
        </w:tc>
      </w:tr>
    </w:tbl>
    <w:bookmarkEnd w:id="196"/>
    <w:bookmarkStart w:id="197" w:name="적용과-검증-57"/>
    <w:p>
      <w:pPr>
        <w:pStyle w:val="Heading2"/>
        <w:widowControl/>
      </w:pPr>
      <w:r>
        <w:t xml:space="preserve">적용과 검증</w:t>
      </w:r>
    </w:p>
    <w:p>
      <w:pPr>
        <w:pStyle w:val="FirstParagraph"/>
        <w:keepNext/>
        <w:widowControl/>
      </w:pPr>
      <w:r>
        <w:t xml:space="preserve">물·글리콜 혼합액이면 물의 비열과 점도를 그대로 사용하지 않는다. 같은 열과 온도차에서도 유량과 펌프 압력이 달라진다. 제조사 지정 유체와 수질 범위를 적용한다.</w:t>
      </w:r>
    </w:p>
    <w:p>
      <w:pPr>
        <w:pStyle w:val="BodyText"/>
        <w:widowControl/>
        <w:spacing w:before="160"/>
      </w:pPr>
      <w:r>
        <w:rPr>
          <w:sz w:val="17"/>
        </w:rPr>
        <w:t xml:space="preserve">근거 및 추가 읽기 [R09] [R10] [R11]</w:t>
      </w:r>
    </w:p>
    <w:bookmarkEnd w:id="197"/>
    <w:bookmarkEnd w:id="198"/>
    <w:bookmarkStart w:id="203" w:name="cdu와-fws-tcs의-역할"/>
    <w:p>
      <w:pPr>
        <w:pStyle w:val="Heading2"/>
        <w:keepNext/>
        <w:keepLines/>
        <w:spacing w:after="100"/>
      </w:pPr>
      <w:r>
        <w:t>심화 계산: 액냉 100kW와 잔여 공랭의 동시 검증</w:t>
      </w:r>
    </w:p>
    <w:p>
      <w:pPr>
        <w:pStyle w:val="BodyText"/>
        <w:keepLines/>
        <w:spacing w:after="100"/>
      </w:pPr>
      <w:r>
        <w:t>기존 §90 사례 E(100kW IT 랙, 액체 회수율 80%, 액체측 80kW, 공기측 20kW)를 그대로 사용한다. 물의 비열 cp=4.186kJ/(kg·K), 밀도 ρ≈998kg/m³, 액체측 ΔT=10K에서 체적 유량은 80,000/(998×4186×10)×60,000 ≈114.9L/min이다. 기존의 114.67L/min과 차이는 물성치 반올림에 의한 것이며 별도의 시험 결과가 아니다.</w:t>
      </w:r>
    </w:p>
    <w:p>
      <w:pPr>
        <w:pStyle w:val="BodyText"/>
        <w:keepLines/>
        <w:spacing w:after="100"/>
      </w:pPr>
      <w:r>
        <w:t>공기측 잔여 열 20kW를 흡입·배기 온도 상승 15K, 공기 밀도 1.2kg/m³, 비열 1005J/(kg·K)로 처리하면 V=20,000/(1.2×1005×15)=1.106m³/s ≈3,980m³/h가 필요하다. 액체 CDU를 N+1로 설치해도 20kW 공랭이 부족하면 랙은 허용되지 않는다.</w:t>
      </w:r>
    </w:p>
    <w:p>
      <w:pPr>
        <w:pStyle w:val="BodyText"/>
        <w:keepLines/>
        <w:spacing w:after="100"/>
      </w:pPr>
      <w:r>
        <w:t>CDU 50kW×3대는 정상 150kW, N−1 상태 100kW 열처리 정격이다. 100kW에는 80kW 요구에 20kW 능력 여유가 있지만 공통 펌프·전원·밸브가 단일 장애로 묶인다면 N+1 판정은 무효다.</w:t>
      </w:r>
    </w:p>
    <w:tbl>
      <w:tblPr>
        <w:tblW w:type="auto" w:w="0"/>
        <w:jc w:val="center"/>
        <w:tblLayout w:type="autofit"/>
        <w:tblLook w:firstColumn="1" w:firstRow="1" w:lastColumn="0" w:lastRow="0" w:noHBand="0" w:noVBand="1" w:val="04A0"/>
      </w:tblPr>
      <w:tblGrid>
        <w:gridCol w:w="2484"/>
        <w:gridCol w:w="2484"/>
        <w:gridCol w:w="2484"/>
        <w:gridCol w:w="2484"/>
      </w:tblGrid>
      <w:tr>
        <w:trPr>
          <w:tblHeader w:val="true"/>
        </w:trPr>
        <w:tc>
          <w:tcPr>
            <w:tcW w:type="dxa" w:w="2484"/>
            <w:vAlign w:val="center"/>
            <w:shd w:fill="DDEAF3"/>
          </w:tcPr>
          <w:p>
            <w:pPr>
              <w:spacing w:after="20" w:before="20"/>
            </w:pPr>
            <w:r>
              <w:rPr>
                <w:b/>
                <w:sz w:val="16"/>
              </w:rPr>
              <w:t>지표</w:t>
            </w:r>
          </w:p>
        </w:tc>
        <w:tc>
          <w:tcPr>
            <w:tcW w:type="dxa" w:w="2484"/>
            <w:vAlign w:val="center"/>
            <w:shd w:fill="DDEAF3"/>
          </w:tcPr>
          <w:p>
            <w:pPr>
              <w:spacing w:after="20" w:before="20"/>
            </w:pPr>
            <w:r>
              <w:rPr>
                <w:b/>
                <w:sz w:val="16"/>
              </w:rPr>
              <w:t>식/조건</w:t>
            </w:r>
          </w:p>
        </w:tc>
        <w:tc>
          <w:tcPr>
            <w:tcW w:type="dxa" w:w="2484"/>
            <w:vAlign w:val="center"/>
            <w:shd w:fill="DDEAF3"/>
          </w:tcPr>
          <w:p>
            <w:pPr>
              <w:spacing w:after="20" w:before="20"/>
            </w:pPr>
            <w:r>
              <w:rPr>
                <w:b/>
                <w:sz w:val="16"/>
              </w:rPr>
              <w:t>결과</w:t>
            </w:r>
          </w:p>
        </w:tc>
        <w:tc>
          <w:tcPr>
            <w:tcW w:type="dxa" w:w="2484"/>
            <w:vAlign w:val="center"/>
            <w:shd w:fill="DDEAF3"/>
          </w:tcPr>
          <w:p>
            <w:pPr>
              <w:spacing w:after="20" w:before="20"/>
            </w:pPr>
            <w:r>
              <w:rPr>
                <w:b/>
                <w:sz w:val="16"/>
              </w:rPr>
              <w:t>판정</w:t>
            </w:r>
          </w:p>
        </w:tc>
      </w:tr>
      <w:tr>
        <w:tc>
          <w:tcPr>
            <w:tcW w:type="dxa" w:w="2484"/>
            <w:vAlign w:val="center"/>
          </w:tcPr>
          <w:p>
            <w:pPr>
              <w:spacing w:after="20" w:before="20"/>
            </w:pPr>
            <w:r>
              <w:rPr>
                <w:sz w:val="16"/>
              </w:rPr>
              <w:t>액체 열</w:t>
            </w:r>
          </w:p>
        </w:tc>
        <w:tc>
          <w:tcPr>
            <w:tcW w:type="dxa" w:w="2484"/>
            <w:vAlign w:val="center"/>
          </w:tcPr>
          <w:p>
            <w:pPr>
              <w:spacing w:after="20" w:before="20"/>
            </w:pPr>
            <w:r>
              <w:rPr>
                <w:sz w:val="16"/>
              </w:rPr>
              <w:t>100×0.8</w:t>
            </w:r>
          </w:p>
        </w:tc>
        <w:tc>
          <w:tcPr>
            <w:tcW w:type="dxa" w:w="2484"/>
            <w:vAlign w:val="center"/>
          </w:tcPr>
          <w:p>
            <w:pPr>
              <w:spacing w:after="20" w:before="20"/>
            </w:pPr>
            <w:r>
              <w:rPr>
                <w:sz w:val="16"/>
              </w:rPr>
              <w:t>80kW</w:t>
            </w:r>
          </w:p>
        </w:tc>
        <w:tc>
          <w:tcPr>
            <w:tcW w:type="dxa" w:w="2484"/>
            <w:vAlign w:val="center"/>
          </w:tcPr>
          <w:p>
            <w:pPr>
              <w:spacing w:after="20" w:before="20"/>
            </w:pPr>
            <w:r>
              <w:rPr>
                <w:sz w:val="16"/>
              </w:rPr>
              <w:t>정상 가정</w:t>
            </w:r>
          </w:p>
        </w:tc>
      </w:tr>
      <w:tr>
        <w:tc>
          <w:tcPr>
            <w:tcW w:type="dxa" w:w="2484"/>
            <w:vAlign w:val="center"/>
            <w:shd w:fill="F2F6FA"/>
          </w:tcPr>
          <w:p>
            <w:pPr>
              <w:spacing w:after="20" w:before="20"/>
            </w:pPr>
            <w:r>
              <w:rPr>
                <w:sz w:val="16"/>
              </w:rPr>
              <w:t>액체 유량</w:t>
            </w:r>
          </w:p>
        </w:tc>
        <w:tc>
          <w:tcPr>
            <w:tcW w:type="dxa" w:w="2484"/>
            <w:vAlign w:val="center"/>
            <w:shd w:fill="F2F6FA"/>
          </w:tcPr>
          <w:p>
            <w:pPr>
              <w:spacing w:after="20" w:before="20"/>
            </w:pPr>
            <w:r>
              <w:rPr>
                <w:sz w:val="16"/>
              </w:rPr>
              <w:t>Q/(ρcpΔT), ΔT=10K</w:t>
            </w:r>
          </w:p>
        </w:tc>
        <w:tc>
          <w:tcPr>
            <w:tcW w:type="dxa" w:w="2484"/>
            <w:vAlign w:val="center"/>
            <w:shd w:fill="F2F6FA"/>
          </w:tcPr>
          <w:p>
            <w:pPr>
              <w:spacing w:after="20" w:before="20"/>
            </w:pPr>
            <w:r>
              <w:rPr>
                <w:sz w:val="16"/>
              </w:rPr>
              <w:t>≈115L/min</w:t>
            </w:r>
          </w:p>
        </w:tc>
        <w:tc>
          <w:tcPr>
            <w:tcW w:type="dxa" w:w="2484"/>
            <w:vAlign w:val="center"/>
            <w:shd w:fill="F2F6FA"/>
          </w:tcPr>
          <w:p>
            <w:pPr>
              <w:spacing w:after="20" w:before="20"/>
            </w:pPr>
            <w:r>
              <w:rPr>
                <w:sz w:val="16"/>
              </w:rPr>
              <w:t>물성 가정</w:t>
            </w:r>
          </w:p>
        </w:tc>
      </w:tr>
      <w:tr>
        <w:tc>
          <w:tcPr>
            <w:tcW w:type="dxa" w:w="2484"/>
            <w:vAlign w:val="center"/>
          </w:tcPr>
          <w:p>
            <w:pPr>
              <w:spacing w:after="20" w:before="20"/>
            </w:pPr>
            <w:r>
              <w:rPr>
                <w:sz w:val="16"/>
              </w:rPr>
              <w:t>잔여 공랭 열</w:t>
            </w:r>
          </w:p>
        </w:tc>
        <w:tc>
          <w:tcPr>
            <w:tcW w:type="dxa" w:w="2484"/>
            <w:vAlign w:val="center"/>
          </w:tcPr>
          <w:p>
            <w:pPr>
              <w:spacing w:after="20" w:before="20"/>
            </w:pPr>
            <w:r>
              <w:rPr>
                <w:sz w:val="16"/>
              </w:rPr>
              <w:t>100×0.2</w:t>
            </w:r>
          </w:p>
        </w:tc>
        <w:tc>
          <w:tcPr>
            <w:tcW w:type="dxa" w:w="2484"/>
            <w:vAlign w:val="center"/>
          </w:tcPr>
          <w:p>
            <w:pPr>
              <w:spacing w:after="20" w:before="20"/>
            </w:pPr>
            <w:r>
              <w:rPr>
                <w:sz w:val="16"/>
              </w:rPr>
              <w:t>20kW</w:t>
            </w:r>
          </w:p>
        </w:tc>
        <w:tc>
          <w:tcPr>
            <w:tcW w:type="dxa" w:w="2484"/>
            <w:vAlign w:val="center"/>
          </w:tcPr>
          <w:p>
            <w:pPr>
              <w:spacing w:after="20" w:before="20"/>
            </w:pPr>
            <w:r>
              <w:rPr>
                <w:sz w:val="16"/>
              </w:rPr>
              <w:t>공랭 유지 필수</w:t>
            </w:r>
          </w:p>
        </w:tc>
      </w:tr>
      <w:tr>
        <w:tc>
          <w:tcPr>
            <w:tcW w:type="dxa" w:w="2484"/>
            <w:vAlign w:val="center"/>
            <w:shd w:fill="F2F6FA"/>
          </w:tcPr>
          <w:p>
            <w:pPr>
              <w:spacing w:after="20" w:before="20"/>
            </w:pPr>
            <w:r>
              <w:rPr>
                <w:sz w:val="16"/>
              </w:rPr>
              <w:t>필요 공기 유량</w:t>
            </w:r>
          </w:p>
        </w:tc>
        <w:tc>
          <w:tcPr>
            <w:tcW w:type="dxa" w:w="2484"/>
            <w:vAlign w:val="center"/>
            <w:shd w:fill="F2F6FA"/>
          </w:tcPr>
          <w:p>
            <w:pPr>
              <w:spacing w:after="20" w:before="20"/>
            </w:pPr>
            <w:r>
              <w:rPr>
                <w:sz w:val="16"/>
              </w:rPr>
              <w:t>20kW, ΔT_air=15K</w:t>
            </w:r>
          </w:p>
        </w:tc>
        <w:tc>
          <w:tcPr>
            <w:tcW w:type="dxa" w:w="2484"/>
            <w:vAlign w:val="center"/>
            <w:shd w:fill="F2F6FA"/>
          </w:tcPr>
          <w:p>
            <w:pPr>
              <w:spacing w:after="20" w:before="20"/>
            </w:pPr>
            <w:r>
              <w:rPr>
                <w:sz w:val="16"/>
              </w:rPr>
              <w:t>≈3980m³/h</w:t>
            </w:r>
          </w:p>
        </w:tc>
        <w:tc>
          <w:tcPr>
            <w:tcW w:type="dxa" w:w="2484"/>
            <w:vAlign w:val="center"/>
            <w:shd w:fill="F2F6FA"/>
          </w:tcPr>
          <w:p>
            <w:pPr>
              <w:spacing w:after="20" w:before="20"/>
            </w:pPr>
            <w:r>
              <w:rPr>
                <w:sz w:val="16"/>
              </w:rPr>
              <w:t>통로·팬 검증 전제</w:t>
            </w:r>
          </w:p>
        </w:tc>
      </w:tr>
      <w:tr>
        <w:tc>
          <w:tcPr>
            <w:tcW w:type="dxa" w:w="2484"/>
            <w:vAlign w:val="center"/>
          </w:tcPr>
          <w:p>
            <w:pPr>
              <w:spacing w:after="20" w:before="20"/>
            </w:pPr>
            <w:r>
              <w:rPr>
                <w:sz w:val="16"/>
              </w:rPr>
              <w:t>CDU 1대 상실</w:t>
            </w:r>
          </w:p>
        </w:tc>
        <w:tc>
          <w:tcPr>
            <w:tcW w:type="dxa" w:w="2484"/>
            <w:vAlign w:val="center"/>
          </w:tcPr>
          <w:p>
            <w:pPr>
              <w:spacing w:after="20" w:before="20"/>
            </w:pPr>
            <w:r>
              <w:rPr>
                <w:sz w:val="16"/>
              </w:rPr>
              <w:t>50kW×2 잔여</w:t>
            </w:r>
          </w:p>
        </w:tc>
        <w:tc>
          <w:tcPr>
            <w:tcW w:type="dxa" w:w="2484"/>
            <w:vAlign w:val="center"/>
          </w:tcPr>
          <w:p>
            <w:pPr>
              <w:spacing w:after="20" w:before="20"/>
            </w:pPr>
            <w:r>
              <w:rPr>
                <w:sz w:val="16"/>
              </w:rPr>
              <w:t>100kW</w:t>
            </w:r>
          </w:p>
        </w:tc>
        <w:tc>
          <w:tcPr>
            <w:tcW w:type="dxa" w:w="2484"/>
            <w:vAlign w:val="center"/>
          </w:tcPr>
          <w:p>
            <w:pPr>
              <w:spacing w:after="20" w:before="20"/>
            </w:pPr>
            <w:r>
              <w:rPr>
                <w:sz w:val="16"/>
              </w:rPr>
              <w:t>열량 기준 N−1 통과</w:t>
            </w:r>
          </w:p>
        </w:tc>
      </w:tr>
    </w:tbl>
    <w:p>
      <w:pPr>
        <w:pStyle w:val="Heading1"/>
        <w:keepNext/>
        <w:widowControl/>
      </w:pPr>
      <w:bookmarkStart w:id="61" w:name="topic_61"/>
      <w:r>
        <w:t xml:space="preserve">61 CDU와 FWS TCS의 역할</w:t>
      </w:r>
      <w:bookmarkEnd w:id="61"/>
    </w:p>
    <w:p>
      <w:pPr>
        <w:pStyle w:val="FirstParagraph"/>
        <w:widowControl/>
      </w:pPr>
      <w:r>
        <w:rPr>
          <w:bCs/>
          <w:b/>
        </w:rPr>
        <w:t xml:space="preserve">6부 냉각과 열수지 계산</w:t>
      </w:r>
    </w:p>
    <w:p>
      <w:pPr>
        <w:pStyle w:val="BodyText"/>
        <w:widowControl/>
      </w:pPr>
      <w:r>
        <w:t xml:space="preserve">CDU는 시설측 냉각 계통과 IT측 냉각 계통 사이에서 열교환과 유량·압력·온도 관리를 수행하는 장치다. FWS는 시설측 공급, TCS는 IT 장비측 냉각 계통으로 이해할 수 있다. 구성에 따라 세부 명칭과 장치 경계는 달라진다.</w:t>
      </w:r>
    </w:p>
    <w:p>
      <w:pPr>
        <w:pStyle w:val="BodyText"/>
        <w:widowControl/>
      </w:pPr>
      <w:r>
        <w:t xml:space="preserve">열교환기로 두 유체를 분리하면 IT측 수질과 재료 조건을 독립적으로 관리할 수 있다. 그러나 CDU는 스스로 열을 외부에 버리는 만능 냉동기가 아니다. 시설측에서 회수 열을 처리할 수 있어야 한다.</w:t>
      </w:r>
    </w:p>
    <w:p>
      <w:pPr>
        <w:pStyle w:val="BodyText"/>
        <w:widowControl/>
      </w:pPr>
      <w:r>
        <w:t xml:space="preserve">CDU 정격은 공급수 온도와 유량 및 접근온도에 따라 달라진다. 명목 1MW 장치가 어떤 수온에서도 1MW를 처리한다고 해석하지 않는다. 시설측 조건과 IT측 요구조건을 한 표에 대조한다.</w:t>
      </w:r>
    </w:p>
    <w:p>
      <w:pPr>
        <w:pStyle w:val="CaptionedFigure"/>
        <w:widowControl/>
        <w:spacing w:line="240" w:lineRule="auto" w:before="80" w:after="120"/>
      </w:pPr>
      <w:r>
        <w:drawing>
          <wp:inline>
            <wp:extent cx="5334000" cy="1445067"/>
            <wp:effectExtent b="0" l="0" r="0" t="0"/>
            <wp:docPr descr="개념도 CDU와 FWS TCS의 역할" title="" id="200" name="Picture"/>
            <a:graphic>
              <a:graphicData uri="http://schemas.openxmlformats.org/drawingml/2006/picture">
                <pic:pic>
                  <pic:nvPicPr>
                    <pic:cNvPr descr="/workspace/scratch/4cfa22a96ecd/data/cooling.png" id="201" name="Picture"/>
                    <pic:cNvPicPr>
                      <a:picLocks noChangeArrowheads="1" noChangeAspect="1"/>
                    </pic:cNvPicPr>
                  </pic:nvPicPr>
                  <pic:blipFill>
                    <a:blip r:embed="rId199"/>
                    <a:stretch>
                      <a:fillRect/>
                    </a:stretch>
                  </pic:blipFill>
                  <pic:spPr bwMode="auto">
                    <a:xfrm>
                      <a:off x="0" y="0"/>
                      <a:ext cx="5334000" cy="1445067"/>
                    </a:xfrm>
                    <a:prstGeom prst="rect">
                      <a:avLst/>
                    </a:prstGeom>
                    <a:noFill/>
                    <a:ln w="9525">
                      <a:noFill/>
                      <a:headEnd/>
                      <a:tailEnd/>
                    </a:ln>
                  </pic:spPr>
                </pic:pic>
              </a:graphicData>
            </a:graphic>
          </wp:inline>
        </w:drawing>
      </w:r>
    </w:p>
    <w:p>
      <w:pPr>
        <w:pStyle w:val="ImageCaption"/>
        <w:widowControl/>
      </w:pPr>
      <w:r>
        <w:t xml:space="preserve">개념도 CDU와 FWS TCS의 역할</w:t>
      </w:r>
    </w:p>
    <w:tbl>
      <w:tblPr>
        <w:tblStyle w:val="Table"/>
        <w:tblW w:type="dxa" w:w="986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096"/>
        <w:gridCol w:w="4392"/>
      </w:tblGrid>
      <w:tr>
        <w:trPr>
          <w:tblHeader w:val="true"/>
          <w:cantSplit/>
          <w:tblHeader/>
        </w:trPr>
        <w:tc>
          <w:tcPr>
            <w:tcW w:type="dxa" w:w="237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항목</w:t>
            </w:r>
          </w:p>
        </w:tc>
        <w:tc>
          <w:tcPr>
            <w:tcW w:type="dxa" w:w="309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시설측 FWS</w:t>
            </w:r>
          </w:p>
        </w:tc>
        <w:tc>
          <w:tcPr>
            <w:tcW w:type="dxa" w:w="4392"/>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IT측 TCS</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역할</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열원과 방열 연결</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IT에서 열 회수</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유체 관리</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시설 조건</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장비 지정 수질</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온도 조건</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시설 공급과 환수</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장비 입구와 출구</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압력</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시설 배관 조건</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냉각판 허용 조건</w:t>
            </w:r>
          </w:p>
        </w:tc>
      </w:tr>
    </w:tbl>
    <w:bookmarkStart w:id="202" w:name="적용과-검증-58"/>
    <w:p>
      <w:pPr>
        <w:pStyle w:val="Heading2"/>
        <w:widowControl/>
      </w:pPr>
      <w:r>
        <w:t xml:space="preserve">적용과 검증</w:t>
      </w:r>
    </w:p>
    <w:p>
      <w:pPr>
        <w:pStyle w:val="FirstParagraph"/>
        <w:keepNext/>
        <w:widowControl/>
      </w:pPr>
      <w:r>
        <w:t xml:space="preserve">CDU 선정표에는 정격 열량뿐 아니라 양측 수온·유량·차압·최대 압력과 유체를 적는다. 시험 성적서가 실제 계획 조건과 다른 경우 제조사 성능 자료로 보정한다.</w:t>
      </w:r>
    </w:p>
    <w:p>
      <w:pPr>
        <w:pStyle w:val="BodyText"/>
        <w:widowControl/>
        <w:spacing w:before="160"/>
      </w:pPr>
      <w:r>
        <w:rPr>
          <w:sz w:val="17"/>
        </w:rPr>
        <w:t xml:space="preserve">근거 및 추가 읽기 [R10] [R11]</w:t>
      </w:r>
    </w:p>
    <w:bookmarkEnd w:id="202"/>
    <w:bookmarkEnd w:id="203"/>
    <w:bookmarkStart w:id="206" w:name="펌프-전력과-배관-압력-손실"/>
    <w:p>
      <w:pPr>
        <w:pStyle w:val="Heading1"/>
        <w:keepNext/>
        <w:widowControl/>
      </w:pPr>
      <w:bookmarkStart w:id="62" w:name="topic_62"/>
      <w:r>
        <w:t xml:space="preserve">62 펌프 전력과 배관 압력 손실</w:t>
      </w:r>
      <w:bookmarkEnd w:id="62"/>
    </w:p>
    <w:p>
      <w:pPr>
        <w:pStyle w:val="FirstParagraph"/>
        <w:widowControl/>
      </w:pPr>
      <w:r>
        <w:rPr>
          <w:bCs/>
          <w:b/>
        </w:rPr>
        <w:t xml:space="preserve">6부 냉각과 열수지 계산</w:t>
      </w:r>
    </w:p>
    <w:p>
      <w:pPr>
        <w:pStyle w:val="BodyText"/>
        <w:widowControl/>
      </w:pPr>
      <w:r>
        <w:t xml:space="preserve">펌프는 유량을 이동시키면서 배관과 부품의 압력 손실을 극복한다. 유체에 전달하는 동력은 압력차와 체적유량의 곱이며 전기 입력은 펌프와 모터의 효율을 반영해 더 커진다.</w:t>
      </w:r>
    </w:p>
    <w:p>
      <w:pPr>
        <w:pStyle w:val="BodyText"/>
        <w:widowControl/>
      </w:pPr>
      <w:r>
        <w:t xml:space="preserve">열수지로 정한 유량이 실제 배관에서 나오는지 펌프 곡선과 시스템 곡선을 대조한다. 밸브, 필터와 빠른 연결부가 추가되면 차압이 증가할 수 있다. 오염과 막힘에 따른 변화도 운영 중 감시한다.</w:t>
      </w:r>
    </w:p>
    <w:p>
      <w:pPr>
        <w:pStyle w:val="BodyText"/>
        <w:widowControl/>
      </w:pPr>
      <w:r>
        <w:t xml:space="preserve">압력 단위에 주의한다. kPa와 Pa, L/min과 m³/s를 혼동하면 동력 계산이 크게 달라진다. 병렬 펌프를 추가했을 때 유량이 정확히 두 배가 되는 것도 아니므로 실제 곡선을 사용한다.</w:t>
      </w:r>
    </w:p>
    <w:p>
      <w:pPr>
        <w:pStyle w:val="BodyText"/>
        <w:widowControl/>
      </w:pPr>
      <w:r>
        <w:t xml:space="preserve">유체에 전달되는 동력은 200000Pa×0.002m³/s=400W다. 효율 60%인 장치에 전기 666.7W를 넣으면 그중 약 400W가 유체 동력으로 전달되는 근사다. 차압 단위를 kPa 그대로 넣으면 결과가 1000배 작아지는 오류가 생긴다.</w:t>
      </w:r>
    </w:p>
    <w:bookmarkStart w:id="204" w:name="계산식과-변수-33"/>
    <w:p>
      <w:pPr>
        <w:pStyle w:val="Heading2"/>
        <w:widowControl/>
      </w:pPr>
      <w:r>
        <w:t xml:space="preserve">계산식과 변수</w:t>
      </w:r>
    </w:p>
    <w:p>
      <w:pPr>
        <w:pStyle w:val="FirstParagraph"/>
        <w:widowControl/>
        <w:spacing w:line="252" w:lineRule="auto" w:before="100" w:after="180"/>
      </w:pPr>
      <m:oMathPara>
        <m:oMathParaPr>
          <m:jc m:val="center"/>
        </m:oMathParaPr>
        <m:oMath>
          <m:sSub>
            <m:e>
              <m:r>
                <m:t>P</m:t>
              </m:r>
            </m:e>
            <m:sub>
              <m:r>
                <m:t>p</m:t>
              </m:r>
              <m:r>
                <m:t>u</m:t>
              </m:r>
              <m:r>
                <m:t>m</m:t>
              </m:r>
              <m:r>
                <m:t>p</m:t>
              </m:r>
            </m:sub>
          </m:sSub>
          <m:r>
            <m:rPr>
              <m:sty m:val="p"/>
            </m:rPr>
            <m:t>=</m:t>
          </m:r>
          <m:f>
            <m:fPr>
              <m:type m:val="bar"/>
            </m:fPr>
            <m:num>
              <m:r>
                <m:t>Δ</m:t>
              </m:r>
              <m:r>
                <m:t>p</m:t>
              </m:r>
              <m:acc>
                <m:accPr>
                  <m:chr m:val="̇"/>
                </m:accPr>
                <m:e>
                  <m:r>
                    <m:t>V</m:t>
                  </m:r>
                </m:e>
              </m:acc>
            </m:num>
            <m:den>
              <m:r>
                <m:t>η</m:t>
              </m:r>
            </m:den>
          </m:f>
        </m:oMath>
      </m:oMathPara>
    </w:p>
    <w:tbl>
      <w:tblPr>
        <w:tblStyle w:val="Table"/>
        <w:tblW w:type="dxa" w:w="986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096"/>
        <w:gridCol w:w="4392"/>
      </w:tblGrid>
      <w:tr>
        <w:trPr>
          <w:tblHeader w:val="true"/>
          <w:cantSplit/>
          <w:tblHeader/>
        </w:trPr>
        <w:tc>
          <w:tcPr>
            <w:tcW w:type="dxa" w:w="237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변수</w:t>
            </w:r>
          </w:p>
        </w:tc>
        <w:tc>
          <w:tcPr>
            <w:tcW w:type="dxa" w:w="309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예제값</w:t>
            </w:r>
          </w:p>
        </w:tc>
        <w:tc>
          <w:tcPr>
            <w:tcW w:type="dxa" w:w="4392"/>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단위 변환</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차압</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200kPa</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200000Pa</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유량</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120L/min</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0.002m³/s</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총효율</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0.6</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펌프와 모터 가정</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전기 입력</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666.7W</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약 0.667kW</w:t>
            </w:r>
          </w:p>
        </w:tc>
      </w:tr>
    </w:tbl>
    <w:bookmarkEnd w:id="204"/>
    <w:bookmarkStart w:id="205" w:name="적용과-검증-59"/>
    <w:p>
      <w:pPr>
        <w:pStyle w:val="Heading2"/>
        <w:widowControl/>
      </w:pPr>
      <w:r>
        <w:t xml:space="preserve">적용과 검증</w:t>
      </w:r>
    </w:p>
    <w:p>
      <w:pPr>
        <w:pStyle w:val="FirstParagraph"/>
        <w:keepNext/>
        <w:widowControl/>
      </w:pPr>
      <w:r>
        <w:t xml:space="preserve">이 전력은 열 제거량 80kW와 구별한다. 액체냉각 효율을 평가할 때 CDU 펌프, 시설 펌프와 외부 방열 팬의 전력을 어디까지 포함했는지 명시한다.</w:t>
      </w:r>
    </w:p>
    <w:p>
      <w:pPr>
        <w:pStyle w:val="BodyText"/>
        <w:widowControl/>
        <w:spacing w:before="160"/>
      </w:pPr>
      <w:r>
        <w:rPr>
          <w:sz w:val="17"/>
        </w:rPr>
        <w:t xml:space="preserve">근거 및 추가 읽기 [R09] [R10]</w:t>
      </w:r>
    </w:p>
    <w:bookmarkEnd w:id="205"/>
    <w:bookmarkEnd w:id="206"/>
    <w:bookmarkStart w:id="209" w:name="칠러-cop와-전체-냉각-전력"/>
    <w:p>
      <w:pPr>
        <w:pStyle w:val="Heading1"/>
        <w:keepNext/>
        <w:widowControl/>
      </w:pPr>
      <w:bookmarkStart w:id="63" w:name="topic_63"/>
      <w:r>
        <w:t xml:space="preserve">63 칠러 COP와 전체 냉각 전력</w:t>
      </w:r>
      <w:bookmarkEnd w:id="63"/>
    </w:p>
    <w:p>
      <w:pPr>
        <w:pStyle w:val="FirstParagraph"/>
        <w:widowControl/>
      </w:pPr>
      <w:r>
        <w:rPr>
          <w:bCs/>
          <w:b/>
        </w:rPr>
        <w:t xml:space="preserve">6부 냉각과 열수지 계산</w:t>
      </w:r>
    </w:p>
    <w:p>
      <w:pPr>
        <w:pStyle w:val="BodyText"/>
        <w:widowControl/>
      </w:pPr>
      <w:r>
        <w:t xml:space="preserve">COP는 특정 경계에서 제거한 열량을 투입 전력으로 나눈 성능 지표다. 칠러 COP가 높을수록 같은 열을 옮기는 데 필요한 압축기 등의 전력이 작다. 단 COP에 무엇이 포함되는지 자료에서 확인한다.</w:t>
      </w:r>
    </w:p>
    <w:p>
      <w:pPr>
        <w:pStyle w:val="BodyText"/>
        <w:widowControl/>
      </w:pPr>
      <w:r>
        <w:t xml:space="preserve">시설 전체 냉각 전력에는 칠러 외에 펌프, 냉각탑 팬과 공조 팬이 있을 수 있다. 칠러 COP만으로 PUE를 계산하면 이런 소비를 빠뜨릴 수 있다. 제품 시험 조건과 현장 부분부하 조건도 다를 수 있다.</w:t>
      </w:r>
    </w:p>
    <w:p>
      <w:pPr>
        <w:pStyle w:val="BodyText"/>
        <w:widowControl/>
      </w:pPr>
      <w:r>
        <w:t xml:space="preserve">외기 온도와 공급수 설정이 바뀌면 냉각 효율이 달라진다. 연간 에너지를 계산할 때 단일 COP를 고정하는 방법은 단순 근사이며 계절별 또는 시간대별 부하로 개선할 수 있다.</w:t>
      </w:r>
    </w:p>
    <w:p>
      <w:pPr>
        <w:pStyle w:val="BodyText"/>
        <w:widowControl/>
      </w:pPr>
      <w:r>
        <w:t xml:space="preserve">COP가 5에서 4로 낮아지면 1MW 열부하의 칠러 전력은 200kW에서 250kW로 50kW 증가한다. 이 차이가 연중 4000시간 지속되면 에너지 차이는 200MWh다. 장비 효율 변화가 시설 전력 예산에 미치는 영향을 정량적으로 설명할 수 있다.</w:t>
      </w:r>
    </w:p>
    <w:bookmarkStart w:id="207" w:name="계산식과-변수-34"/>
    <w:p>
      <w:pPr>
        <w:pStyle w:val="Heading2"/>
        <w:widowControl/>
      </w:pPr>
      <w:r>
        <w:t xml:space="preserve">계산식과 변수</w:t>
      </w:r>
    </w:p>
    <w:p>
      <w:pPr>
        <w:pStyle w:val="FirstParagraph"/>
        <w:widowControl/>
        <w:spacing w:line="252" w:lineRule="auto" w:before="100" w:after="180"/>
      </w:pPr>
      <m:oMathPara>
        <m:oMathParaPr>
          <m:jc m:val="center"/>
        </m:oMathParaPr>
        <m:oMath>
          <m:r>
            <m:t>C</m:t>
          </m:r>
          <m:r>
            <m:t>O</m:t>
          </m:r>
          <m:r>
            <m:t>P</m:t>
          </m:r>
          <m:r>
            <m:rPr>
              <m:sty m:val="p"/>
            </m:rPr>
            <m:t>=</m:t>
          </m:r>
          <m:f>
            <m:fPr>
              <m:type m:val="bar"/>
            </m:fPr>
            <m:num>
              <m:sSub>
                <m:e>
                  <m:r>
                    <m:t>Q</m:t>
                  </m:r>
                </m:e>
                <m:sub>
                  <m:r>
                    <m:t>r</m:t>
                  </m:r>
                  <m:r>
                    <m:t>e</m:t>
                  </m:r>
                  <m:r>
                    <m:t>m</m:t>
                  </m:r>
                  <m:r>
                    <m:t>o</m:t>
                  </m:r>
                  <m:r>
                    <m:t>v</m:t>
                  </m:r>
                  <m:r>
                    <m:t>e</m:t>
                  </m:r>
                  <m:r>
                    <m:t>d</m:t>
                  </m:r>
                </m:sub>
              </m:sSub>
            </m:num>
            <m:den>
              <m:sSub>
                <m:e>
                  <m:r>
                    <m:t>P</m:t>
                  </m:r>
                </m:e>
                <m:sub>
                  <m:r>
                    <m:t>c</m:t>
                  </m:r>
                  <m:r>
                    <m:t>h</m:t>
                  </m:r>
                  <m:r>
                    <m:t>i</m:t>
                  </m:r>
                  <m:r>
                    <m:t>l</m:t>
                  </m:r>
                  <m:r>
                    <m:t>l</m:t>
                  </m:r>
                  <m:r>
                    <m:t>e</m:t>
                  </m:r>
                  <m:r>
                    <m:t>r</m:t>
                  </m:r>
                </m:sub>
              </m:sSub>
            </m:den>
          </m:f>
        </m:oMath>
      </m:oMathPara>
    </w:p>
    <w:p>
      <w:pPr>
        <w:pStyle w:val="FirstParagraph"/>
        <w:widowControl/>
        <w:spacing w:line="252" w:lineRule="auto" w:before="100" w:after="180"/>
      </w:pPr>
      <m:oMathPara>
        <m:oMathParaPr>
          <m:jc m:val="center"/>
        </m:oMathParaPr>
        <m:oMath>
          <m:sSub>
            <m:e>
              <m:r>
                <m:t>P</m:t>
              </m:r>
            </m:e>
            <m:sub>
              <m:r>
                <m:t>c</m:t>
              </m:r>
              <m:r>
                <m:t>o</m:t>
              </m:r>
              <m:r>
                <m:t>o</m:t>
              </m:r>
              <m:r>
                <m:t>l</m:t>
              </m:r>
              <m:r>
                <m:t>i</m:t>
              </m:r>
              <m:r>
                <m:t>n</m:t>
              </m:r>
              <m:r>
                <m:t>g</m:t>
              </m:r>
            </m:sub>
          </m:sSub>
          <m:r>
            <m:rPr>
              <m:sty m:val="p"/>
            </m:rPr>
            <m:t>=</m:t>
          </m:r>
          <m:f>
            <m:fPr>
              <m:type m:val="bar"/>
            </m:fPr>
            <m:num>
              <m:sSub>
                <m:e>
                  <m:r>
                    <m:t>Q</m:t>
                  </m:r>
                </m:e>
                <m:sub>
                  <m:r>
                    <m:t>r</m:t>
                  </m:r>
                  <m:r>
                    <m:t>e</m:t>
                  </m:r>
                  <m:r>
                    <m:t>m</m:t>
                  </m:r>
                  <m:r>
                    <m:t>o</m:t>
                  </m:r>
                  <m:r>
                    <m:t>v</m:t>
                  </m:r>
                  <m:r>
                    <m:t>e</m:t>
                  </m:r>
                  <m:r>
                    <m:t>d</m:t>
                  </m:r>
                </m:sub>
              </m:sSub>
            </m:num>
            <m:den>
              <m:r>
                <m:t>C</m:t>
              </m:r>
              <m:r>
                <m:t>O</m:t>
              </m:r>
              <m:r>
                <m:t>P</m:t>
              </m:r>
            </m:den>
          </m:f>
          <m:r>
            <m:rPr>
              <m:sty m:val="p"/>
            </m:rPr>
            <m:t>+</m:t>
          </m:r>
          <m:sSub>
            <m:e>
              <m:r>
                <m:t>P</m:t>
              </m:r>
            </m:e>
            <m:sub>
              <m:r>
                <m:t>p</m:t>
              </m:r>
              <m:r>
                <m:t>u</m:t>
              </m:r>
              <m:r>
                <m:t>m</m:t>
              </m:r>
              <m:r>
                <m:t>p</m:t>
              </m:r>
            </m:sub>
          </m:sSub>
          <m:r>
            <m:rPr>
              <m:sty m:val="p"/>
            </m:rPr>
            <m:t>+</m:t>
          </m:r>
          <m:sSub>
            <m:e>
              <m:r>
                <m:t>P</m:t>
              </m:r>
            </m:e>
            <m:sub>
              <m:r>
                <m:t>f</m:t>
              </m:r>
              <m:r>
                <m:t>a</m:t>
              </m:r>
              <m:r>
                <m:t>n</m:t>
              </m:r>
            </m:sub>
          </m:sSub>
        </m:oMath>
      </m:oMathPara>
    </w:p>
    <w:tbl>
      <w:tblPr>
        <w:tblStyle w:val="Table"/>
        <w:tblW w:type="dxa" w:w="986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096"/>
        <w:gridCol w:w="4392"/>
      </w:tblGrid>
      <w:tr>
        <w:trPr>
          <w:tblHeader w:val="true"/>
          <w:cantSplit/>
          <w:tblHeader/>
        </w:trPr>
        <w:tc>
          <w:tcPr>
            <w:tcW w:type="dxa" w:w="237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항목</w:t>
            </w:r>
          </w:p>
        </w:tc>
        <w:tc>
          <w:tcPr>
            <w:tcW w:type="dxa" w:w="309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예제값</w:t>
            </w:r>
          </w:p>
        </w:tc>
        <w:tc>
          <w:tcPr>
            <w:tcW w:type="dxa" w:w="4392"/>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결과</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제거 열</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1000kW</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IT 열 가정</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칠러 COP</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5</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지정 조건 가정</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칠러 전력</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200kW</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1000 나누기 5</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팬과 펌프</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60kW</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별도 가정</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전체 냉각 전력</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260kW</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두 경계 합산</w:t>
            </w:r>
          </w:p>
        </w:tc>
      </w:tr>
    </w:tbl>
    <w:bookmarkEnd w:id="207"/>
    <w:bookmarkStart w:id="208" w:name="적용과-검증-60"/>
    <w:p>
      <w:pPr>
        <w:pStyle w:val="Heading2"/>
        <w:widowControl/>
      </w:pPr>
      <w:r>
        <w:t xml:space="preserve">적용과 검증</w:t>
      </w:r>
    </w:p>
    <w:p>
      <w:pPr>
        <w:pStyle w:val="FirstParagraph"/>
        <w:keepNext/>
        <w:widowControl/>
      </w:pPr>
      <w:r>
        <w:t xml:space="preserve">냉각탑이 방출할 열에는 칠러 전력의 열도 포함한다. 모든 팬과 펌프가 어느 유체에 열을 더하는지 상세 열수지에서는 위치별로 반영한다.</w:t>
      </w:r>
    </w:p>
    <w:p>
      <w:pPr>
        <w:pStyle w:val="BodyText"/>
        <w:widowControl/>
        <w:spacing w:before="160"/>
      </w:pPr>
      <w:r>
        <w:rPr>
          <w:sz w:val="17"/>
        </w:rPr>
        <w:t xml:space="preserve">근거 및 추가 읽기 [R09] [R12]</w:t>
      </w:r>
    </w:p>
    <w:bookmarkEnd w:id="208"/>
    <w:bookmarkEnd w:id="209"/>
    <w:bookmarkStart w:id="212" w:name="잔여-공랭과-액냉-회수율"/>
    <w:p>
      <w:pPr>
        <w:pStyle w:val="Heading1"/>
        <w:keepNext/>
        <w:widowControl/>
      </w:pPr>
      <w:bookmarkStart w:id="64" w:name="topic_64"/>
      <w:r>
        <w:t xml:space="preserve">64 잔여 공랭과 액냉 회수율</w:t>
      </w:r>
      <w:bookmarkEnd w:id="64"/>
    </w:p>
    <w:p>
      <w:pPr>
        <w:pStyle w:val="FirstParagraph"/>
        <w:widowControl/>
      </w:pPr>
      <w:r>
        <w:rPr>
          <w:bCs/>
          <w:b/>
        </w:rPr>
        <w:t xml:space="preserve">6부 냉각과 열수지 계산</w:t>
      </w:r>
    </w:p>
    <w:p>
      <w:pPr>
        <w:pStyle w:val="BodyText"/>
        <w:widowControl/>
      </w:pPr>
      <w:r>
        <w:t xml:space="preserve">액체냉각 회수율은 IT 열 중 액체 계통으로 이동하는 비율이다. 회수율이 80%면 나머지 20%는 공기 등 다른 경로로 처리해야 한다. 시설 전체의 전력 절감률과 같은 뜻은 아니다.</w:t>
      </w:r>
    </w:p>
    <w:p>
      <w:pPr>
        <w:pStyle w:val="BodyText"/>
        <w:widowControl/>
      </w:pPr>
      <w:r>
        <w:t xml:space="preserve">공기측 잔여 부하는 전원장치, 메모리와 스위치 등에서 생길 수 있다. GPU만 냉각판으로 연결한 구성을 전체 랙이 액체만으로 냉각된다고 표현하지 않는다. 실제 열 분배는 서버 제조사 자료나 시험으로 확인한다.</w:t>
      </w:r>
    </w:p>
    <w:p>
      <w:pPr>
        <w:pStyle w:val="BodyText"/>
        <w:widowControl/>
      </w:pPr>
      <w:r>
        <w:t xml:space="preserve">열의 일부를 이동시켰다는 사실만으로 기존 공조기를 모두 제거할 수는 없다. 공기 흐름과 습도, 외기 및 결로 관리와 다른 장비의 냉각이 여전히 필요하다.</w:t>
      </w:r>
    </w:p>
    <w:p>
      <w:pPr>
        <w:pStyle w:val="BodyText"/>
        <w:widowControl/>
      </w:pPr>
      <w:r>
        <w:t xml:space="preserve">회수율을 80%에서 90%로 높이면 100kW 랙의 공기측 열은 20kW에서 10kW로 감소한다. 반면 액체측 열은 80kW에서 90kW로 늘어 CDU와 유량 요구를 다시 계산해야 한다. 회수율 증가는 열처리 경계를 바꾸는 것이며 열이 사라지는 것은 아니다.</w:t>
      </w:r>
    </w:p>
    <w:bookmarkStart w:id="210" w:name="계산식과-변수-35"/>
    <w:p>
      <w:pPr>
        <w:pStyle w:val="Heading2"/>
        <w:widowControl/>
      </w:pPr>
      <w:r>
        <w:t xml:space="preserve">계산식과 변수</w:t>
      </w:r>
    </w:p>
    <w:p>
      <w:pPr>
        <w:pStyle w:val="FirstParagraph"/>
        <w:widowControl/>
        <w:spacing w:line="252" w:lineRule="auto" w:before="100" w:after="180"/>
      </w:pPr>
      <m:oMathPara>
        <m:oMathParaPr>
          <m:jc m:val="center"/>
        </m:oMathParaPr>
        <m:oMath>
          <m:sSub>
            <m:e>
              <m:r>
                <m:t>Q</m:t>
              </m:r>
            </m:e>
            <m:sub>
              <m:r>
                <m:t>l</m:t>
              </m:r>
              <m:r>
                <m:t>i</m:t>
              </m:r>
              <m:r>
                <m:t>q</m:t>
              </m:r>
              <m:r>
                <m:t>u</m:t>
              </m:r>
              <m:r>
                <m:t>i</m:t>
              </m:r>
              <m:r>
                <m:t>d</m:t>
              </m:r>
            </m:sub>
          </m:sSub>
          <m:r>
            <m:rPr>
              <m:sty m:val="p"/>
            </m:rPr>
            <m:t>=</m:t>
          </m:r>
          <m:sSub>
            <m:e>
              <m:r>
                <m:t>f</m:t>
              </m:r>
            </m:e>
            <m:sub>
              <m:r>
                <m:t>c</m:t>
              </m:r>
              <m:r>
                <m:t>a</m:t>
              </m:r>
              <m:r>
                <m:t>p</m:t>
              </m:r>
              <m:r>
                <m:t>t</m:t>
              </m:r>
              <m:r>
                <m:t>u</m:t>
              </m:r>
              <m:r>
                <m:t>r</m:t>
              </m:r>
              <m:r>
                <m:t>e</m:t>
              </m:r>
            </m:sub>
          </m:sSub>
          <m:sSub>
            <m:e>
              <m:r>
                <m:t>P</m:t>
              </m:r>
            </m:e>
            <m:sub>
              <m:r>
                <m:t>I</m:t>
              </m:r>
              <m:r>
                <m:t>T</m:t>
              </m:r>
            </m:sub>
          </m:sSub>
        </m:oMath>
      </m:oMathPara>
    </w:p>
    <w:p>
      <w:pPr>
        <w:pStyle w:val="FirstParagraph"/>
        <w:widowControl/>
        <w:spacing w:line="252" w:lineRule="auto" w:before="100" w:after="180"/>
      </w:pPr>
      <m:oMathPara>
        <m:oMathParaPr>
          <m:jc m:val="center"/>
        </m:oMathParaPr>
        <m:oMath>
          <m:sSub>
            <m:e>
              <m:r>
                <m:t>Q</m:t>
              </m:r>
            </m:e>
            <m:sub>
              <m:r>
                <m:t>a</m:t>
              </m:r>
              <m:r>
                <m:t>i</m:t>
              </m:r>
              <m:r>
                <m:t>r</m:t>
              </m:r>
            </m:sub>
          </m:sSub>
          <m:r>
            <m:rPr>
              <m:sty m:val="p"/>
            </m:rPr>
            <m:t>=</m:t>
          </m:r>
          <m:d>
            <m:dPr>
              <m:begChr m:val="("/>
              <m:endChr m:val=")"/>
              <m:sepChr m:val=""/>
              <m:grow/>
            </m:dPr>
            <m:e>
              <m:r>
                <m:t>1</m:t>
              </m:r>
              <m:r>
                <m:rPr>
                  <m:sty m:val="p"/>
                </m:rPr>
                <m:t>−</m:t>
              </m:r>
              <m:sSub>
                <m:e>
                  <m:r>
                    <m:t>f</m:t>
                  </m:r>
                </m:e>
                <m:sub>
                  <m:r>
                    <m:t>c</m:t>
                  </m:r>
                  <m:r>
                    <m:t>a</m:t>
                  </m:r>
                  <m:r>
                    <m:t>p</m:t>
                  </m:r>
                  <m:r>
                    <m:t>t</m:t>
                  </m:r>
                  <m:r>
                    <m:t>u</m:t>
                  </m:r>
                  <m:r>
                    <m:t>r</m:t>
                  </m:r>
                  <m:r>
                    <m:t>e</m:t>
                  </m:r>
                </m:sub>
              </m:sSub>
            </m:e>
          </m:d>
          <m:sSub>
            <m:e>
              <m:r>
                <m:t>P</m:t>
              </m:r>
            </m:e>
            <m:sub>
              <m:r>
                <m:t>I</m:t>
              </m:r>
              <m:r>
                <m:t>T</m:t>
              </m:r>
            </m:sub>
          </m:sSub>
        </m:oMath>
      </m:oMathPara>
    </w:p>
    <w:tbl>
      <w:tblPr>
        <w:tblStyle w:val="Table"/>
        <w:tblW w:type="dxa" w:w="986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096"/>
        <w:gridCol w:w="4392"/>
      </w:tblGrid>
      <w:tr>
        <w:trPr>
          <w:tblHeader w:val="true"/>
          <w:cantSplit/>
          <w:tblHeader/>
        </w:trPr>
        <w:tc>
          <w:tcPr>
            <w:tcW w:type="dxa" w:w="237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항목</w:t>
            </w:r>
          </w:p>
        </w:tc>
        <w:tc>
          <w:tcPr>
            <w:tcW w:type="dxa" w:w="309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예제</w:t>
            </w:r>
          </w:p>
        </w:tc>
        <w:tc>
          <w:tcPr>
            <w:tcW w:type="dxa" w:w="4392"/>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산출</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랙 IT 전력</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100kW</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일정 부하</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액체 회수율</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80%</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가정</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액체측 열</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80kW</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CDU 계통</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공기측 열</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20kW</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실내 공조 계통</w:t>
            </w:r>
          </w:p>
        </w:tc>
      </w:tr>
    </w:tbl>
    <w:bookmarkEnd w:id="210"/>
    <w:bookmarkStart w:id="211" w:name="적용과-검증-61"/>
    <w:p>
      <w:pPr>
        <w:pStyle w:val="Heading2"/>
        <w:widowControl/>
      </w:pPr>
      <w:r>
        <w:t xml:space="preserve">적용과 검증</w:t>
      </w:r>
    </w:p>
    <w:p>
      <w:pPr>
        <w:pStyle w:val="FirstParagraph"/>
        <w:keepNext/>
        <w:widowControl/>
      </w:pPr>
      <w:r>
        <w:t xml:space="preserve">액체측 80kW를 만족하는 CDU와 공기측 20kW를 만족하는 공조를 동시에 검증한다. 팬·펌프 소비가 IT와 시설 중 어디에 포함되는지도 전력 경계에 맞춰 기록한다.</w:t>
      </w:r>
    </w:p>
    <w:p>
      <w:pPr>
        <w:pStyle w:val="BodyText"/>
        <w:widowControl/>
        <w:spacing w:before="160"/>
      </w:pPr>
      <w:r>
        <w:rPr>
          <w:sz w:val="17"/>
        </w:rPr>
        <w:t xml:space="preserve">근거 및 추가 읽기 [R09] [R10]</w:t>
      </w:r>
    </w:p>
    <w:bookmarkEnd w:id="211"/>
    <w:bookmarkEnd w:id="212"/>
    <w:bookmarkStart w:id="215" w:name="냉각-예비-능력과-n-플러스-1"/>
    <w:p>
      <w:pPr>
        <w:pStyle w:val="Heading1"/>
        <w:keepNext/>
        <w:widowControl/>
      </w:pPr>
      <w:bookmarkStart w:id="65" w:name="topic_65"/>
      <w:r>
        <w:t xml:space="preserve">65 냉각 예비 능력과 N 플러스 1</w:t>
      </w:r>
      <w:bookmarkEnd w:id="65"/>
    </w:p>
    <w:p>
      <w:pPr>
        <w:pStyle w:val="FirstParagraph"/>
        <w:widowControl/>
      </w:pPr>
      <w:r>
        <w:rPr>
          <w:bCs/>
          <w:b/>
        </w:rPr>
        <w:t xml:space="preserve">6부 냉각과 열수지 계산</w:t>
      </w:r>
    </w:p>
    <w:p>
      <w:pPr>
        <w:pStyle w:val="BodyText"/>
        <w:widowControl/>
      </w:pPr>
      <w:r>
        <w:t xml:space="preserve">냉각 설비의 중복성은 한 장비가 정지한 후에도 열을 제거할 수 있는지로 검토한다. 동일 장비의 정격을 단순 합산하는 방법은 실제 수온과 외기 조건에서 가용 출력이 유지된다는 조건이 필요하다.</w:t>
      </w:r>
    </w:p>
    <w:p>
      <w:pPr>
        <w:pStyle w:val="BodyText"/>
        <w:widowControl/>
      </w:pPr>
      <w:r>
        <w:t xml:space="preserve">펌프와 열교환기 및 배전 전원이 공통이면 냉동기만 예비로 두어도 계통 전체는 중복되지 않는다. 밸브를 격리해 정비할 수 있는지와 제어기 장애의 영향을 함께 검토한다.</w:t>
      </w:r>
    </w:p>
    <w:p>
      <w:pPr>
        <w:pStyle w:val="BodyText"/>
        <w:widowControl/>
      </w:pPr>
      <w:r>
        <w:t xml:space="preserve">정상 용량과 장애 후 용량을 나란히 표시하면 설계의 의미가 분명해진다. 고온 외기에서의 감액과 필터 오염 및 향후 증설을 각각 어떻게 반영했는지도 남긴다.</w:t>
      </w:r>
    </w:p>
    <w:p>
      <w:pPr>
        <w:pStyle w:val="BodyText"/>
        <w:widowControl/>
      </w:pPr>
      <w:r>
        <w:t xml:space="preserve">서로 다른 열부하를 받는 CDU를 단순 합산할 때는 배관으로 부하를 실제 공유할 수 있는지 확인한다. 랙별로 완전히 분리된 CDU라면 다른 랙의 예비 능력을 자동으로 사용할 수 없다. 전력에서의 경로별 제약과 같은 이유로 냉각도 연결 구조가 중요하다.</w:t>
      </w:r>
    </w:p>
    <w:bookmarkStart w:id="213" w:name="계산식과-변수-36"/>
    <w:p>
      <w:pPr>
        <w:pStyle w:val="Heading2"/>
        <w:widowControl/>
      </w:pPr>
      <w:r>
        <w:t xml:space="preserve">계산식과 변수</w:t>
      </w:r>
    </w:p>
    <w:p>
      <w:pPr>
        <w:pStyle w:val="FirstParagraph"/>
        <w:widowControl/>
        <w:spacing w:line="252" w:lineRule="auto" w:before="100" w:after="180"/>
      </w:pPr>
      <m:oMathPara>
        <m:oMathParaPr>
          <m:jc m:val="center"/>
        </m:oMathParaPr>
        <m:oMath>
          <m:d>
            <m:dPr>
              <m:begChr m:val="("/>
              <m:endChr m:val=")"/>
              <m:sepChr m:val=""/>
              <m:grow/>
            </m:dPr>
            <m:e>
              <m:sSub>
                <m:e>
                  <m:r>
                    <m:t>N</m:t>
                  </m:r>
                </m:e>
                <m:sub>
                  <m:r>
                    <m:t>u</m:t>
                  </m:r>
                  <m:r>
                    <m:t>n</m:t>
                  </m:r>
                  <m:r>
                    <m:t>i</m:t>
                  </m:r>
                  <m:r>
                    <m:t>t</m:t>
                  </m:r>
                </m:sub>
              </m:sSub>
              <m:r>
                <m:rPr>
                  <m:sty m:val="p"/>
                </m:rPr>
                <m:t>−</m:t>
              </m:r>
              <m:r>
                <m:t>1</m:t>
              </m:r>
            </m:e>
          </m:d>
          <m:sSub>
            <m:e>
              <m:r>
                <m:t>C</m:t>
              </m:r>
            </m:e>
            <m:sub>
              <m:r>
                <m:t>u</m:t>
              </m:r>
              <m:r>
                <m:t>s</m:t>
              </m:r>
              <m:r>
                <m:t>a</m:t>
              </m:r>
              <m:r>
                <m:t>b</m:t>
              </m:r>
              <m:r>
                <m:t>l</m:t>
              </m:r>
              <m:r>
                <m:t>e</m:t>
              </m:r>
            </m:sub>
          </m:sSub>
          <m:r>
            <m:rPr>
              <m:sty m:val="p"/>
            </m:rPr>
            <m:t>≥</m:t>
          </m:r>
          <m:sSub>
            <m:e>
              <m:r>
                <m:t>Q</m:t>
              </m:r>
            </m:e>
            <m:sub>
              <m:r>
                <m:t>d</m:t>
              </m:r>
              <m:r>
                <m:t>e</m:t>
              </m:r>
              <m:r>
                <m:t>s</m:t>
              </m:r>
              <m:r>
                <m:t>i</m:t>
              </m:r>
              <m:r>
                <m:t>g</m:t>
              </m:r>
              <m:r>
                <m:t>n</m:t>
              </m:r>
            </m:sub>
          </m:sSub>
        </m:oMath>
      </m:oMathPara>
    </w:p>
    <w:tbl>
      <w:tblPr>
        <w:tblStyle w:val="Table"/>
        <w:tblW w:type="dxa" w:w="986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096"/>
        <w:gridCol w:w="4392"/>
      </w:tblGrid>
      <w:tr>
        <w:trPr>
          <w:tblHeader w:val="true"/>
          <w:cantSplit/>
          <w:tblHeader/>
        </w:trPr>
        <w:tc>
          <w:tcPr>
            <w:tcW w:type="dxa" w:w="237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입력</w:t>
            </w:r>
          </w:p>
        </w:tc>
        <w:tc>
          <w:tcPr>
            <w:tcW w:type="dxa" w:w="309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예제</w:t>
            </w:r>
          </w:p>
        </w:tc>
        <w:tc>
          <w:tcPr>
            <w:tcW w:type="dxa" w:w="4392"/>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판정</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설계 열부하</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900kW</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요구량</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장치 가용 능력</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300kW</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조건 반영 후</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설치 3대</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장애 후 600kW</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실패</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설치 4대</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장애 후 900kW</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열량 기준 통과</w:t>
            </w:r>
          </w:p>
        </w:tc>
      </w:tr>
    </w:tbl>
    <w:bookmarkEnd w:id="213"/>
    <w:bookmarkStart w:id="214" w:name="적용과-검증-62"/>
    <w:p>
      <w:pPr>
        <w:pStyle w:val="Heading2"/>
        <w:widowControl/>
      </w:pPr>
      <w:r>
        <w:t xml:space="preserve">적용과 검증</w:t>
      </w:r>
    </w:p>
    <w:p>
      <w:pPr>
        <w:pStyle w:val="FirstParagraph"/>
        <w:keepNext/>
        <w:widowControl/>
      </w:pPr>
      <w:r>
        <w:t xml:space="preserve">열량 기준 통과는 펌프 유량과 배관 및 전원 경로까지 통과했다는 뜻이 아니다. N+1이라는 문구 대신 어떤 단위와 어떤 고장을 기준으로 검증했는지 적는다.</w:t>
      </w:r>
    </w:p>
    <w:p>
      <w:pPr>
        <w:pStyle w:val="BodyText"/>
        <w:widowControl/>
        <w:spacing w:before="160"/>
      </w:pPr>
      <w:r>
        <w:rPr>
          <w:sz w:val="17"/>
        </w:rPr>
        <w:t xml:space="preserve">근거 및 추가 읽기 [R09] [R27]</w:t>
      </w:r>
    </w:p>
    <w:bookmarkEnd w:id="214"/>
    <w:bookmarkEnd w:id="215"/>
    <w:bookmarkStart w:id="218" w:name="누수와-냉각-상실의-과도-상태"/>
    <w:p>
      <w:pPr>
        <w:pStyle w:val="Heading2"/>
        <w:keepNext/>
        <w:keepLines/>
        <w:spacing w:after="100"/>
      </w:pPr>
      <w:r>
        <w:t>냉각 실패 판정과 복구 대안의 수치화</w:t>
      </w:r>
    </w:p>
    <w:p>
      <w:pPr>
        <w:pStyle w:val="BodyText"/>
        <w:keepLines/>
        <w:spacing w:after="100"/>
      </w:pPr>
      <w:r>
        <w:t>80kW 냉각부하 사례에서 CDU 50kW 2대로 구성하면 한 대 고장 후 잔여 열 제거는 50kW로 30kW 부족하다. 대안 A는 50kW CDU 3대와 독립 펌프·전원·밸브 경로를 구현한다. 대안 B는 2대 체계에서 냉각 장애 후 서버측 IT 발열을 50/80=62.5% 이하로 낮추는 보호 정책을 사용하되, 실제 GPU 전력-열 특성과 제어 지연 및 공급수온을 실측해야 한다.</w:t>
      </w:r>
    </w:p>
    <w:p>
      <w:pPr>
        <w:pStyle w:val="BodyText"/>
        <w:keepLines/>
        <w:spacing w:after="100"/>
      </w:pPr>
      <w:r>
        <w:t>62.5%는 이상화된 열량 비율이며 CPU·메모리·네트워크의 비가변 발열, 냉각수 지연과 데이터 홀 온도 상승 때문에 GPU에 그대로 설정할 수 있는 보증치가 아니다. 실무 정책은 시간 순서(감지→부하 제한→안전 중지)와 예상 온도 상승곡선·안전 한계까지 포함한다.</w:t>
      </w:r>
    </w:p>
    <w:p>
      <w:pPr>
        <w:pStyle w:val="BodyText"/>
        <w:keepLines/>
        <w:spacing w:after="100"/>
      </w:pPr>
      <w:r>
        <w:t>냉각 입력값 불확실성의 경계도 검토한다. 같은 80kW 부하에서 ΔT_water가 8K면 143.3L/min, 10K면 114.7L/min, 12K면 95.6L/min가 필요하다(ρ=1000kg/m³, cp=4186J/kgK의 비교 기준). 밸브·펌프 제어범위는 가장 높은 요구유량에서 시험한다.</w:t>
      </w:r>
    </w:p>
    <w:tbl>
      <w:tblPr>
        <w:tblW w:type="auto" w:w="0"/>
        <w:jc w:val="center"/>
        <w:tblLayout w:type="autofit"/>
        <w:tblLook w:firstColumn="1" w:firstRow="1" w:lastColumn="0" w:lastRow="0" w:noHBand="0" w:noVBand="1" w:val="04A0"/>
      </w:tblPr>
      <w:tblGrid>
        <w:gridCol w:w="2484"/>
        <w:gridCol w:w="2484"/>
        <w:gridCol w:w="2484"/>
        <w:gridCol w:w="2484"/>
      </w:tblGrid>
      <w:tr>
        <w:trPr>
          <w:tblHeader w:val="true"/>
        </w:trPr>
        <w:tc>
          <w:tcPr>
            <w:tcW w:type="dxa" w:w="2484"/>
            <w:vAlign w:val="center"/>
            <w:shd w:fill="DDEAF3"/>
          </w:tcPr>
          <w:p>
            <w:pPr>
              <w:spacing w:after="20" w:before="20"/>
            </w:pPr>
            <w:r>
              <w:rPr>
                <w:b/>
                <w:sz w:val="16"/>
              </w:rPr>
              <w:t>CDU 배치</w:t>
            </w:r>
          </w:p>
        </w:tc>
        <w:tc>
          <w:tcPr>
            <w:tcW w:type="dxa" w:w="2484"/>
            <w:vAlign w:val="center"/>
            <w:shd w:fill="DDEAF3"/>
          </w:tcPr>
          <w:p>
            <w:pPr>
              <w:spacing w:after="20" w:before="20"/>
            </w:pPr>
            <w:r>
              <w:rPr>
                <w:b/>
                <w:sz w:val="16"/>
              </w:rPr>
              <w:t>N−1 잔여</w:t>
            </w:r>
          </w:p>
        </w:tc>
        <w:tc>
          <w:tcPr>
            <w:tcW w:type="dxa" w:w="2484"/>
            <w:vAlign w:val="center"/>
            <w:shd w:fill="DDEAF3"/>
          </w:tcPr>
          <w:p>
            <w:pPr>
              <w:spacing w:after="20" w:before="20"/>
            </w:pPr>
            <w:r>
              <w:rPr>
                <w:b/>
                <w:sz w:val="16"/>
              </w:rPr>
              <w:t>80kW 대비</w:t>
            </w:r>
          </w:p>
        </w:tc>
        <w:tc>
          <w:tcPr>
            <w:tcW w:type="dxa" w:w="2484"/>
            <w:vAlign w:val="center"/>
            <w:shd w:fill="DDEAF3"/>
          </w:tcPr>
          <w:p>
            <w:pPr>
              <w:spacing w:after="20" w:before="20"/>
            </w:pPr>
            <w:r>
              <w:rPr>
                <w:b/>
                <w:sz w:val="16"/>
              </w:rPr>
              <w:t>판정/수단</w:t>
            </w:r>
          </w:p>
        </w:tc>
      </w:tr>
      <w:tr>
        <w:tc>
          <w:tcPr>
            <w:tcW w:type="dxa" w:w="2484"/>
            <w:vAlign w:val="center"/>
          </w:tcPr>
          <w:p>
            <w:pPr>
              <w:spacing w:after="20" w:before="20"/>
            </w:pPr>
            <w:r>
              <w:rPr>
                <w:sz w:val="16"/>
              </w:rPr>
              <w:t>50kW×2</w:t>
            </w:r>
          </w:p>
        </w:tc>
        <w:tc>
          <w:tcPr>
            <w:tcW w:type="dxa" w:w="2484"/>
            <w:vAlign w:val="center"/>
          </w:tcPr>
          <w:p>
            <w:pPr>
              <w:spacing w:after="20" w:before="20"/>
            </w:pPr>
            <w:r>
              <w:rPr>
                <w:sz w:val="16"/>
              </w:rPr>
              <w:t>50kW</w:t>
            </w:r>
          </w:p>
        </w:tc>
        <w:tc>
          <w:tcPr>
            <w:tcW w:type="dxa" w:w="2484"/>
            <w:vAlign w:val="center"/>
          </w:tcPr>
          <w:p>
            <w:pPr>
              <w:spacing w:after="20" w:before="20"/>
            </w:pPr>
            <w:r>
              <w:rPr>
                <w:sz w:val="16"/>
              </w:rPr>
              <w:t>−30kW</w:t>
            </w:r>
          </w:p>
        </w:tc>
        <w:tc>
          <w:tcPr>
            <w:tcW w:type="dxa" w:w="2484"/>
            <w:vAlign w:val="center"/>
          </w:tcPr>
          <w:p>
            <w:pPr>
              <w:spacing w:after="20" w:before="20"/>
            </w:pPr>
            <w:r>
              <w:rPr>
                <w:sz w:val="16"/>
              </w:rPr>
              <w:t>실패, 62.5% 열 부하 제한 필요</w:t>
            </w:r>
          </w:p>
        </w:tc>
      </w:tr>
      <w:tr>
        <w:tc>
          <w:tcPr>
            <w:tcW w:type="dxa" w:w="2484"/>
            <w:vAlign w:val="center"/>
            <w:shd w:fill="F2F6FA"/>
          </w:tcPr>
          <w:p>
            <w:pPr>
              <w:spacing w:after="20" w:before="20"/>
            </w:pPr>
            <w:r>
              <w:rPr>
                <w:sz w:val="16"/>
              </w:rPr>
              <w:t>50kW×3</w:t>
            </w:r>
          </w:p>
        </w:tc>
        <w:tc>
          <w:tcPr>
            <w:tcW w:type="dxa" w:w="2484"/>
            <w:vAlign w:val="center"/>
            <w:shd w:fill="F2F6FA"/>
          </w:tcPr>
          <w:p>
            <w:pPr>
              <w:spacing w:after="20" w:before="20"/>
            </w:pPr>
            <w:r>
              <w:rPr>
                <w:sz w:val="16"/>
              </w:rPr>
              <w:t>100kW</w:t>
            </w:r>
          </w:p>
        </w:tc>
        <w:tc>
          <w:tcPr>
            <w:tcW w:type="dxa" w:w="2484"/>
            <w:vAlign w:val="center"/>
            <w:shd w:fill="F2F6FA"/>
          </w:tcPr>
          <w:p>
            <w:pPr>
              <w:spacing w:after="20" w:before="20"/>
            </w:pPr>
            <w:r>
              <w:rPr>
                <w:sz w:val="16"/>
              </w:rPr>
              <w:t>+20kW</w:t>
            </w:r>
          </w:p>
        </w:tc>
        <w:tc>
          <w:tcPr>
            <w:tcW w:type="dxa" w:w="2484"/>
            <w:vAlign w:val="center"/>
            <w:shd w:fill="F2F6FA"/>
          </w:tcPr>
          <w:p>
            <w:pPr>
              <w:spacing w:after="20" w:before="20"/>
            </w:pPr>
            <w:r>
              <w:rPr>
                <w:sz w:val="16"/>
              </w:rPr>
              <w:t>열량 통과, 공통 원인 추가 검증</w:t>
            </w:r>
          </w:p>
        </w:tc>
      </w:tr>
      <w:tr>
        <w:tc>
          <w:tcPr>
            <w:tcW w:type="dxa" w:w="2484"/>
            <w:vAlign w:val="center"/>
          </w:tcPr>
          <w:p>
            <w:pPr>
              <w:spacing w:after="20" w:before="20"/>
            </w:pPr>
            <w:r>
              <w:rPr>
                <w:sz w:val="16"/>
              </w:rPr>
              <w:t>50kW×2 + 30kW 보조</w:t>
            </w:r>
          </w:p>
        </w:tc>
        <w:tc>
          <w:tcPr>
            <w:tcW w:type="dxa" w:w="2484"/>
            <w:vAlign w:val="center"/>
          </w:tcPr>
          <w:p>
            <w:pPr>
              <w:spacing w:after="20" w:before="20"/>
            </w:pPr>
            <w:r>
              <w:rPr>
                <w:sz w:val="16"/>
              </w:rPr>
              <w:t>80kW (고장 종류 의존)</w:t>
            </w:r>
          </w:p>
        </w:tc>
        <w:tc>
          <w:tcPr>
            <w:tcW w:type="dxa" w:w="2484"/>
            <w:vAlign w:val="center"/>
          </w:tcPr>
          <w:p>
            <w:pPr>
              <w:spacing w:after="20" w:before="20"/>
            </w:pPr>
            <w:r>
              <w:rPr>
                <w:sz w:val="16"/>
              </w:rPr>
              <w:t>0kW</w:t>
            </w:r>
          </w:p>
        </w:tc>
        <w:tc>
          <w:tcPr>
            <w:tcW w:type="dxa" w:w="2484"/>
            <w:vAlign w:val="center"/>
          </w:tcPr>
          <w:p>
            <w:pPr>
              <w:spacing w:after="20" w:before="20"/>
            </w:pPr>
            <w:r>
              <w:rPr>
                <w:sz w:val="16"/>
              </w:rPr>
              <w:t>모든 단일 장애 경로를 검증해야 함</w:t>
            </w:r>
          </w:p>
        </w:tc>
      </w:tr>
    </w:tbl>
    <w:p>
      <w:pPr>
        <w:pStyle w:val="Heading1"/>
        <w:keepNext/>
        <w:widowControl/>
      </w:pPr>
      <w:bookmarkStart w:id="66" w:name="topic_66"/>
      <w:r>
        <w:t xml:space="preserve">66 누수와 냉각 상실의 과도 상태</w:t>
      </w:r>
      <w:bookmarkEnd w:id="66"/>
    </w:p>
    <w:p>
      <w:pPr>
        <w:pStyle w:val="FirstParagraph"/>
        <w:widowControl/>
      </w:pPr>
      <w:r>
        <w:rPr>
          <w:bCs/>
          <w:b/>
        </w:rPr>
        <w:t xml:space="preserve">6부 냉각과 열수지 계산</w:t>
      </w:r>
    </w:p>
    <w:p>
      <w:pPr>
        <w:pStyle w:val="BodyText"/>
        <w:widowControl/>
      </w:pPr>
      <w:r>
        <w:t xml:space="preserve">냉각이 줄어든 직후에는 열이 공기, 물과 장비 구조물에 축적된다. 단순 집중 열용량 모델에서는 발생 열과 제거 열의 차이가 온도 상승률을 결정한다. 실제 랙은 위치별 열용량과 흐름이 달라 더 복잡하다.</w:t>
      </w:r>
    </w:p>
    <w:p>
      <w:pPr>
        <w:pStyle w:val="BodyText"/>
        <w:widowControl/>
      </w:pPr>
      <w:r>
        <w:t xml:space="preserve">누수는 유량 감소뿐 아니라 전기·재료와 운영 안전에 영향을 줄 수 있다. 검출, 해당 분기 격리, 부하 제한과 복구의 순서를 현장 설계로 정한다. 모든 상황에서 전체 펌프를 즉시 멈추는 것이 최선이라고 일반화하지 않는다.</w:t>
      </w:r>
    </w:p>
    <w:p>
      <w:pPr>
        <w:pStyle w:val="BodyText"/>
        <w:widowControl/>
      </w:pPr>
      <w:r>
        <w:t xml:space="preserve">교육 시뮬레이션에 쓰는 초당 온도 상승량은 실제 시설 상수가 아니다. 열용량과 잔여 냉각을 모르면 실제 허용 시간을 산출할 수 없으므로 가정과 민감도를 표시한다.</w:t>
      </w:r>
    </w:p>
    <w:p>
      <w:pPr>
        <w:pStyle w:val="BodyText"/>
        <w:widowControl/>
      </w:pPr>
      <w:r>
        <w:t xml:space="preserve">등가 열용량 C의 단위는 kJ/K이고 순열량은 kJ/s이므로 온도 변화율은 K/s다. 공기뿐 아니라 물과 금속의 열용량을 포함하는지에 따라 값이 크게 달라진다. 공간 전체의 평균 모델은 특정 칩이나 랙 흡입면의 빠른 과열을 놓칠 수 있다.</w:t>
      </w:r>
    </w:p>
    <w:bookmarkStart w:id="216" w:name="계산식과-변수-37"/>
    <w:p>
      <w:pPr>
        <w:pStyle w:val="Heading2"/>
        <w:widowControl/>
      </w:pPr>
      <w:r>
        <w:t xml:space="preserve">계산식과 변수</w:t>
      </w:r>
    </w:p>
    <w:p>
      <w:pPr>
        <w:pStyle w:val="FirstParagraph"/>
        <w:widowControl/>
        <w:spacing w:line="252" w:lineRule="auto" w:before="100" w:after="180"/>
      </w:pPr>
      <m:oMathPara>
        <m:oMathParaPr>
          <m:jc m:val="center"/>
        </m:oMathParaPr>
        <m:oMath>
          <m:sSub>
            <m:e>
              <m:r>
                <m:t>C</m:t>
              </m:r>
            </m:e>
            <m:sub>
              <m:r>
                <m:t>t</m:t>
              </m:r>
              <m:r>
                <m:t>h</m:t>
              </m:r>
              <m:r>
                <m:t>e</m:t>
              </m:r>
              <m:r>
                <m:t>r</m:t>
              </m:r>
              <m:r>
                <m:t>m</m:t>
              </m:r>
              <m:r>
                <m:t>a</m:t>
              </m:r>
              <m:r>
                <m:t>l</m:t>
              </m:r>
            </m:sub>
          </m:sSub>
          <m:f>
            <m:fPr>
              <m:type m:val="bar"/>
            </m:fPr>
            <m:num>
              <m:r>
                <m:t>d</m:t>
              </m:r>
              <m:r>
                <m:t>T</m:t>
              </m:r>
            </m:num>
            <m:den>
              <m:r>
                <m:t>d</m:t>
              </m:r>
              <m:r>
                <m:t>t</m:t>
              </m:r>
            </m:den>
          </m:f>
          <m:r>
            <m:rPr>
              <m:sty m:val="p"/>
            </m:rPr>
            <m:t>=</m:t>
          </m:r>
          <m:sSub>
            <m:e>
              <m:r>
                <m:t>Q</m:t>
              </m:r>
            </m:e>
            <m:sub>
              <m:r>
                <m:t>g</m:t>
              </m:r>
              <m:r>
                <m:t>e</m:t>
              </m:r>
              <m:r>
                <m:t>n</m:t>
              </m:r>
              <m:r>
                <m:t>e</m:t>
              </m:r>
              <m:r>
                <m:t>r</m:t>
              </m:r>
              <m:r>
                <m:t>a</m:t>
              </m:r>
              <m:r>
                <m:t>t</m:t>
              </m:r>
              <m:r>
                <m:t>e</m:t>
              </m:r>
              <m:r>
                <m:t>d</m:t>
              </m:r>
            </m:sub>
          </m:sSub>
          <m:r>
            <m:rPr>
              <m:sty m:val="p"/>
            </m:rPr>
            <m:t>−</m:t>
          </m:r>
          <m:sSub>
            <m:e>
              <m:r>
                <m:t>Q</m:t>
              </m:r>
            </m:e>
            <m:sub>
              <m:r>
                <m:t>r</m:t>
              </m:r>
              <m:r>
                <m:t>e</m:t>
              </m:r>
              <m:r>
                <m:t>m</m:t>
              </m:r>
              <m:r>
                <m:t>o</m:t>
              </m:r>
              <m:r>
                <m:t>v</m:t>
              </m:r>
              <m:r>
                <m:t>e</m:t>
              </m:r>
              <m:r>
                <m:t>d</m:t>
              </m:r>
            </m:sub>
          </m:sSub>
        </m:oMath>
      </m:oMathPara>
    </w:p>
    <w:tbl>
      <w:tblPr>
        <w:tblStyle w:val="Table"/>
        <w:tblW w:type="dxa" w:w="986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096"/>
        <w:gridCol w:w="4392"/>
      </w:tblGrid>
      <w:tr>
        <w:trPr>
          <w:tblHeader w:val="true"/>
          <w:cantSplit/>
          <w:tblHeader/>
        </w:trPr>
        <w:tc>
          <w:tcPr>
            <w:tcW w:type="dxa" w:w="237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변수</w:t>
            </w:r>
          </w:p>
        </w:tc>
        <w:tc>
          <w:tcPr>
            <w:tcW w:type="dxa" w:w="309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예제</w:t>
            </w:r>
          </w:p>
        </w:tc>
        <w:tc>
          <w:tcPr>
            <w:tcW w:type="dxa" w:w="4392"/>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결과</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순열 축적</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20kW</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발생과 제거 차이</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등가 열용량</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2000kJ/K</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설명용 가정</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상승률</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0.01K/s</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20 나누기 2000</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5K 상승 시간</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500초</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일정 조건 근사</w:t>
            </w:r>
          </w:p>
        </w:tc>
      </w:tr>
    </w:tbl>
    <w:bookmarkEnd w:id="216"/>
    <w:bookmarkStart w:id="217" w:name="적용과-검증-63"/>
    <w:p>
      <w:pPr>
        <w:pStyle w:val="Heading2"/>
        <w:widowControl/>
      </w:pPr>
      <w:r>
        <w:t xml:space="preserve">적용과 검증</w:t>
      </w:r>
    </w:p>
    <w:p>
      <w:pPr>
        <w:pStyle w:val="FirstParagraph"/>
        <w:keepNext/>
        <w:widowControl/>
      </w:pPr>
      <w:r>
        <w:t xml:space="preserve">500초는 예제 모델의 결과이며 실제 데이터센터의 대피·차단 기준이 아니다. 온도 임계값과 부하 제한은 해당 IT 장비와 시설 제어 기준에 맞춰 설정한다.</w:t>
      </w:r>
    </w:p>
    <w:p>
      <w:pPr>
        <w:pStyle w:val="BodyText"/>
        <w:widowControl/>
        <w:spacing w:before="160"/>
      </w:pPr>
      <w:r>
        <w:rPr>
          <w:sz w:val="17"/>
        </w:rPr>
        <w:t xml:space="preserve">근거 및 추가 읽기 [R09] [R28]</w:t>
      </w:r>
    </w:p>
    <w:bookmarkEnd w:id="217"/>
    <w:bookmarkEnd w:id="218"/>
    <w:bookmarkStart w:id="224" w:name="pue의-정의와-측정-경계"/>
    <w:p>
      <w:pPr>
        <w:pStyle w:val="Heading1"/>
        <w:keepNext/>
        <w:widowControl/>
      </w:pPr>
      <w:bookmarkStart w:id="67" w:name="topic_67"/>
      <w:r>
        <w:t xml:space="preserve">67 PUE의 정의와 측정 경계</w:t>
      </w:r>
      <w:bookmarkEnd w:id="67"/>
    </w:p>
    <w:p>
      <w:pPr>
        <w:pStyle w:val="FirstParagraph"/>
        <w:widowControl/>
      </w:pPr>
      <w:r>
        <w:rPr>
          <w:bCs/>
          <w:b/>
        </w:rPr>
        <w:t xml:space="preserve">7부 PUE 에너지와 서비스 용량</w:t>
      </w:r>
    </w:p>
    <w:p>
      <w:pPr>
        <w:pStyle w:val="BodyText"/>
        <w:widowControl/>
      </w:pPr>
      <w:r>
        <w:t xml:space="preserve">PUE는 같은 기간 시설 전체 에너지를 IT 에너지로 나눈 값이다. 시설 에너지는 IT 외에 냉각과 전력 변환 및 기타 지원 부하를 포함한다. 측정 경계가 다른 두 시설의 숫자를 단순 비교하면 해석이 왜곡될 수 있다.</w:t>
      </w:r>
    </w:p>
    <w:p>
      <w:pPr>
        <w:pStyle w:val="BodyText"/>
        <w:widowControl/>
      </w:pPr>
      <w:r>
        <w:t xml:space="preserve">순간 시설 전력과 순간 IT 전력의 비율은 운전 상태를 관찰하는 데 쓸 수 있지만 연간 에너지 기반 PUE와 동일한 지표라고 표시하지 않는다. 본문에서 순간 비율을 쓰면 해당 운전점의 전력비라고 명시한다.</w:t>
      </w:r>
    </w:p>
    <w:p>
      <w:pPr>
        <w:pStyle w:val="BodyText"/>
        <w:widowControl/>
      </w:pPr>
      <w:r>
        <w:t xml:space="preserve">2026년 기준 ISO/IEC 30134-2 제2판이 공개되어 있다. 이 문서는 공개 설명의 범위에서 정의와 경계의 중요성을 소개하며 미열람한 측정 분류의 세부 의무 조항을 제시하지 않는다.</w:t>
      </w:r>
    </w:p>
    <w:p>
      <w:pPr>
        <w:pStyle w:val="BodyText"/>
        <w:widowControl/>
      </w:pPr>
      <w:r>
        <w:t xml:space="preserve">PUE가 1보다 작게 계산되면 먼저 계측 경계를 확인한다. 시설 에너지는 IT 에너지를 포함하므로 같은 경계와 기간의 정상적인 단순 합산에서 분자가 분모보다 작아질 수 없다. 시간 불일치, 열 재사용 크레딧의 잘못된 차감과 계측 누락을 점검한다.</w:t>
      </w:r>
    </w:p>
    <w:p>
      <w:pPr>
        <w:pStyle w:val="CaptionedFigure"/>
        <w:widowControl/>
        <w:spacing w:line="240" w:lineRule="auto" w:before="80" w:after="120"/>
      </w:pPr>
      <w:r>
        <w:drawing>
          <wp:inline>
            <wp:extent cx="5334000" cy="1438793"/>
            <wp:effectExtent b="0" l="0" r="0" t="0"/>
            <wp:docPr descr="개념도 PUE의 정의와 측정 경계" title="" id="220" name="Picture"/>
            <a:graphic>
              <a:graphicData uri="http://schemas.openxmlformats.org/drawingml/2006/picture">
                <pic:pic>
                  <pic:nvPicPr>
                    <pic:cNvPr descr="/workspace/scratch/4cfa22a96ecd/data/pue.png" id="221" name="Picture"/>
                    <pic:cNvPicPr>
                      <a:picLocks noChangeArrowheads="1" noChangeAspect="1"/>
                    </pic:cNvPicPr>
                  </pic:nvPicPr>
                  <pic:blipFill>
                    <a:blip r:embed="rId219"/>
                    <a:stretch>
                      <a:fillRect/>
                    </a:stretch>
                  </pic:blipFill>
                  <pic:spPr bwMode="auto">
                    <a:xfrm>
                      <a:off x="0" y="0"/>
                      <a:ext cx="5334000" cy="1438793"/>
                    </a:xfrm>
                    <a:prstGeom prst="rect">
                      <a:avLst/>
                    </a:prstGeom>
                    <a:noFill/>
                    <a:ln w="9525">
                      <a:noFill/>
                      <a:headEnd/>
                      <a:tailEnd/>
                    </a:ln>
                  </pic:spPr>
                </pic:pic>
              </a:graphicData>
            </a:graphic>
          </wp:inline>
        </w:drawing>
      </w:r>
    </w:p>
    <w:p>
      <w:pPr>
        <w:pStyle w:val="ImageCaption"/>
        <w:widowControl/>
      </w:pPr>
      <w:r>
        <w:t xml:space="preserve">개념도 PUE의 정의와 측정 경계</w:t>
      </w:r>
    </w:p>
    <w:bookmarkStart w:id="222" w:name="계산식과-변수-38"/>
    <w:p>
      <w:pPr>
        <w:pStyle w:val="Heading2"/>
        <w:widowControl/>
      </w:pPr>
      <w:r>
        <w:t xml:space="preserve">계산식과 변수</w:t>
      </w:r>
    </w:p>
    <w:p>
      <w:pPr>
        <w:pStyle w:val="FirstParagraph"/>
        <w:widowControl/>
        <w:spacing w:line="252" w:lineRule="auto" w:before="100" w:after="180"/>
      </w:pPr>
      <m:oMathPara>
        <m:oMathParaPr>
          <m:jc m:val="center"/>
        </m:oMathParaPr>
        <m:oMath>
          <m:r>
            <m:t>P</m:t>
          </m:r>
          <m:r>
            <m:t>U</m:t>
          </m:r>
          <m:r>
            <m:t>E</m:t>
          </m:r>
          <m:r>
            <m:rPr>
              <m:sty m:val="p"/>
            </m:rPr>
            <m:t>=</m:t>
          </m:r>
          <m:f>
            <m:fPr>
              <m:type m:val="bar"/>
            </m:fPr>
            <m:num>
              <m:sSub>
                <m:e>
                  <m:r>
                    <m:t>E</m:t>
                  </m:r>
                </m:e>
                <m:sub>
                  <m:r>
                    <m:t>f</m:t>
                  </m:r>
                  <m:r>
                    <m:t>a</m:t>
                  </m:r>
                  <m:r>
                    <m:t>c</m:t>
                  </m:r>
                  <m:r>
                    <m:t>i</m:t>
                  </m:r>
                  <m:r>
                    <m:t>l</m:t>
                  </m:r>
                  <m:r>
                    <m:t>i</m:t>
                  </m:r>
                  <m:r>
                    <m:t>t</m:t>
                  </m:r>
                  <m:r>
                    <m:t>y</m:t>
                  </m:r>
                </m:sub>
              </m:sSub>
            </m:num>
            <m:den>
              <m:sSub>
                <m:e>
                  <m:r>
                    <m:t>E</m:t>
                  </m:r>
                </m:e>
                <m:sub>
                  <m:r>
                    <m:t>I</m:t>
                  </m:r>
                  <m:r>
                    <m:t>T</m:t>
                  </m:r>
                </m:sub>
              </m:sSub>
            </m:den>
          </m:f>
          <m:r>
            <m:rPr>
              <m:sty m:val="p"/>
            </m:rPr>
            <m:t>=</m:t>
          </m:r>
          <m:r>
            <m:t>1</m:t>
          </m:r>
          <m:r>
            <m:rPr>
              <m:sty m:val="p"/>
            </m:rPr>
            <m:t>+</m:t>
          </m:r>
          <m:f>
            <m:fPr>
              <m:type m:val="bar"/>
            </m:fPr>
            <m:num>
              <m:sSub>
                <m:e>
                  <m:r>
                    <m:t>E</m:t>
                  </m:r>
                </m:e>
                <m:sub>
                  <m:r>
                    <m:t>n</m:t>
                  </m:r>
                  <m:r>
                    <m:t>o</m:t>
                  </m:r>
                  <m:r>
                    <m:t>n</m:t>
                  </m:r>
                  <m:r>
                    <m:t>I</m:t>
                  </m:r>
                  <m:r>
                    <m:t>T</m:t>
                  </m:r>
                </m:sub>
              </m:sSub>
            </m:num>
            <m:den>
              <m:sSub>
                <m:e>
                  <m:r>
                    <m:t>E</m:t>
                  </m:r>
                </m:e>
                <m:sub>
                  <m:r>
                    <m:t>I</m:t>
                  </m:r>
                  <m:r>
                    <m:t>T</m:t>
                  </m:r>
                </m:sub>
              </m:sSub>
            </m:den>
          </m:f>
        </m:oMath>
      </m:oMathPara>
    </w:p>
    <w:tbl>
      <w:tblPr>
        <w:tblStyle w:val="Table"/>
        <w:tblW w:type="dxa" w:w="986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096"/>
        <w:gridCol w:w="4392"/>
      </w:tblGrid>
      <w:tr>
        <w:trPr>
          <w:tblHeader w:val="true"/>
          <w:cantSplit/>
          <w:tblHeader/>
        </w:trPr>
        <w:tc>
          <w:tcPr>
            <w:tcW w:type="dxa" w:w="237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항목</w:t>
            </w:r>
          </w:p>
        </w:tc>
        <w:tc>
          <w:tcPr>
            <w:tcW w:type="dxa" w:w="309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예제</w:t>
            </w:r>
          </w:p>
        </w:tc>
        <w:tc>
          <w:tcPr>
            <w:tcW w:type="dxa" w:w="4392"/>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산출</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IT 에너지</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1000MWh</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동일 기간</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시설 에너지</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1300MWh</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IT 포함</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비 IT 에너지</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300MWh</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차이</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PUE</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1.30</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단위 없는 비율</w:t>
            </w:r>
          </w:p>
        </w:tc>
      </w:tr>
    </w:tbl>
    <w:bookmarkEnd w:id="222"/>
    <w:bookmarkStart w:id="223" w:name="적용과-검증-64"/>
    <w:p>
      <w:pPr>
        <w:pStyle w:val="Heading2"/>
        <w:widowControl/>
      </w:pPr>
      <w:r>
        <w:t xml:space="preserve">적용과 검증</w:t>
      </w:r>
    </w:p>
    <w:p>
      <w:pPr>
        <w:pStyle w:val="FirstParagraph"/>
        <w:keepNext/>
        <w:widowControl/>
      </w:pPr>
      <w:r>
        <w:t xml:space="preserve">PUE 1.30은 전체 전력의 30%가 비 IT라는 뜻이 아니다. 비 IT는 IT의 30%이고 시설 전체에서의 비율은 300 나누기 1300으로 약 23.08%다.</w:t>
      </w:r>
    </w:p>
    <w:p>
      <w:pPr>
        <w:pStyle w:val="BodyText"/>
        <w:widowControl/>
        <w:spacing w:before="160"/>
      </w:pPr>
      <w:r>
        <w:rPr>
          <w:sz w:val="17"/>
        </w:rPr>
        <w:t xml:space="preserve">근거 및 추가 읽기 [R01] [R02]</w:t>
      </w:r>
    </w:p>
    <w:bookmarkEnd w:id="223"/>
    <w:bookmarkEnd w:id="224"/>
    <w:bookmarkStart w:id="227" w:name="부하율과-pue의-역설"/>
    <w:p>
      <w:pPr>
        <w:pStyle w:val="Heading1"/>
        <w:keepNext/>
        <w:widowControl/>
      </w:pPr>
      <w:bookmarkStart w:id="68" w:name="topic_68"/>
      <w:r>
        <w:t xml:space="preserve">68 부하율과 PUE의 역설</w:t>
      </w:r>
      <w:bookmarkEnd w:id="68"/>
    </w:p>
    <w:p>
      <w:pPr>
        <w:pStyle w:val="FirstParagraph"/>
        <w:widowControl/>
      </w:pPr>
      <w:r>
        <w:rPr>
          <w:bCs/>
          <w:b/>
        </w:rPr>
        <w:t xml:space="preserve">7부 PUE 에너지와 서비스 용량</w:t>
      </w:r>
    </w:p>
    <w:p>
      <w:pPr>
        <w:pStyle w:val="BodyText"/>
        <w:widowControl/>
      </w:pPr>
      <w:r>
        <w:t xml:space="preserve">비 IT 부하 중에는 IT 부하와 함께 변하는 부분과 고정적으로 발생하는 부분이 있다. IT 부하가 줄면 전체 에너지는 줄어도 고정 부하의 비중이 커져 PUE가 나빠질 수 있다. 따라서 PUE만으로 총 에너지 절감을 평가하지 않는다.</w:t>
      </w:r>
    </w:p>
    <w:p>
      <w:pPr>
        <w:pStyle w:val="BodyText"/>
        <w:widowControl/>
      </w:pPr>
      <w:r>
        <w:t xml:space="preserve">단순 모델에서 비 IT 전력을 고정 항 a와 IT에 비례하는 항 bP로 나타내면 PUE는 1+b+a/P가 된다. IT가 작을수록 고정 항이 크게 보이는 이유를 식으로 설명할 수 있다.</w:t>
      </w:r>
    </w:p>
    <w:p>
      <w:pPr>
        <w:pStyle w:val="BodyText"/>
        <w:widowControl/>
      </w:pPr>
      <w:r>
        <w:t xml:space="preserve">서버를 통합해 전력을 절약한 결과 PUE가 상승하더라도 같은 업무를 더 적은 에너지로 수행했다면 개선일 수 있다. 총에너지와 업무당 에너지를 함께 보고한다.</w:t>
      </w:r>
    </w:p>
    <w:bookmarkStart w:id="225" w:name="계산식과-변수-39"/>
    <w:p>
      <w:pPr>
        <w:pStyle w:val="Heading2"/>
        <w:widowControl/>
      </w:pPr>
      <w:r>
        <w:t xml:space="preserve">계산식과 변수</w:t>
      </w:r>
    </w:p>
    <w:p>
      <w:pPr>
        <w:pStyle w:val="FirstParagraph"/>
        <w:widowControl/>
        <w:spacing w:line="252" w:lineRule="auto" w:before="100" w:after="180"/>
      </w:pPr>
      <m:oMathPara>
        <m:oMathParaPr>
          <m:jc m:val="center"/>
        </m:oMathParaPr>
        <m:oMath>
          <m:sSub>
            <m:e>
              <m:r>
                <m:t>P</m:t>
              </m:r>
            </m:e>
            <m:sub>
              <m:r>
                <m:t>f</m:t>
              </m:r>
              <m:r>
                <m:t>a</m:t>
              </m:r>
              <m:r>
                <m:t>c</m:t>
              </m:r>
              <m:r>
                <m:t>i</m:t>
              </m:r>
              <m:r>
                <m:t>l</m:t>
              </m:r>
              <m:r>
                <m:t>i</m:t>
              </m:r>
              <m:r>
                <m:t>t</m:t>
              </m:r>
              <m:r>
                <m:t>y</m:t>
              </m:r>
            </m:sub>
          </m:sSub>
          <m:r>
            <m:rPr>
              <m:sty m:val="p"/>
            </m:rPr>
            <m:t>=</m:t>
          </m:r>
          <m:r>
            <m:t>a</m:t>
          </m:r>
          <m:r>
            <m:rPr>
              <m:sty m:val="p"/>
            </m:rPr>
            <m:t>+</m:t>
          </m:r>
          <m:d>
            <m:dPr>
              <m:begChr m:val="("/>
              <m:endChr m:val=")"/>
              <m:sepChr m:val=""/>
              <m:grow/>
            </m:dPr>
            <m:e>
              <m:r>
                <m:t>1</m:t>
              </m:r>
              <m:r>
                <m:rPr>
                  <m:sty m:val="p"/>
                </m:rPr>
                <m:t>+</m:t>
              </m:r>
              <m:r>
                <m:t>b</m:t>
              </m:r>
            </m:e>
          </m:d>
          <m:sSub>
            <m:e>
              <m:r>
                <m:t>P</m:t>
              </m:r>
            </m:e>
            <m:sub>
              <m:r>
                <m:t>I</m:t>
              </m:r>
              <m:r>
                <m:t>T</m:t>
              </m:r>
            </m:sub>
          </m:sSub>
        </m:oMath>
      </m:oMathPara>
    </w:p>
    <w:p>
      <w:pPr>
        <w:pStyle w:val="FirstParagraph"/>
        <w:widowControl/>
        <w:spacing w:line="252" w:lineRule="auto" w:before="100" w:after="180"/>
      </w:pPr>
      <m:oMathPara>
        <m:oMathParaPr>
          <m:jc m:val="center"/>
        </m:oMathParaPr>
        <m:oMath>
          <m:r>
            <m:t>P</m:t>
          </m:r>
          <m:r>
            <m:t>U</m:t>
          </m:r>
          <m:sSub>
            <m:e>
              <m:r>
                <m:t>E</m:t>
              </m:r>
            </m:e>
            <m:sub>
              <m:r>
                <m:t>p</m:t>
              </m:r>
              <m:r>
                <m:t>o</m:t>
              </m:r>
              <m:r>
                <m:t>w</m:t>
              </m:r>
              <m:r>
                <m:t>e</m:t>
              </m:r>
              <m:r>
                <m:t>r</m:t>
              </m:r>
            </m:sub>
          </m:sSub>
          <m:r>
            <m:rPr>
              <m:sty m:val="p"/>
            </m:rPr>
            <m:t>=</m:t>
          </m:r>
          <m:r>
            <m:t>1</m:t>
          </m:r>
          <m:r>
            <m:rPr>
              <m:sty m:val="p"/>
            </m:rPr>
            <m:t>+</m:t>
          </m:r>
          <m:r>
            <m:t>b</m:t>
          </m:r>
          <m:r>
            <m:rPr>
              <m:sty m:val="p"/>
            </m:rPr>
            <m:t>+</m:t>
          </m:r>
          <m:f>
            <m:fPr>
              <m:type m:val="bar"/>
            </m:fPr>
            <m:num>
              <m:r>
                <m:t>a</m:t>
              </m:r>
            </m:num>
            <m:den>
              <m:sSub>
                <m:e>
                  <m:r>
                    <m:t>P</m:t>
                  </m:r>
                </m:e>
                <m:sub>
                  <m:r>
                    <m:t>I</m:t>
                  </m:r>
                  <m:r>
                    <m:t>T</m:t>
                  </m:r>
                </m:sub>
              </m:sSub>
            </m:den>
          </m:f>
        </m:oMath>
      </m:oMathPara>
    </w:p>
    <w:tbl>
      <w:tblPr>
        <w:tblStyle w:val="Table"/>
        <w:tblW w:type="dxa" w:w="986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096"/>
        <w:gridCol w:w="4392"/>
      </w:tblGrid>
      <w:tr>
        <w:trPr>
          <w:tblHeader w:val="true"/>
          <w:cantSplit/>
          <w:tblHeader/>
        </w:trPr>
        <w:tc>
          <w:tcPr>
            <w:tcW w:type="dxa" w:w="237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조건</w:t>
            </w:r>
          </w:p>
        </w:tc>
        <w:tc>
          <w:tcPr>
            <w:tcW w:type="dxa" w:w="309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시설 전력</w:t>
            </w:r>
          </w:p>
        </w:tc>
        <w:tc>
          <w:tcPr>
            <w:tcW w:type="dxa" w:w="4392"/>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순간 전력비</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고정 a 20kW와 b 0.1</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모델 가정</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단순 비교</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IT 100kW</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130kW</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1.30</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IT 50kW</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75kW</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1.50</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변화</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전력 55kW 감소</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비율은 상승</w:t>
            </w:r>
          </w:p>
        </w:tc>
      </w:tr>
    </w:tbl>
    <w:bookmarkEnd w:id="225"/>
    <w:bookmarkStart w:id="226" w:name="적용과-검증-65"/>
    <w:p>
      <w:pPr>
        <w:pStyle w:val="Heading2"/>
        <w:widowControl/>
      </w:pPr>
      <w:r>
        <w:t xml:space="preserve">적용과 검증</w:t>
      </w:r>
    </w:p>
    <w:p>
      <w:pPr>
        <w:pStyle w:val="FirstParagraph"/>
        <w:keepNext/>
        <w:widowControl/>
      </w:pPr>
      <w:r>
        <w:t xml:space="preserve">75kW가 130kW보다 에너지를 덜 사용한다는 결론과 비율 1.50이 더 높다는 결론은 동시에 참이다. 운영 성과를 설명할 때 분자와 분모를 함께 제시한다.</w:t>
      </w:r>
    </w:p>
    <w:p>
      <w:pPr>
        <w:pStyle w:val="BodyText"/>
        <w:widowControl/>
        <w:spacing w:before="160"/>
      </w:pPr>
      <w:r>
        <w:rPr>
          <w:sz w:val="17"/>
        </w:rPr>
        <w:t xml:space="preserve">근거 및 추가 읽기 [R01] [R12]</w:t>
      </w:r>
    </w:p>
    <w:bookmarkEnd w:id="226"/>
    <w:bookmarkEnd w:id="227"/>
    <w:bookmarkStart w:id="230" w:name="연간-에너지와-시간대별-적분"/>
    <w:p>
      <w:pPr>
        <w:pStyle w:val="Heading1"/>
        <w:keepNext/>
        <w:widowControl/>
      </w:pPr>
      <w:bookmarkStart w:id="69" w:name="topic_69"/>
      <w:r>
        <w:t xml:space="preserve">69 연간 에너지와 시간대별 적분</w:t>
      </w:r>
      <w:bookmarkEnd w:id="69"/>
    </w:p>
    <w:p>
      <w:pPr>
        <w:pStyle w:val="FirstParagraph"/>
        <w:widowControl/>
      </w:pPr>
      <w:r>
        <w:rPr>
          <w:bCs/>
          <w:b/>
        </w:rPr>
        <w:t xml:space="preserve">7부 PUE 에너지와 서비스 용량</w:t>
      </w:r>
    </w:p>
    <w:p>
      <w:pPr>
        <w:pStyle w:val="BodyText"/>
        <w:widowControl/>
      </w:pPr>
      <w:r>
        <w:t xml:space="preserve">전력은 순간적인 소비율이고 에너지는 그 전력을 시간에 걸쳐 합한 값이다. 일정 부하라면 kW에 시간을 곱해 kWh를 얻는다. 실제 부하가 변하면 구간별 평균 전력과 시간을 곱한 합으로 계산한다.</w:t>
      </w:r>
    </w:p>
    <w:p>
      <w:pPr>
        <w:pStyle w:val="BodyText"/>
        <w:widowControl/>
      </w:pPr>
      <w:r>
        <w:t xml:space="preserve">연간 8760시간은 평년의 모든 시간을 뜻한다. 유지보수 정지와 부하율을 반영하려면 실제 운전 구간을 사용한다. 최대 전력에 평균 이용률을 한 번 더 적용하는 식에서는 이용률의 의미가 명확해야 한다.</w:t>
      </w:r>
    </w:p>
    <w:p>
      <w:pPr>
        <w:pStyle w:val="BodyText"/>
        <w:widowControl/>
      </w:pPr>
      <w:r>
        <w:t xml:space="preserve">계절별 PUE가 다르면 각 구간의 IT 에너지에 해당 비율을 적용한 뒤 합한다. 단순한 PUE 산술평균 대신 IT 에너지로 가중한 결과가 연간 비율과 일치한다.</w:t>
      </w:r>
    </w:p>
    <w:p>
      <w:pPr>
        <w:pStyle w:val="BodyText"/>
        <w:widowControl/>
      </w:pPr>
      <w:r>
        <w:t xml:space="preserve">시간이 같은 두 구간이라도 IT 전력이 다르면 연간 PUE의 가중치가 달라진다. 시설 에너지의 합을 IT 에너지의 합으로 나눈 값이 기준이며 순간 비율의 평균은 일반적으로 같은 값이 아니다. 데이터 누락 구간의 처리도 계산 기록에 포함한다.</w:t>
      </w:r>
    </w:p>
    <w:bookmarkStart w:id="228" w:name="계산식과-변수-40"/>
    <w:p>
      <w:pPr>
        <w:pStyle w:val="Heading2"/>
        <w:widowControl/>
      </w:pPr>
      <w:r>
        <w:t xml:space="preserve">계산식과 변수</w:t>
      </w:r>
    </w:p>
    <w:p>
      <w:pPr>
        <w:pStyle w:val="FirstParagraph"/>
        <w:widowControl/>
        <w:spacing w:line="252" w:lineRule="auto" w:before="100" w:after="180"/>
      </w:pPr>
      <m:oMathPara>
        <m:oMathParaPr>
          <m:jc m:val="center"/>
        </m:oMathParaPr>
        <m:oMath>
          <m:r>
            <m:t>E</m:t>
          </m:r>
          <m:r>
            <m:rPr>
              <m:sty m:val="p"/>
            </m:rPr>
            <m:t>=</m:t>
          </m:r>
          <m:nary>
            <m:naryPr>
              <m:chr m:val="∑"/>
              <m:limLoc m:val="undOvr"/>
              <m:subHide m:val="off"/>
              <m:supHide m:val="on"/>
            </m:naryPr>
            <m:sub>
              <m:r>
                <m:t>t</m:t>
              </m:r>
            </m:sub>
            <m:sup>
              <m:r>
                <m:t>​</m:t>
              </m:r>
            </m:sup>
            <m:e>
              <m:sSub>
                <m:e>
                  <m:r>
                    <m:t>P</m:t>
                  </m:r>
                </m:e>
                <m:sub>
                  <m:r>
                    <m:t>t</m:t>
                  </m:r>
                </m:sub>
              </m:sSub>
            </m:e>
          </m:nary>
          <m:r>
            <m:t>Δ</m:t>
          </m:r>
          <m:r>
            <m:t>t</m:t>
          </m:r>
        </m:oMath>
      </m:oMathPara>
    </w:p>
    <w:p>
      <w:pPr>
        <w:pStyle w:val="FirstParagraph"/>
        <w:widowControl/>
        <w:spacing w:line="252" w:lineRule="auto" w:before="100" w:after="180"/>
      </w:pPr>
      <m:oMathPara>
        <m:oMathParaPr>
          <m:jc m:val="center"/>
        </m:oMathParaPr>
        <m:oMath>
          <m:r>
            <m:t>P</m:t>
          </m:r>
          <m:r>
            <m:t>U</m:t>
          </m:r>
          <m:sSub>
            <m:e>
              <m:r>
                <m:t>E</m:t>
              </m:r>
            </m:e>
            <m:sub>
              <m:r>
                <m:t>a</m:t>
              </m:r>
              <m:r>
                <m:t>n</m:t>
              </m:r>
              <m:r>
                <m:t>n</m:t>
              </m:r>
              <m:r>
                <m:t>u</m:t>
              </m:r>
              <m:r>
                <m:t>a</m:t>
              </m:r>
              <m:r>
                <m:t>l</m:t>
              </m:r>
            </m:sub>
          </m:sSub>
          <m:r>
            <m:rPr>
              <m:sty m:val="p"/>
            </m:rPr>
            <m:t>=</m:t>
          </m:r>
          <m:f>
            <m:fPr>
              <m:type m:val="bar"/>
            </m:fPr>
            <m:num>
              <m:nary>
                <m:naryPr>
                  <m:chr m:val="∑"/>
                  <m:limLoc m:val="undOvr"/>
                  <m:subHide m:val="off"/>
                  <m:supHide m:val="on"/>
                </m:naryPr>
                <m:sub>
                  <m:r>
                    <m:t>t</m:t>
                  </m:r>
                </m:sub>
                <m:sup>
                  <m:r>
                    <m:t>​</m:t>
                  </m:r>
                </m:sup>
                <m:e>
                  <m:r>
                    <m:t>P</m:t>
                  </m:r>
                </m:e>
              </m:nary>
              <m:r>
                <m:t>U</m:t>
              </m:r>
              <m:sSub>
                <m:e>
                  <m:r>
                    <m:t>E</m:t>
                  </m:r>
                </m:e>
                <m:sub>
                  <m:r>
                    <m:t>t</m:t>
                  </m:r>
                </m:sub>
              </m:sSub>
              <m:sSub>
                <m:e>
                  <m:r>
                    <m:t>E</m:t>
                  </m:r>
                </m:e>
                <m:sub>
                  <m:r>
                    <m:t>I</m:t>
                  </m:r>
                  <m:r>
                    <m:t>T</m:t>
                  </m:r>
                  <m:r>
                    <m:rPr>
                      <m:sty m:val="p"/>
                    </m:rPr>
                    <m:t>,</m:t>
                  </m:r>
                  <m:r>
                    <m:t>t</m:t>
                  </m:r>
                </m:sub>
              </m:sSub>
            </m:num>
            <m:den>
              <m:nary>
                <m:naryPr>
                  <m:chr m:val="∑"/>
                  <m:limLoc m:val="undOvr"/>
                  <m:subHide m:val="off"/>
                  <m:supHide m:val="on"/>
                </m:naryPr>
                <m:sub>
                  <m:r>
                    <m:t>t</m:t>
                  </m:r>
                </m:sub>
                <m:sup>
                  <m:r>
                    <m:t>​</m:t>
                  </m:r>
                </m:sup>
                <m:e>
                  <m:sSub>
                    <m:e>
                      <m:r>
                        <m:t>E</m:t>
                      </m:r>
                    </m:e>
                    <m:sub>
                      <m:r>
                        <m:t>I</m:t>
                      </m:r>
                      <m:r>
                        <m:t>T</m:t>
                      </m:r>
                      <m:r>
                        <m:rPr>
                          <m:sty m:val="p"/>
                        </m:rPr>
                        <m:t>,</m:t>
                      </m:r>
                      <m:r>
                        <m:t>t</m:t>
                      </m:r>
                    </m:sub>
                  </m:sSub>
                </m:e>
              </m:nary>
            </m:den>
          </m:f>
        </m:oMath>
      </m:oMathPara>
    </w:p>
    <w:tbl>
      <w:tblPr>
        <w:tblStyle w:val="Table"/>
        <w:tblW w:type="dxa" w:w="986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096"/>
        <w:gridCol w:w="4392"/>
      </w:tblGrid>
      <w:tr>
        <w:trPr>
          <w:tblHeader w:val="true"/>
          <w:cantSplit/>
          <w:tblHeader/>
        </w:trPr>
        <w:tc>
          <w:tcPr>
            <w:tcW w:type="dxa" w:w="237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구간</w:t>
            </w:r>
          </w:p>
        </w:tc>
        <w:tc>
          <w:tcPr>
            <w:tcW w:type="dxa" w:w="309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IT 에너지와 PUE</w:t>
            </w:r>
          </w:p>
        </w:tc>
        <w:tc>
          <w:tcPr>
            <w:tcW w:type="dxa" w:w="4392"/>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시설 에너지</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구간 A</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100MWh 1.2</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120MWh</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구간 B</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300MWh 1.5</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450MWh</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합계</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400MWh</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570MWh</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연간 비율</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570 나누기 400</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1.425</w:t>
            </w:r>
          </w:p>
        </w:tc>
      </w:tr>
    </w:tbl>
    <w:bookmarkEnd w:id="228"/>
    <w:bookmarkStart w:id="229" w:name="적용과-검증-66"/>
    <w:p>
      <w:pPr>
        <w:pStyle w:val="Heading2"/>
        <w:widowControl/>
      </w:pPr>
      <w:r>
        <w:t xml:space="preserve">적용과 검증</w:t>
      </w:r>
    </w:p>
    <w:p>
      <w:pPr>
        <w:pStyle w:val="FirstParagraph"/>
        <w:keepNext/>
        <w:widowControl/>
      </w:pPr>
      <w:r>
        <w:t xml:space="preserve">두 PUE를 단순 평균한 1.35는 이 사례의 연간 PUE가 아니다. 각 구간의 시간뿐 아니라 IT 에너지 비중이 다르기 때문이다.</w:t>
      </w:r>
    </w:p>
    <w:p>
      <w:pPr>
        <w:pStyle w:val="BodyText"/>
        <w:widowControl/>
        <w:spacing w:before="160"/>
      </w:pPr>
      <w:r>
        <w:rPr>
          <w:sz w:val="17"/>
        </w:rPr>
        <w:t xml:space="preserve">근거 및 추가 읽기 [R01] [R02]</w:t>
      </w:r>
    </w:p>
    <w:bookmarkEnd w:id="229"/>
    <w:bookmarkEnd w:id="230"/>
    <w:bookmarkStart w:id="233" w:name="전기요금과-총소유비용-계산"/>
    <w:p>
      <w:pPr>
        <w:pStyle w:val="Heading1"/>
        <w:keepNext/>
        <w:widowControl/>
      </w:pPr>
      <w:bookmarkStart w:id="70" w:name="topic_70"/>
      <w:r>
        <w:t xml:space="preserve">70 전기요금과 총소유비용 계산</w:t>
      </w:r>
      <w:bookmarkEnd w:id="70"/>
    </w:p>
    <w:p>
      <w:pPr>
        <w:pStyle w:val="FirstParagraph"/>
        <w:widowControl/>
      </w:pPr>
      <w:r>
        <w:rPr>
          <w:bCs/>
          <w:b/>
        </w:rPr>
        <w:t xml:space="preserve">7부 PUE 에너지와 서비스 용량</w:t>
      </w:r>
    </w:p>
    <w:p>
      <w:pPr>
        <w:pStyle w:val="BodyText"/>
        <w:widowControl/>
      </w:pPr>
      <w:r>
        <w:t xml:space="preserve">전기요금은 에너지 사용량에 단가를 곱한 항목 외에 계약전력과 최대수요 및 시간대별 조건을 포함할 수 있다. 실제 요금표를 적용하지 않은 예제는 가정 단가를 사용한 비용 민감도 분석으로 표시한다.</w:t>
      </w:r>
    </w:p>
    <w:p>
      <w:pPr>
        <w:pStyle w:val="BodyText"/>
        <w:widowControl/>
      </w:pPr>
      <w:r>
        <w:t xml:space="preserve">총소유비용은 서버와 네트워크의 초기비용, 시설 투자, 전력, 유지보수, 회선과 인력을 함께 본다. 부품 가격이 싼 구성도 광모듈 전력과 유지보수 횟수가 많으면 장기 비용이 커질 수 있다.</w:t>
      </w:r>
    </w:p>
    <w:p>
      <w:pPr>
        <w:pStyle w:val="BodyText"/>
        <w:widowControl/>
      </w:pPr>
      <w:r>
        <w:t xml:space="preserve">미래 비용 비교에는 기간과 할인율을 명시한다. 원화와 달러, 부가세 포함 여부와 교체주기가 다르면 숫자만 나란히 비교하지 않는다. 본 백서는 실시간 제품 견적을 제공하는 문서가 아니다.</w:t>
      </w:r>
    </w:p>
    <w:bookmarkStart w:id="231" w:name="계산식과-변수-41"/>
    <w:p>
      <w:pPr>
        <w:pStyle w:val="Heading2"/>
        <w:widowControl/>
      </w:pPr>
      <w:r>
        <w:t xml:space="preserve">계산식과 변수</w:t>
      </w:r>
    </w:p>
    <w:p>
      <w:pPr>
        <w:pStyle w:val="FirstParagraph"/>
        <w:widowControl/>
        <w:spacing w:line="252" w:lineRule="auto" w:before="100" w:after="180"/>
      </w:pPr>
      <m:oMathPara>
        <m:oMathParaPr>
          <m:jc m:val="center"/>
        </m:oMathParaPr>
        <m:oMath>
          <m:sSub>
            <m:e>
              <m:r>
                <m:t>C</m:t>
              </m:r>
            </m:e>
            <m:sub>
              <m:r>
                <m:t>e</m:t>
              </m:r>
              <m:r>
                <m:t>n</m:t>
              </m:r>
              <m:r>
                <m:t>e</m:t>
              </m:r>
              <m:r>
                <m:t>r</m:t>
              </m:r>
              <m:r>
                <m:t>g</m:t>
              </m:r>
              <m:r>
                <m:t>y</m:t>
              </m:r>
            </m:sub>
          </m:sSub>
          <m:r>
            <m:rPr>
              <m:sty m:val="p"/>
            </m:rPr>
            <m:t>=</m:t>
          </m:r>
          <m:nary>
            <m:naryPr>
              <m:chr m:val="∑"/>
              <m:limLoc m:val="undOvr"/>
              <m:subHide m:val="off"/>
              <m:supHide m:val="on"/>
            </m:naryPr>
            <m:sub>
              <m:r>
                <m:t>t</m:t>
              </m:r>
            </m:sub>
            <m:sup>
              <m:r>
                <m:t>​</m:t>
              </m:r>
            </m:sup>
            <m:e>
              <m:sSub>
                <m:e>
                  <m:r>
                    <m:t>E</m:t>
                  </m:r>
                </m:e>
                <m:sub>
                  <m:r>
                    <m:t>t</m:t>
                  </m:r>
                </m:sub>
              </m:sSub>
            </m:e>
          </m:nary>
          <m:sSub>
            <m:e>
              <m:r>
                <m:t>c</m:t>
              </m:r>
            </m:e>
            <m:sub>
              <m:r>
                <m:t>t</m:t>
              </m:r>
            </m:sub>
          </m:sSub>
        </m:oMath>
      </m:oMathPara>
    </w:p>
    <w:p>
      <w:pPr>
        <w:pStyle w:val="FirstParagraph"/>
        <w:widowControl/>
        <w:spacing w:line="252" w:lineRule="auto" w:before="100" w:after="180"/>
      </w:pPr>
      <m:oMathPara>
        <m:oMathParaPr>
          <m:jc m:val="center"/>
        </m:oMathParaPr>
        <m:oMath>
          <m:r>
            <m:t>T</m:t>
          </m:r>
          <m:r>
            <m:t>C</m:t>
          </m:r>
          <m:r>
            <m:t>O</m:t>
          </m:r>
          <m:r>
            <m:rPr>
              <m:sty m:val="p"/>
            </m:rPr>
            <m:t>=</m:t>
          </m:r>
          <m:r>
            <m:t>C</m:t>
          </m:r>
          <m:r>
            <m:t>A</m:t>
          </m:r>
          <m:r>
            <m:t>P</m:t>
          </m:r>
          <m:r>
            <m:t>E</m:t>
          </m:r>
          <m:r>
            <m:t>X</m:t>
          </m:r>
          <m:r>
            <m:rPr>
              <m:sty m:val="p"/>
            </m:rPr>
            <m:t>+</m:t>
          </m:r>
          <m:nary>
            <m:naryPr>
              <m:chr m:val="∑"/>
              <m:limLoc m:val="undOvr"/>
              <m:subHide m:val="off"/>
              <m:supHide m:val="off"/>
            </m:naryPr>
            <m:sub>
              <m:r>
                <m:t>y</m:t>
              </m:r>
              <m:r>
                <m:rPr>
                  <m:sty m:val="p"/>
                </m:rPr>
                <m:t>=</m:t>
              </m:r>
              <m:r>
                <m:t>1</m:t>
              </m:r>
            </m:sub>
            <m:sup>
              <m:r>
                <m:t>Y</m:t>
              </m:r>
            </m:sup>
            <m:e>
              <m:f>
                <m:fPr>
                  <m:type m:val="bar"/>
                </m:fPr>
                <m:num>
                  <m:r>
                    <m:t>O</m:t>
                  </m:r>
                  <m:r>
                    <m:t>P</m:t>
                  </m:r>
                  <m:r>
                    <m:t>E</m:t>
                  </m:r>
                  <m:sSub>
                    <m:e>
                      <m:r>
                        <m:t>X</m:t>
                      </m:r>
                    </m:e>
                    <m:sub>
                      <m:r>
                        <m:t>y</m:t>
                      </m:r>
                    </m:sub>
                  </m:sSub>
                </m:num>
                <m:den>
                  <m:sSup>
                    <m:e>
                      <m:d>
                        <m:dPr>
                          <m:begChr m:val="("/>
                          <m:endChr m:val=")"/>
                          <m:sepChr m:val=""/>
                          <m:grow/>
                        </m:dPr>
                        <m:e>
                          <m:r>
                            <m:t>1</m:t>
                          </m:r>
                          <m:r>
                            <m:rPr>
                              <m:sty m:val="p"/>
                            </m:rPr>
                            <m:t>+</m:t>
                          </m:r>
                          <m:r>
                            <m:t>r</m:t>
                          </m:r>
                        </m:e>
                      </m:d>
                    </m:e>
                    <m:sup>
                      <m:r>
                        <m:t>y</m:t>
                      </m:r>
                    </m:sup>
                  </m:sSup>
                </m:den>
              </m:f>
            </m:e>
          </m:nary>
        </m:oMath>
      </m:oMathPara>
    </w:p>
    <w:tbl>
      <w:tblPr>
        <w:tblStyle w:val="Table"/>
        <w:tblW w:type="dxa" w:w="986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096"/>
        <w:gridCol w:w="4392"/>
      </w:tblGrid>
      <w:tr>
        <w:trPr>
          <w:tblHeader w:val="true"/>
          <w:cantSplit/>
          <w:tblHeader/>
        </w:trPr>
        <w:tc>
          <w:tcPr>
            <w:tcW w:type="dxa" w:w="237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항목</w:t>
            </w:r>
          </w:p>
        </w:tc>
        <w:tc>
          <w:tcPr>
            <w:tcW w:type="dxa" w:w="309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가정</w:t>
            </w:r>
          </w:p>
        </w:tc>
        <w:tc>
          <w:tcPr>
            <w:tcW w:type="dxa" w:w="4392"/>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예제 결과</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월 에너지</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100000kWh</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설계 입력</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에너지 단가</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150원/kWh</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설명용 가정</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에너지 항목</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1500만원</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기본료 등 제외</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총비용</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추가 항목 합산</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실제 계약 조건 적용</w:t>
            </w:r>
          </w:p>
        </w:tc>
      </w:tr>
    </w:tbl>
    <w:bookmarkEnd w:id="231"/>
    <w:bookmarkStart w:id="232" w:name="적용과-검증-67"/>
    <w:p>
      <w:pPr>
        <w:pStyle w:val="Heading2"/>
        <w:widowControl/>
      </w:pPr>
      <w:r>
        <w:t xml:space="preserve">적용과 검증</w:t>
      </w:r>
    </w:p>
    <w:p>
      <w:pPr>
        <w:pStyle w:val="FirstParagraph"/>
        <w:keepNext/>
        <w:widowControl/>
      </w:pPr>
      <w:r>
        <w:t xml:space="preserve">PUE 개선으로 절약한 에너지의 비용은 동일 업무량과 동일 IT 부하의 기준에서 비교한다. 증설로 IT 에너지가 늘어난 효과와 효율 개선을 분리한다.</w:t>
      </w:r>
    </w:p>
    <w:p>
      <w:pPr>
        <w:pStyle w:val="BodyText"/>
        <w:widowControl/>
        <w:spacing w:before="160"/>
      </w:pPr>
      <w:r>
        <w:rPr>
          <w:sz w:val="17"/>
        </w:rPr>
        <w:t xml:space="preserve">근거 및 추가 읽기 [R12]</w:t>
      </w:r>
    </w:p>
    <w:bookmarkEnd w:id="232"/>
    <w:bookmarkEnd w:id="233"/>
    <w:bookmarkStart w:id="236" w:name="전력-한도에서-gpu-수를-역산하기"/>
    <w:p>
      <w:pPr>
        <w:pStyle w:val="Heading1"/>
        <w:keepNext/>
        <w:widowControl/>
      </w:pPr>
      <w:bookmarkStart w:id="71" w:name="topic_71"/>
      <w:r>
        <w:t xml:space="preserve">71 전력 한도에서 GPU 수를 역산하기</w:t>
      </w:r>
      <w:bookmarkEnd w:id="71"/>
    </w:p>
    <w:p>
      <w:pPr>
        <w:pStyle w:val="FirstParagraph"/>
        <w:widowControl/>
      </w:pPr>
      <w:r>
        <w:rPr>
          <w:bCs/>
          <w:b/>
        </w:rPr>
        <w:t xml:space="preserve">7부 PUE 에너지와 서비스 용량</w:t>
      </w:r>
    </w:p>
    <w:p>
      <w:pPr>
        <w:pStyle w:val="BodyText"/>
        <w:widowControl/>
      </w:pPr>
      <w:r>
        <w:t xml:space="preserve">시설의 전력 한도에서 IT에 사용할 수 있는 전력을 정하고 네트워크와 저장장치 등의 전력을 뺀 다음 서버 수를 내림한다. 서버당 GPU 수를 곱하면 전력 기준의 설치 가능 GPU 수가 된다.</w:t>
      </w:r>
    </w:p>
    <w:p>
      <w:pPr>
        <w:pStyle w:val="BodyText"/>
        <w:widowControl/>
      </w:pPr>
      <w:r>
        <w:t xml:space="preserve">이 역산은 PUE 또는 비 IT 부하 모델과 서버 최대전력이 유효하다는 조건에서 성립한다. 실제로는 랙별 배전, 냉각, 공간과 포트 제약이 더 엄격할 수 있다. 하나의 전력 한도로 모든 제약을 대신하지 않는다.</w:t>
      </w:r>
    </w:p>
    <w:p>
      <w:pPr>
        <w:pStyle w:val="BodyText"/>
        <w:widowControl/>
      </w:pPr>
      <w:r>
        <w:t xml:space="preserve">연산 용량은 GPU 수와 동일하지 않다. GPU 모델과 작업 효율이 다르면 같은 전력에서 처리할 수 있는 업무량이 달라진다. 최종 선택은 작업당 에너지와 목표 처리시간을 함께 비교한다.</w:t>
      </w:r>
    </w:p>
    <w:p>
      <w:pPr>
        <w:pStyle w:val="BodyText"/>
        <w:widowControl/>
      </w:pPr>
      <w:r>
        <w:t xml:space="preserve">역산에서 서버를 한 대씩 증가시켜 한도를 넘는 최초 지점을 확인하면 내림식의 결과를 검산할 수 있다. 전력만으로 70대가 가능해도 랙당 배치가 4대라면 서버 랙은 18개가 필요하다. 마지막 랙의 낮은 사용률과 부대 전력도 포함해야 한다.</w:t>
      </w:r>
    </w:p>
    <w:bookmarkStart w:id="234" w:name="계산식과-변수-42"/>
    <w:p>
      <w:pPr>
        <w:pStyle w:val="Heading2"/>
        <w:widowControl/>
      </w:pPr>
      <w:r>
        <w:t xml:space="preserve">계산식과 변수</w:t>
      </w:r>
    </w:p>
    <w:p>
      <w:pPr>
        <w:pStyle w:val="FirstParagraph"/>
        <w:widowControl/>
        <w:spacing w:line="252" w:lineRule="auto" w:before="100" w:after="180"/>
      </w:pPr>
      <m:oMathPara>
        <m:oMathParaPr>
          <m:jc m:val="center"/>
        </m:oMathParaPr>
        <m:oMath>
          <m:sSub>
            <m:e>
              <m:r>
                <m:t>N</m:t>
              </m:r>
            </m:e>
            <m:sub>
              <m:r>
                <m:t>s</m:t>
              </m:r>
              <m:r>
                <m:t>e</m:t>
              </m:r>
              <m:r>
                <m:t>r</m:t>
              </m:r>
              <m:r>
                <m:t>v</m:t>
              </m:r>
              <m:r>
                <m:t>e</m:t>
              </m:r>
              <m:r>
                <m:t>r</m:t>
              </m:r>
              <m:r>
                <m:rPr>
                  <m:sty m:val="p"/>
                </m:rPr>
                <m:t>,</m:t>
              </m:r>
              <m:r>
                <m:t>m</m:t>
              </m:r>
              <m:r>
                <m:t>a</m:t>
              </m:r>
              <m:r>
                <m:t>x</m:t>
              </m:r>
            </m:sub>
          </m:sSub>
          <m:r>
            <m:rPr>
              <m:sty m:val="p"/>
            </m:rPr>
            <m:t>=</m:t>
          </m:r>
          <m:r>
            <m:rPr>
              <m:sty m:val="p"/>
            </m:rPr>
            <m:t>floor</m:t>
          </m:r>
          <m:d>
            <m:dPr>
              <m:begChr m:val="("/>
              <m:endChr m:val=")"/>
              <m:sepChr m:val=""/>
              <m:grow/>
            </m:dPr>
            <m:e>
              <m:f>
                <m:fPr>
                  <m:type m:val="bar"/>
                </m:fPr>
                <m:num>
                  <m:sSub>
                    <m:e>
                      <m:r>
                        <m:t>P</m:t>
                      </m:r>
                    </m:e>
                    <m:sub>
                      <m:r>
                        <m:t>f</m:t>
                      </m:r>
                      <m:r>
                        <m:t>a</m:t>
                      </m:r>
                      <m:r>
                        <m:t>c</m:t>
                      </m:r>
                      <m:r>
                        <m:t>i</m:t>
                      </m:r>
                      <m:r>
                        <m:t>l</m:t>
                      </m:r>
                      <m:r>
                        <m:t>i</m:t>
                      </m:r>
                      <m:r>
                        <m:t>t</m:t>
                      </m:r>
                      <m:r>
                        <m:t>y</m:t>
                      </m:r>
                      <m:r>
                        <m:rPr>
                          <m:sty m:val="p"/>
                        </m:rPr>
                        <m:t>,</m:t>
                      </m:r>
                      <m:r>
                        <m:t>m</m:t>
                      </m:r>
                      <m:r>
                        <m:t>a</m:t>
                      </m:r>
                      <m:r>
                        <m:t>x</m:t>
                      </m:r>
                    </m:sub>
                  </m:sSub>
                  <m:r>
                    <m:rPr>
                      <m:sty m:val="p"/>
                    </m:rPr>
                    <m:t>/</m:t>
                  </m:r>
                  <m:r>
                    <m:t>u</m:t>
                  </m:r>
                  <m:r>
                    <m:rPr>
                      <m:sty m:val="p"/>
                    </m:rPr>
                    <m:t>−</m:t>
                  </m:r>
                  <m:sSub>
                    <m:e>
                      <m:r>
                        <m:t>P</m:t>
                      </m:r>
                    </m:e>
                    <m:sub>
                      <m:r>
                        <m:t>o</m:t>
                      </m:r>
                      <m:r>
                        <m:t>t</m:t>
                      </m:r>
                      <m:r>
                        <m:t>h</m:t>
                      </m:r>
                      <m:r>
                        <m:t>e</m:t>
                      </m:r>
                      <m:r>
                        <m:t>r</m:t>
                      </m:r>
                      <m:r>
                        <m:rPr>
                          <m:sty m:val="p"/>
                        </m:rPr>
                        <m:t>,</m:t>
                      </m:r>
                      <m:r>
                        <m:t>I</m:t>
                      </m:r>
                      <m:r>
                        <m:t>T</m:t>
                      </m:r>
                    </m:sub>
                  </m:sSub>
                </m:num>
                <m:den>
                  <m:sSub>
                    <m:e>
                      <m:r>
                        <m:t>P</m:t>
                      </m:r>
                    </m:e>
                    <m:sub>
                      <m:r>
                        <m:t>s</m:t>
                      </m:r>
                      <m:r>
                        <m:t>e</m:t>
                      </m:r>
                      <m:r>
                        <m:t>r</m:t>
                      </m:r>
                      <m:r>
                        <m:t>v</m:t>
                      </m:r>
                      <m:r>
                        <m:t>e</m:t>
                      </m:r>
                      <m:r>
                        <m:t>r</m:t>
                      </m:r>
                    </m:sub>
                  </m:sSub>
                </m:den>
              </m:f>
            </m:e>
          </m:d>
        </m:oMath>
      </m:oMathPara>
    </w:p>
    <w:p>
      <w:pPr>
        <w:pStyle w:val="FirstParagraph"/>
        <w:widowControl/>
        <w:spacing w:line="252" w:lineRule="auto" w:before="100" w:after="180"/>
      </w:pPr>
      <m:oMathPara>
        <m:oMathParaPr>
          <m:jc m:val="center"/>
        </m:oMathParaPr>
        <m:oMath>
          <m:sSub>
            <m:e>
              <m:r>
                <m:t>N</m:t>
              </m:r>
            </m:e>
            <m:sub>
              <m:r>
                <m:t>G</m:t>
              </m:r>
              <m:r>
                <m:t>P</m:t>
              </m:r>
              <m:r>
                <m:t>U</m:t>
              </m:r>
              <m:r>
                <m:rPr>
                  <m:sty m:val="p"/>
                </m:rPr>
                <m:t>,</m:t>
              </m:r>
              <m:r>
                <m:t>m</m:t>
              </m:r>
              <m:r>
                <m:t>a</m:t>
              </m:r>
              <m:r>
                <m:t>x</m:t>
              </m:r>
            </m:sub>
          </m:sSub>
          <m:r>
            <m:rPr>
              <m:sty m:val="p"/>
            </m:rPr>
            <m:t>=</m:t>
          </m:r>
          <m:r>
            <m:t>g</m:t>
          </m:r>
          <m:sSub>
            <m:e>
              <m:r>
                <m:t>N</m:t>
              </m:r>
            </m:e>
            <m:sub>
              <m:r>
                <m:t>s</m:t>
              </m:r>
              <m:r>
                <m:t>e</m:t>
              </m:r>
              <m:r>
                <m:t>r</m:t>
              </m:r>
              <m:r>
                <m:t>v</m:t>
              </m:r>
              <m:r>
                <m:t>e</m:t>
              </m:r>
              <m:r>
                <m:t>r</m:t>
              </m:r>
              <m:r>
                <m:rPr>
                  <m:sty m:val="p"/>
                </m:rPr>
                <m:t>,</m:t>
              </m:r>
              <m:r>
                <m:t>m</m:t>
              </m:r>
              <m:r>
                <m:t>a</m:t>
              </m:r>
              <m:r>
                <m:t>x</m:t>
              </m:r>
            </m:sub>
          </m:sSub>
        </m:oMath>
      </m:oMathPara>
    </w:p>
    <w:tbl>
      <w:tblPr>
        <w:tblStyle w:val="Table"/>
        <w:tblW w:type="dxa" w:w="986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096"/>
        <w:gridCol w:w="4392"/>
      </w:tblGrid>
      <w:tr>
        <w:trPr>
          <w:tblHeader w:val="true"/>
          <w:cantSplit/>
          <w:tblHeader/>
        </w:trPr>
        <w:tc>
          <w:tcPr>
            <w:tcW w:type="dxa" w:w="237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입력</w:t>
            </w:r>
          </w:p>
        </w:tc>
        <w:tc>
          <w:tcPr>
            <w:tcW w:type="dxa" w:w="309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가정값</w:t>
            </w:r>
          </w:p>
        </w:tc>
        <w:tc>
          <w:tcPr>
            <w:tcW w:type="dxa" w:w="4392"/>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산출</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시설 전력 한도</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1000kW</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같은 운전점</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시설 대 IT 비 u</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1.25</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설계 가정</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기타 IT 전력</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80kW</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예약</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서버 최대전력</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10.2kW</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H100 사양</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전력 기준 서버</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70대</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720 나누기 10.2 내림</w:t>
            </w:r>
          </w:p>
        </w:tc>
      </w:tr>
    </w:tbl>
    <w:bookmarkEnd w:id="234"/>
    <w:bookmarkStart w:id="235" w:name="적용과-검증-68"/>
    <w:p>
      <w:pPr>
        <w:pStyle w:val="Heading2"/>
        <w:widowControl/>
      </w:pPr>
      <w:r>
        <w:t xml:space="preserve">적용과 검증</w:t>
      </w:r>
    </w:p>
    <w:p>
      <w:pPr>
        <w:pStyle w:val="FirstParagraph"/>
        <w:keepNext/>
        <w:widowControl/>
      </w:pPr>
      <w:r>
        <w:t xml:space="preserve">GPU는 560개이고 총 IT 전력은 794kW다. 시설 추정은 992.5kW로 한도 이하다. 다음 서버 한 대를 넣으면 1005.25kW가 되어 이 모델의 한도를 넘는다.</w:t>
      </w:r>
    </w:p>
    <w:p>
      <w:pPr>
        <w:pStyle w:val="BodyText"/>
        <w:widowControl/>
        <w:spacing w:before="160"/>
      </w:pPr>
      <w:r>
        <w:rPr>
          <w:sz w:val="17"/>
        </w:rPr>
        <w:t xml:space="preserve">근거 및 추가 읽기 [R13] [R01]</w:t>
      </w:r>
    </w:p>
    <w:bookmarkEnd w:id="235"/>
    <w:bookmarkEnd w:id="236"/>
    <w:bookmarkStart w:id="239" w:name="ai-메모리와-모델-수용-가능성"/>
    <w:p>
      <w:pPr>
        <w:pStyle w:val="Heading1"/>
        <w:keepNext/>
        <w:widowControl/>
      </w:pPr>
      <w:bookmarkStart w:id="72" w:name="topic_72"/>
      <w:r>
        <w:t xml:space="preserve">72 AI 메모리와 모델 수용 가능성</w:t>
      </w:r>
      <w:bookmarkEnd w:id="72"/>
    </w:p>
    <w:p>
      <w:pPr>
        <w:pStyle w:val="FirstParagraph"/>
        <w:widowControl/>
      </w:pPr>
      <w:r>
        <w:rPr>
          <w:bCs/>
          <w:b/>
        </w:rPr>
        <w:t xml:space="preserve">7부 PUE 에너지와 서비스 용량</w:t>
      </w:r>
    </w:p>
    <w:p>
      <w:pPr>
        <w:pStyle w:val="BodyText"/>
        <w:widowControl/>
      </w:pPr>
      <w:r>
        <w:t xml:space="preserve">GPU 메모리의 단순 합계는 모델이 사용할 수 있는 단일 공유 메모리와 다르다. 모델 분할 방식과 데이터 병렬 복제, 활성값과 작업 버퍼 및 통신 버퍼를 고려해야 한다. 가중치만 들어간다고 학습이 가능한 것은 아니다.</w:t>
      </w:r>
    </w:p>
    <w:p>
      <w:pPr>
        <w:pStyle w:val="BodyText"/>
        <w:widowControl/>
      </w:pPr>
      <w:r>
        <w:t xml:space="preserve">모델 가중치의 최소 저장량은 파라미터 수와 파라미터당 바이트의 곱으로 근사한다. 추론에서는 캐시와 동시 요청이, 학습에서는 그래디언트와 옵티마이저 상태가 추가된다. 압축과 양자화도 정확도와 실행 지원 조건을 검증해야 한다.</w:t>
      </w:r>
    </w:p>
    <w:p>
      <w:pPr>
        <w:pStyle w:val="BodyText"/>
        <w:widowControl/>
      </w:pPr>
      <w:r>
        <w:t xml:space="preserve">GPU 수 산정에는 메모리 제약과 처리시간 제약을 함께 사용한다. 두 조건에서 필요한 수 중 큰 값을 시작점으로 삼고 분산 실행 효율을 시험한다.</w:t>
      </w:r>
    </w:p>
    <w:bookmarkStart w:id="237" w:name="계산식과-변수-43"/>
    <w:p>
      <w:pPr>
        <w:pStyle w:val="Heading2"/>
        <w:widowControl/>
      </w:pPr>
      <w:r>
        <w:t xml:space="preserve">계산식과 변수</w:t>
      </w:r>
    </w:p>
    <w:p>
      <w:pPr>
        <w:pStyle w:val="FirstParagraph"/>
        <w:widowControl/>
        <w:spacing w:line="252" w:lineRule="auto" w:before="100" w:after="180"/>
      </w:pPr>
      <m:oMathPara>
        <m:oMathParaPr>
          <m:jc m:val="center"/>
        </m:oMathParaPr>
        <m:oMath>
          <m:sSub>
            <m:e>
              <m:r>
                <m:t>M</m:t>
              </m:r>
            </m:e>
            <m:sub>
              <m:r>
                <m:t>w</m:t>
              </m:r>
              <m:r>
                <m:t>e</m:t>
              </m:r>
              <m:r>
                <m:t>i</m:t>
              </m:r>
              <m:r>
                <m:t>g</m:t>
              </m:r>
              <m:r>
                <m:t>h</m:t>
              </m:r>
              <m:r>
                <m:t>t</m:t>
              </m:r>
              <m:r>
                <m:t>s</m:t>
              </m:r>
            </m:sub>
          </m:sSub>
          <m:r>
            <m:rPr>
              <m:sty m:val="p"/>
            </m:rPr>
            <m:t>=</m:t>
          </m:r>
          <m:sSub>
            <m:e>
              <m:r>
                <m:t>N</m:t>
              </m:r>
            </m:e>
            <m:sub>
              <m:r>
                <m:t>p</m:t>
              </m:r>
              <m:r>
                <m:t>a</m:t>
              </m:r>
              <m:r>
                <m:t>r</m:t>
              </m:r>
              <m:r>
                <m:t>a</m:t>
              </m:r>
              <m:r>
                <m:t>m</m:t>
              </m:r>
            </m:sub>
          </m:sSub>
          <m:r>
            <m:t>b</m:t>
          </m:r>
        </m:oMath>
      </m:oMathPara>
    </w:p>
    <w:p>
      <w:pPr>
        <w:pStyle w:val="FirstParagraph"/>
        <w:widowControl/>
        <w:spacing w:line="252" w:lineRule="auto" w:before="100" w:after="180"/>
      </w:pPr>
      <m:oMathPara>
        <m:oMathParaPr>
          <m:jc m:val="center"/>
        </m:oMathParaPr>
        <m:oMath>
          <m:sSub>
            <m:e>
              <m:r>
                <m:t>M</m:t>
              </m:r>
            </m:e>
            <m:sub>
              <m:r>
                <m:t>r</m:t>
              </m:r>
              <m:r>
                <m:t>e</m:t>
              </m:r>
              <m:r>
                <m:t>q</m:t>
              </m:r>
              <m:r>
                <m:t>u</m:t>
              </m:r>
              <m:r>
                <m:t>i</m:t>
              </m:r>
              <m:r>
                <m:t>r</m:t>
              </m:r>
              <m:r>
                <m:t>e</m:t>
              </m:r>
              <m:r>
                <m:t>d</m:t>
              </m:r>
            </m:sub>
          </m:sSub>
          <m:r>
            <m:rPr>
              <m:sty m:val="p"/>
            </m:rPr>
            <m:t>=</m:t>
          </m:r>
          <m:sSub>
            <m:e>
              <m:r>
                <m:t>M</m:t>
              </m:r>
            </m:e>
            <m:sub>
              <m:r>
                <m:t>w</m:t>
              </m:r>
              <m:r>
                <m:t>e</m:t>
              </m:r>
              <m:r>
                <m:t>i</m:t>
              </m:r>
              <m:r>
                <m:t>g</m:t>
              </m:r>
              <m:r>
                <m:t>h</m:t>
              </m:r>
              <m:r>
                <m:t>t</m:t>
              </m:r>
              <m:r>
                <m:t>s</m:t>
              </m:r>
            </m:sub>
          </m:sSub>
          <m:r>
            <m:rPr>
              <m:sty m:val="p"/>
            </m:rPr>
            <m:t>+</m:t>
          </m:r>
          <m:sSub>
            <m:e>
              <m:r>
                <m:t>M</m:t>
              </m:r>
            </m:e>
            <m:sub>
              <m:r>
                <m:t>a</m:t>
              </m:r>
              <m:r>
                <m:t>c</m:t>
              </m:r>
              <m:r>
                <m:t>t</m:t>
              </m:r>
              <m:r>
                <m:t>i</m:t>
              </m:r>
              <m:r>
                <m:t>v</m:t>
              </m:r>
              <m:r>
                <m:t>a</m:t>
              </m:r>
              <m:r>
                <m:t>t</m:t>
              </m:r>
              <m:r>
                <m:t>i</m:t>
              </m:r>
              <m:r>
                <m:t>o</m:t>
              </m:r>
              <m:r>
                <m:t>n</m:t>
              </m:r>
            </m:sub>
          </m:sSub>
          <m:r>
            <m:rPr>
              <m:sty m:val="p"/>
            </m:rPr>
            <m:t>+</m:t>
          </m:r>
          <m:sSub>
            <m:e>
              <m:r>
                <m:t>M</m:t>
              </m:r>
            </m:e>
            <m:sub>
              <m:r>
                <m:t>s</m:t>
              </m:r>
              <m:r>
                <m:t>t</m:t>
              </m:r>
              <m:r>
                <m:t>a</m:t>
              </m:r>
              <m:r>
                <m:t>t</m:t>
              </m:r>
              <m:r>
                <m:t>e</m:t>
              </m:r>
            </m:sub>
          </m:sSub>
          <m:r>
            <m:rPr>
              <m:sty m:val="p"/>
            </m:rPr>
            <m:t>+</m:t>
          </m:r>
          <m:sSub>
            <m:e>
              <m:r>
                <m:t>M</m:t>
              </m:r>
            </m:e>
            <m:sub>
              <m:r>
                <m:t>b</m:t>
              </m:r>
              <m:r>
                <m:t>u</m:t>
              </m:r>
              <m:r>
                <m:t>f</m:t>
              </m:r>
              <m:r>
                <m:t>f</m:t>
              </m:r>
              <m:r>
                <m:t>e</m:t>
              </m:r>
              <m:r>
                <m:t>r</m:t>
              </m:r>
            </m:sub>
          </m:sSub>
        </m:oMath>
      </m:oMathPara>
    </w:p>
    <w:tbl>
      <w:tblPr>
        <w:tblStyle w:val="Table"/>
        <w:tblW w:type="dxa" w:w="986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096"/>
        <w:gridCol w:w="4392"/>
      </w:tblGrid>
      <w:tr>
        <w:trPr>
          <w:tblHeader w:val="true"/>
          <w:cantSplit/>
          <w:tblHeader/>
        </w:trPr>
        <w:tc>
          <w:tcPr>
            <w:tcW w:type="dxa" w:w="237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항목</w:t>
            </w:r>
          </w:p>
        </w:tc>
        <w:tc>
          <w:tcPr>
            <w:tcW w:type="dxa" w:w="309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예제</w:t>
            </w:r>
          </w:p>
        </w:tc>
        <w:tc>
          <w:tcPr>
            <w:tcW w:type="dxa" w:w="4392"/>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해석</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파라미터</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700억 개</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가정 모델</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가중치 형식</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2바이트</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단순 계산</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가중치 크기</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140GB</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십진 단위</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추가 메모리</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별도 필요</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학습과 추론에 따라 차이</w:t>
            </w:r>
          </w:p>
        </w:tc>
      </w:tr>
    </w:tbl>
    <w:bookmarkEnd w:id="237"/>
    <w:bookmarkStart w:id="238" w:name="적용과-검증-69"/>
    <w:p>
      <w:pPr>
        <w:pStyle w:val="Heading2"/>
        <w:widowControl/>
      </w:pPr>
      <w:r>
        <w:t xml:space="preserve">적용과 검증</w:t>
      </w:r>
    </w:p>
    <w:p>
      <w:pPr>
        <w:pStyle w:val="FirstParagraph"/>
        <w:keepNext/>
        <w:widowControl/>
      </w:pPr>
      <w:r>
        <w:t xml:space="preserve">140GB라는 결과만으로 80GB GPU 두 개면 모든 실행이 가능하다고 결론 내리지 않는다. 분할 오버헤드, 실제 가용 메모리와 실행 프레임워크를 포함해 검증한다.</w:t>
      </w:r>
    </w:p>
    <w:p>
      <w:pPr>
        <w:pStyle w:val="BodyText"/>
        <w:widowControl/>
        <w:spacing w:before="160"/>
      </w:pPr>
      <w:r>
        <w:rPr>
          <w:sz w:val="17"/>
        </w:rPr>
        <w:t xml:space="preserve">근거 및 추가 읽기 [R13] [R18]</w:t>
      </w:r>
    </w:p>
    <w:bookmarkEnd w:id="238"/>
    <w:bookmarkEnd w:id="239"/>
    <w:bookmarkStart w:id="242" w:name="스토리지-원시-용량과-실효-용량"/>
    <w:p>
      <w:pPr>
        <w:pStyle w:val="Heading1"/>
        <w:keepNext/>
        <w:widowControl/>
      </w:pPr>
      <w:bookmarkStart w:id="73" w:name="topic_73"/>
      <w:r>
        <w:t xml:space="preserve">73 스토리지 원시 용량과 실효 용량</w:t>
      </w:r>
      <w:bookmarkEnd w:id="73"/>
    </w:p>
    <w:p>
      <w:pPr>
        <w:pStyle w:val="FirstParagraph"/>
        <w:widowControl/>
      </w:pPr>
      <w:r>
        <w:rPr>
          <w:bCs/>
          <w:b/>
        </w:rPr>
        <w:t xml:space="preserve">7부 PUE 에너지와 서비스 용량</w:t>
      </w:r>
    </w:p>
    <w:p>
      <w:pPr>
        <w:pStyle w:val="BodyText"/>
        <w:widowControl/>
      </w:pPr>
      <w:r>
        <w:t xml:space="preserve">스토리지는 디스크 명목 용량의 합과 사용 가능한 데이터 용량이 다르다. 복제와 패리티, 메타데이터, 여유 공간과 파일시스템 때문에 실효 용량이 줄어든다. TB와 TiB의 단위 차이도 표시해야 한다.</w:t>
      </w:r>
    </w:p>
    <w:p>
      <w:pPr>
        <w:pStyle w:val="BodyText"/>
        <w:widowControl/>
      </w:pPr>
      <w:r>
        <w:t xml:space="preserve">복제 r개를 유지하는 단순 모델에서는 실효 용량이 원시 용량의 약 1/r이지만 메타데이터와 빈 공간을 추가로 반영해야 한다. Erasure Coding은 데이터와 패리티 조각 비율을 사용하며 장애 도메인 배치가 중요하다.</w:t>
      </w:r>
    </w:p>
    <w:p>
      <w:pPr>
        <w:pStyle w:val="BodyText"/>
        <w:widowControl/>
      </w:pPr>
      <w:r>
        <w:t xml:space="preserve">용량이 충분해도 대역폭과 IOPS가 부족할 수 있다. 학습 데이터 로딩과 체크포인트 저장이 동시에 발생하는 조건을 고려해 네트워크와 저장장치의 처리량을 함께 산정한다.</w:t>
      </w:r>
    </w:p>
    <w:p>
      <w:pPr>
        <w:pStyle w:val="BodyText"/>
        <w:widowControl/>
      </w:pPr>
      <w:r>
        <w:t xml:space="preserve">원시 1000TB를 3중 복제로 나누고 그중 20%를 비워두면 1000/3×0.8=266.67TB다. 20%를 원시 용량에서 먼저 빼더라도 같은 단순 비율 모델에서는 같지만 메타데이터가 고정량이면 순서가 달라질 수 있다. 실제 시스템의 예약 정책을 적용한다.</w:t>
      </w:r>
    </w:p>
    <w:bookmarkStart w:id="240" w:name="계산식과-변수-44"/>
    <w:p>
      <w:pPr>
        <w:pStyle w:val="Heading2"/>
        <w:widowControl/>
      </w:pPr>
      <w:r>
        <w:t xml:space="preserve">계산식과 변수</w:t>
      </w:r>
    </w:p>
    <w:p>
      <w:pPr>
        <w:pStyle w:val="FirstParagraph"/>
        <w:widowControl/>
        <w:spacing w:line="252" w:lineRule="auto" w:before="100" w:after="180"/>
      </w:pPr>
      <m:oMathPara>
        <m:oMathParaPr>
          <m:jc m:val="center"/>
        </m:oMathParaPr>
        <m:oMath>
          <m:sSub>
            <m:e>
              <m:r>
                <m:t>C</m:t>
              </m:r>
            </m:e>
            <m:sub>
              <m:r>
                <m:t>u</m:t>
              </m:r>
              <m:r>
                <m:t>s</m:t>
              </m:r>
              <m:r>
                <m:t>a</m:t>
              </m:r>
              <m:r>
                <m:t>b</m:t>
              </m:r>
              <m:r>
                <m:t>l</m:t>
              </m:r>
              <m:r>
                <m:t>e</m:t>
              </m:r>
            </m:sub>
          </m:sSub>
          <m:r>
            <m:rPr>
              <m:sty m:val="p"/>
            </m:rPr>
            <m:t>=</m:t>
          </m:r>
          <m:sSub>
            <m:e>
              <m:r>
                <m:t>C</m:t>
              </m:r>
            </m:e>
            <m:sub>
              <m:r>
                <m:t>r</m:t>
              </m:r>
              <m:r>
                <m:t>a</m:t>
              </m:r>
              <m:r>
                <m:t>w</m:t>
              </m:r>
            </m:sub>
          </m:sSub>
          <m:sSub>
            <m:e>
              <m:r>
                <m:t>η</m:t>
              </m:r>
            </m:e>
            <m:sub>
              <m:r>
                <m:t>p</m:t>
              </m:r>
              <m:r>
                <m:t>r</m:t>
              </m:r>
              <m:r>
                <m:t>o</m:t>
              </m:r>
              <m:r>
                <m:t>t</m:t>
              </m:r>
              <m:r>
                <m:t>e</m:t>
              </m:r>
              <m:r>
                <m:t>c</m:t>
              </m:r>
              <m:r>
                <m:t>t</m:t>
              </m:r>
              <m:r>
                <m:t>i</m:t>
              </m:r>
              <m:r>
                <m:t>o</m:t>
              </m:r>
              <m:r>
                <m:t>n</m:t>
              </m:r>
            </m:sub>
          </m:sSub>
          <m:d>
            <m:dPr>
              <m:begChr m:val="("/>
              <m:endChr m:val=")"/>
              <m:sepChr m:val=""/>
              <m:grow/>
            </m:dPr>
            <m:e>
              <m:r>
                <m:t>1</m:t>
              </m:r>
              <m:r>
                <m:rPr>
                  <m:sty m:val="p"/>
                </m:rPr>
                <m:t>−</m:t>
              </m:r>
              <m:r>
                <m:t>s</m:t>
              </m:r>
            </m:e>
          </m:d>
        </m:oMath>
      </m:oMathPara>
    </w:p>
    <w:p>
      <w:pPr>
        <w:pStyle w:val="FirstParagraph"/>
        <w:widowControl/>
        <w:spacing w:line="252" w:lineRule="auto" w:before="100" w:after="180"/>
      </w:pPr>
      <m:oMathPara>
        <m:oMathParaPr>
          <m:jc m:val="center"/>
        </m:oMathParaPr>
        <m:oMath>
          <m:r>
            <m:t>1</m:t>
          </m:r>
          <m:r>
            <m:t> </m:t>
          </m:r>
          <m:r>
            <m:rPr>
              <m:sty m:val="p"/>
            </m:rPr>
            <m:t>T</m:t>
          </m:r>
          <m:r>
            <m:rPr>
              <m:sty m:val="p"/>
            </m:rPr>
            <m:t>i</m:t>
          </m:r>
          <m:r>
            <m:rPr>
              <m:sty m:val="p"/>
            </m:rPr>
            <m:t>B</m:t>
          </m:r>
          <m:r>
            <m:rPr>
              <m:sty m:val="p"/>
            </m:rPr>
            <m:t>=</m:t>
          </m:r>
          <m:sSup>
            <m:e>
              <m:r>
                <m:t>2</m:t>
              </m:r>
            </m:e>
            <m:sup>
              <m:r>
                <m:t>40</m:t>
              </m:r>
            </m:sup>
          </m:sSup>
          <m:r>
            <m:t> </m:t>
          </m:r>
          <m:r>
            <m:rPr>
              <m:sty m:val="p"/>
            </m:rPr>
            <m:t>b</m:t>
          </m:r>
          <m:r>
            <m:rPr>
              <m:sty m:val="p"/>
            </m:rPr>
            <m:t>y</m:t>
          </m:r>
          <m:r>
            <m:rPr>
              <m:sty m:val="p"/>
            </m:rPr>
            <m:t>t</m:t>
          </m:r>
          <m:r>
            <m:rPr>
              <m:sty m:val="p"/>
            </m:rPr>
            <m:t>e</m:t>
          </m:r>
          <m:r>
            <m:rPr>
              <m:sty m:val="p"/>
            </m:rPr>
            <m:t>s</m:t>
          </m:r>
        </m:oMath>
      </m:oMathPara>
    </w:p>
    <w:tbl>
      <w:tblPr>
        <w:tblStyle w:val="Table"/>
        <w:tblW w:type="dxa" w:w="986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096"/>
        <w:gridCol w:w="4392"/>
      </w:tblGrid>
      <w:tr>
        <w:trPr>
          <w:tblHeader w:val="true"/>
          <w:cantSplit/>
          <w:tblHeader/>
        </w:trPr>
        <w:tc>
          <w:tcPr>
            <w:tcW w:type="dxa" w:w="237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항목</w:t>
            </w:r>
          </w:p>
        </w:tc>
        <w:tc>
          <w:tcPr>
            <w:tcW w:type="dxa" w:w="309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가정</w:t>
            </w:r>
          </w:p>
        </w:tc>
        <w:tc>
          <w:tcPr>
            <w:tcW w:type="dxa" w:w="4392"/>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산출</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원시 용량</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1000TB</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십진 단위</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복제</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3개</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효율 1 나누기 3</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빈 공간 정책</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20%</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남은 공간에 적용</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실효 계획 용량</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266.67TB</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단순 모델</w:t>
            </w:r>
          </w:p>
        </w:tc>
      </w:tr>
    </w:tbl>
    <w:bookmarkEnd w:id="240"/>
    <w:bookmarkStart w:id="241" w:name="적용과-검증-70"/>
    <w:p>
      <w:pPr>
        <w:pStyle w:val="Heading2"/>
        <w:widowControl/>
      </w:pPr>
      <w:r>
        <w:t xml:space="preserve">적용과 검증</w:t>
      </w:r>
    </w:p>
    <w:p>
      <w:pPr>
        <w:pStyle w:val="FirstParagraph"/>
        <w:keepNext/>
        <w:widowControl/>
      </w:pPr>
      <w:r>
        <w:t xml:space="preserve">체크포인트 10TB를 5분 안에 저장하려면 순수 데이터 기준 약 33.33GB/s가 필요하다. 프로토콜과 복제 트래픽 및 다른 작업을 포함하면 요구량은 더 커진다.</w:t>
      </w:r>
    </w:p>
    <w:p>
      <w:pPr>
        <w:pStyle w:val="BodyText"/>
        <w:widowControl/>
        <w:spacing w:before="160"/>
      </w:pPr>
      <w:r>
        <w:rPr>
          <w:sz w:val="17"/>
        </w:rPr>
        <w:t xml:space="preserve">근거 및 추가 읽기 [R18] [R29]</w:t>
      </w:r>
    </w:p>
    <w:bookmarkEnd w:id="241"/>
    <w:bookmarkEnd w:id="242"/>
    <w:bookmarkStart w:id="245" w:name="가용성과-에너지-효율의-공동-평가"/>
    <w:p>
      <w:pPr>
        <w:pStyle w:val="Heading1"/>
        <w:keepNext/>
        <w:widowControl/>
      </w:pPr>
      <w:bookmarkStart w:id="74" w:name="topic_74"/>
      <w:r>
        <w:t xml:space="preserve">74 가용성과 에너지 효율의 공동 평가</w:t>
      </w:r>
      <w:bookmarkEnd w:id="74"/>
    </w:p>
    <w:p>
      <w:pPr>
        <w:pStyle w:val="FirstParagraph"/>
        <w:widowControl/>
      </w:pPr>
      <w:r>
        <w:rPr>
          <w:bCs/>
          <w:b/>
        </w:rPr>
        <w:t xml:space="preserve">7부 PUE 에너지와 서비스 용량</w:t>
      </w:r>
    </w:p>
    <w:p>
      <w:pPr>
        <w:pStyle w:val="BodyText"/>
        <w:widowControl/>
      </w:pPr>
      <w:r>
        <w:t xml:space="preserve">가용성은 서비스가 요구되는 기간 동안 사용 가능한 비율이다. 간단한 수리 가능 시스템 모델에서는 MTBF와 MTTR로 근사할 수 있지만 실제 복잡한 시설은 공통 고장과 정비 및 운영 절차를 포함해야 한다.</w:t>
      </w:r>
    </w:p>
    <w:p>
      <w:pPr>
        <w:pStyle w:val="BodyText"/>
        <w:widowControl/>
      </w:pPr>
      <w:r>
        <w:t xml:space="preserve">전력 효율과 가용성 사이에 선택이 생길 수 있다. 장비를 너무 적게 켜면 효율은 좋아져도 장애 여유가 줄어들 수 있고 과도한 예비 운전은 에너지를 늘릴 수 있다. 요구된 서비스 수준을 만족하는 범위에서 최적화한다.</w:t>
      </w:r>
    </w:p>
    <w:p>
      <w:pPr>
        <w:pStyle w:val="BodyText"/>
        <w:widowControl/>
      </w:pPr>
      <w:r>
        <w:t xml:space="preserve">사이트의 가용성 표시가 가정표에서 선택된 값이라면 통계적으로 입증한 결과가 아니다. 교육에서는 중복성의 상대적 효과를 설명하되 계약 SLA와 인증 등급으로 전환하지 않는다.</w:t>
      </w:r>
    </w:p>
    <w:p>
      <w:pPr>
        <w:pStyle w:val="BodyText"/>
        <w:widowControl/>
      </w:pPr>
      <w:r>
        <w:t xml:space="preserve">MTBF와 MTTR 근사는 고장과 복구가 대표값으로 모델링된다는 조건에 의존한다. 직렬 장치의 가용성 곱이나 병렬 경로의 독립 고장식을 사용할 때는 독립성이 중요하다. 같은 전원과 관로를 공유하는 두 경로를 독립으로 두면 가용성을 과대평가할 수 있다.</w:t>
      </w:r>
    </w:p>
    <w:bookmarkStart w:id="243" w:name="계산식과-변수-45"/>
    <w:p>
      <w:pPr>
        <w:pStyle w:val="Heading2"/>
        <w:widowControl/>
      </w:pPr>
      <w:r>
        <w:t xml:space="preserve">계산식과 변수</w:t>
      </w:r>
    </w:p>
    <w:p>
      <w:pPr>
        <w:pStyle w:val="FirstParagraph"/>
        <w:widowControl/>
        <w:spacing w:line="252" w:lineRule="auto" w:before="100" w:after="180"/>
      </w:pPr>
      <m:oMathPara>
        <m:oMathParaPr>
          <m:jc m:val="center"/>
        </m:oMathParaPr>
        <m:oMath>
          <m:r>
            <m:t>A</m:t>
          </m:r>
          <m:r>
            <m:rPr>
              <m:sty m:val="p"/>
            </m:rPr>
            <m:t>=</m:t>
          </m:r>
          <m:f>
            <m:fPr>
              <m:type m:val="bar"/>
            </m:fPr>
            <m:num>
              <m:r>
                <m:t>M</m:t>
              </m:r>
              <m:r>
                <m:t>T</m:t>
              </m:r>
              <m:r>
                <m:t>B</m:t>
              </m:r>
              <m:r>
                <m:t>F</m:t>
              </m:r>
            </m:num>
            <m:den>
              <m:r>
                <m:t>M</m:t>
              </m:r>
              <m:r>
                <m:t>T</m:t>
              </m:r>
              <m:r>
                <m:t>B</m:t>
              </m:r>
              <m:r>
                <m:t>F</m:t>
              </m:r>
              <m:r>
                <m:rPr>
                  <m:sty m:val="p"/>
                </m:rPr>
                <m:t>+</m:t>
              </m:r>
              <m:r>
                <m:t>M</m:t>
              </m:r>
              <m:r>
                <m:t>T</m:t>
              </m:r>
              <m:r>
                <m:t>T</m:t>
              </m:r>
              <m:r>
                <m:t>R</m:t>
              </m:r>
            </m:den>
          </m:f>
        </m:oMath>
      </m:oMathPara>
    </w:p>
    <w:p>
      <w:pPr>
        <w:pStyle w:val="FirstParagraph"/>
        <w:widowControl/>
        <w:spacing w:line="252" w:lineRule="auto" w:before="100" w:after="180"/>
      </w:pPr>
      <m:oMathPara>
        <m:oMathParaPr>
          <m:jc m:val="center"/>
        </m:oMathParaPr>
        <m:oMath>
          <m:sSub>
            <m:e>
              <m:r>
                <m:t>T</m:t>
              </m:r>
            </m:e>
            <m:sub>
              <m:r>
                <m:t>d</m:t>
              </m:r>
              <m:r>
                <m:t>o</m:t>
              </m:r>
              <m:r>
                <m:t>w</m:t>
              </m:r>
              <m:r>
                <m:t>n</m:t>
              </m:r>
            </m:sub>
          </m:sSub>
          <m:r>
            <m:rPr>
              <m:sty m:val="p"/>
            </m:rPr>
            <m:t>=</m:t>
          </m:r>
          <m:d>
            <m:dPr>
              <m:begChr m:val="("/>
              <m:endChr m:val=")"/>
              <m:sepChr m:val=""/>
              <m:grow/>
            </m:dPr>
            <m:e>
              <m:r>
                <m:t>1</m:t>
              </m:r>
              <m:r>
                <m:rPr>
                  <m:sty m:val="p"/>
                </m:rPr>
                <m:t>−</m:t>
              </m:r>
              <m:r>
                <m:t>A</m:t>
              </m:r>
            </m:e>
          </m:d>
          <m:sSub>
            <m:e>
              <m:r>
                <m:t>T</m:t>
              </m:r>
            </m:e>
            <m:sub>
              <m:r>
                <m:t>p</m:t>
              </m:r>
              <m:r>
                <m:t>e</m:t>
              </m:r>
              <m:r>
                <m:t>r</m:t>
              </m:r>
              <m:r>
                <m:t>i</m:t>
              </m:r>
              <m:r>
                <m:t>o</m:t>
              </m:r>
              <m:r>
                <m:t>d</m:t>
              </m:r>
            </m:sub>
          </m:sSub>
        </m:oMath>
      </m:oMathPara>
    </w:p>
    <w:tbl>
      <w:tblPr>
        <w:tblStyle w:val="Table"/>
        <w:tblW w:type="dxa" w:w="986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096"/>
        <w:gridCol w:w="4392"/>
      </w:tblGrid>
      <w:tr>
        <w:trPr>
          <w:tblHeader w:val="true"/>
          <w:cantSplit/>
          <w:tblHeader/>
        </w:trPr>
        <w:tc>
          <w:tcPr>
            <w:tcW w:type="dxa" w:w="237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예제 가용성</w:t>
            </w:r>
          </w:p>
        </w:tc>
        <w:tc>
          <w:tcPr>
            <w:tcW w:type="dxa" w:w="309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평년 총시간</w:t>
            </w:r>
          </w:p>
        </w:tc>
        <w:tc>
          <w:tcPr>
            <w:tcW w:type="dxa" w:w="4392"/>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단순 환산 정지시간</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99.9%</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8760시간</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8.76시간</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99.99%</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8760시간</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0.876시간</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99.999%</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8760시간</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0.0876시간</w:t>
            </w:r>
          </w:p>
        </w:tc>
      </w:tr>
    </w:tbl>
    <w:bookmarkEnd w:id="243"/>
    <w:bookmarkStart w:id="244" w:name="적용과-검증-71"/>
    <w:p>
      <w:pPr>
        <w:pStyle w:val="Heading2"/>
        <w:widowControl/>
      </w:pPr>
      <w:r>
        <w:t xml:space="preserve">적용과 검증</w:t>
      </w:r>
    </w:p>
    <w:p>
      <w:pPr>
        <w:pStyle w:val="FirstParagraph"/>
        <w:keepNext/>
        <w:widowControl/>
      </w:pPr>
      <w:r>
        <w:t xml:space="preserve">위 환산은 해당 비율을 연간 시간으로 표현한 산술 결과다. 특정 Tier나 N+1 구성의 실제 정지시간을 예측한 값이 아니며 SLA의 제외 조건과 측정 경계도 별도다.</w:t>
      </w:r>
    </w:p>
    <w:p>
      <w:pPr>
        <w:pStyle w:val="BodyText"/>
        <w:widowControl/>
        <w:spacing w:before="160"/>
      </w:pPr>
      <w:r>
        <w:rPr>
          <w:sz w:val="17"/>
        </w:rPr>
        <w:t xml:space="preserve">근거 및 추가 읽기 [R27] [R28]</w:t>
      </w:r>
    </w:p>
    <w:bookmarkEnd w:id="244"/>
    <w:bookmarkEnd w:id="245"/>
    <w:bookmarkStart w:id="247" w:name="사례-a-기업-서버실의-요구조건"/>
    <w:p>
      <w:pPr>
        <w:pStyle w:val="Heading1"/>
        <w:keepNext/>
        <w:widowControl/>
      </w:pPr>
      <w:bookmarkStart w:id="75" w:name="topic_75"/>
      <w:r>
        <w:t xml:space="preserve">75 사례 A 기업 서버실의 요구조건</w:t>
      </w:r>
      <w:bookmarkEnd w:id="75"/>
    </w:p>
    <w:p>
      <w:pPr>
        <w:pStyle w:val="FirstParagraph"/>
        <w:widowControl/>
      </w:pPr>
      <w:r>
        <w:rPr>
          <w:bCs/>
          <w:b/>
        </w:rPr>
        <w:t xml:space="preserve">8부 재현 가능한 통합 사례 검증</w:t>
      </w:r>
    </w:p>
    <w:p>
      <w:pPr>
        <w:pStyle w:val="BodyText"/>
        <w:widowControl/>
      </w:pPr>
      <w:r>
        <w:t xml:space="preserve">사례 A는 일반 기업 서버 20대를 수용하는 소규모 서버실이다. 특정 실제 사업장의 실측 사례가 아니라 입력을 공개한 설계 계산 사례다. 서버는 2U, 최대 AC 입력 0.6kW, 업무망 25G 포트 두 개로 가정한다.</w:t>
      </w:r>
    </w:p>
    <w:p>
      <w:pPr>
        <w:pStyle w:val="BodyText"/>
        <w:widowControl/>
      </w:pPr>
      <w:r>
        <w:t xml:space="preserve">각 랙에는 ToR 두 대를 두고 각 서버를 서로 다른 ToR에 한 링크씩 연결한다. 스위치 한 대의 전력은 0.25kW로 가정한다. 랙 전력은 8kW, 냉각 수용 능력은 7kW, 서버 외 예약 공간은 6U다. 중량과 깊이는 만족한다고 가정하되 최종 확인 항목으로 남긴다.</w:t>
      </w:r>
    </w:p>
    <w:p>
      <w:pPr>
        <w:pStyle w:val="BodyText"/>
        <w:widowControl/>
      </w:pPr>
      <w:r>
        <w:t xml:space="preserve">ToR마다 100G 업링크 두 개를 서로 다른 Spine에 연결한다. 서버 링크는 길이와 장비 지원을 만족하는 DAC를, 업링크는 듀플렉스 단일모드 광링크를 선택한 조건으로 계산한다. 실제 부품 형명은 별도 호환 목록으로 확정한다.</w:t>
      </w:r>
    </w:p>
    <w:tbl>
      <w:tblPr>
        <w:tblStyle w:val="Table"/>
        <w:tblW w:type="dxa" w:w="986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096"/>
        <w:gridCol w:w="4392"/>
      </w:tblGrid>
      <w:tr>
        <w:trPr>
          <w:tblHeader w:val="true"/>
          <w:cantSplit/>
          <w:tblHeader/>
        </w:trPr>
        <w:tc>
          <w:tcPr>
            <w:tcW w:type="dxa" w:w="237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입력</w:t>
            </w:r>
          </w:p>
        </w:tc>
        <w:tc>
          <w:tcPr>
            <w:tcW w:type="dxa" w:w="309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값</w:t>
            </w:r>
          </w:p>
        </w:tc>
        <w:tc>
          <w:tcPr>
            <w:tcW w:type="dxa" w:w="4392"/>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근거 구분</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서버 수</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20대</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업무 요구 가정</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서버 높이와 전력</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2U 0.6kW</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설명용 사양</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서버 업무망</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2개 25G</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설계 선택</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랙 제약</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42U 8kW 7kW열</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현장 조건 가정</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ToR</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랙당 2대 각 0.25kW</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설계 선택</w:t>
            </w:r>
          </w:p>
        </w:tc>
      </w:tr>
    </w:tbl>
    <w:bookmarkStart w:id="246" w:name="적용과-검증-72"/>
    <w:p>
      <w:pPr>
        <w:pStyle w:val="Heading2"/>
        <w:widowControl/>
      </w:pPr>
      <w:r>
        <w:t xml:space="preserve">적용과 검증</w:t>
      </w:r>
    </w:p>
    <w:p>
      <w:pPr>
        <w:pStyle w:val="FirstParagraph"/>
        <w:keepNext/>
        <w:widowControl/>
      </w:pPr>
      <w:r>
        <w:t xml:space="preserve">이후 페이지는 같은 입력을 유지한다. 실제 설계로 전환할 때는 제조사 사양, 현장 배전·냉각 자료와 실제 거리를 대체 입력하면 같은 순서로 재계산할 수 있다.</w:t>
      </w:r>
    </w:p>
    <w:p>
      <w:pPr>
        <w:pStyle w:val="BodyText"/>
        <w:widowControl/>
        <w:spacing w:before="160"/>
      </w:pPr>
      <w:r>
        <w:rPr>
          <w:sz w:val="17"/>
        </w:rPr>
        <w:t xml:space="preserve">근거 및 추가 읽기 [R17] [R29]</w:t>
      </w:r>
    </w:p>
    <w:bookmarkEnd w:id="246"/>
    <w:bookmarkEnd w:id="247"/>
    <w:bookmarkStart w:id="250" w:name="사례-a-랙-수와-전력의-증명"/>
    <w:p>
      <w:pPr>
        <w:pStyle w:val="Heading1"/>
        <w:keepNext/>
        <w:widowControl/>
      </w:pPr>
      <w:bookmarkStart w:id="76" w:name="topic_76"/>
      <w:r>
        <w:t xml:space="preserve">76 사례 A 랙 수와 전력의 증명</w:t>
      </w:r>
      <w:bookmarkEnd w:id="76"/>
    </w:p>
    <w:p>
      <w:pPr>
        <w:pStyle w:val="FirstParagraph"/>
        <w:widowControl/>
      </w:pPr>
      <w:r>
        <w:rPr>
          <w:bCs/>
          <w:b/>
        </w:rPr>
        <w:t xml:space="preserve">8부 재현 가능한 통합 사례 검증</w:t>
      </w:r>
    </w:p>
    <w:p>
      <w:pPr>
        <w:pStyle w:val="BodyText"/>
        <w:widowControl/>
      </w:pPr>
      <w:r>
        <w:t xml:space="preserve">공간 기준으로는 서버를 18대 넣을 수 있다. 전력에서 ToR 두 대의 0.5kW를 빼면 7.5kW이므로 서버 12대가 한계다. 냉각에서는 7kW에서 0.5kW를 뺀 6.5kW를 서버에 사용할 수 있어 10대가 한계다.</w:t>
      </w:r>
    </w:p>
    <w:p>
      <w:pPr>
        <w:pStyle w:val="BodyText"/>
        <w:widowControl/>
      </w:pPr>
      <w:r>
        <w:t xml:space="preserve">세 제약의 최소는 10대이므로 서버 20대에는 2랙이 필요하다. 랙당 IT 전력은 서버 6kW와 ToR 0.5kW를 합한 6.5kW다. 높이는 서버 20U와 예약 6U를 합한 26U로 42U 이하다.</w:t>
      </w:r>
    </w:p>
    <w:p>
      <w:pPr>
        <w:pStyle w:val="BodyText"/>
        <w:widowControl/>
      </w:pPr>
      <w:r>
        <w:t xml:space="preserve">이 사례는 냉각이 서버 대수를 결정한다는 점을 보여준다. 공간이 16U 남아도 추가 서버를 바로 넣을 수 없다. 한 대를 더 넣으면 랙 열부하가 7.1kW가 되어 가정한 냉각 한도를 넘는다.</w:t>
      </w:r>
    </w:p>
    <w:bookmarkStart w:id="248" w:name="계산식과-변수-46"/>
    <w:p>
      <w:pPr>
        <w:pStyle w:val="Heading2"/>
        <w:widowControl/>
      </w:pPr>
      <w:r>
        <w:t xml:space="preserve">계산식과 변수</w:t>
      </w:r>
    </w:p>
    <w:p>
      <w:pPr>
        <w:pStyle w:val="FirstParagraph"/>
        <w:widowControl/>
        <w:spacing w:line="252" w:lineRule="auto" w:before="100" w:after="180"/>
      </w:pPr>
      <m:oMathPara>
        <m:oMathParaPr>
          <m:jc m:val="center"/>
        </m:oMathParaPr>
        <m:oMath>
          <m:sSub>
            <m:e>
              <m:r>
                <m:t>n</m:t>
              </m:r>
            </m:e>
            <m:sub>
              <m:r>
                <m:t>R</m:t>
              </m:r>
              <m:r>
                <m:t>U</m:t>
              </m:r>
            </m:sub>
          </m:sSub>
          <m:r>
            <m:rPr>
              <m:sty m:val="p"/>
            </m:rPr>
            <m:t>=</m:t>
          </m:r>
          <m:r>
            <m:rPr>
              <m:sty m:val="p"/>
            </m:rPr>
            <m:t>floor</m:t>
          </m:r>
          <m:d>
            <m:dPr>
              <m:begChr m:val="("/>
              <m:endChr m:val=")"/>
              <m:sepChr m:val=""/>
              <m:grow/>
            </m:dPr>
            <m:e>
              <m:r>
                <m:t>36</m:t>
              </m:r>
              <m:r>
                <m:rPr>
                  <m:sty m:val="p"/>
                </m:rPr>
                <m:t>/</m:t>
              </m:r>
              <m:r>
                <m:t>2</m:t>
              </m:r>
            </m:e>
          </m:d>
          <m:r>
            <m:rPr>
              <m:sty m:val="p"/>
            </m:rPr>
            <m:t>=</m:t>
          </m:r>
          <m:r>
            <m:t>18</m:t>
          </m:r>
        </m:oMath>
      </m:oMathPara>
    </w:p>
    <w:p>
      <w:pPr>
        <w:pStyle w:val="FirstParagraph"/>
        <w:widowControl/>
        <w:spacing w:line="252" w:lineRule="auto" w:before="100" w:after="180"/>
      </w:pPr>
      <m:oMathPara>
        <m:oMathParaPr>
          <m:jc m:val="center"/>
        </m:oMathParaPr>
        <m:oMath>
          <m:sSub>
            <m:e>
              <m:r>
                <m:t>n</m:t>
              </m:r>
            </m:e>
            <m:sub>
              <m:r>
                <m:t>p</m:t>
              </m:r>
              <m:r>
                <m:t>o</m:t>
              </m:r>
              <m:r>
                <m:t>w</m:t>
              </m:r>
              <m:r>
                <m:t>e</m:t>
              </m:r>
              <m:r>
                <m:t>r</m:t>
              </m:r>
            </m:sub>
          </m:sSub>
          <m:r>
            <m:rPr>
              <m:sty m:val="p"/>
            </m:rPr>
            <m:t>=</m:t>
          </m:r>
          <m:r>
            <m:rPr>
              <m:sty m:val="p"/>
            </m:rPr>
            <m:t>floor</m:t>
          </m:r>
          <m:d>
            <m:dPr>
              <m:begChr m:val="("/>
              <m:endChr m:val=")"/>
              <m:sepChr m:val=""/>
              <m:grow/>
            </m:dPr>
            <m:e>
              <m:r>
                <m:t>7.5</m:t>
              </m:r>
              <m:r>
                <m:rPr>
                  <m:sty m:val="p"/>
                </m:rPr>
                <m:t>/</m:t>
              </m:r>
              <m:r>
                <m:t>0.6</m:t>
              </m:r>
            </m:e>
          </m:d>
          <m:r>
            <m:rPr>
              <m:sty m:val="p"/>
            </m:rPr>
            <m:t>=</m:t>
          </m:r>
          <m:r>
            <m:t>12</m:t>
          </m:r>
        </m:oMath>
      </m:oMathPara>
    </w:p>
    <w:p>
      <w:pPr>
        <w:pStyle w:val="FirstParagraph"/>
        <w:widowControl/>
        <w:spacing w:line="252" w:lineRule="auto" w:before="100" w:after="180"/>
      </w:pPr>
      <m:oMathPara>
        <m:oMathParaPr>
          <m:jc m:val="center"/>
        </m:oMathParaPr>
        <m:oMath>
          <m:sSub>
            <m:e>
              <m:r>
                <m:t>n</m:t>
              </m:r>
            </m:e>
            <m:sub>
              <m:r>
                <m:t>c</m:t>
              </m:r>
              <m:r>
                <m:t>o</m:t>
              </m:r>
              <m:r>
                <m:t>o</m:t>
              </m:r>
              <m:r>
                <m:t>l</m:t>
              </m:r>
              <m:r>
                <m:t>i</m:t>
              </m:r>
              <m:r>
                <m:t>n</m:t>
              </m:r>
              <m:r>
                <m:t>g</m:t>
              </m:r>
            </m:sub>
          </m:sSub>
          <m:r>
            <m:rPr>
              <m:sty m:val="p"/>
            </m:rPr>
            <m:t>=</m:t>
          </m:r>
          <m:r>
            <m:rPr>
              <m:sty m:val="p"/>
            </m:rPr>
            <m:t>floor</m:t>
          </m:r>
          <m:d>
            <m:dPr>
              <m:begChr m:val="("/>
              <m:endChr m:val=")"/>
              <m:sepChr m:val=""/>
              <m:grow/>
            </m:dPr>
            <m:e>
              <m:r>
                <m:t>6.5</m:t>
              </m:r>
              <m:r>
                <m:rPr>
                  <m:sty m:val="p"/>
                </m:rPr>
                <m:t>/</m:t>
              </m:r>
              <m:r>
                <m:t>0.6</m:t>
              </m:r>
            </m:e>
          </m:d>
          <m:r>
            <m:rPr>
              <m:sty m:val="p"/>
            </m:rPr>
            <m:t>=</m:t>
          </m:r>
          <m:r>
            <m:t>10</m:t>
          </m:r>
        </m:oMath>
      </m:oMathPara>
    </w:p>
    <w:tbl>
      <w:tblPr>
        <w:tblStyle w:val="Table"/>
        <w:tblW w:type="dxa" w:w="986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096"/>
        <w:gridCol w:w="4392"/>
      </w:tblGrid>
      <w:tr>
        <w:trPr>
          <w:tblHeader w:val="true"/>
          <w:cantSplit/>
          <w:tblHeader/>
        </w:trPr>
        <w:tc>
          <w:tcPr>
            <w:tcW w:type="dxa" w:w="237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검산</w:t>
            </w:r>
          </w:p>
        </w:tc>
        <w:tc>
          <w:tcPr>
            <w:tcW w:type="dxa" w:w="309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계산</w:t>
            </w:r>
          </w:p>
        </w:tc>
        <w:tc>
          <w:tcPr>
            <w:tcW w:type="dxa" w:w="4392"/>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결과</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서버 합계</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20 곱하기 0.6</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12kW</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스위치 합계</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4 곱하기 0.25</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1kW</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IT 합계</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12 더하기 1</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13kW</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랙 합계</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2 곱하기 6.5</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13kW</w:t>
            </w:r>
          </w:p>
        </w:tc>
      </w:tr>
    </w:tbl>
    <w:bookmarkEnd w:id="248"/>
    <w:bookmarkStart w:id="249" w:name="적용과-검증-73"/>
    <w:p>
      <w:pPr>
        <w:pStyle w:val="Heading2"/>
        <w:widowControl/>
      </w:pPr>
      <w:r>
        <w:t xml:space="preserve">적용과 검증</w:t>
      </w:r>
    </w:p>
    <w:p>
      <w:pPr>
        <w:pStyle w:val="FirstParagraph"/>
        <w:keepNext/>
        <w:widowControl/>
      </w:pPr>
      <w:r>
        <w:t xml:space="preserve">전력 합산과 랙 합산이 일치해 누락과 중복이 없음을 확인했다. 스토리지와 방화벽은 현재 범위 밖이므로 추가 시 전력과 공간을 다시 계산한다.</w:t>
      </w:r>
    </w:p>
    <w:p>
      <w:pPr>
        <w:pStyle w:val="BodyText"/>
        <w:widowControl/>
        <w:spacing w:before="160"/>
      </w:pPr>
      <w:r>
        <w:rPr>
          <w:sz w:val="17"/>
        </w:rPr>
        <w:t xml:space="preserve">근거 및 추가 읽기 [R09] [R17]</w:t>
      </w:r>
    </w:p>
    <w:bookmarkEnd w:id="249"/>
    <w:bookmarkEnd w:id="250"/>
    <w:bookmarkStart w:id="253" w:name="사례-a-포트-케이블과-장애-대역폭"/>
    <w:p>
      <w:pPr>
        <w:pStyle w:val="Heading1"/>
        <w:keepNext/>
        <w:widowControl/>
      </w:pPr>
      <w:bookmarkStart w:id="77" w:name="topic_77"/>
      <w:r>
        <w:t xml:space="preserve">77 사례 A 포트 케이블과 장애 대역폭</w:t>
      </w:r>
      <w:bookmarkEnd w:id="77"/>
    </w:p>
    <w:p>
      <w:pPr>
        <w:pStyle w:val="FirstParagraph"/>
        <w:widowControl/>
      </w:pPr>
      <w:r>
        <w:rPr>
          <w:bCs/>
          <w:b/>
        </w:rPr>
        <w:t xml:space="preserve">8부 재현 가능한 통합 사례 검증</w:t>
      </w:r>
    </w:p>
    <w:p>
      <w:pPr>
        <w:pStyle w:val="BodyText"/>
        <w:widowControl/>
      </w:pPr>
      <w:r>
        <w:t xml:space="preserve">서버 20대에 두 포트씩 사용하므로 서버–ToR 링크는 40개다. ToR 4대는 각각 서버 10개를 연결하므로 다운링크 포트 합계도 40개로 일치한다. DAC 직결을 가정하므로 서버 연결 조립품은 40개다.</w:t>
      </w:r>
    </w:p>
    <w:p>
      <w:pPr>
        <w:pStyle w:val="BodyText"/>
        <w:widowControl/>
      </w:pPr>
      <w:r>
        <w:t xml:space="preserve">ToR 네 대가 각각 100G 업링크 두 개를 사용하므로 업링크는 8개다. 광모듈은 단일 포트 분리형 두 개씩 16개, 듀플렉스 광패치 경로는 8개, 사용 심수는 16심이다. 이 수량에는 여분과 구조화 배선의 추가 부품이 없다.</w:t>
      </w:r>
    </w:p>
    <w:p>
      <w:pPr>
        <w:pStyle w:val="BodyText"/>
        <w:widowControl/>
      </w:pPr>
      <w:r>
        <w:t xml:space="preserve">ToR 한 대의 다운링크 합계는 250G, 업링크 합계는 200G여서 초과가입비는 1.25 대 1이다. 업링크 하나 상실 후에는 2.5 대 1이 된다. 이중 ToR가 있어도 서버가 사용할 수 있는 총 대역폭은 장애 조건에서 감소할 수 있다.</w:t>
      </w:r>
    </w:p>
    <w:bookmarkStart w:id="251" w:name="계산식과-변수-47"/>
    <w:p>
      <w:pPr>
        <w:pStyle w:val="Heading2"/>
        <w:widowControl/>
      </w:pPr>
      <w:r>
        <w:t xml:space="preserve">계산식과 변수</w:t>
      </w:r>
    </w:p>
    <w:p>
      <w:pPr>
        <w:pStyle w:val="FirstParagraph"/>
        <w:widowControl/>
        <w:spacing w:line="252" w:lineRule="auto" w:before="100" w:after="180"/>
      </w:pPr>
      <m:oMathPara>
        <m:oMathParaPr>
          <m:jc m:val="center"/>
        </m:oMathParaPr>
        <m:oMath>
          <m:sSub>
            <m:e>
              <m:r>
                <m:t>N</m:t>
              </m:r>
            </m:e>
            <m:sub>
              <m:r>
                <m:t>D</m:t>
              </m:r>
              <m:r>
                <m:t>A</m:t>
              </m:r>
              <m:r>
                <m:t>C</m:t>
              </m:r>
            </m:sub>
          </m:sSub>
          <m:r>
            <m:rPr>
              <m:sty m:val="p"/>
            </m:rPr>
            <m:t>=</m:t>
          </m:r>
          <m:r>
            <m:t>20</m:t>
          </m:r>
          <m:r>
            <m:rPr>
              <m:sty m:val="p"/>
            </m:rPr>
            <m:t>×</m:t>
          </m:r>
          <m:r>
            <m:t>2</m:t>
          </m:r>
          <m:r>
            <m:rPr>
              <m:sty m:val="p"/>
            </m:rPr>
            <m:t>=</m:t>
          </m:r>
          <m:r>
            <m:t>40</m:t>
          </m:r>
        </m:oMath>
      </m:oMathPara>
    </w:p>
    <w:p>
      <w:pPr>
        <w:pStyle w:val="FirstParagraph"/>
        <w:widowControl/>
        <w:spacing w:line="252" w:lineRule="auto" w:before="100" w:after="180"/>
      </w:pPr>
      <m:oMathPara>
        <m:oMathParaPr>
          <m:jc m:val="center"/>
        </m:oMathParaPr>
        <m:oMath>
          <m:sSub>
            <m:e>
              <m:r>
                <m:t>N</m:t>
              </m:r>
            </m:e>
            <m:sub>
              <m:r>
                <m:t>o</m:t>
              </m:r>
              <m:r>
                <m:t>p</m:t>
              </m:r>
              <m:r>
                <m:t>t</m:t>
              </m:r>
              <m:r>
                <m:t>i</m:t>
              </m:r>
              <m:r>
                <m:t>c</m:t>
              </m:r>
              <m:r>
                <m:t>a</m:t>
              </m:r>
              <m:r>
                <m:t>l</m:t>
              </m:r>
            </m:sub>
          </m:sSub>
          <m:r>
            <m:rPr>
              <m:sty m:val="p"/>
            </m:rPr>
            <m:t>=</m:t>
          </m:r>
          <m:r>
            <m:t>4</m:t>
          </m:r>
          <m:r>
            <m:rPr>
              <m:sty m:val="p"/>
            </m:rPr>
            <m:t>×</m:t>
          </m:r>
          <m:r>
            <m:t>2</m:t>
          </m:r>
          <m:r>
            <m:rPr>
              <m:sty m:val="p"/>
            </m:rPr>
            <m:t>=</m:t>
          </m:r>
          <m:r>
            <m:t>8</m:t>
          </m:r>
        </m:oMath>
      </m:oMathPara>
    </w:p>
    <w:p>
      <w:pPr>
        <w:pStyle w:val="FirstParagraph"/>
        <w:widowControl/>
        <w:spacing w:line="252" w:lineRule="auto" w:before="100" w:after="180"/>
      </w:pPr>
      <m:oMathPara>
        <m:oMathParaPr>
          <m:jc m:val="center"/>
        </m:oMathParaPr>
        <m:oMath>
          <m:sSub>
            <m:e>
              <m:r>
                <m:t>O</m:t>
              </m:r>
            </m:e>
            <m:sub>
              <m:r>
                <m:t>n</m:t>
              </m:r>
              <m:r>
                <m:t>o</m:t>
              </m:r>
              <m:r>
                <m:t>r</m:t>
              </m:r>
              <m:r>
                <m:t>m</m:t>
              </m:r>
              <m:r>
                <m:t>a</m:t>
              </m:r>
              <m:r>
                <m:t>l</m:t>
              </m:r>
            </m:sub>
          </m:sSub>
          <m:r>
            <m:rPr>
              <m:sty m:val="p"/>
            </m:rPr>
            <m:t>=</m:t>
          </m:r>
          <m:r>
            <m:t>250</m:t>
          </m:r>
          <m:r>
            <m:rPr>
              <m:sty m:val="p"/>
            </m:rPr>
            <m:t>/</m:t>
          </m:r>
          <m:r>
            <m:t>200</m:t>
          </m:r>
          <m:r>
            <m:rPr>
              <m:sty m:val="p"/>
            </m:rPr>
            <m:t>=</m:t>
          </m:r>
          <m:r>
            <m:t>1.25</m:t>
          </m:r>
        </m:oMath>
      </m:oMathPara>
    </w:p>
    <w:tbl>
      <w:tblPr>
        <w:tblStyle w:val="Table"/>
        <w:tblW w:type="dxa" w:w="986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096"/>
        <w:gridCol w:w="4392"/>
      </w:tblGrid>
      <w:tr>
        <w:trPr>
          <w:tblHeader w:val="true"/>
          <w:cantSplit/>
          <w:tblHeader/>
        </w:trPr>
        <w:tc>
          <w:tcPr>
            <w:tcW w:type="dxa" w:w="237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품목</w:t>
            </w:r>
          </w:p>
        </w:tc>
        <w:tc>
          <w:tcPr>
            <w:tcW w:type="dxa" w:w="309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운용 수량</w:t>
            </w:r>
          </w:p>
        </w:tc>
        <w:tc>
          <w:tcPr>
            <w:tcW w:type="dxa" w:w="4392"/>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검산</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서버 DAC</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40개</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서버 포트 40개</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업링크 광경로</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8개</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양단 포트 16개</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업링크 모듈</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16개</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단일포트 모듈 가정</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사용 광섬유</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16심</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링크당 2심</w:t>
            </w:r>
          </w:p>
        </w:tc>
      </w:tr>
    </w:tbl>
    <w:bookmarkEnd w:id="251"/>
    <w:bookmarkStart w:id="252" w:name="적용과-검증-74"/>
    <w:p>
      <w:pPr>
        <w:pStyle w:val="Heading2"/>
        <w:widowControl/>
      </w:pPr>
      <w:r>
        <w:t xml:space="preserve">적용과 검증</w:t>
      </w:r>
    </w:p>
    <w:p>
      <w:pPr>
        <w:pStyle w:val="FirstParagraph"/>
        <w:keepNext/>
        <w:widowControl/>
      </w:pPr>
      <w:r>
        <w:t xml:space="preserve">실제 발주 전 DAC 길이와 지원 형명, 광모듈 규격, Spine 포트 수와 광패치 극성을 확정한다. 숫자가 맞는다는 검증과 통신이 정상 동작한다는 시험은 구분한다.</w:t>
      </w:r>
    </w:p>
    <w:p>
      <w:pPr>
        <w:pStyle w:val="BodyText"/>
        <w:widowControl/>
        <w:spacing w:before="160"/>
      </w:pPr>
      <w:r>
        <w:rPr>
          <w:sz w:val="17"/>
        </w:rPr>
        <w:t xml:space="preserve">근거 및 추가 읽기 [R17] [R19]</w:t>
      </w:r>
    </w:p>
    <w:bookmarkEnd w:id="252"/>
    <w:bookmarkEnd w:id="253"/>
    <w:bookmarkStart w:id="256" w:name="사례-a-에너지와-시설-전력-판정"/>
    <w:p>
      <w:pPr>
        <w:pStyle w:val="Heading1"/>
        <w:keepNext/>
        <w:widowControl/>
      </w:pPr>
      <w:bookmarkStart w:id="78" w:name="topic_78"/>
      <w:r>
        <w:t xml:space="preserve">78 사례 A 에너지와 시설 전력 판정</w:t>
      </w:r>
      <w:bookmarkEnd w:id="78"/>
    </w:p>
    <w:p>
      <w:pPr>
        <w:pStyle w:val="FirstParagraph"/>
        <w:widowControl/>
      </w:pPr>
      <w:r>
        <w:rPr>
          <w:bCs/>
          <w:b/>
        </w:rPr>
        <w:t xml:space="preserve">8부 재현 가능한 통합 사례 검증</w:t>
      </w:r>
    </w:p>
    <w:p>
      <w:pPr>
        <w:pStyle w:val="BodyText"/>
        <w:widowControl/>
      </w:pPr>
      <w:r>
        <w:t xml:space="preserve">사례 A의 최대 IT 전력은 13kW다. 에너지 예측에서는 서버 평균 전력을 최대의 50%인 0.3kW로, 스위치 평균은 대당 0.2kW로 따로 가정한다. 따라서 평균 IT는 6.8kW다. 최대전력에 전체 평균율을 일괄 곱하지 않고 부하 종류별로 계산했다.</w:t>
      </w:r>
    </w:p>
    <w:p>
      <w:pPr>
        <w:pStyle w:val="BodyText"/>
        <w:widowControl/>
      </w:pPr>
      <w:r>
        <w:t xml:space="preserve">동일 기간 에너지 비율을 1.5로 가정하고 8760시간 운전하면 IT 에너지는 59.568MWh, 시설 에너지는 89.352MWh다. 이 숫자는 실제 PUE 측정 결과가 아니라 연간 예산 모델이다.</w:t>
      </w:r>
    </w:p>
    <w:p>
      <w:pPr>
        <w:pStyle w:val="BodyText"/>
        <w:widowControl/>
      </w:pPr>
      <w:r>
        <w:t xml:space="preserve">최대 부하의 시설 수용 검토에서는 평균전력을 사용하지 않는다. 최대 13kW IT에 해당 운전점의 시설 전력비 1.5를 적용하면 19.5kW다. 실제 시설은 냉각과 전력 손실을 별도 계산해 이 가정을 검증한다.</w:t>
      </w:r>
    </w:p>
    <w:bookmarkStart w:id="254" w:name="계산식과-변수-48"/>
    <w:p>
      <w:pPr>
        <w:pStyle w:val="Heading2"/>
        <w:widowControl/>
      </w:pPr>
      <w:r>
        <w:t xml:space="preserve">계산식과 변수</w:t>
      </w:r>
    </w:p>
    <w:p>
      <w:pPr>
        <w:pStyle w:val="FirstParagraph"/>
        <w:widowControl/>
        <w:spacing w:line="252" w:lineRule="auto" w:before="100" w:after="180"/>
      </w:pPr>
      <m:oMathPara>
        <m:oMathParaPr>
          <m:jc m:val="center"/>
        </m:oMathParaPr>
        <m:oMath>
          <m:sSub>
            <m:e>
              <m:r>
                <m:t>P</m:t>
              </m:r>
            </m:e>
            <m:sub>
              <m:r>
                <m:t>I</m:t>
              </m:r>
              <m:r>
                <m:t>T</m:t>
              </m:r>
              <m:r>
                <m:rPr>
                  <m:sty m:val="p"/>
                </m:rPr>
                <m:t>,</m:t>
              </m:r>
              <m:r>
                <m:t>a</m:t>
              </m:r>
              <m:r>
                <m:t>v</m:t>
              </m:r>
              <m:r>
                <m:t>g</m:t>
              </m:r>
            </m:sub>
          </m:sSub>
          <m:r>
            <m:rPr>
              <m:sty m:val="p"/>
            </m:rPr>
            <m:t>=</m:t>
          </m:r>
          <m:r>
            <m:t>20</m:t>
          </m:r>
          <m:d>
            <m:dPr>
              <m:begChr m:val="("/>
              <m:endChr m:val=")"/>
              <m:sepChr m:val=""/>
              <m:grow/>
            </m:dPr>
            <m:e>
              <m:r>
                <m:t>0.3</m:t>
              </m:r>
            </m:e>
          </m:d>
          <m:r>
            <m:rPr>
              <m:sty m:val="p"/>
            </m:rPr>
            <m:t>+</m:t>
          </m:r>
          <m:r>
            <m:t>4</m:t>
          </m:r>
          <m:d>
            <m:dPr>
              <m:begChr m:val="("/>
              <m:endChr m:val=")"/>
              <m:sepChr m:val=""/>
              <m:grow/>
            </m:dPr>
            <m:e>
              <m:r>
                <m:t>0.2</m:t>
              </m:r>
            </m:e>
          </m:d>
          <m:r>
            <m:rPr>
              <m:sty m:val="p"/>
            </m:rPr>
            <m:t>=</m:t>
          </m:r>
          <m:r>
            <m:t>6.8</m:t>
          </m:r>
        </m:oMath>
      </m:oMathPara>
    </w:p>
    <w:p>
      <w:pPr>
        <w:pStyle w:val="FirstParagraph"/>
        <w:widowControl/>
        <w:spacing w:line="252" w:lineRule="auto" w:before="100" w:after="180"/>
      </w:pPr>
      <m:oMathPara>
        <m:oMathParaPr>
          <m:jc m:val="center"/>
        </m:oMathParaPr>
        <m:oMath>
          <m:sSub>
            <m:e>
              <m:r>
                <m:t>E</m:t>
              </m:r>
            </m:e>
            <m:sub>
              <m:r>
                <m:t>I</m:t>
              </m:r>
              <m:r>
                <m:t>T</m:t>
              </m:r>
            </m:sub>
          </m:sSub>
          <m:r>
            <m:rPr>
              <m:sty m:val="p"/>
            </m:rPr>
            <m:t>=</m:t>
          </m:r>
          <m:r>
            <m:t>6.8</m:t>
          </m:r>
          <m:r>
            <m:rPr>
              <m:sty m:val="p"/>
            </m:rPr>
            <m:t>×</m:t>
          </m:r>
          <m:r>
            <m:t>8760</m:t>
          </m:r>
          <m:r>
            <m:rPr>
              <m:sty m:val="p"/>
            </m:rPr>
            <m:t>=</m:t>
          </m:r>
          <m:r>
            <m:t>59568</m:t>
          </m:r>
          <m:r>
            <m:t> </m:t>
          </m:r>
          <m:r>
            <m:rPr>
              <m:sty m:val="p"/>
            </m:rPr>
            <m:t>k</m:t>
          </m:r>
          <m:r>
            <m:rPr>
              <m:sty m:val="p"/>
            </m:rPr>
            <m:t>W</m:t>
          </m:r>
          <m:r>
            <m:rPr>
              <m:sty m:val="p"/>
            </m:rPr>
            <m:t>h</m:t>
          </m:r>
        </m:oMath>
      </m:oMathPara>
    </w:p>
    <w:tbl>
      <w:tblPr>
        <w:tblStyle w:val="Table"/>
        <w:tblW w:type="dxa" w:w="986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096"/>
        <w:gridCol w:w="4392"/>
      </w:tblGrid>
      <w:tr>
        <w:trPr>
          <w:tblHeader w:val="true"/>
          <w:cantSplit/>
          <w:tblHeader/>
        </w:trPr>
        <w:tc>
          <w:tcPr>
            <w:tcW w:type="dxa" w:w="237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지표</w:t>
            </w:r>
          </w:p>
        </w:tc>
        <w:tc>
          <w:tcPr>
            <w:tcW w:type="dxa" w:w="309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결과</w:t>
            </w:r>
          </w:p>
        </w:tc>
        <w:tc>
          <w:tcPr>
            <w:tcW w:type="dxa" w:w="4392"/>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판정 범위</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최대 IT 전력</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13kW</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랙 수용 검토</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평균 IT 전력</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6.8kW</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에너지 가정</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연간 시설 에너지</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89352kWh</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PUE 1.5 가정</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가정 단가 150원</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13402800원</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에너지 항목만</w:t>
            </w:r>
          </w:p>
        </w:tc>
      </w:tr>
    </w:tbl>
    <w:bookmarkEnd w:id="254"/>
    <w:bookmarkStart w:id="255" w:name="적용과-검증-75"/>
    <w:p>
      <w:pPr>
        <w:pStyle w:val="Heading2"/>
        <w:widowControl/>
      </w:pPr>
      <w:r>
        <w:t xml:space="preserve">적용과 검증</w:t>
      </w:r>
    </w:p>
    <w:p>
      <w:pPr>
        <w:pStyle w:val="FirstParagraph"/>
        <w:keepNext/>
        <w:widowControl/>
      </w:pPr>
      <w:r>
        <w:t xml:space="preserve">이 사례는 수량과 열·전력의 계산 일관성을 통과한다. 중량, 실제 소프트웨어 이중화, 계측 PUE와 장비 호환성은 미검증 항목으로 남긴다.</w:t>
      </w:r>
    </w:p>
    <w:p>
      <w:pPr>
        <w:pStyle w:val="BodyText"/>
        <w:widowControl/>
        <w:spacing w:before="160"/>
      </w:pPr>
      <w:r>
        <w:rPr>
          <w:sz w:val="17"/>
        </w:rPr>
        <w:t xml:space="preserve">근거 및 추가 읽기 [R01] [R17]</w:t>
      </w:r>
    </w:p>
    <w:bookmarkEnd w:id="255"/>
    <w:bookmarkEnd w:id="256"/>
    <w:bookmarkStart w:id="258" w:name="사례-b-gpu-64개와-공식-장비-사양"/>
    <w:p>
      <w:pPr>
        <w:pStyle w:val="Heading1"/>
        <w:keepNext/>
        <w:widowControl/>
      </w:pPr>
      <w:bookmarkStart w:id="79" w:name="topic_79"/>
      <w:r>
        <w:t xml:space="preserve">79 사례 B GPU 64개와 공식 장비 사양</w:t>
      </w:r>
      <w:bookmarkEnd w:id="79"/>
    </w:p>
    <w:p>
      <w:pPr>
        <w:pStyle w:val="FirstParagraph"/>
        <w:widowControl/>
      </w:pPr>
      <w:r>
        <w:rPr>
          <w:bCs/>
          <w:b/>
        </w:rPr>
        <w:t xml:space="preserve">8부 재현 가능한 통합 사례 검증</w:t>
      </w:r>
    </w:p>
    <w:p>
      <w:pPr>
        <w:pStyle w:val="BodyText"/>
        <w:widowControl/>
      </w:pPr>
      <w:r>
        <w:t xml:space="preserve">사례 B는 DGX H100 여덟 대로 GPU 64개를 구성한다. 공식 사용자 가이드의 서버당 GPU 8개, 8U, 최대 10.2kW와 최대 130.45kg을 적용한다. 서버당 연산망 인터페이스 여덟 개는 4개의 OSFP 물리 포트를 통해 제공된다.</w:t>
      </w:r>
    </w:p>
    <w:p>
      <w:pPr>
        <w:pStyle w:val="BodyText"/>
        <w:widowControl/>
      </w:pPr>
      <w:r>
        <w:t xml:space="preserve">두 랙에 서버 네 대씩 배치하고 각 랙의 서버 외 IT 전력을 1kW로 예약한다. 랙은 42U, 예약 공간 6U, 가용 전력과 냉각을 각각 45kW로 가정한다. 서버 외 장비의 1kW는 실제 제품 실측값이 아니라 예제의 전력 예산이다.</w:t>
      </w:r>
    </w:p>
    <w:p>
      <w:pPr>
        <w:pStyle w:val="BodyText"/>
        <w:widowControl/>
      </w:pPr>
      <w:r>
        <w:t xml:space="preserve">연산망은 수량 설명을 위해 64개 400G 논리 포트를 갖는 단일 스위치의 평면 연결을 가정한다. 이 구성은 확장성과 장애 내성의 한계를 의도적으로 드러내는 사례이며 NVIDIA의 전체 SuperPOD 인증 구성을 재현한 것은 아니다.</w:t>
      </w:r>
    </w:p>
    <w:tbl>
      <w:tblPr>
        <w:tblStyle w:val="Table"/>
        <w:tblW w:type="dxa" w:w="986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096"/>
        <w:gridCol w:w="4392"/>
      </w:tblGrid>
      <w:tr>
        <w:trPr>
          <w:tblHeader w:val="true"/>
          <w:cantSplit/>
          <w:tblHeader/>
        </w:trPr>
        <w:tc>
          <w:tcPr>
            <w:tcW w:type="dxa" w:w="237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항목</w:t>
            </w:r>
          </w:p>
        </w:tc>
        <w:tc>
          <w:tcPr>
            <w:tcW w:type="dxa" w:w="309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적용값</w:t>
            </w:r>
          </w:p>
        </w:tc>
        <w:tc>
          <w:tcPr>
            <w:tcW w:type="dxa" w:w="4392"/>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구분</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GPU와 서버</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64개 8대</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공식 사양과 요구량</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서버 높이</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8U</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공식 사양</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서버 최대전력</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10.2kW</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공식 사양</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서버 최대중량</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130.45kg</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공식 사양</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랙 제한</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42U 45kW 45kW열</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설계 가정</w:t>
            </w:r>
          </w:p>
        </w:tc>
      </w:tr>
    </w:tbl>
    <w:bookmarkStart w:id="257" w:name="적용과-검증-76"/>
    <w:p>
      <w:pPr>
        <w:pStyle w:val="Heading2"/>
        <w:widowControl/>
      </w:pPr>
      <w:r>
        <w:t xml:space="preserve">적용과 검증</w:t>
      </w:r>
    </w:p>
    <w:p>
      <w:pPr>
        <w:pStyle w:val="FirstParagraph"/>
        <w:keepNext/>
        <w:widowControl/>
      </w:pPr>
      <w:r>
        <w:t xml:space="preserve">공식 사양으로 수량과 최대 부하를 검산하되 서버의 특정 옵션, 펌웨어와 주변 장비는 실제 구성에서 다시 확인한다. 최대전력 합산은 운전 평균의 예측값이 아니다.</w:t>
      </w:r>
    </w:p>
    <w:p>
      <w:pPr>
        <w:pStyle w:val="BodyText"/>
        <w:widowControl/>
        <w:spacing w:before="160"/>
      </w:pPr>
      <w:r>
        <w:rPr>
          <w:sz w:val="17"/>
        </w:rPr>
        <w:t xml:space="preserve">근거 및 추가 읽기 [R13] [R14] [R15]</w:t>
      </w:r>
    </w:p>
    <w:bookmarkEnd w:id="257"/>
    <w:bookmarkEnd w:id="258"/>
    <w:bookmarkStart w:id="264" w:name="사례-b-랙-두-개의-수용-검증"/>
    <w:p>
      <w:pPr>
        <w:pStyle w:val="Heading1"/>
        <w:keepNext/>
        <w:widowControl/>
      </w:pPr>
      <w:bookmarkStart w:id="80" w:name="topic_80"/>
      <w:r>
        <w:t xml:space="preserve">80 사례 B 랙 두 개의 수용 검증</w:t>
      </w:r>
      <w:bookmarkEnd w:id="80"/>
    </w:p>
    <w:p>
      <w:pPr>
        <w:pStyle w:val="FirstParagraph"/>
        <w:widowControl/>
      </w:pPr>
      <w:r>
        <w:rPr>
          <w:bCs/>
          <w:b/>
        </w:rPr>
        <w:t xml:space="preserve">8부 재현 가능한 통합 사례 검증</w:t>
      </w:r>
    </w:p>
    <w:p>
      <w:pPr>
        <w:pStyle w:val="BodyText"/>
        <w:widowControl/>
      </w:pPr>
      <w:r>
        <w:t xml:space="preserve">서버 네 대의 높이는 32U이며 예약 6U를 더해 38U다. 랙 최대전력은 4×10.2+1=41.8kW로 가정한 45kW보다 3.2kW 작다. 냉각 능력도 같은 45kW열을 실제 흡입 조건에서 제공한다면 정적 열량 기준을 만족한다.</w:t>
      </w:r>
    </w:p>
    <w:p>
      <w:pPr>
        <w:pStyle w:val="BodyText"/>
        <w:widowControl/>
      </w:pPr>
      <w:r>
        <w:t xml:space="preserve">서버 중량 합계는 521.8kg이다. 랙과 부속 150kg, 배선 등 30kg을 가정하면 총 701.8kg이다. 랙 정격과 바닥 집중하중은 이 값을 바탕으로 검토하지만 실제 허용값이 없으므로 구조 적합 판정은 보류한다.</w:t>
      </w:r>
    </w:p>
    <w:p>
      <w:pPr>
        <w:pStyle w:val="BodyText"/>
        <w:widowControl/>
      </w:pPr>
      <w:r>
        <w:t xml:space="preserve">서버 한 대를 추가하면 높이가 46U이고 전력은 52kW가 된다. 두 제약 모두 넘으므로 같은 가정에서 랙당 네 대가 한계다. 냉각 한 항목만 늘려서는 다섯 대 배치가 가능해지지 않는다.</w:t>
      </w:r>
    </w:p>
    <w:p>
      <w:pPr>
        <w:pStyle w:val="CaptionedFigure"/>
        <w:widowControl/>
        <w:spacing w:line="240" w:lineRule="auto" w:before="80" w:after="120"/>
      </w:pPr>
      <w:r>
        <w:drawing>
          <wp:inline>
            <wp:extent cx="5334000" cy="1520964"/>
            <wp:effectExtent b="0" l="0" r="0" t="0"/>
            <wp:docPr descr="개념도 사례 B 랙 두 개의 수용 검증" title="" id="260" name="Picture"/>
            <a:graphic>
              <a:graphicData uri="http://schemas.openxmlformats.org/drawingml/2006/picture">
                <pic:pic>
                  <pic:nvPicPr>
                    <pic:cNvPr descr="/workspace/scratch/4cfa22a96ecd/data/rack.png" id="261" name="Picture"/>
                    <pic:cNvPicPr>
                      <a:picLocks noChangeArrowheads="1" noChangeAspect="1"/>
                    </pic:cNvPicPr>
                  </pic:nvPicPr>
                  <pic:blipFill>
                    <a:blip r:embed="rId259"/>
                    <a:stretch>
                      <a:fillRect/>
                    </a:stretch>
                  </pic:blipFill>
                  <pic:spPr bwMode="auto">
                    <a:xfrm>
                      <a:off x="0" y="0"/>
                      <a:ext cx="5334000" cy="1520964"/>
                    </a:xfrm>
                    <a:prstGeom prst="rect">
                      <a:avLst/>
                    </a:prstGeom>
                    <a:noFill/>
                    <a:ln w="9525">
                      <a:noFill/>
                      <a:headEnd/>
                      <a:tailEnd/>
                    </a:ln>
                  </pic:spPr>
                </pic:pic>
              </a:graphicData>
            </a:graphic>
          </wp:inline>
        </w:drawing>
      </w:r>
    </w:p>
    <w:p>
      <w:pPr>
        <w:pStyle w:val="ImageCaption"/>
        <w:widowControl/>
      </w:pPr>
      <w:r>
        <w:t xml:space="preserve">개념도 사례 B 랙 두 개의 수용 검증</w:t>
      </w:r>
    </w:p>
    <w:bookmarkStart w:id="262" w:name="계산식과-변수-49"/>
    <w:p>
      <w:pPr>
        <w:pStyle w:val="Heading2"/>
        <w:widowControl/>
      </w:pPr>
      <w:r>
        <w:t xml:space="preserve">계산식과 변수</w:t>
      </w:r>
    </w:p>
    <w:p>
      <w:pPr>
        <w:pStyle w:val="FirstParagraph"/>
        <w:widowControl/>
        <w:spacing w:line="252" w:lineRule="auto" w:before="100" w:after="180"/>
      </w:pPr>
      <m:oMathPara>
        <m:oMathParaPr>
          <m:jc m:val="center"/>
        </m:oMathParaPr>
        <m:oMath>
          <m:sSub>
            <m:e>
              <m:r>
                <m:t>U</m:t>
              </m:r>
            </m:e>
            <m:sub>
              <m:r>
                <m:t>u</m:t>
              </m:r>
              <m:r>
                <m:t>s</m:t>
              </m:r>
              <m:r>
                <m:t>e</m:t>
              </m:r>
              <m:r>
                <m:t>d</m:t>
              </m:r>
            </m:sub>
          </m:sSub>
          <m:r>
            <m:rPr>
              <m:sty m:val="p"/>
            </m:rPr>
            <m:t>=</m:t>
          </m:r>
          <m:r>
            <m:t>4</m:t>
          </m:r>
          <m:d>
            <m:dPr>
              <m:begChr m:val="("/>
              <m:endChr m:val=")"/>
              <m:sepChr m:val=""/>
              <m:grow/>
            </m:dPr>
            <m:e>
              <m:r>
                <m:t>8</m:t>
              </m:r>
            </m:e>
          </m:d>
          <m:r>
            <m:rPr>
              <m:sty m:val="p"/>
            </m:rPr>
            <m:t>+</m:t>
          </m:r>
          <m:r>
            <m:t>6</m:t>
          </m:r>
          <m:r>
            <m:rPr>
              <m:sty m:val="p"/>
            </m:rPr>
            <m:t>=</m:t>
          </m:r>
          <m:r>
            <m:t>38</m:t>
          </m:r>
        </m:oMath>
      </m:oMathPara>
    </w:p>
    <w:p>
      <w:pPr>
        <w:pStyle w:val="FirstParagraph"/>
        <w:widowControl/>
        <w:spacing w:line="252" w:lineRule="auto" w:before="100" w:after="180"/>
      </w:pPr>
      <m:oMathPara>
        <m:oMathParaPr>
          <m:jc m:val="center"/>
        </m:oMathParaPr>
        <m:oMath>
          <m:sSub>
            <m:e>
              <m:r>
                <m:t>P</m:t>
              </m:r>
            </m:e>
            <m:sub>
              <m:r>
                <m:t>r</m:t>
              </m:r>
              <m:r>
                <m:t>a</m:t>
              </m:r>
              <m:r>
                <m:t>c</m:t>
              </m:r>
              <m:r>
                <m:t>k</m:t>
              </m:r>
            </m:sub>
          </m:sSub>
          <m:r>
            <m:rPr>
              <m:sty m:val="p"/>
            </m:rPr>
            <m:t>=</m:t>
          </m:r>
          <m:r>
            <m:t>4</m:t>
          </m:r>
          <m:d>
            <m:dPr>
              <m:begChr m:val="("/>
              <m:endChr m:val=")"/>
              <m:sepChr m:val=""/>
              <m:grow/>
            </m:dPr>
            <m:e>
              <m:r>
                <m:t>10.2</m:t>
              </m:r>
            </m:e>
          </m:d>
          <m:r>
            <m:rPr>
              <m:sty m:val="p"/>
            </m:rPr>
            <m:t>+</m:t>
          </m:r>
          <m:r>
            <m:t>1</m:t>
          </m:r>
          <m:r>
            <m:rPr>
              <m:sty m:val="p"/>
            </m:rPr>
            <m:t>=</m:t>
          </m:r>
          <m:r>
            <m:t>41.8</m:t>
          </m:r>
        </m:oMath>
      </m:oMathPara>
    </w:p>
    <w:p>
      <w:pPr>
        <w:pStyle w:val="FirstParagraph"/>
        <w:widowControl/>
        <w:spacing w:line="252" w:lineRule="auto" w:before="100" w:after="180"/>
      </w:pPr>
      <m:oMathPara>
        <m:oMathParaPr>
          <m:jc m:val="center"/>
        </m:oMathParaPr>
        <m:oMath>
          <m:sSub>
            <m:e>
              <m:r>
                <m:t>P</m:t>
              </m:r>
            </m:e>
            <m:sub>
              <m:r>
                <m:t>I</m:t>
              </m:r>
              <m:r>
                <m:t>T</m:t>
              </m:r>
              <m:r>
                <m:rPr>
                  <m:sty m:val="p"/>
                </m:rPr>
                <m:t>,</m:t>
              </m:r>
              <m:r>
                <m:t>t</m:t>
              </m:r>
              <m:r>
                <m:t>o</m:t>
              </m:r>
              <m:r>
                <m:t>t</m:t>
              </m:r>
              <m:r>
                <m:t>a</m:t>
              </m:r>
              <m:r>
                <m:t>l</m:t>
              </m:r>
            </m:sub>
          </m:sSub>
          <m:r>
            <m:rPr>
              <m:sty m:val="p"/>
            </m:rPr>
            <m:t>=</m:t>
          </m:r>
          <m:r>
            <m:t>2</m:t>
          </m:r>
          <m:d>
            <m:dPr>
              <m:begChr m:val="("/>
              <m:endChr m:val=")"/>
              <m:sepChr m:val=""/>
              <m:grow/>
            </m:dPr>
            <m:e>
              <m:r>
                <m:t>41.8</m:t>
              </m:r>
            </m:e>
          </m:d>
          <m:r>
            <m:rPr>
              <m:sty m:val="p"/>
            </m:rPr>
            <m:t>=</m:t>
          </m:r>
          <m:r>
            <m:t>83.6</m:t>
          </m:r>
        </m:oMath>
      </m:oMathPara>
    </w:p>
    <w:tbl>
      <w:tblPr>
        <w:tblStyle w:val="Table"/>
        <w:tblW w:type="dxa" w:w="986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096"/>
        <w:gridCol w:w="4392"/>
      </w:tblGrid>
      <w:tr>
        <w:trPr>
          <w:tblHeader w:val="true"/>
          <w:cantSplit/>
          <w:tblHeader/>
        </w:trPr>
        <w:tc>
          <w:tcPr>
            <w:tcW w:type="dxa" w:w="237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제약</w:t>
            </w:r>
          </w:p>
        </w:tc>
        <w:tc>
          <w:tcPr>
            <w:tcW w:type="dxa" w:w="309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요구량과 가용량</w:t>
            </w:r>
          </w:p>
        </w:tc>
        <w:tc>
          <w:tcPr>
            <w:tcW w:type="dxa" w:w="4392"/>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판정</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높이</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38U 이하 42U</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통과</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전력</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41.8 이하 45kW</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통과</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정적 열량</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41.8 이하 45kW열</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조건부 통과</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중량</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701.8kg</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허용 정격 확인 필요</w:t>
            </w:r>
          </w:p>
        </w:tc>
      </w:tr>
    </w:tbl>
    <w:bookmarkEnd w:id="262"/>
    <w:bookmarkStart w:id="263" w:name="적용과-검증-77"/>
    <w:p>
      <w:pPr>
        <w:pStyle w:val="Heading2"/>
        <w:widowControl/>
      </w:pPr>
      <w:r>
        <w:t xml:space="preserve">적용과 검증</w:t>
      </w:r>
    </w:p>
    <w:p>
      <w:pPr>
        <w:pStyle w:val="FirstParagraph"/>
        <w:keepNext/>
        <w:widowControl/>
      </w:pPr>
      <w:r>
        <w:t xml:space="preserve">조건부 통과는 냉각 공기 분배와 제품의 입구 조건이 별도 만족한다는 전제다. 실제 랙 풍량 및 높이별 온도 시험 없이는 핫스팟까지 해결되었다고 할 수 없다.</w:t>
      </w:r>
    </w:p>
    <w:p>
      <w:pPr>
        <w:pStyle w:val="BodyText"/>
        <w:widowControl/>
        <w:spacing w:before="160"/>
      </w:pPr>
      <w:r>
        <w:rPr>
          <w:sz w:val="17"/>
        </w:rPr>
        <w:t xml:space="preserve">근거 및 추가 읽기 [R13] [R09]</w:t>
      </w:r>
    </w:p>
    <w:bookmarkEnd w:id="263"/>
    <w:bookmarkEnd w:id="264"/>
    <w:bookmarkStart w:id="267" w:name="사례-b-400g-포트와-물리-케이지-검산"/>
    <w:p>
      <w:pPr>
        <w:pStyle w:val="Heading1"/>
        <w:keepNext/>
        <w:widowControl/>
      </w:pPr>
      <w:bookmarkStart w:id="81" w:name="topic_81"/>
      <w:r>
        <w:t xml:space="preserve">81 사례 B 400G 포트와 물리 케이지 검산</w:t>
      </w:r>
      <w:bookmarkEnd w:id="81"/>
    </w:p>
    <w:p>
      <w:pPr>
        <w:pStyle w:val="FirstParagraph"/>
        <w:widowControl/>
      </w:pPr>
      <w:r>
        <w:rPr>
          <w:bCs/>
          <w:b/>
        </w:rPr>
        <w:t xml:space="preserve">8부 재현 가능한 통합 사례 검증</w:t>
      </w:r>
    </w:p>
    <w:p>
      <w:pPr>
        <w:pStyle w:val="BodyText"/>
        <w:widowControl/>
      </w:pPr>
      <w:r>
        <w:t xml:space="preserve">서버 여덟 대가 연산망 여덟 링크씩 사용하면 총 64링크다. 서버 전체의 물리 OSFP 케이지는 8×4=32개이며 케이지당 두 개의 400G 인터페이스가 있다. Quantum-2의 32개 물리 케이지와 64개 논리 포트가 수량상 대응한다.</w:t>
      </w:r>
    </w:p>
    <w:p>
      <w:pPr>
        <w:pStyle w:val="BodyText"/>
        <w:widowControl/>
      </w:pPr>
      <w:r>
        <w:t xml:space="preserve">단방향 포트 속도 합계는 64×400G=25.6Tb/s다. 서버 측과 스위치 측의 합계가 같다. 그러나 스위치 하나가 고장 나면 이 연산망이 모두 영향을 받고 스위치의 서버 포트를 모두 사용하므로 상위 확장 포트가 남지 않는다.</w:t>
      </w:r>
    </w:p>
    <w:p>
      <w:pPr>
        <w:pStyle w:val="BodyText"/>
        <w:widowControl/>
      </w:pPr>
      <w:r>
        <w:t xml:space="preserve">이 수량 검증은 애플리케이션이 25.6Tb/s를 실효 처리한다는 증명이 아니다. 프로토콜 오버헤드와 통신 패턴, NIC 매핑 및 작업 효율은 시험으로 확인한다.</w:t>
      </w:r>
    </w:p>
    <w:bookmarkStart w:id="265" w:name="계산식과-변수-50"/>
    <w:p>
      <w:pPr>
        <w:pStyle w:val="Heading2"/>
        <w:widowControl/>
      </w:pPr>
      <w:r>
        <w:t xml:space="preserve">계산식과 변수</w:t>
      </w:r>
    </w:p>
    <w:p>
      <w:pPr>
        <w:pStyle w:val="FirstParagraph"/>
        <w:widowControl/>
        <w:spacing w:line="252" w:lineRule="auto" w:before="100" w:after="180"/>
      </w:pPr>
      <m:oMathPara>
        <m:oMathParaPr>
          <m:jc m:val="center"/>
        </m:oMathParaPr>
        <m:oMath>
          <m:sSub>
            <m:e>
              <m:r>
                <m:t>N</m:t>
              </m:r>
            </m:e>
            <m:sub>
              <m:r>
                <m:t>l</m:t>
              </m:r>
              <m:r>
                <m:t>i</m:t>
              </m:r>
              <m:r>
                <m:t>n</m:t>
              </m:r>
              <m:r>
                <m:t>k</m:t>
              </m:r>
            </m:sub>
          </m:sSub>
          <m:r>
            <m:rPr>
              <m:sty m:val="p"/>
            </m:rPr>
            <m:t>=</m:t>
          </m:r>
          <m:r>
            <m:t>8</m:t>
          </m:r>
          <m:r>
            <m:rPr>
              <m:sty m:val="p"/>
            </m:rPr>
            <m:t>×</m:t>
          </m:r>
          <m:r>
            <m:t>8</m:t>
          </m:r>
          <m:r>
            <m:rPr>
              <m:sty m:val="p"/>
            </m:rPr>
            <m:t>=</m:t>
          </m:r>
          <m:r>
            <m:t>64</m:t>
          </m:r>
        </m:oMath>
      </m:oMathPara>
    </w:p>
    <w:p>
      <w:pPr>
        <w:pStyle w:val="FirstParagraph"/>
        <w:widowControl/>
        <w:spacing w:line="252" w:lineRule="auto" w:before="100" w:after="180"/>
      </w:pPr>
      <m:oMathPara>
        <m:oMathParaPr>
          <m:jc m:val="center"/>
        </m:oMathParaPr>
        <m:oMath>
          <m:sSub>
            <m:e>
              <m:r>
                <m:t>N</m:t>
              </m:r>
            </m:e>
            <m:sub>
              <m:r>
                <m:t>c</m:t>
              </m:r>
              <m:r>
                <m:t>a</m:t>
              </m:r>
              <m:r>
                <m:t>g</m:t>
              </m:r>
              <m:r>
                <m:t>e</m:t>
              </m:r>
              <m:r>
                <m:rPr>
                  <m:sty m:val="p"/>
                </m:rPr>
                <m:t>,</m:t>
              </m:r>
              <m:r>
                <m:t>s</m:t>
              </m:r>
              <m:r>
                <m:t>e</m:t>
              </m:r>
              <m:r>
                <m:t>r</m:t>
              </m:r>
              <m:r>
                <m:t>v</m:t>
              </m:r>
              <m:r>
                <m:t>e</m:t>
              </m:r>
              <m:r>
                <m:t>r</m:t>
              </m:r>
            </m:sub>
          </m:sSub>
          <m:r>
            <m:rPr>
              <m:sty m:val="p"/>
            </m:rPr>
            <m:t>=</m:t>
          </m:r>
          <m:r>
            <m:t>8</m:t>
          </m:r>
          <m:r>
            <m:rPr>
              <m:sty m:val="p"/>
            </m:rPr>
            <m:t>×</m:t>
          </m:r>
          <m:r>
            <m:t>4</m:t>
          </m:r>
          <m:r>
            <m:rPr>
              <m:sty m:val="p"/>
            </m:rPr>
            <m:t>=</m:t>
          </m:r>
          <m:r>
            <m:t>32</m:t>
          </m:r>
        </m:oMath>
      </m:oMathPara>
    </w:p>
    <w:p>
      <w:pPr>
        <w:pStyle w:val="FirstParagraph"/>
        <w:widowControl/>
        <w:spacing w:line="252" w:lineRule="auto" w:before="100" w:after="180"/>
      </w:pPr>
      <m:oMathPara>
        <m:oMathParaPr>
          <m:jc m:val="center"/>
        </m:oMathParaPr>
        <m:oMath>
          <m:sSub>
            <m:e>
              <m:r>
                <m:t>B</m:t>
              </m:r>
            </m:e>
            <m:sub>
              <m:r>
                <m:t>s</m:t>
              </m:r>
              <m:r>
                <m:t>u</m:t>
              </m:r>
              <m:r>
                <m:t>m</m:t>
              </m:r>
            </m:sub>
          </m:sSub>
          <m:r>
            <m:rPr>
              <m:sty m:val="p"/>
            </m:rPr>
            <m:t>=</m:t>
          </m:r>
          <m:r>
            <m:t>64</m:t>
          </m:r>
          <m:r>
            <m:rPr>
              <m:sty m:val="p"/>
            </m:rPr>
            <m:t>×</m:t>
          </m:r>
          <m:r>
            <m:t>400</m:t>
          </m:r>
          <m:r>
            <m:rPr>
              <m:sty m:val="p"/>
            </m:rPr>
            <m:t>=</m:t>
          </m:r>
          <m:r>
            <m:t>25600</m:t>
          </m:r>
          <m:r>
            <m:t> </m:t>
          </m:r>
          <m:r>
            <m:rPr>
              <m:sty m:val="p"/>
            </m:rPr>
            <m:t>G</m:t>
          </m:r>
          <m:r>
            <m:rPr>
              <m:sty m:val="p"/>
            </m:rPr>
            <m:t>b</m:t>
          </m:r>
          <m:r>
            <m:rPr>
              <m:sty m:val="p"/>
            </m:rPr>
            <m:t>/</m:t>
          </m:r>
          <m:r>
            <m:rPr>
              <m:sty m:val="p"/>
            </m:rPr>
            <m:t>s</m:t>
          </m:r>
        </m:oMath>
      </m:oMathPara>
    </w:p>
    <w:tbl>
      <w:tblPr>
        <w:tblStyle w:val="Table"/>
        <w:tblW w:type="dxa" w:w="986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096"/>
        <w:gridCol w:w="4392"/>
      </w:tblGrid>
      <w:tr>
        <w:trPr>
          <w:tblHeader w:val="true"/>
          <w:cantSplit/>
          <w:tblHeader/>
        </w:trPr>
        <w:tc>
          <w:tcPr>
            <w:tcW w:type="dxa" w:w="237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검산 관점</w:t>
            </w:r>
          </w:p>
        </w:tc>
        <w:tc>
          <w:tcPr>
            <w:tcW w:type="dxa" w:w="309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서버 측</w:t>
            </w:r>
          </w:p>
        </w:tc>
        <w:tc>
          <w:tcPr>
            <w:tcW w:type="dxa" w:w="4392"/>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스위치 측</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논리 인터페이스</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64개</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64개</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물리 케이지</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32개</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32개</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단방향 속도 합</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25.6Tb/s</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25.6Tb/s</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물리 포트 총계</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양단 64개</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링크와 구분</w:t>
            </w:r>
          </w:p>
        </w:tc>
      </w:tr>
    </w:tbl>
    <w:bookmarkEnd w:id="265"/>
    <w:bookmarkStart w:id="266" w:name="적용과-검증-78"/>
    <w:p>
      <w:pPr>
        <w:pStyle w:val="Heading2"/>
        <w:widowControl/>
      </w:pPr>
      <w:r>
        <w:t xml:space="preserve">적용과 검증</w:t>
      </w:r>
    </w:p>
    <w:p>
      <w:pPr>
        <w:pStyle w:val="FirstParagraph"/>
        <w:keepNext/>
        <w:widowControl/>
      </w:pPr>
      <w:r>
        <w:t xml:space="preserve">Twin-port의 양단 모듈은 외형과 방열 구조가 다를 수 있다. 같은 물리 케이지 수가 같은 부품 형명 사용을 의미하지 않으며 호환 목록의 DGX측과 스위치측 부품을 따로 적용한다.</w:t>
      </w:r>
    </w:p>
    <w:p>
      <w:pPr>
        <w:pStyle w:val="BodyText"/>
        <w:widowControl/>
        <w:spacing w:before="160"/>
      </w:pPr>
      <w:r>
        <w:rPr>
          <w:sz w:val="17"/>
        </w:rPr>
        <w:t xml:space="preserve">근거 및 추가 읽기 [R13] [R15] [R16]</w:t>
      </w:r>
    </w:p>
    <w:bookmarkEnd w:id="266"/>
    <w:bookmarkEnd w:id="267"/>
    <w:bookmarkStart w:id="270" w:name="사례-b-광케이블과-광모듈-수량-증명"/>
    <w:p>
      <w:pPr>
        <w:pStyle w:val="Heading1"/>
        <w:keepNext/>
        <w:widowControl/>
      </w:pPr>
      <w:bookmarkStart w:id="82" w:name="topic_82"/>
      <w:r>
        <w:t xml:space="preserve">82 사례 B 광케이블과 광모듈 수량 증명</w:t>
      </w:r>
      <w:bookmarkEnd w:id="82"/>
    </w:p>
    <w:p>
      <w:pPr>
        <w:pStyle w:val="FirstParagraph"/>
        <w:widowControl/>
      </w:pPr>
      <w:r>
        <w:rPr>
          <w:bCs/>
          <w:b/>
        </w:rPr>
        <w:t xml:space="preserve">8부 재현 가능한 통합 사례 검증</w:t>
      </w:r>
    </w:p>
    <w:p>
      <w:pPr>
        <w:pStyle w:val="BodyText"/>
        <w:widowControl/>
      </w:pPr>
      <w:r>
        <w:t xml:space="preserve">양단에 2×400G 모듈을 사용하고 각 400G 인터페이스를 DR4 병렬 광경로로 연결하는 조건을 가정한다. 모듈당 두 광 인터페이스이므로 서버측 모듈은 32개, 스위치측 모듈도 32개다. 실제 형명은 양단 장비의 승인 목록으로 별도 확정한다.</w:t>
      </w:r>
    </w:p>
    <w:p>
      <w:pPr>
        <w:pStyle w:val="BodyText"/>
        <w:widowControl/>
      </w:pPr>
      <w:r>
        <w:t xml:space="preserve">400G 경로 64개에는 각각 MPO-12 계열 직결 케이블 한 개를 사용한다고 가정한다. 링크당 사용 8심이므로 총 사용 심수는 512심이다. 각 조립품에 12심이 실제 내장되어 있다면 설치 심수 합계는 768심이고 나머지는 이 연결 방식에서 미사용이다.</w:t>
      </w:r>
    </w:p>
    <w:p>
      <w:pPr>
        <w:pStyle w:val="BodyText"/>
        <w:widowControl/>
      </w:pPr>
      <w:r>
        <w:t xml:space="preserve">길이를 모두 30m로 가정하면 케이블 총길이는 1920m다. 광섬유 총연장은 내장 기준 23040심·m, 사용 기준 15360심·m다. 이 구분으로 자재량과 통신 자원을 교차검산한다.</w:t>
      </w:r>
    </w:p>
    <w:bookmarkStart w:id="268" w:name="수량-계산과-구매-예비"/>
    <w:p>
      <w:pPr>
        <w:pStyle w:val="Heading2"/>
        <w:widowControl/>
      </w:pPr>
      <w:r>
        <w:t xml:space="preserve">수량 계산과 구매 예비</w:t>
      </w:r>
    </w:p>
    <w:p>
      <w:pPr>
        <w:pStyle w:val="FirstParagraph"/>
        <w:widowControl/>
        <w:spacing w:line="252" w:lineRule="auto" w:before="100" w:after="180"/>
      </w:pPr>
      <m:oMathPara>
        <m:oMathParaPr>
          <m:jc m:val="center"/>
        </m:oMathParaPr>
        <m:oMath>
          <m:sSub>
            <m:e>
              <m:r>
                <m:t>N</m:t>
              </m:r>
            </m:e>
            <m:sub>
              <m:r>
                <m:t>m</m:t>
              </m:r>
              <m:r>
                <m:t>o</m:t>
              </m:r>
              <m:r>
                <m:t>d</m:t>
              </m:r>
              <m:r>
                <m:t>u</m:t>
              </m:r>
              <m:r>
                <m:t>l</m:t>
              </m:r>
              <m:r>
                <m:t>e</m:t>
              </m:r>
            </m:sub>
          </m:sSub>
          <m:r>
            <m:rPr>
              <m:sty m:val="p"/>
            </m:rPr>
            <m:t>=</m:t>
          </m:r>
          <m:r>
            <m:t>32</m:t>
          </m:r>
          <m:r>
            <m:rPr>
              <m:sty m:val="p"/>
            </m:rPr>
            <m:t>+</m:t>
          </m:r>
          <m:r>
            <m:t>32</m:t>
          </m:r>
          <m:r>
            <m:rPr>
              <m:sty m:val="p"/>
            </m:rPr>
            <m:t>=</m:t>
          </m:r>
          <m:r>
            <m:t>64</m:t>
          </m:r>
        </m:oMath>
      </m:oMathPara>
    </w:p>
    <w:p>
      <w:pPr>
        <w:pStyle w:val="FirstParagraph"/>
        <w:widowControl/>
        <w:spacing w:line="252" w:lineRule="auto" w:before="100" w:after="180"/>
      </w:pPr>
      <m:oMathPara>
        <m:oMathParaPr>
          <m:jc m:val="center"/>
        </m:oMathParaPr>
        <m:oMath>
          <m:sSub>
            <m:e>
              <m:r>
                <m:t>F</m:t>
              </m:r>
            </m:e>
            <m:sub>
              <m:r>
                <m:t>a</m:t>
              </m:r>
              <m:r>
                <m:t>c</m:t>
              </m:r>
              <m:r>
                <m:t>t</m:t>
              </m:r>
              <m:r>
                <m:t>i</m:t>
              </m:r>
              <m:r>
                <m:t>v</m:t>
              </m:r>
              <m:r>
                <m:t>e</m:t>
              </m:r>
            </m:sub>
          </m:sSub>
          <m:r>
            <m:rPr>
              <m:sty m:val="p"/>
            </m:rPr>
            <m:t>=</m:t>
          </m:r>
          <m:r>
            <m:t>64</m:t>
          </m:r>
          <m:d>
            <m:dPr>
              <m:begChr m:val="("/>
              <m:endChr m:val=")"/>
              <m:sepChr m:val=""/>
              <m:grow/>
            </m:dPr>
            <m:e>
              <m:r>
                <m:t>8</m:t>
              </m:r>
            </m:e>
          </m:d>
          <m:r>
            <m:rPr>
              <m:sty m:val="p"/>
            </m:rPr>
            <m:t>=</m:t>
          </m:r>
          <m:r>
            <m:t>512</m:t>
          </m:r>
        </m:oMath>
      </m:oMathPara>
    </w:p>
    <w:p>
      <w:pPr>
        <w:pStyle w:val="FirstParagraph"/>
        <w:widowControl/>
        <w:spacing w:line="252" w:lineRule="auto" w:before="100" w:after="180"/>
      </w:pPr>
      <m:oMathPara>
        <m:oMathParaPr>
          <m:jc m:val="center"/>
        </m:oMathParaPr>
        <m:oMath>
          <m:sSub>
            <m:e>
              <m:r>
                <m:t>F</m:t>
              </m:r>
            </m:e>
            <m:sub>
              <m:r>
                <m:t>i</m:t>
              </m:r>
              <m:r>
                <m:t>n</m:t>
              </m:r>
              <m:r>
                <m:t>s</m:t>
              </m:r>
              <m:r>
                <m:t>t</m:t>
              </m:r>
              <m:r>
                <m:t>a</m:t>
              </m:r>
              <m:r>
                <m:t>l</m:t>
              </m:r>
              <m:r>
                <m:t>l</m:t>
              </m:r>
              <m:r>
                <m:t>e</m:t>
              </m:r>
              <m:r>
                <m:t>d</m:t>
              </m:r>
            </m:sub>
          </m:sSub>
          <m:r>
            <m:rPr>
              <m:sty m:val="p"/>
            </m:rPr>
            <m:t>=</m:t>
          </m:r>
          <m:r>
            <m:t>64</m:t>
          </m:r>
          <m:d>
            <m:dPr>
              <m:begChr m:val="("/>
              <m:endChr m:val=")"/>
              <m:sepChr m:val=""/>
              <m:grow/>
            </m:dPr>
            <m:e>
              <m:r>
                <m:t>12</m:t>
              </m:r>
            </m:e>
          </m:d>
          <m:r>
            <m:rPr>
              <m:sty m:val="p"/>
            </m:rPr>
            <m:t>=</m:t>
          </m:r>
          <m:r>
            <m:t>768</m:t>
          </m:r>
        </m:oMath>
      </m:oMathPara>
    </w:p>
    <w:tbl>
      <w:tblPr>
        <w:tblStyle w:val="Table"/>
        <w:tblW w:type="dxa" w:w="986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096"/>
        <w:gridCol w:w="4392"/>
      </w:tblGrid>
      <w:tr>
        <w:trPr>
          <w:tblHeader w:val="true"/>
          <w:cantSplit/>
          <w:tblHeader/>
        </w:trPr>
        <w:tc>
          <w:tcPr>
            <w:tcW w:type="dxa" w:w="237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품목</w:t>
            </w:r>
          </w:p>
        </w:tc>
        <w:tc>
          <w:tcPr>
            <w:tcW w:type="dxa" w:w="309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운용 수량</w:t>
            </w:r>
          </w:p>
        </w:tc>
        <w:tc>
          <w:tcPr>
            <w:tcW w:type="dxa" w:w="4392"/>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조건</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서버측 Twin 모듈</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32개</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승인된 DGX용 형상</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스위치측 Twin 모듈</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32개</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승인된 스위치용 형상</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MPO 직결 조립품</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64개</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각 30m 12심 가정</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사용 광 인터페이스</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128개</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64링크의 양단</w:t>
            </w:r>
          </w:p>
        </w:tc>
      </w:tr>
    </w:tbl>
    <w:p>
      <w:pPr>
        <w:pStyle w:val="BodyText"/>
        <w:widowControl/>
      </w:pPr>
      <w:r>
        <w:t xml:space="preserve">10% 추가 구매 정책이면 케이블은 올림해 71개다. 이 중 7개는 창고 예비품이며 설치 링크나 운용 심수에 더하지 않는다. 12심 내장 여부는 실제 조립품 사양으로 확인한다.</w:t>
      </w:r>
    </w:p>
    <w:bookmarkEnd w:id="268"/>
    <w:bookmarkStart w:id="269" w:name="사례-b의-pam4-광학-조건-추가-검산"/>
    <w:p>
      <w:pPr>
        <w:pStyle w:val="Heading2"/>
        <w:pageBreakBefore/>
        <w:widowControl/>
      </w:pPr>
      <w:r>
        <w:t xml:space="preserve">사례 B의 PAM4 광학 조건 추가 검산</w:t>
      </w:r>
    </w:p>
    <w:p>
      <w:pPr>
        <w:pStyle w:val="FirstParagraph"/>
        <w:widowControl/>
      </w:pPr>
      <w:r>
        <w:t xml:space="preserve">512심은 수량 검산 결과이며 광학 성능 합격을 뜻하지 않는다. §53의 공식 제품군 사양을 읽을 때 OMA와 평균 광전력을 분리한다. 직접 연결 30m의 설계 예로 완성품 감쇠를 0.4dB/km, 양단 결합을 각 0.3dB로 가정하면 채널 IL은 0.612dB다. 실제 조립품의 측정 기준면에 이 양단 결합이 이미 포함되었다면 다시 더하지 않는다.</w:t>
      </w:r>
    </w:p>
    <w:p>
      <w:pPr>
        <w:pStyle w:val="BodyText"/>
        <w:widowControl/>
      </w:pPr>
      <w:r>
        <w:t xml:space="preserve">가정 송신점 OMA=2.0dBm, TDECQ=2.0dB에서 OMA−TDECQ=0dBm이므로 [R30]의 송신 결합 하한 −2.2dBm을 만족한다. 선형 감쇠만 적용한 수신 OMA는 1.388dBm으로 해당 OMA 상한 4.2dBm보다 낮다. 이 값은 선택한 동작점의 상한 비교이며 제조사 전 범위와 수신 감도·BER 검증을 대신하지 않는다.</w:t>
      </w:r>
    </w:p>
    <w:p>
      <w:pPr>
        <w:pStyle w:val="BodyText"/>
        <w:widowControl/>
      </w:pPr>
      <w:r>
        <w:t xml:space="preserve">§54의 보수적 O 대역 분산 모델을 적용하면 30m에서 |Cλ|≤0.05504ps/nm다. 변조 신호의 RMS 폭을 0.4nm로 가정한 시간 확산은 0.02202ps이며 53.125GBd UI의 약 0.117%다. 짧은 링크에서 분산 시간 규모가 작다는 설명용 결과이고 이를 TDECQ의 추가 dB로 환산하지 않는다.</w:t>
      </w:r>
    </w:p>
    <w:p>
      <w:pPr>
        <w:pStyle w:val="BodyText"/>
        <w:keepNext/>
        <w:widowControl/>
      </w:pPr>
      <w:r>
        <w:t xml:space="preserve">MPO-12/APC는 반사 저감 구조이지만 실제 결합 손실과 반사율을 보증하는 한 숫자는 아니다. 사용 8심 모두와 두 방향의 IL·극성·반사를 확인하고 정확한 모듈 형명, 온도, 프로토콜과 FEC를 포함한 시험으로 판정한다. 스위치용과 DGX용 모듈의 형상 및 승인 광케이블도 구분한다.</w:t>
      </w:r>
    </w:p>
    <w:tbl>
      <w:tblPr>
        <w:tblStyle w:val="Table"/>
        <w:tblW w:type="dxa" w:w="986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096"/>
        <w:gridCol w:w="4392"/>
      </w:tblGrid>
      <w:tr>
        <w:trPr>
          <w:tblHeader w:val="true"/>
          <w:cantSplit/>
          <w:tblHeader/>
        </w:trPr>
        <w:tc>
          <w:tcPr>
            <w:tcW w:type="dxa" w:w="237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검산 대상</w:t>
            </w:r>
          </w:p>
        </w:tc>
        <w:tc>
          <w:tcPr>
            <w:tcW w:type="dxa" w:w="309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적용한 설명용 입력</w:t>
            </w:r>
          </w:p>
        </w:tc>
        <w:tc>
          <w:tcPr>
            <w:tcW w:type="dxa" w:w="4392"/>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결과의 의미</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30m 채널 IL</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0.4dB/km와 결합 0.3dB 두 쌍</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0.612dB</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Tx 결합 조건</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OMA 2.0dBm과 TDECQ 2.0dB</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OMA minus TDECQ는 0dBm</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Rx OMA 상한</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OMA 2.0dBm에서 IL 차감</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1.388dBm</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분산 시간 규모</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D 1.83463와 RMS 폭 0.4nm</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0.02202ps</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최종 설치 성능</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정확한 부품과 시험 조건 필요</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아직 전체 합격 판정 아님</w:t>
            </w:r>
          </w:p>
        </w:tc>
      </w:tr>
    </w:tbl>
    <w:p>
      <w:pPr>
        <w:pStyle w:val="BodyText"/>
        <w:widowControl/>
        <w:spacing w:before="160"/>
      </w:pPr>
      <w:r>
        <w:rPr>
          <w:sz w:val="17"/>
        </w:rPr>
        <w:t xml:space="preserve">근거 및 추가 읽기 [R13] [R16] [R24] [R30–R32]</w:t>
      </w:r>
    </w:p>
    <w:bookmarkEnd w:id="269"/>
    <w:bookmarkEnd w:id="270"/>
    <w:bookmarkStart w:id="273" w:name="사례-b-전원-코드와-장애-성능의-한계"/>
    <w:p>
      <w:pPr>
        <w:pStyle w:val="Heading1"/>
        <w:keepNext/>
        <w:widowControl/>
      </w:pPr>
      <w:bookmarkStart w:id="83" w:name="topic_83"/>
      <w:r>
        <w:t xml:space="preserve">83 사례 B 전원 코드와 장애 성능의 한계</w:t>
      </w:r>
      <w:bookmarkEnd w:id="83"/>
    </w:p>
    <w:p>
      <w:pPr>
        <w:pStyle w:val="FirstParagraph"/>
        <w:widowControl/>
      </w:pPr>
      <w:r>
        <w:rPr>
          <w:bCs/>
          <w:b/>
        </w:rPr>
        <w:t xml:space="preserve">8부 재현 가능한 통합 사례 검증</w:t>
      </w:r>
    </w:p>
    <w:p>
      <w:pPr>
        <w:pStyle w:val="BodyText"/>
        <w:widowControl/>
      </w:pPr>
      <w:r>
        <w:t xml:space="preserve">DGX H100 한 대에는 PSU 여섯 개가 있으며 지정된 전원 코드 여섯 개를 사용한다. 여덟 대의 코드 수량은 48개다. 랙당 네 대이므로 서버용 콘센트는 랙당 24개가 필요하다. 스위치 등 다른 장비는 별도로 더한다.</w:t>
      </w:r>
    </w:p>
    <w:p>
      <w:pPr>
        <w:pStyle w:val="BodyText"/>
        <w:widowControl/>
      </w:pPr>
      <w:r>
        <w:t xml:space="preserve">코드를 세 개씩 A/B에 연결하는 배치를 가정하면 랙의 서버측 콘센트는 A 12개와 B 12개다. 하지만 공식 안내상 세 PSU만 전원을 받는 상태에서는 성능이 제한될 수 있다. 따라서 한 계통 상실 후 최대 성능 유지는 이 배치만으로 증명되지 않는다.</w:t>
      </w:r>
    </w:p>
    <w:p>
      <w:pPr>
        <w:pStyle w:val="BodyText"/>
        <w:widowControl/>
      </w:pPr>
      <w:r>
        <w:t xml:space="preserve">시설에서 한 계통이 41.8kW를 공급할 수 있다는 계산과 서버가 그 전력으로 최대 성능을 발휘한다는 판정은 다르다. 전원 분배 방법과 장애 시 허용 성능은 제조사와 시설 설계 담당자가 함께 확정해야 한다.</w:t>
      </w:r>
    </w:p>
    <w:bookmarkStart w:id="271" w:name="계산식과-변수-51"/>
    <w:p>
      <w:pPr>
        <w:pStyle w:val="Heading2"/>
        <w:widowControl/>
      </w:pPr>
      <w:r>
        <w:t xml:space="preserve">계산식과 변수</w:t>
      </w:r>
    </w:p>
    <w:p>
      <w:pPr>
        <w:pStyle w:val="FirstParagraph"/>
        <w:widowControl/>
        <w:spacing w:line="252" w:lineRule="auto" w:before="100" w:after="180"/>
      </w:pPr>
      <m:oMathPara>
        <m:oMathParaPr>
          <m:jc m:val="center"/>
        </m:oMathParaPr>
        <m:oMath>
          <m:sSub>
            <m:e>
              <m:r>
                <m:t>N</m:t>
              </m:r>
            </m:e>
            <m:sub>
              <m:r>
                <m:t>c</m:t>
              </m:r>
              <m:r>
                <m:t>o</m:t>
              </m:r>
              <m:r>
                <m:t>r</m:t>
              </m:r>
              <m:r>
                <m:t>d</m:t>
              </m:r>
            </m:sub>
          </m:sSub>
          <m:r>
            <m:rPr>
              <m:sty m:val="p"/>
            </m:rPr>
            <m:t>=</m:t>
          </m:r>
          <m:r>
            <m:t>8</m:t>
          </m:r>
          <m:d>
            <m:dPr>
              <m:begChr m:val="("/>
              <m:endChr m:val=")"/>
              <m:sepChr m:val=""/>
              <m:grow/>
            </m:dPr>
            <m:e>
              <m:r>
                <m:t>6</m:t>
              </m:r>
            </m:e>
          </m:d>
          <m:r>
            <m:rPr>
              <m:sty m:val="p"/>
            </m:rPr>
            <m:t>=</m:t>
          </m:r>
          <m:r>
            <m:t>48</m:t>
          </m:r>
        </m:oMath>
      </m:oMathPara>
    </w:p>
    <w:p>
      <w:pPr>
        <w:pStyle w:val="FirstParagraph"/>
        <w:widowControl/>
        <w:spacing w:line="252" w:lineRule="auto" w:before="100" w:after="180"/>
      </w:pPr>
      <m:oMathPara>
        <m:oMathParaPr>
          <m:jc m:val="center"/>
        </m:oMathParaPr>
        <m:oMath>
          <m:sSub>
            <m:e>
              <m:r>
                <m:t>N</m:t>
              </m:r>
            </m:e>
            <m:sub>
              <m:r>
                <m:t>o</m:t>
              </m:r>
              <m:r>
                <m:t>u</m:t>
              </m:r>
              <m:r>
                <m:t>t</m:t>
              </m:r>
              <m:r>
                <m:t>l</m:t>
              </m:r>
              <m:r>
                <m:t>e</m:t>
              </m:r>
              <m:r>
                <m:t>t</m:t>
              </m:r>
              <m:r>
                <m:rPr>
                  <m:sty m:val="p"/>
                </m:rPr>
                <m:t>,</m:t>
              </m:r>
              <m:r>
                <m:t>r</m:t>
              </m:r>
              <m:r>
                <m:t>a</m:t>
              </m:r>
              <m:r>
                <m:t>c</m:t>
              </m:r>
              <m:r>
                <m:t>k</m:t>
              </m:r>
            </m:sub>
          </m:sSub>
          <m:r>
            <m:rPr>
              <m:sty m:val="p"/>
            </m:rPr>
            <m:t>=</m:t>
          </m:r>
          <m:r>
            <m:t>4</m:t>
          </m:r>
          <m:d>
            <m:dPr>
              <m:begChr m:val="("/>
              <m:endChr m:val=")"/>
              <m:sepChr m:val=""/>
              <m:grow/>
            </m:dPr>
            <m:e>
              <m:r>
                <m:t>6</m:t>
              </m:r>
            </m:e>
          </m:d>
          <m:r>
            <m:rPr>
              <m:sty m:val="p"/>
            </m:rPr>
            <m:t>=</m:t>
          </m:r>
          <m:r>
            <m:t>24</m:t>
          </m:r>
        </m:oMath>
      </m:oMathPara>
    </w:p>
    <w:tbl>
      <w:tblPr>
        <w:tblStyle w:val="Table"/>
        <w:tblW w:type="dxa" w:w="986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096"/>
        <w:gridCol w:w="4392"/>
      </w:tblGrid>
      <w:tr>
        <w:trPr>
          <w:tblHeader w:val="true"/>
          <w:cantSplit/>
          <w:tblHeader/>
        </w:trPr>
        <w:tc>
          <w:tcPr>
            <w:tcW w:type="dxa" w:w="237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검증</w:t>
            </w:r>
          </w:p>
        </w:tc>
        <w:tc>
          <w:tcPr>
            <w:tcW w:type="dxa" w:w="309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결과</w:t>
            </w:r>
          </w:p>
        </w:tc>
        <w:tc>
          <w:tcPr>
            <w:tcW w:type="dxa" w:w="4392"/>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판정</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서버 코드 수</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48개</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수량 확인</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랙당 서버 콘센트</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24개</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부대 장비 제외</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정상 랙 전력</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41.8kW</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가정 정격 내</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한 계통 장애 최대성능</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PSU 잔여 3개</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보장 판단 보류</w:t>
            </w:r>
          </w:p>
        </w:tc>
      </w:tr>
    </w:tbl>
    <w:bookmarkEnd w:id="271"/>
    <w:bookmarkStart w:id="272" w:name="적용과-검증-79"/>
    <w:p>
      <w:pPr>
        <w:pStyle w:val="Heading2"/>
        <w:widowControl/>
      </w:pPr>
      <w:r>
        <w:t xml:space="preserve">적용과 검증</w:t>
      </w:r>
    </w:p>
    <w:p>
      <w:pPr>
        <w:pStyle w:val="FirstParagraph"/>
        <w:keepNext/>
        <w:widowControl/>
      </w:pPr>
      <w:r>
        <w:t xml:space="preserve">발표에서 이 사례는 실패 조건을 발견하는 검증의 예로 활용할 수 있다. 계산 검증은 모든 항목에 통과 표시를 붙이는 절차가 아니라 근거가 부족한 결론을 구분하는 과정이다.</w:t>
      </w:r>
    </w:p>
    <w:p>
      <w:pPr>
        <w:pStyle w:val="BodyText"/>
        <w:widowControl/>
        <w:spacing w:before="160"/>
      </w:pPr>
      <w:r>
        <w:rPr>
          <w:sz w:val="17"/>
        </w:rPr>
        <w:t xml:space="preserve">근거 및 추가 읽기 [R13]</w:t>
      </w:r>
    </w:p>
    <w:bookmarkEnd w:id="272"/>
    <w:bookmarkEnd w:id="273"/>
    <w:bookmarkStart w:id="276" w:name="사례-b-에너지와-공랭-유량-검산"/>
    <w:p>
      <w:pPr>
        <w:pStyle w:val="Heading2"/>
        <w:keepNext/>
        <w:keepLines/>
        <w:spacing w:after="100"/>
      </w:pPr>
      <w:r>
        <w:t>결론 보완: 사례 B의 선택 가능한 전원 배치안과 성능 캡</w:t>
      </w:r>
    </w:p>
    <w:p>
      <w:pPr>
        <w:pStyle w:val="BodyText"/>
        <w:keepLines/>
        <w:spacing w:after="100"/>
      </w:pPr>
      <w:r>
        <w:t>판정 1 — 정상: 랙 4×10.2+1=41.8kW ≤45kW, 38U≤42U. 따라서 ‘전력·높이 정상 수용’은 계산상 통과다. 판정 2 — A/B 직접 3+3 장애: 한 계통 상실 시 서버 3 PSU만 활성화되므로 최대 성능은 입증되지 않는다. 위험을 막연한 “보류”로 남기지 않고, 기존 배치의 무감속 N−1 합격 판정을 실패(보증 조건 미달)로 기록한다.</w:t>
      </w:r>
    </w:p>
    <w:p>
      <w:pPr>
        <w:pStyle w:val="BodyText"/>
        <w:keepLines/>
        <w:spacing w:after="100"/>
      </w:pPr>
      <w:r>
        <w:t>배치안 A(무감속 고가용성 우선): NVIDIA 공식 DGX SuperPOD 가이드가 제시하는 3개 전원 경로와 PSU 2+2+2 분배를 우선 검토한다. 세 경로가 진정 독립적이면 어느 하나를 상실해도 서버당 PSU 4개가 남는다. 2개의 상위 UPS에서 3개의 rPDU를 공급하는 방식은 rPDU 장애에는 견딜 수 있어도 특정 UPS 장애에는 취약하므로 상위 장애 도메인을 함께 평가한다. ATS는 승인된 대체 방안 후보일 뿐 기준안이 아니다.</w:t>
      </w:r>
    </w:p>
    <w:p>
      <w:pPr>
        <w:pStyle w:val="BodyText"/>
        <w:keepLines/>
        <w:spacing w:after="100"/>
      </w:pPr>
      <w:r>
        <w:t>배치안 B(장애시 성능 축소 허용): 3+3 직결을 유지하되 3 PSU 상태에서 제조사가 승인·시험한 서버 전력 캡 Pc를 도입한다. 예시로 Pc=정상 서버 최대전력의 60%=6.12kW라고 ‘정책 목표’만 설정하면 랙 IT 요구는 4×6.12+1=25.48kW이고 두 랙은 50.96kW다. 이는 시험 이전의 가설 예산이며 3 PSU 공급가능 전력·서비스 성능을 증명하지 않는다. 캡 유지가 불가하면 안전 중지/작업 이동을 계획한다.</w:t>
      </w:r>
    </w:p>
    <w:p>
      <w:pPr>
        <w:pStyle w:val="BodyText"/>
        <w:keepLines/>
        <w:spacing w:after="100"/>
      </w:pPr>
      <w:r>
        <w:t>전원 코드 전체는 여전히 48개(서버 8대×6개)이다. 3경로 배치에서는 랙마다 각 경로에 8개 코드(서버 4대×2개)가 연결된다. 랙 정상 IT 최대 41.8kW, 전원 경로 N−1 후 랙 공급 필요치 41.8kW와 경로당 최소 용량 20.9kW(균형·단순 열량 가정)를 구분한다. 실제 보호협조, PSU 재분배, 상전류, 과도전류는 제조사 협의를 통해 확정한다.</w:t>
      </w:r>
    </w:p>
    <w:tbl>
      <w:tblPr>
        <w:tblW w:type="auto" w:w="0"/>
        <w:jc w:val="center"/>
        <w:tblLayout w:type="autofit"/>
        <w:tblLook w:firstColumn="1" w:firstRow="1" w:lastColumn="0" w:lastRow="0" w:noHBand="0" w:noVBand="1" w:val="04A0"/>
      </w:tblPr>
      <w:tblGrid>
        <w:gridCol w:w="2484"/>
        <w:gridCol w:w="2484"/>
        <w:gridCol w:w="2484"/>
        <w:gridCol w:w="2484"/>
      </w:tblGrid>
      <w:tr>
        <w:trPr>
          <w:tblHeader w:val="true"/>
        </w:trPr>
        <w:tc>
          <w:tcPr>
            <w:tcW w:type="dxa" w:w="2484"/>
            <w:vAlign w:val="center"/>
            <w:shd w:fill="DDEAF3"/>
          </w:tcPr>
          <w:p>
            <w:pPr>
              <w:spacing w:after="20" w:before="20"/>
            </w:pPr>
            <w:r>
              <w:rPr>
                <w:b/>
                <w:sz w:val="16"/>
              </w:rPr>
              <w:t>판정 항목</w:t>
            </w:r>
          </w:p>
        </w:tc>
        <w:tc>
          <w:tcPr>
            <w:tcW w:type="dxa" w:w="2484"/>
            <w:vAlign w:val="center"/>
            <w:shd w:fill="DDEAF3"/>
          </w:tcPr>
          <w:p>
            <w:pPr>
              <w:spacing w:after="20" w:before="20"/>
            </w:pPr>
            <w:r>
              <w:rPr>
                <w:b/>
                <w:sz w:val="16"/>
              </w:rPr>
              <w:t>현행 3+3</w:t>
            </w:r>
          </w:p>
        </w:tc>
        <w:tc>
          <w:tcPr>
            <w:tcW w:type="dxa" w:w="2484"/>
            <w:vAlign w:val="center"/>
            <w:shd w:fill="DDEAF3"/>
          </w:tcPr>
          <w:p>
            <w:pPr>
              <w:spacing w:after="20" w:before="20"/>
            </w:pPr>
            <w:r>
              <w:rPr>
                <w:b/>
                <w:sz w:val="16"/>
              </w:rPr>
              <w:t>안 A ATS/이중입력</w:t>
            </w:r>
          </w:p>
        </w:tc>
        <w:tc>
          <w:tcPr>
            <w:tcW w:type="dxa" w:w="2484"/>
            <w:vAlign w:val="center"/>
            <w:shd w:fill="DDEAF3"/>
          </w:tcPr>
          <w:p>
            <w:pPr>
              <w:spacing w:after="20" w:before="20"/>
            </w:pPr>
            <w:r>
              <w:rPr>
                <w:b/>
                <w:sz w:val="16"/>
              </w:rPr>
              <w:t>안 B 3+3+제한</w:t>
            </w:r>
          </w:p>
        </w:tc>
      </w:tr>
      <w:tr>
        <w:tc>
          <w:tcPr>
            <w:tcW w:type="dxa" w:w="2484"/>
            <w:vAlign w:val="center"/>
          </w:tcPr>
          <w:p>
            <w:pPr>
              <w:spacing w:after="20" w:before="20"/>
            </w:pPr>
            <w:r>
              <w:rPr>
                <w:sz w:val="16"/>
              </w:rPr>
              <w:t>정상 41.8kW/랙</w:t>
            </w:r>
          </w:p>
        </w:tc>
        <w:tc>
          <w:tcPr>
            <w:tcW w:type="dxa" w:w="2484"/>
            <w:vAlign w:val="center"/>
          </w:tcPr>
          <w:p>
            <w:pPr>
              <w:spacing w:after="20" w:before="20"/>
            </w:pPr>
            <w:r>
              <w:rPr>
                <w:sz w:val="16"/>
              </w:rPr>
              <w:t>통과(가정)</w:t>
            </w:r>
          </w:p>
        </w:tc>
        <w:tc>
          <w:tcPr>
            <w:tcW w:type="dxa" w:w="2484"/>
            <w:vAlign w:val="center"/>
          </w:tcPr>
          <w:p>
            <w:pPr>
              <w:spacing w:after="20" w:before="20"/>
            </w:pPr>
            <w:r>
              <w:rPr>
                <w:sz w:val="16"/>
              </w:rPr>
              <w:t>통과(가정)</w:t>
            </w:r>
          </w:p>
        </w:tc>
        <w:tc>
          <w:tcPr>
            <w:tcW w:type="dxa" w:w="2484"/>
            <w:vAlign w:val="center"/>
          </w:tcPr>
          <w:p>
            <w:pPr>
              <w:spacing w:after="20" w:before="20"/>
            </w:pPr>
            <w:r>
              <w:rPr>
                <w:sz w:val="16"/>
              </w:rPr>
              <w:t>통과(가정)</w:t>
            </w:r>
          </w:p>
        </w:tc>
      </w:tr>
      <w:tr>
        <w:tc>
          <w:tcPr>
            <w:tcW w:type="dxa" w:w="2484"/>
            <w:vAlign w:val="center"/>
            <w:shd w:fill="F2F6FA"/>
          </w:tcPr>
          <w:p>
            <w:pPr>
              <w:spacing w:after="20" w:before="20"/>
            </w:pPr>
            <w:r>
              <w:rPr>
                <w:sz w:val="16"/>
              </w:rPr>
              <w:t>한 계통 상실 후 4 PSU 유지</w:t>
            </w:r>
          </w:p>
        </w:tc>
        <w:tc>
          <w:tcPr>
            <w:tcW w:type="dxa" w:w="2484"/>
            <w:vAlign w:val="center"/>
            <w:shd w:fill="F2F6FA"/>
          </w:tcPr>
          <w:p>
            <w:pPr>
              <w:spacing w:after="20" w:before="20"/>
            </w:pPr>
            <w:r>
              <w:rPr>
                <w:sz w:val="16"/>
              </w:rPr>
              <w:t>3개 잔존: 실패</w:t>
            </w:r>
          </w:p>
        </w:tc>
        <w:tc>
          <w:tcPr>
            <w:tcW w:type="dxa" w:w="2484"/>
            <w:vAlign w:val="center"/>
            <w:shd w:fill="F2F6FA"/>
          </w:tcPr>
          <w:p>
            <w:pPr>
              <w:spacing w:after="20" w:before="20"/>
            </w:pPr>
            <w:r>
              <w:rPr>
                <w:sz w:val="16"/>
              </w:rPr>
              <w:t>4개 이상 공급 목표, 시험 필수</w:t>
            </w:r>
          </w:p>
        </w:tc>
        <w:tc>
          <w:tcPr>
            <w:tcW w:type="dxa" w:w="2484"/>
            <w:vAlign w:val="center"/>
            <w:shd w:fill="F2F6FA"/>
          </w:tcPr>
          <w:p>
            <w:pPr>
              <w:spacing w:after="20" w:before="20"/>
            </w:pPr>
            <w:r>
              <w:rPr>
                <w:sz w:val="16"/>
              </w:rPr>
              <w:t>3개 잔존: 미충족</w:t>
            </w:r>
          </w:p>
        </w:tc>
      </w:tr>
      <w:tr>
        <w:tc>
          <w:tcPr>
            <w:tcW w:type="dxa" w:w="2484"/>
            <w:vAlign w:val="center"/>
          </w:tcPr>
          <w:p>
            <w:pPr>
              <w:spacing w:after="20" w:before="20"/>
            </w:pPr>
            <w:r>
              <w:rPr>
                <w:sz w:val="16"/>
              </w:rPr>
              <w:t>장애 최대성능</w:t>
            </w:r>
          </w:p>
        </w:tc>
        <w:tc>
          <w:tcPr>
            <w:tcW w:type="dxa" w:w="2484"/>
            <w:vAlign w:val="center"/>
          </w:tcPr>
          <w:p>
            <w:pPr>
              <w:spacing w:after="20" w:before="20"/>
            </w:pPr>
            <w:r>
              <w:rPr>
                <w:sz w:val="16"/>
              </w:rPr>
              <w:t>보증 불가</w:t>
            </w:r>
          </w:p>
        </w:tc>
        <w:tc>
          <w:tcPr>
            <w:tcW w:type="dxa" w:w="2484"/>
            <w:vAlign w:val="center"/>
          </w:tcPr>
          <w:p>
            <w:pPr>
              <w:spacing w:after="20" w:before="20"/>
            </w:pPr>
            <w:r>
              <w:rPr>
                <w:sz w:val="16"/>
              </w:rPr>
              <w:t>절체/성능 시험 전 미승인</w:t>
            </w:r>
          </w:p>
        </w:tc>
        <w:tc>
          <w:tcPr>
            <w:tcW w:type="dxa" w:w="2484"/>
            <w:vAlign w:val="center"/>
          </w:tcPr>
          <w:p>
            <w:pPr>
              <w:spacing w:after="20" w:before="20"/>
            </w:pPr>
            <w:r>
              <w:rPr>
                <w:sz w:val="16"/>
              </w:rPr>
              <w:t>의도적으로 미요구</w:t>
            </w:r>
          </w:p>
        </w:tc>
      </w:tr>
      <w:tr>
        <w:tc>
          <w:tcPr>
            <w:tcW w:type="dxa" w:w="2484"/>
            <w:vAlign w:val="center"/>
            <w:shd w:fill="F2F6FA"/>
          </w:tcPr>
          <w:p>
            <w:pPr>
              <w:spacing w:after="20" w:before="20"/>
            </w:pPr>
            <w:r>
              <w:rPr>
                <w:sz w:val="16"/>
              </w:rPr>
              <w:t>설명용 장애 전력</w:t>
            </w:r>
          </w:p>
        </w:tc>
        <w:tc>
          <w:tcPr>
            <w:tcW w:type="dxa" w:w="2484"/>
            <w:vAlign w:val="center"/>
            <w:shd w:fill="F2F6FA"/>
          </w:tcPr>
          <w:p>
            <w:pPr>
              <w:spacing w:after="20" w:before="20"/>
            </w:pPr>
            <w:r>
              <w:rPr>
                <w:sz w:val="16"/>
              </w:rPr>
              <w:t>정격 판정 불가</w:t>
            </w:r>
          </w:p>
        </w:tc>
        <w:tc>
          <w:tcPr>
            <w:tcW w:type="dxa" w:w="2484"/>
            <w:vAlign w:val="center"/>
            <w:shd w:fill="F2F6FA"/>
          </w:tcPr>
          <w:p>
            <w:pPr>
              <w:spacing w:after="20" w:before="20"/>
            </w:pPr>
            <w:r>
              <w:rPr>
                <w:sz w:val="16"/>
              </w:rPr>
              <w:t>41.8kW/생존 경로 설계</w:t>
            </w:r>
          </w:p>
        </w:tc>
        <w:tc>
          <w:tcPr>
            <w:tcW w:type="dxa" w:w="2484"/>
            <w:vAlign w:val="center"/>
            <w:shd w:fill="F2F6FA"/>
          </w:tcPr>
          <w:p>
            <w:pPr>
              <w:spacing w:after="20" w:before="20"/>
            </w:pPr>
            <w:r>
              <w:rPr>
                <w:sz w:val="16"/>
              </w:rPr>
              <w:t>가설 25.48kW/랙</w:t>
            </w:r>
          </w:p>
        </w:tc>
      </w:tr>
      <w:tr>
        <w:tc>
          <w:tcPr>
            <w:tcW w:type="dxa" w:w="2484"/>
            <w:vAlign w:val="center"/>
          </w:tcPr>
          <w:p>
            <w:pPr>
              <w:spacing w:after="20" w:before="20"/>
            </w:pPr>
            <w:r>
              <w:rPr>
                <w:sz w:val="16"/>
              </w:rPr>
              <w:t>최종 권고</w:t>
            </w:r>
          </w:p>
        </w:tc>
        <w:tc>
          <w:tcPr>
            <w:tcW w:type="dxa" w:w="2484"/>
            <w:vAlign w:val="center"/>
          </w:tcPr>
          <w:p>
            <w:pPr>
              <w:spacing w:after="20" w:before="20"/>
            </w:pPr>
            <w:r>
              <w:rPr>
                <w:sz w:val="16"/>
              </w:rPr>
              <w:t>SLA 무감속 용도 금지</w:t>
            </w:r>
          </w:p>
        </w:tc>
        <w:tc>
          <w:tcPr>
            <w:tcW w:type="dxa" w:w="2484"/>
            <w:vAlign w:val="center"/>
          </w:tcPr>
          <w:p>
            <w:pPr>
              <w:spacing w:after="20" w:before="20"/>
            </w:pPr>
            <w:r>
              <w:rPr>
                <w:sz w:val="16"/>
              </w:rPr>
              <w:t>무감속 중요 업무의 우선 평가안</w:t>
            </w:r>
          </w:p>
        </w:tc>
        <w:tc>
          <w:tcPr>
            <w:tcW w:type="dxa" w:w="2484"/>
            <w:vAlign w:val="center"/>
          </w:tcPr>
          <w:p>
            <w:pPr>
              <w:spacing w:after="20" w:before="20"/>
            </w:pPr>
            <w:r>
              <w:rPr>
                <w:sz w:val="16"/>
              </w:rPr>
              <w:t>성능 축소 허용 업무 한정</w:t>
            </w:r>
          </w:p>
        </w:tc>
      </w:tr>
    </w:tbl>
    <w:p>
      <w:pPr>
        <w:pStyle w:val="BodyText"/>
        <w:keepLines/>
        <w:spacing w:after="100"/>
      </w:pPr>
      <w:r>
        <w:t>표 해석: 안 B의 60% 수치는 정책 가정이고 장비의 실측 캡이나 DGX H100 지원 가능한 3 PSU 전력이라고 주장하지 않는다.</w:t>
      </w:r>
    </w:p>
    <w:p>
      <w:pPr>
        <w:pStyle w:val="Heading2"/>
        <w:keepLines/>
        <w:spacing w:after="100"/>
      </w:pPr>
      <w:r>
        <w:t>추가 검증: DGX H100 제조사 권고 전원 3경로 (2+2+2)</w:t>
      </w:r>
    </w:p>
    <w:p>
      <w:pPr>
        <w:pStyle w:val="BodyText"/>
        <w:keepLines/>
        <w:spacing w:after="100"/>
      </w:pPr>
      <w:r>
        <w:t>NVIDIA 공식 DGX SuperPOD 설계 가이드는 DGX H100 랙의 고가용성을 위해 PSU 6개를 세 rPDU에 2개씩 배분하는 방식을 제시한다. 단일 rPDU 상실 시 남는 4 PSU로 최대 운전 상태를 유지하는 것이 설계 목표다. 3개 rPDU를 서로 다른 UPS/배전 경로에 연결하는 enhanced N+1 구성은 상위 경로 상실도 대비할 수 있어 권고 우선안이다. [R48]</w:t>
      </w:r>
    </w:p>
    <w:p>
      <w:pPr>
        <w:pStyle w:val="BodyText"/>
        <w:keepLines/>
        <w:spacing w:after="100"/>
      </w:pPr>
      <w:r>
        <w:t>두 UPS만 공급하는 3개 rPDU 구성은 rPDU 1개 장애는 견딜 수 있지만, 2개 rPDU가 하나의 UPS를 공유하면 해당 UPS 전체 상실 시 PSU 4개가 동시에 소실될 수 있다. 그러므로 세 rPDU가 있다고 자동으로 세 개의 독립 upstream 공급원이 확보되는 것은 아니다.</w:t>
      </w:r>
    </w:p>
    <w:p>
      <w:pPr>
        <w:pStyle w:val="BodyText"/>
        <w:keepLines/>
        <w:spacing w:after="100"/>
      </w:pPr>
      <w:r>
        <w:t>랙당 4서버×6 PSU=24 코드, 3개 전원 경로에는 각각 8개 코드. 정상 정격 41.8kW를 균등히 분담하면 경로당 약 13.93kW가 흐른다는 단순 모델이다. 어느 한 경로 소실 후 두 잔여 경로가 41.8kW를 감당하려면 각 경로를 20.9kW 이상으로 선정해야 한다(정격과 보호협조·상 불평형 및 PSU 부하전환 여유 미반영). 이는 운전 공급 전력 필요조건이고 UPS 용량 선정식의 전부가 아니다.</w:t>
      </w:r>
    </w:p>
    <w:p>
      <w:pPr>
        <w:pStyle w:val="BodyText"/>
        <w:keepLines/>
        <w:spacing w:after="100"/>
      </w:pPr>
      <w:r>
        <w:t>NVIDIA 제품 사용자 가이드는 3 PSU만 통전되는 상태에서 시스템이 성능 축소로 계속 동작할 수 있다고도 설명한다. SuperPOD 배전 가이드는 고가용성 워크로드에서 4 PSU가 필요하다고 강조한다. 두 문서는 적용 목적이 다르므로, 본 백서는 “3 PSU에서 무감속 불가능 / 제한 운전은 가능할 수 있음”으로 정리한다. [R13][R48]</w:t>
      </w:r>
    </w:p>
    <w:tbl>
      <w:tblPr>
        <w:tblW w:type="auto" w:w="0"/>
        <w:jc w:val="center"/>
        <w:tblLayout w:type="autofit"/>
        <w:tblLook w:firstColumn="1" w:firstRow="1" w:lastColumn="0" w:lastRow="0" w:noHBand="0" w:noVBand="1" w:val="04A0"/>
      </w:tblPr>
      <w:tblGrid>
        <w:gridCol w:w="1987"/>
        <w:gridCol w:w="1987"/>
        <w:gridCol w:w="1987"/>
        <w:gridCol w:w="1987"/>
        <w:gridCol w:w="1987"/>
      </w:tblGrid>
      <w:tr>
        <w:trPr>
          <w:tblHeader w:val="true"/>
        </w:trPr>
        <w:tc>
          <w:tcPr>
            <w:tcW w:type="dxa" w:w="1987"/>
            <w:vAlign w:val="center"/>
            <w:shd w:fill="DFEAF3"/>
          </w:tcPr>
          <w:p>
            <w:pPr>
              <w:spacing w:after="20" w:before="20"/>
            </w:pPr>
            <w:r>
              <w:rPr>
                <w:b/>
                <w:sz w:val="16"/>
              </w:rPr>
              <w:t>배치안</w:t>
            </w:r>
          </w:p>
        </w:tc>
        <w:tc>
          <w:tcPr>
            <w:tcW w:type="dxa" w:w="1987"/>
            <w:vAlign w:val="center"/>
            <w:shd w:fill="DFEAF3"/>
          </w:tcPr>
          <w:p>
            <w:pPr>
              <w:spacing w:after="20" w:before="20"/>
            </w:pPr>
            <w:r>
              <w:rPr>
                <w:b/>
                <w:sz w:val="16"/>
              </w:rPr>
              <w:t>서버별 PSU 분배</w:t>
            </w:r>
          </w:p>
        </w:tc>
        <w:tc>
          <w:tcPr>
            <w:tcW w:type="dxa" w:w="1987"/>
            <w:vAlign w:val="center"/>
            <w:shd w:fill="DFEAF3"/>
          </w:tcPr>
          <w:p>
            <w:pPr>
              <w:spacing w:after="20" w:before="20"/>
            </w:pPr>
            <w:r>
              <w:rPr>
                <w:b/>
                <w:sz w:val="16"/>
              </w:rPr>
              <w:t>rPDU 한 경로 장애</w:t>
            </w:r>
          </w:p>
        </w:tc>
        <w:tc>
          <w:tcPr>
            <w:tcW w:type="dxa" w:w="1987"/>
            <w:vAlign w:val="center"/>
            <w:shd w:fill="DFEAF3"/>
          </w:tcPr>
          <w:p>
            <w:pPr>
              <w:spacing w:after="20" w:before="20"/>
            </w:pPr>
            <w:r>
              <w:rPr>
                <w:b/>
                <w:sz w:val="16"/>
              </w:rPr>
              <w:t>상위 UPS 장애</w:t>
            </w:r>
          </w:p>
        </w:tc>
        <w:tc>
          <w:tcPr>
            <w:tcW w:type="dxa" w:w="1987"/>
            <w:vAlign w:val="center"/>
            <w:shd w:fill="DFEAF3"/>
          </w:tcPr>
          <w:p>
            <w:pPr>
              <w:spacing w:after="20" w:before="20"/>
            </w:pPr>
            <w:r>
              <w:rPr>
                <w:b/>
                <w:sz w:val="16"/>
              </w:rPr>
              <w:t>판정</w:t>
            </w:r>
          </w:p>
        </w:tc>
      </w:tr>
      <w:tr>
        <w:tc>
          <w:tcPr>
            <w:tcW w:type="dxa" w:w="1987"/>
            <w:vAlign w:val="center"/>
            <w:shd w:fill="FFFFFF"/>
          </w:tcPr>
          <w:p>
            <w:pPr>
              <w:spacing w:after="20" w:before="20"/>
            </w:pPr>
            <w:r>
              <w:rPr>
                <w:b w:val="0"/>
                <w:sz w:val="16"/>
              </w:rPr>
              <w:t>3개 완전 독립 경로</w:t>
            </w:r>
          </w:p>
        </w:tc>
        <w:tc>
          <w:tcPr>
            <w:tcW w:type="dxa" w:w="1987"/>
            <w:vAlign w:val="center"/>
            <w:shd w:fill="FFFFFF"/>
          </w:tcPr>
          <w:p>
            <w:pPr>
              <w:spacing w:after="20" w:before="20"/>
            </w:pPr>
            <w:r>
              <w:rPr>
                <w:b w:val="0"/>
                <w:sz w:val="16"/>
              </w:rPr>
              <w:t>2+2+2</w:t>
            </w:r>
          </w:p>
        </w:tc>
        <w:tc>
          <w:tcPr>
            <w:tcW w:type="dxa" w:w="1987"/>
            <w:vAlign w:val="center"/>
            <w:shd w:fill="FFFFFF"/>
          </w:tcPr>
          <w:p>
            <w:pPr>
              <w:spacing w:after="20" w:before="20"/>
            </w:pPr>
            <w:r>
              <w:rPr>
                <w:b w:val="0"/>
                <w:sz w:val="16"/>
              </w:rPr>
              <w:t>4 PSU 유지</w:t>
            </w:r>
          </w:p>
        </w:tc>
        <w:tc>
          <w:tcPr>
            <w:tcW w:type="dxa" w:w="1987"/>
            <w:vAlign w:val="center"/>
            <w:shd w:fill="FFFFFF"/>
          </w:tcPr>
          <w:p>
            <w:pPr>
              <w:spacing w:after="20" w:before="20"/>
            </w:pPr>
            <w:r>
              <w:rPr>
                <w:b w:val="0"/>
                <w:sz w:val="16"/>
              </w:rPr>
              <w:t>4 PSU 유지 목표</w:t>
            </w:r>
          </w:p>
        </w:tc>
        <w:tc>
          <w:tcPr>
            <w:tcW w:type="dxa" w:w="1987"/>
            <w:vAlign w:val="center"/>
            <w:shd w:fill="FFFFFF"/>
          </w:tcPr>
          <w:p>
            <w:pPr>
              <w:spacing w:after="20" w:before="20"/>
            </w:pPr>
            <w:r>
              <w:rPr>
                <w:b w:val="0"/>
                <w:sz w:val="16"/>
              </w:rPr>
              <w:t>우선 권고, 시험 필요</w:t>
            </w:r>
          </w:p>
        </w:tc>
      </w:tr>
      <w:tr>
        <w:tc>
          <w:tcPr>
            <w:tcW w:type="dxa" w:w="1987"/>
            <w:vAlign w:val="center"/>
            <w:shd w:fill="F4F7FA"/>
          </w:tcPr>
          <w:p>
            <w:pPr>
              <w:spacing w:after="20" w:before="20"/>
            </w:pPr>
            <w:r>
              <w:rPr>
                <w:b w:val="0"/>
                <w:sz w:val="16"/>
              </w:rPr>
              <w:t>2 UPS→3 rPDU</w:t>
            </w:r>
          </w:p>
        </w:tc>
        <w:tc>
          <w:tcPr>
            <w:tcW w:type="dxa" w:w="1987"/>
            <w:vAlign w:val="center"/>
            <w:shd w:fill="F4F7FA"/>
          </w:tcPr>
          <w:p>
            <w:pPr>
              <w:spacing w:after="20" w:before="20"/>
            </w:pPr>
            <w:r>
              <w:rPr>
                <w:b w:val="0"/>
                <w:sz w:val="16"/>
              </w:rPr>
              <w:t>2+2+2</w:t>
            </w:r>
          </w:p>
        </w:tc>
        <w:tc>
          <w:tcPr>
            <w:tcW w:type="dxa" w:w="1987"/>
            <w:vAlign w:val="center"/>
            <w:shd w:fill="F4F7FA"/>
          </w:tcPr>
          <w:p>
            <w:pPr>
              <w:spacing w:after="20" w:before="20"/>
            </w:pPr>
            <w:r>
              <w:rPr>
                <w:b w:val="0"/>
                <w:sz w:val="16"/>
              </w:rPr>
              <w:t>4 PSU 유지</w:t>
            </w:r>
          </w:p>
        </w:tc>
        <w:tc>
          <w:tcPr>
            <w:tcW w:type="dxa" w:w="1987"/>
            <w:vAlign w:val="center"/>
            <w:shd w:fill="F4F7FA"/>
          </w:tcPr>
          <w:p>
            <w:pPr>
              <w:spacing w:after="20" w:before="20"/>
            </w:pPr>
            <w:r>
              <w:rPr>
                <w:b w:val="0"/>
                <w:sz w:val="16"/>
              </w:rPr>
              <w:t>UPS 의존도에 따라 2 PSU까지 감소</w:t>
            </w:r>
          </w:p>
        </w:tc>
        <w:tc>
          <w:tcPr>
            <w:tcW w:type="dxa" w:w="1987"/>
            <w:vAlign w:val="center"/>
            <w:shd w:fill="F4F7FA"/>
          </w:tcPr>
          <w:p>
            <w:pPr>
              <w:spacing w:after="20" w:before="20"/>
            </w:pPr>
            <w:r>
              <w:rPr>
                <w:b w:val="0"/>
                <w:sz w:val="16"/>
              </w:rPr>
              <w:t>조건부 N+1</w:t>
            </w:r>
          </w:p>
        </w:tc>
      </w:tr>
      <w:tr>
        <w:tc>
          <w:tcPr>
            <w:tcW w:type="dxa" w:w="1987"/>
            <w:vAlign w:val="center"/>
            <w:shd w:fill="FFFFFF"/>
          </w:tcPr>
          <w:p>
            <w:pPr>
              <w:spacing w:after="20" w:before="20"/>
            </w:pPr>
            <w:r>
              <w:rPr>
                <w:b w:val="0"/>
                <w:sz w:val="16"/>
              </w:rPr>
              <w:t>2경로 직결</w:t>
            </w:r>
          </w:p>
        </w:tc>
        <w:tc>
          <w:tcPr>
            <w:tcW w:type="dxa" w:w="1987"/>
            <w:vAlign w:val="center"/>
            <w:shd w:fill="FFFFFF"/>
          </w:tcPr>
          <w:p>
            <w:pPr>
              <w:spacing w:after="20" w:before="20"/>
            </w:pPr>
            <w:r>
              <w:rPr>
                <w:b w:val="0"/>
                <w:sz w:val="16"/>
              </w:rPr>
              <w:t>3+3</w:t>
            </w:r>
          </w:p>
        </w:tc>
        <w:tc>
          <w:tcPr>
            <w:tcW w:type="dxa" w:w="1987"/>
            <w:vAlign w:val="center"/>
            <w:shd w:fill="FFFFFF"/>
          </w:tcPr>
          <w:p>
            <w:pPr>
              <w:spacing w:after="20" w:before="20"/>
            </w:pPr>
            <w:r>
              <w:rPr>
                <w:b w:val="0"/>
                <w:sz w:val="16"/>
              </w:rPr>
              <w:t>3 PSU 잔존</w:t>
            </w:r>
          </w:p>
        </w:tc>
        <w:tc>
          <w:tcPr>
            <w:tcW w:type="dxa" w:w="1987"/>
            <w:vAlign w:val="center"/>
            <w:shd w:fill="FFFFFF"/>
          </w:tcPr>
          <w:p>
            <w:pPr>
              <w:spacing w:after="20" w:before="20"/>
            </w:pPr>
            <w:r>
              <w:rPr>
                <w:b w:val="0"/>
                <w:sz w:val="16"/>
              </w:rPr>
              <w:t>3 PSU 잔존</w:t>
            </w:r>
          </w:p>
        </w:tc>
        <w:tc>
          <w:tcPr>
            <w:tcW w:type="dxa" w:w="1987"/>
            <w:vAlign w:val="center"/>
            <w:shd w:fill="FFFFFF"/>
          </w:tcPr>
          <w:p>
            <w:pPr>
              <w:spacing w:after="20" w:before="20"/>
            </w:pPr>
            <w:r>
              <w:rPr>
                <w:b w:val="0"/>
                <w:sz w:val="16"/>
              </w:rPr>
              <w:t>무감속 N−1 불합격</w:t>
            </w:r>
          </w:p>
        </w:tc>
      </w:tr>
      <w:tr>
        <w:tc>
          <w:tcPr>
            <w:tcW w:type="dxa" w:w="1987"/>
            <w:vAlign w:val="center"/>
            <w:shd w:fill="F4F7FA"/>
          </w:tcPr>
          <w:p>
            <w:pPr>
              <w:spacing w:after="20" w:before="20"/>
            </w:pPr>
            <w:r>
              <w:rPr>
                <w:b w:val="0"/>
                <w:sz w:val="16"/>
              </w:rPr>
              <w:t>제조사 승인 ATS</w:t>
            </w:r>
          </w:p>
        </w:tc>
        <w:tc>
          <w:tcPr>
            <w:tcW w:type="dxa" w:w="1987"/>
            <w:vAlign w:val="center"/>
            <w:shd w:fill="F4F7FA"/>
          </w:tcPr>
          <w:p>
            <w:pPr>
              <w:spacing w:after="20" w:before="20"/>
            </w:pPr>
            <w:r>
              <w:rPr>
                <w:b w:val="0"/>
                <w:sz w:val="16"/>
              </w:rPr>
              <w:t>전환 구조에 따름</w:t>
            </w:r>
          </w:p>
        </w:tc>
        <w:tc>
          <w:tcPr>
            <w:tcW w:type="dxa" w:w="1987"/>
            <w:vAlign w:val="center"/>
            <w:shd w:fill="F4F7FA"/>
          </w:tcPr>
          <w:p>
            <w:pPr>
              <w:spacing w:after="20" w:before="20"/>
            </w:pPr>
            <w:r>
              <w:rPr>
                <w:b w:val="0"/>
                <w:sz w:val="16"/>
              </w:rPr>
              <w:t>절체 성능에 따름</w:t>
            </w:r>
          </w:p>
        </w:tc>
        <w:tc>
          <w:tcPr>
            <w:tcW w:type="dxa" w:w="1987"/>
            <w:vAlign w:val="center"/>
            <w:shd w:fill="F4F7FA"/>
          </w:tcPr>
          <w:p>
            <w:pPr>
              <w:spacing w:after="20" w:before="20"/>
            </w:pPr>
            <w:r>
              <w:rPr>
                <w:b w:val="0"/>
                <w:sz w:val="16"/>
              </w:rPr>
              <w:t>공통 ATS 고장 검토</w:t>
            </w:r>
          </w:p>
        </w:tc>
        <w:tc>
          <w:tcPr>
            <w:tcW w:type="dxa" w:w="1987"/>
            <w:vAlign w:val="center"/>
            <w:shd w:fill="F4F7FA"/>
          </w:tcPr>
          <w:p>
            <w:pPr>
              <w:spacing w:after="20" w:before="20"/>
            </w:pPr>
            <w:r>
              <w:rPr>
                <w:b w:val="0"/>
                <w:sz w:val="16"/>
              </w:rPr>
              <w:t>대체안, 승인 시험 필수</w:t>
            </w:r>
          </w:p>
        </w:tc>
      </w:tr>
    </w:tbl>
    <w:p>
      <w:pPr>
        <w:pStyle w:val="BodyText"/>
        <w:keepLines/>
        <w:spacing w:after="100"/>
      </w:pPr>
      <w:r>
        <w:t>표 해석: 원전 NVIDIA DGX SuperPOD Electrical Specifications의 Power Redundancy, Traditional, N+1, Enhanced N+1 구성을 대조한 설계정책 표다.</w:t>
      </w:r>
    </w:p>
    <w:p>
      <w:pPr>
        <w:pStyle w:val="Heading1"/>
        <w:keepNext/>
        <w:widowControl/>
      </w:pPr>
      <w:bookmarkStart w:id="84" w:name="topic_84"/>
      <w:r>
        <w:t xml:space="preserve">84 사례 B 에너지와 공랭 유량 검산</w:t>
      </w:r>
      <w:bookmarkEnd w:id="84"/>
    </w:p>
    <w:p>
      <w:pPr>
        <w:pStyle w:val="FirstParagraph"/>
        <w:widowControl/>
      </w:pPr>
      <w:r>
        <w:rPr>
          <w:bCs/>
          <w:b/>
        </w:rPr>
        <w:t xml:space="preserve">8부 재현 가능한 통합 사례 검증</w:t>
      </w:r>
    </w:p>
    <w:p>
      <w:pPr>
        <w:pStyle w:val="BodyText"/>
        <w:widowControl/>
      </w:pPr>
      <w:r>
        <w:t xml:space="preserve">최대 IT 전력 83.6kW에 해당 운전점 시설 전력비 1.3을 가정하면 시설 전력은 108.68kW다. 이를 연중 일정하게 유지한다고 가정한 상한적 에너지 예제는 연간 952036.8kWh다. 실제 평균 전력은 작업 스케줄과 계측으로 구한다.</w:t>
      </w:r>
    </w:p>
    <w:p>
      <w:pPr>
        <w:pStyle w:val="BodyText"/>
        <w:widowControl/>
      </w:pPr>
      <w:r>
        <w:t xml:space="preserve">한 랙의 서버 부하 40.8kW를 공기 온도 상승 15K에서 제거한다고 가정하면 필요한 랙 통과 풍량은 약 2.255m³/s다. 여기에 부대 장비 1kW를 포함하면 약 2.311m³/s다. 열량과 온도차 및 유량 단위를 서로 대조한다.</w:t>
      </w:r>
    </w:p>
    <w:p>
      <w:pPr>
        <w:pStyle w:val="BodyText"/>
        <w:widowControl/>
      </w:pPr>
      <w:r>
        <w:t xml:space="preserve">이 계산은 H100을 임의로 액체냉각 장비로 바꾸는 가정이 아니다. 제품의 공기 흐름과 환경 조건을 적용하고 실제 설치에서는 압력 손실과 공급 공기의 분배를 검증한다.</w:t>
      </w:r>
    </w:p>
    <w:bookmarkStart w:id="274" w:name="계산식과-변수-52"/>
    <w:p>
      <w:pPr>
        <w:pStyle w:val="Heading2"/>
        <w:widowControl/>
      </w:pPr>
      <w:r>
        <w:t xml:space="preserve">계산식과 변수</w:t>
      </w:r>
    </w:p>
    <w:p>
      <w:pPr>
        <w:pStyle w:val="FirstParagraph"/>
        <w:widowControl/>
        <w:spacing w:line="252" w:lineRule="auto" w:before="100" w:after="180"/>
      </w:pPr>
      <m:oMathPara>
        <m:oMathParaPr>
          <m:jc m:val="center"/>
        </m:oMathParaPr>
        <m:oMath>
          <m:sSub>
            <m:e>
              <m:r>
                <m:t>P</m:t>
              </m:r>
            </m:e>
            <m:sub>
              <m:r>
                <m:t>f</m:t>
              </m:r>
              <m:r>
                <m:t>a</m:t>
              </m:r>
              <m:r>
                <m:t>c</m:t>
              </m:r>
              <m:r>
                <m:t>i</m:t>
              </m:r>
              <m:r>
                <m:t>l</m:t>
              </m:r>
              <m:r>
                <m:t>i</m:t>
              </m:r>
              <m:r>
                <m:t>t</m:t>
              </m:r>
              <m:r>
                <m:t>y</m:t>
              </m:r>
            </m:sub>
          </m:sSub>
          <m:r>
            <m:rPr>
              <m:sty m:val="p"/>
            </m:rPr>
            <m:t>=</m:t>
          </m:r>
          <m:r>
            <m:t>83.6</m:t>
          </m:r>
          <m:d>
            <m:dPr>
              <m:begChr m:val="("/>
              <m:endChr m:val=")"/>
              <m:sepChr m:val=""/>
              <m:grow/>
            </m:dPr>
            <m:e>
              <m:r>
                <m:t>1.3</m:t>
              </m:r>
            </m:e>
          </m:d>
          <m:r>
            <m:rPr>
              <m:sty m:val="p"/>
            </m:rPr>
            <m:t>=</m:t>
          </m:r>
          <m:r>
            <m:t>108.68</m:t>
          </m:r>
        </m:oMath>
      </m:oMathPara>
    </w:p>
    <w:p>
      <w:pPr>
        <w:pStyle w:val="FirstParagraph"/>
        <w:widowControl/>
        <w:spacing w:line="252" w:lineRule="auto" w:before="100" w:after="180"/>
      </w:pPr>
      <m:oMathPara>
        <m:oMathParaPr>
          <m:jc m:val="center"/>
        </m:oMathParaPr>
        <m:oMath>
          <m:sSub>
            <m:e>
              <m:r>
                <m:t>E</m:t>
              </m:r>
            </m:e>
            <m:sub>
              <m:r>
                <m:t>f</m:t>
              </m:r>
              <m:r>
                <m:t>a</m:t>
              </m:r>
              <m:r>
                <m:t>c</m:t>
              </m:r>
              <m:r>
                <m:t>i</m:t>
              </m:r>
              <m:r>
                <m:t>l</m:t>
              </m:r>
              <m:r>
                <m:t>i</m:t>
              </m:r>
              <m:r>
                <m:t>t</m:t>
              </m:r>
              <m:r>
                <m:t>y</m:t>
              </m:r>
            </m:sub>
          </m:sSub>
          <m:r>
            <m:rPr>
              <m:sty m:val="p"/>
            </m:rPr>
            <m:t>=</m:t>
          </m:r>
          <m:r>
            <m:t>108.68</m:t>
          </m:r>
          <m:d>
            <m:dPr>
              <m:begChr m:val="("/>
              <m:endChr m:val=")"/>
              <m:sepChr m:val=""/>
              <m:grow/>
            </m:dPr>
            <m:e>
              <m:r>
                <m:t>8760</m:t>
              </m:r>
            </m:e>
          </m:d>
          <m:r>
            <m:rPr>
              <m:sty m:val="p"/>
            </m:rPr>
            <m:t>=</m:t>
          </m:r>
          <m:r>
            <m:t>952036.8</m:t>
          </m:r>
        </m:oMath>
      </m:oMathPara>
    </w:p>
    <w:p>
      <w:pPr>
        <w:pStyle w:val="FirstParagraph"/>
        <w:widowControl/>
        <w:spacing w:line="252" w:lineRule="auto" w:before="100" w:after="180"/>
      </w:pPr>
      <m:oMathPara>
        <m:oMathParaPr>
          <m:jc m:val="center"/>
        </m:oMathParaPr>
        <m:oMath>
          <m:acc>
            <m:accPr>
              <m:chr m:val="̇"/>
            </m:accPr>
            <m:e>
              <m:r>
                <m:t>V</m:t>
              </m:r>
            </m:e>
          </m:acc>
          <m:r>
            <m:rPr>
              <m:sty m:val="p"/>
            </m:rPr>
            <m:t>=</m:t>
          </m:r>
          <m:f>
            <m:fPr>
              <m:type m:val="bar"/>
            </m:fPr>
            <m:num>
              <m:r>
                <m:t>41.8</m:t>
              </m:r>
            </m:num>
            <m:den>
              <m:r>
                <m:t>1.2</m:t>
              </m:r>
              <m:d>
                <m:dPr>
                  <m:begChr m:val="("/>
                  <m:endChr m:val=")"/>
                  <m:sepChr m:val=""/>
                  <m:grow/>
                </m:dPr>
                <m:e>
                  <m:r>
                    <m:t>1.005</m:t>
                  </m:r>
                </m:e>
              </m:d>
              <m:d>
                <m:dPr>
                  <m:begChr m:val="("/>
                  <m:endChr m:val=")"/>
                  <m:sepChr m:val=""/>
                  <m:grow/>
                </m:dPr>
                <m:e>
                  <m:r>
                    <m:t>15</m:t>
                  </m:r>
                </m:e>
              </m:d>
            </m:den>
          </m:f>
          <m:r>
            <m:rPr>
              <m:sty m:val="p"/>
            </m:rPr>
            <m:t>≃</m:t>
          </m:r>
          <m:r>
            <m:t>2.311</m:t>
          </m:r>
        </m:oMath>
      </m:oMathPara>
    </w:p>
    <w:tbl>
      <w:tblPr>
        <w:tblStyle w:val="Table"/>
        <w:tblW w:type="dxa" w:w="986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096"/>
        <w:gridCol w:w="4392"/>
      </w:tblGrid>
      <w:tr>
        <w:trPr>
          <w:tblHeader w:val="true"/>
          <w:cantSplit/>
          <w:tblHeader/>
        </w:trPr>
        <w:tc>
          <w:tcPr>
            <w:tcW w:type="dxa" w:w="237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결과</w:t>
            </w:r>
          </w:p>
        </w:tc>
        <w:tc>
          <w:tcPr>
            <w:tcW w:type="dxa" w:w="309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값</w:t>
            </w:r>
          </w:p>
        </w:tc>
        <w:tc>
          <w:tcPr>
            <w:tcW w:type="dxa" w:w="4392"/>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한계</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시설 전력 추정</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108.68kW</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운전점 비율 가정</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연간 시설 에너지</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952.037MWh</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일정 최대 부하 가정</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랙 공기 유량</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약 8320m³/h</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15K 가정</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현장 판정</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풍량과 흡입온도 시험</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별도 필요</w:t>
            </w:r>
          </w:p>
        </w:tc>
      </w:tr>
    </w:tbl>
    <w:bookmarkEnd w:id="274"/>
    <w:bookmarkStart w:id="275" w:name="적용과-검증-80"/>
    <w:p>
      <w:pPr>
        <w:pStyle w:val="Heading2"/>
        <w:widowControl/>
      </w:pPr>
      <w:r>
        <w:t xml:space="preserve">적용과 검증</w:t>
      </w:r>
    </w:p>
    <w:p>
      <w:pPr>
        <w:pStyle w:val="FirstParagraph"/>
        <w:keepNext/>
        <w:widowControl/>
      </w:pPr>
      <w:r>
        <w:t xml:space="preserve">연간 값은 최대 부하를 8760시간 유지한 계산으로 실제 예산 예측과 다를 수 있다. 정상·유휴·정지 상태의 시간을 나눠 평균 에너지를 계산하면 현실성이 높아진다.</w:t>
      </w:r>
    </w:p>
    <w:p>
      <w:pPr>
        <w:pStyle w:val="BodyText"/>
        <w:widowControl/>
        <w:spacing w:before="160"/>
      </w:pPr>
      <w:r>
        <w:rPr>
          <w:sz w:val="17"/>
        </w:rPr>
        <w:t xml:space="preserve">근거 및 추가 읽기 [R01] [R09] [R13]</w:t>
      </w:r>
    </w:p>
    <w:bookmarkEnd w:id="275"/>
    <w:bookmarkEnd w:id="276"/>
    <w:bookmarkStart w:id="279" w:name="사례-c-gpu-1024개-확장-설계의-경계"/>
    <w:p>
      <w:pPr>
        <w:pStyle w:val="Heading1"/>
        <w:keepNext/>
        <w:widowControl/>
      </w:pPr>
      <w:bookmarkStart w:id="85" w:name="topic_85"/>
      <w:r>
        <w:t xml:space="preserve">85 사례 C GPU 1024개 확장 설계의 경계</w:t>
      </w:r>
      <w:bookmarkEnd w:id="85"/>
    </w:p>
    <w:p>
      <w:pPr>
        <w:pStyle w:val="FirstParagraph"/>
        <w:widowControl/>
      </w:pPr>
      <w:r>
        <w:rPr>
          <w:bCs/>
          <w:b/>
        </w:rPr>
        <w:t xml:space="preserve">8부 재현 가능한 통합 사례 검증</w:t>
      </w:r>
    </w:p>
    <w:p>
      <w:pPr>
        <w:pStyle w:val="BodyText"/>
        <w:widowControl/>
      </w:pPr>
      <w:r>
        <w:t xml:space="preserve">사례 C는 8GPU 서버 128대로 GPU 1024개를 구성하는 일반화된 고속 Fabric 예제다. 연산망 인터페이스는 서버당 8개 400G로 가정한다. 실제 제품의 인증된 Rail 구성을 그대로 재현하는 대신 포트 예산의 산술 구조를 설명한다.</w:t>
      </w:r>
    </w:p>
    <w:p>
      <w:pPr>
        <w:pStyle w:val="BodyText"/>
        <w:widowControl/>
      </w:pPr>
      <w:r>
        <w:t xml:space="preserve">Leaf는 논리 400G 포트 64개 중 서버측 32개, Spine측 32개를 사용한다고 가정한다. 서버측 총 링크는 1024개이므로 Leaf 32대가 필요하다. 한 Leaf에는 서버 네 대의 인터페이스 32개를 연결하는 배치다.</w:t>
      </w:r>
    </w:p>
    <w:p>
      <w:pPr>
        <w:pStyle w:val="BodyText"/>
        <w:widowControl/>
      </w:pPr>
      <w:r>
        <w:t xml:space="preserve">Spine은 논리 64포트 장비 16대로 두고 각 Leaf–Spine 쌍에 링크 두 개를 연결한다. 그러면 Leaf 업링크는 16×2=32개이고 Spine 연결은 32×2=64개다. 물리 케이지 수와 모듈 형명은 선택한 실제 제품으로 따로 변환한다.</w:t>
      </w:r>
    </w:p>
    <w:bookmarkStart w:id="277" w:name="계산식과-변수-53"/>
    <w:p>
      <w:pPr>
        <w:pStyle w:val="Heading2"/>
        <w:widowControl/>
      </w:pPr>
      <w:r>
        <w:t xml:space="preserve">계산식과 변수</w:t>
      </w:r>
    </w:p>
    <w:p>
      <w:pPr>
        <w:pStyle w:val="FirstParagraph"/>
        <w:widowControl/>
        <w:spacing w:line="252" w:lineRule="auto" w:before="100" w:after="180"/>
      </w:pPr>
      <m:oMathPara>
        <m:oMathParaPr>
          <m:jc m:val="center"/>
        </m:oMathParaPr>
        <m:oMath>
          <m:sSub>
            <m:e>
              <m:r>
                <m:t>N</m:t>
              </m:r>
            </m:e>
            <m:sub>
              <m:r>
                <m:t>s</m:t>
              </m:r>
              <m:r>
                <m:t>e</m:t>
              </m:r>
              <m:r>
                <m:t>r</m:t>
              </m:r>
              <m:r>
                <m:t>v</m:t>
              </m:r>
              <m:r>
                <m:t>e</m:t>
              </m:r>
              <m:r>
                <m:t>r</m:t>
              </m:r>
            </m:sub>
          </m:sSub>
          <m:r>
            <m:rPr>
              <m:sty m:val="p"/>
            </m:rPr>
            <m:t>=</m:t>
          </m:r>
          <m:r>
            <m:t>1024</m:t>
          </m:r>
          <m:r>
            <m:rPr>
              <m:sty m:val="p"/>
            </m:rPr>
            <m:t>/</m:t>
          </m:r>
          <m:r>
            <m:t>8</m:t>
          </m:r>
          <m:r>
            <m:rPr>
              <m:sty m:val="p"/>
            </m:rPr>
            <m:t>=</m:t>
          </m:r>
          <m:r>
            <m:t>128</m:t>
          </m:r>
        </m:oMath>
      </m:oMathPara>
    </w:p>
    <w:p>
      <w:pPr>
        <w:pStyle w:val="FirstParagraph"/>
        <w:widowControl/>
        <w:spacing w:line="252" w:lineRule="auto" w:before="100" w:after="180"/>
      </w:pPr>
      <m:oMathPara>
        <m:oMathParaPr>
          <m:jc m:val="center"/>
        </m:oMathParaPr>
        <m:oMath>
          <m:sSub>
            <m:e>
              <m:r>
                <m:t>N</m:t>
              </m:r>
            </m:e>
            <m:sub>
              <m:r>
                <m:t>l</m:t>
              </m:r>
              <m:r>
                <m:t>e</m:t>
              </m:r>
              <m:r>
                <m:t>a</m:t>
              </m:r>
              <m:r>
                <m:t>f</m:t>
              </m:r>
            </m:sub>
          </m:sSub>
          <m:r>
            <m:rPr>
              <m:sty m:val="p"/>
            </m:rPr>
            <m:t>=</m:t>
          </m:r>
          <m:r>
            <m:t>1024</m:t>
          </m:r>
          <m:r>
            <m:rPr>
              <m:sty m:val="p"/>
            </m:rPr>
            <m:t>/</m:t>
          </m:r>
          <m:r>
            <m:t>32</m:t>
          </m:r>
          <m:r>
            <m:rPr>
              <m:sty m:val="p"/>
            </m:rPr>
            <m:t>=</m:t>
          </m:r>
          <m:r>
            <m:t>32</m:t>
          </m:r>
        </m:oMath>
      </m:oMathPara>
    </w:p>
    <w:p>
      <w:pPr>
        <w:pStyle w:val="FirstParagraph"/>
        <w:widowControl/>
        <w:spacing w:line="252" w:lineRule="auto" w:before="100" w:after="180"/>
      </w:pPr>
      <m:oMathPara>
        <m:oMathParaPr>
          <m:jc m:val="center"/>
        </m:oMathParaPr>
        <m:oMath>
          <m:sSub>
            <m:e>
              <m:r>
                <m:t>N</m:t>
              </m:r>
            </m:e>
            <m:sub>
              <m:r>
                <m:t>s</m:t>
              </m:r>
              <m:r>
                <m:t>p</m:t>
              </m:r>
              <m:r>
                <m:t>i</m:t>
              </m:r>
              <m:r>
                <m:t>n</m:t>
              </m:r>
              <m:r>
                <m:t>e</m:t>
              </m:r>
            </m:sub>
          </m:sSub>
          <m:r>
            <m:rPr>
              <m:sty m:val="p"/>
            </m:rPr>
            <m:t>=</m:t>
          </m:r>
          <m:r>
            <m:t>16</m:t>
          </m:r>
          <m:r>
            <m:rPr>
              <m:sty m:val="p"/>
            </m:rPr>
            <m:t>,</m:t>
          </m:r>
          <m:r>
            <m:t>  </m:t>
          </m:r>
          <m:r>
            <m:t>k</m:t>
          </m:r>
          <m:r>
            <m:rPr>
              <m:sty m:val="p"/>
            </m:rPr>
            <m:t>=</m:t>
          </m:r>
          <m:r>
            <m:t>2</m:t>
          </m:r>
        </m:oMath>
      </m:oMathPara>
    </w:p>
    <w:tbl>
      <w:tblPr>
        <w:tblStyle w:val="Table"/>
        <w:tblW w:type="dxa" w:w="986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096"/>
        <w:gridCol w:w="4392"/>
      </w:tblGrid>
      <w:tr>
        <w:trPr>
          <w:tblHeader w:val="true"/>
          <w:cantSplit/>
          <w:tblHeader/>
        </w:trPr>
        <w:tc>
          <w:tcPr>
            <w:tcW w:type="dxa" w:w="237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장비</w:t>
            </w:r>
          </w:p>
        </w:tc>
        <w:tc>
          <w:tcPr>
            <w:tcW w:type="dxa" w:w="309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논리 포트 배분</w:t>
            </w:r>
          </w:p>
        </w:tc>
        <w:tc>
          <w:tcPr>
            <w:tcW w:type="dxa" w:w="4392"/>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검증</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Leaf 32대</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서버 32와 업링크 32</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대당 64개</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Spine 16대</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Leaf마다 2개</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대당 64개</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서버 연결</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128 곱하기 8</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1024링크</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계층간 연결</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32 곱하기 16 곱하기 2</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1024링크</w:t>
            </w:r>
          </w:p>
        </w:tc>
      </w:tr>
    </w:tbl>
    <w:bookmarkEnd w:id="277"/>
    <w:bookmarkStart w:id="278" w:name="적용과-검증-81"/>
    <w:p>
      <w:pPr>
        <w:pStyle w:val="Heading2"/>
        <w:widowControl/>
      </w:pPr>
      <w:r>
        <w:t xml:space="preserve">적용과 검증</w:t>
      </w:r>
    </w:p>
    <w:p>
      <w:pPr>
        <w:pStyle w:val="FirstParagraph"/>
        <w:keepNext/>
        <w:widowControl/>
      </w:pPr>
      <w:r>
        <w:t xml:space="preserve">이는 사양상 포트 수 검증이며 Rail 최적화·라우팅과 대규모 집단 통신 성능 검증은 포함하지 않는다. 실제 구축은 NIC 매핑과 제조사 참조구성을 추가 검토한다.</w:t>
      </w:r>
    </w:p>
    <w:p>
      <w:pPr>
        <w:pStyle w:val="BodyText"/>
        <w:widowControl/>
        <w:spacing w:before="160"/>
      </w:pPr>
      <w:r>
        <w:rPr>
          <w:sz w:val="17"/>
        </w:rPr>
        <w:t xml:space="preserve">근거 및 추가 읽기 [R17] [R18]</w:t>
      </w:r>
    </w:p>
    <w:bookmarkEnd w:id="278"/>
    <w:bookmarkEnd w:id="279"/>
    <w:bookmarkStart w:id="282" w:name="사례-c-링크-수와-비차단-대역폭-검산"/>
    <w:p>
      <w:pPr>
        <w:pStyle w:val="Heading1"/>
        <w:keepNext/>
        <w:widowControl/>
      </w:pPr>
      <w:bookmarkStart w:id="86" w:name="topic_86"/>
      <w:r>
        <w:t xml:space="preserve">86 사례 C 링크 수와 비차단 대역폭 검산</w:t>
      </w:r>
      <w:bookmarkEnd w:id="86"/>
    </w:p>
    <w:p>
      <w:pPr>
        <w:pStyle w:val="FirstParagraph"/>
        <w:widowControl/>
      </w:pPr>
      <w:r>
        <w:rPr>
          <w:bCs/>
          <w:b/>
        </w:rPr>
        <w:t xml:space="preserve">8부 재현 가능한 통합 사례 검증</w:t>
      </w:r>
    </w:p>
    <w:p>
      <w:pPr>
        <w:pStyle w:val="BodyText"/>
        <w:widowControl/>
      </w:pPr>
      <w:r>
        <w:t xml:space="preserve">Leaf 한 대의 서버측 합계는 32×400G=12.8Tb/s이고 상위측도 32×400G=12.8Tb/s다. 합산 포트 예산은 1 대 1이다. 정상 상태에서 각 Leaf가 모든 Spine에 동일 수의 링크를 갖는지 접속표로 확인한다.</w:t>
      </w:r>
    </w:p>
    <w:p>
      <w:pPr>
        <w:pStyle w:val="BodyText"/>
        <w:widowControl/>
      </w:pPr>
      <w:r>
        <w:t xml:space="preserve">서버 링크와 계층간 링크의 합은 2048개다. 스위치에 사용되는 논리 포트는 Leaf 2048개와 Spine 1024개로 합계 3072개다. 서버의 NIC 포트 1024개를 더하면 전체 종단은 4096개가 되어 2048링크의 두 배와 일치한다.</w:t>
      </w:r>
    </w:p>
    <w:p>
      <w:pPr>
        <w:pStyle w:val="BodyText"/>
        <w:widowControl/>
      </w:pPr>
      <w:r>
        <w:t xml:space="preserve">비차단이라는 표현은 내부 전달 능력과 토폴로지 조건 및 트래픽 가정을 포함한다. 포트 대역폭 1 대 1만으로 실제 모든 작업의 성능이 보장되지는 않으므로 본문에서는 합산 포트 기준이라고 명시한다.</w:t>
      </w:r>
    </w:p>
    <w:bookmarkStart w:id="280" w:name="계산식과-변수-54"/>
    <w:p>
      <w:pPr>
        <w:pStyle w:val="Heading2"/>
        <w:widowControl/>
      </w:pPr>
      <w:r>
        <w:t xml:space="preserve">계산식과 변수</w:t>
      </w:r>
    </w:p>
    <w:p>
      <w:pPr>
        <w:pStyle w:val="FirstParagraph"/>
        <w:widowControl/>
        <w:spacing w:line="252" w:lineRule="auto" w:before="100" w:after="180"/>
      </w:pPr>
      <m:oMathPara>
        <m:oMathParaPr>
          <m:jc m:val="center"/>
        </m:oMathParaPr>
        <m:oMath>
          <m:sSub>
            <m:e>
              <m:r>
                <m:t>N</m:t>
              </m:r>
            </m:e>
            <m:sub>
              <m:r>
                <m:t>l</m:t>
              </m:r>
              <m:r>
                <m:t>i</m:t>
              </m:r>
              <m:r>
                <m:t>n</m:t>
              </m:r>
              <m:r>
                <m:t>k</m:t>
              </m:r>
              <m:r>
                <m:t>s</m:t>
              </m:r>
              <m:r>
                <m:rPr>
                  <m:sty m:val="p"/>
                </m:rPr>
                <m:t>,</m:t>
              </m:r>
              <m:r>
                <m:t>t</m:t>
              </m:r>
              <m:r>
                <m:t>o</m:t>
              </m:r>
              <m:r>
                <m:t>t</m:t>
              </m:r>
              <m:r>
                <m:t>a</m:t>
              </m:r>
              <m:r>
                <m:t>l</m:t>
              </m:r>
            </m:sub>
          </m:sSub>
          <m:r>
            <m:rPr>
              <m:sty m:val="p"/>
            </m:rPr>
            <m:t>=</m:t>
          </m:r>
          <m:r>
            <m:t>1024</m:t>
          </m:r>
          <m:r>
            <m:rPr>
              <m:sty m:val="p"/>
            </m:rPr>
            <m:t>+</m:t>
          </m:r>
          <m:r>
            <m:t>1024</m:t>
          </m:r>
          <m:r>
            <m:rPr>
              <m:sty m:val="p"/>
            </m:rPr>
            <m:t>=</m:t>
          </m:r>
          <m:r>
            <m:t>2048</m:t>
          </m:r>
        </m:oMath>
      </m:oMathPara>
    </w:p>
    <w:p>
      <w:pPr>
        <w:pStyle w:val="FirstParagraph"/>
        <w:widowControl/>
        <w:spacing w:line="252" w:lineRule="auto" w:before="100" w:after="180"/>
      </w:pPr>
      <m:oMathPara>
        <m:oMathParaPr>
          <m:jc m:val="center"/>
        </m:oMathParaPr>
        <m:oMath>
          <m:sSub>
            <m:e>
              <m:r>
                <m:t>N</m:t>
              </m:r>
            </m:e>
            <m:sub>
              <m:r>
                <m:t>e</m:t>
              </m:r>
              <m:r>
                <m:t>n</m:t>
              </m:r>
              <m:r>
                <m:t>d</m:t>
              </m:r>
              <m:r>
                <m:t>p</m:t>
              </m:r>
              <m:r>
                <m:t>o</m:t>
              </m:r>
              <m:r>
                <m:t>i</m:t>
              </m:r>
              <m:r>
                <m:t>n</m:t>
              </m:r>
              <m:r>
                <m:t>t</m:t>
              </m:r>
              <m:r>
                <m:t>s</m:t>
              </m:r>
            </m:sub>
          </m:sSub>
          <m:r>
            <m:rPr>
              <m:sty m:val="p"/>
            </m:rPr>
            <m:t>=</m:t>
          </m:r>
          <m:r>
            <m:t>1024</m:t>
          </m:r>
          <m:r>
            <m:rPr>
              <m:sty m:val="p"/>
            </m:rPr>
            <m:t>+</m:t>
          </m:r>
          <m:r>
            <m:t>32</m:t>
          </m:r>
          <m:d>
            <m:dPr>
              <m:begChr m:val="("/>
              <m:endChr m:val=")"/>
              <m:sepChr m:val=""/>
              <m:grow/>
            </m:dPr>
            <m:e>
              <m:r>
                <m:t>64</m:t>
              </m:r>
            </m:e>
          </m:d>
          <m:r>
            <m:rPr>
              <m:sty m:val="p"/>
            </m:rPr>
            <m:t>+</m:t>
          </m:r>
          <m:r>
            <m:t>16</m:t>
          </m:r>
          <m:d>
            <m:dPr>
              <m:begChr m:val="("/>
              <m:endChr m:val=")"/>
              <m:sepChr m:val=""/>
              <m:grow/>
            </m:dPr>
            <m:e>
              <m:r>
                <m:t>64</m:t>
              </m:r>
            </m:e>
          </m:d>
          <m:r>
            <m:rPr>
              <m:sty m:val="p"/>
            </m:rPr>
            <m:t>=</m:t>
          </m:r>
          <m:r>
            <m:t>4096</m:t>
          </m:r>
        </m:oMath>
      </m:oMathPara>
    </w:p>
    <w:tbl>
      <w:tblPr>
        <w:tblStyle w:val="Table"/>
        <w:tblW w:type="dxa" w:w="986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096"/>
        <w:gridCol w:w="4392"/>
      </w:tblGrid>
      <w:tr>
        <w:trPr>
          <w:tblHeader w:val="true"/>
          <w:cantSplit/>
          <w:tblHeader/>
        </w:trPr>
        <w:tc>
          <w:tcPr>
            <w:tcW w:type="dxa" w:w="237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검산</w:t>
            </w:r>
          </w:p>
        </w:tc>
        <w:tc>
          <w:tcPr>
            <w:tcW w:type="dxa" w:w="309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값</w:t>
            </w:r>
          </w:p>
        </w:tc>
        <w:tc>
          <w:tcPr>
            <w:tcW w:type="dxa" w:w="4392"/>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일치 여부</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링크의 두 배</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2048 곱하기 2</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4096</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서버 종단</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1024</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합산 포함</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Leaf 종단</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2048</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합산 포함</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Spine 종단</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1024</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합산 포함</w:t>
            </w:r>
          </w:p>
        </w:tc>
      </w:tr>
    </w:tbl>
    <w:bookmarkEnd w:id="280"/>
    <w:bookmarkStart w:id="281" w:name="적용과-검증-82"/>
    <w:p>
      <w:pPr>
        <w:pStyle w:val="Heading2"/>
        <w:widowControl/>
      </w:pPr>
      <w:r>
        <w:t xml:space="preserve">적용과 검증</w:t>
      </w:r>
    </w:p>
    <w:p>
      <w:pPr>
        <w:pStyle w:val="FirstParagraph"/>
        <w:keepNext/>
        <w:widowControl/>
      </w:pPr>
      <w:r>
        <w:t xml:space="preserve">Spine 한 대가 정지하면 각 Leaf는 업링크 2개를 잃는다. 잔여 30개로 12Tb/s가 남아 초과가입비는 약 1.0667 대 1이다. 정상 설계와 장애 성능을 별도로 보고한다.</w:t>
      </w:r>
    </w:p>
    <w:p>
      <w:pPr>
        <w:pStyle w:val="BodyText"/>
        <w:widowControl/>
        <w:spacing w:before="160"/>
      </w:pPr>
      <w:r>
        <w:rPr>
          <w:sz w:val="17"/>
        </w:rPr>
        <w:t xml:space="preserve">근거 및 추가 읽기 [R17] [R18]</w:t>
      </w:r>
    </w:p>
    <w:bookmarkEnd w:id="281"/>
    <w:bookmarkEnd w:id="282"/>
    <w:bookmarkStart w:id="285" w:name="사례-c-광섬유와-경로별-간선-산정"/>
    <w:p>
      <w:pPr>
        <w:pStyle w:val="Heading1"/>
        <w:keepNext/>
        <w:widowControl/>
      </w:pPr>
      <w:bookmarkStart w:id="87" w:name="topic_87"/>
      <w:r>
        <w:t xml:space="preserve">87 사례 C 광섬유와 경로별 간선 산정</w:t>
      </w:r>
      <w:bookmarkEnd w:id="87"/>
    </w:p>
    <w:p>
      <w:pPr>
        <w:pStyle w:val="FirstParagraph"/>
        <w:widowControl/>
      </w:pPr>
      <w:r>
        <w:rPr>
          <w:bCs/>
          <w:b/>
        </w:rPr>
        <w:t xml:space="preserve">8부 재현 가능한 통합 사례 검증</w:t>
      </w:r>
    </w:p>
    <w:p>
      <w:pPr>
        <w:pStyle w:val="BodyText"/>
        <w:widowControl/>
      </w:pPr>
      <w:r>
        <w:t xml:space="preserve">서버 링크 1024개와 계층간 링크 1024개를 모두 8심 사용 병렬 광링크로 가정하면 총 사용 심수는 16384심이다. 링크를 묶는 실제 경로에 따라 간선 본수가 달라지므로 이 합계를 하나의 케이블로 바로 변환하지 않는다.</w:t>
      </w:r>
    </w:p>
    <w:p>
      <w:pPr>
        <w:pStyle w:val="BodyText"/>
        <w:widowControl/>
      </w:pPr>
      <w:r>
        <w:t xml:space="preserve">Leaf–Spine 한 쌍에는 2링크가 있으므로 사용 심수는 16심이다. 각 쌍을 독립된 24심 케이블 한 본으로 연결하는 구조를 가정하면 32×16=512본이다. 설치 심수는 12288심이고 이 구간 사용 심수 8192심보다 4096심 많다.</w:t>
      </w:r>
    </w:p>
    <w:p>
      <w:pPr>
        <w:pStyle w:val="BodyText"/>
        <w:widowControl/>
      </w:pPr>
      <w:r>
        <w:t xml:space="preserve">같은 24심에서 8심 링크 세 개를 수용할 수 있지만 이 예제는 쌍마다 두 링크만 필요하다. 케이블의 잔여 심을 다른 쌍으로 이동시킬 수 없으므로 전체를 합산해 나눈 최소 본수와 실제 경로별 본수는 다르다.</w:t>
      </w:r>
    </w:p>
    <w:bookmarkStart w:id="283" w:name="계산식과-변수-55"/>
    <w:p>
      <w:pPr>
        <w:pStyle w:val="Heading2"/>
        <w:widowControl/>
      </w:pPr>
      <w:r>
        <w:t xml:space="preserve">계산식과 변수</w:t>
      </w:r>
    </w:p>
    <w:p>
      <w:pPr>
        <w:pStyle w:val="FirstParagraph"/>
        <w:widowControl/>
        <w:spacing w:line="252" w:lineRule="auto" w:before="100" w:after="180"/>
      </w:pPr>
      <m:oMathPara>
        <m:oMathParaPr>
          <m:jc m:val="center"/>
        </m:oMathParaPr>
        <m:oMath>
          <m:sSub>
            <m:e>
              <m:r>
                <m:t>F</m:t>
              </m:r>
            </m:e>
            <m:sub>
              <m:r>
                <m:t>L</m:t>
              </m:r>
              <m:r>
                <m:t>S</m:t>
              </m:r>
              <m:r>
                <m:rPr>
                  <m:sty m:val="p"/>
                </m:rPr>
                <m:t>,</m:t>
              </m:r>
              <m:r>
                <m:t>a</m:t>
              </m:r>
              <m:r>
                <m:t>c</m:t>
              </m:r>
              <m:r>
                <m:t>t</m:t>
              </m:r>
              <m:r>
                <m:t>i</m:t>
              </m:r>
              <m:r>
                <m:t>v</m:t>
              </m:r>
              <m:r>
                <m:t>e</m:t>
              </m:r>
            </m:sub>
          </m:sSub>
          <m:r>
            <m:rPr>
              <m:sty m:val="p"/>
            </m:rPr>
            <m:t>=</m:t>
          </m:r>
          <m:r>
            <m:t>1024</m:t>
          </m:r>
          <m:d>
            <m:dPr>
              <m:begChr m:val="("/>
              <m:endChr m:val=")"/>
              <m:sepChr m:val=""/>
              <m:grow/>
            </m:dPr>
            <m:e>
              <m:r>
                <m:t>8</m:t>
              </m:r>
            </m:e>
          </m:d>
          <m:r>
            <m:rPr>
              <m:sty m:val="p"/>
            </m:rPr>
            <m:t>=</m:t>
          </m:r>
          <m:r>
            <m:t>8192</m:t>
          </m:r>
        </m:oMath>
      </m:oMathPara>
    </w:p>
    <w:p>
      <w:pPr>
        <w:pStyle w:val="FirstParagraph"/>
        <w:widowControl/>
        <w:spacing w:line="252" w:lineRule="auto" w:before="100" w:after="180"/>
      </w:pPr>
      <m:oMathPara>
        <m:oMathParaPr>
          <m:jc m:val="center"/>
        </m:oMathParaPr>
        <m:oMath>
          <m:sSub>
            <m:e>
              <m:r>
                <m:t>N</m:t>
              </m:r>
            </m:e>
            <m:sub>
              <m:r>
                <m:t>t</m:t>
              </m:r>
              <m:r>
                <m:t>r</m:t>
              </m:r>
              <m:r>
                <m:t>u</m:t>
              </m:r>
              <m:r>
                <m:t>n</m:t>
              </m:r>
              <m:r>
                <m:t>k</m:t>
              </m:r>
            </m:sub>
          </m:sSub>
          <m:r>
            <m:rPr>
              <m:sty m:val="p"/>
            </m:rPr>
            <m:t>=</m:t>
          </m:r>
          <m:r>
            <m:t>32</m:t>
          </m:r>
          <m:d>
            <m:dPr>
              <m:begChr m:val="("/>
              <m:endChr m:val=")"/>
              <m:sepChr m:val=""/>
              <m:grow/>
            </m:dPr>
            <m:e>
              <m:r>
                <m:t>16</m:t>
              </m:r>
            </m:e>
          </m:d>
          <m:r>
            <m:rPr>
              <m:sty m:val="p"/>
            </m:rPr>
            <m:t>=</m:t>
          </m:r>
          <m:r>
            <m:t>512</m:t>
          </m:r>
        </m:oMath>
      </m:oMathPara>
    </w:p>
    <w:p>
      <w:pPr>
        <w:pStyle w:val="FirstParagraph"/>
        <w:widowControl/>
        <w:spacing w:line="252" w:lineRule="auto" w:before="100" w:after="180"/>
      </w:pPr>
      <m:oMathPara>
        <m:oMathParaPr>
          <m:jc m:val="center"/>
        </m:oMathParaPr>
        <m:oMath>
          <m:sSub>
            <m:e>
              <m:r>
                <m:t>F</m:t>
              </m:r>
            </m:e>
            <m:sub>
              <m:r>
                <m:t>L</m:t>
              </m:r>
              <m:r>
                <m:t>S</m:t>
              </m:r>
              <m:r>
                <m:rPr>
                  <m:sty m:val="p"/>
                </m:rPr>
                <m:t>,</m:t>
              </m:r>
              <m:r>
                <m:t>i</m:t>
              </m:r>
              <m:r>
                <m:t>n</m:t>
              </m:r>
              <m:r>
                <m:t>s</m:t>
              </m:r>
              <m:r>
                <m:t>t</m:t>
              </m:r>
              <m:r>
                <m:t>a</m:t>
              </m:r>
              <m:r>
                <m:t>l</m:t>
              </m:r>
              <m:r>
                <m:t>l</m:t>
              </m:r>
              <m:r>
                <m:t>e</m:t>
              </m:r>
              <m:r>
                <m:t>d</m:t>
              </m:r>
            </m:sub>
          </m:sSub>
          <m:r>
            <m:rPr>
              <m:sty m:val="p"/>
            </m:rPr>
            <m:t>=</m:t>
          </m:r>
          <m:r>
            <m:t>512</m:t>
          </m:r>
          <m:d>
            <m:dPr>
              <m:begChr m:val="("/>
              <m:endChr m:val=")"/>
              <m:sepChr m:val=""/>
              <m:grow/>
            </m:dPr>
            <m:e>
              <m:r>
                <m:t>24</m:t>
              </m:r>
            </m:e>
          </m:d>
          <m:r>
            <m:rPr>
              <m:sty m:val="p"/>
            </m:rPr>
            <m:t>=</m:t>
          </m:r>
          <m:r>
            <m:t>12288</m:t>
          </m:r>
        </m:oMath>
      </m:oMathPara>
    </w:p>
    <w:tbl>
      <w:tblPr>
        <w:tblStyle w:val="Table"/>
        <w:tblW w:type="dxa" w:w="986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096"/>
        <w:gridCol w:w="4392"/>
      </w:tblGrid>
      <w:tr>
        <w:trPr>
          <w:tblHeader w:val="true"/>
          <w:cantSplit/>
          <w:tblHeader/>
        </w:trPr>
        <w:tc>
          <w:tcPr>
            <w:tcW w:type="dxa" w:w="237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범위</w:t>
            </w:r>
          </w:p>
        </w:tc>
        <w:tc>
          <w:tcPr>
            <w:tcW w:type="dxa" w:w="309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사용 심수</w:t>
            </w:r>
          </w:p>
        </w:tc>
        <w:tc>
          <w:tcPr>
            <w:tcW w:type="dxa" w:w="4392"/>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설치 가정</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서버측</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8192심</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별도 경로로 산정</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Leaf Spine</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8192심</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24심 512본</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두 구간 합계</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16384심</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전체 설치 심수와 구분</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간선 길이 100m</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51200m</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Leaf Spine만</w:t>
            </w:r>
          </w:p>
        </w:tc>
      </w:tr>
    </w:tbl>
    <w:bookmarkEnd w:id="283"/>
    <w:bookmarkStart w:id="284" w:name="적용과-검증-83"/>
    <w:p>
      <w:pPr>
        <w:pStyle w:val="Heading2"/>
        <w:widowControl/>
      </w:pPr>
      <w:r>
        <w:t xml:space="preserve">적용과 검증</w:t>
      </w:r>
    </w:p>
    <w:p>
      <w:pPr>
        <w:pStyle w:val="FirstParagraph"/>
        <w:keepNext/>
        <w:widowControl/>
      </w:pPr>
      <w:r>
        <w:t xml:space="preserve">이 케이블 구조는 수량 계산 예시이며 MPO 패널과 분기 부품이 필요하다. 실제 광모듈의 허용 손실과 거리, 극성을 검토한 후 연결 부품을 확정한다.</w:t>
      </w:r>
    </w:p>
    <w:p>
      <w:pPr>
        <w:pStyle w:val="BodyText"/>
        <w:widowControl/>
        <w:spacing w:before="160"/>
      </w:pPr>
      <w:r>
        <w:rPr>
          <w:sz w:val="17"/>
        </w:rPr>
        <w:t xml:space="preserve">근거 및 추가 읽기 [R20] [R22]</w:t>
      </w:r>
    </w:p>
    <w:bookmarkEnd w:id="284"/>
    <w:bookmarkEnd w:id="285"/>
    <w:bookmarkStart w:id="288" w:name="사례-c-랙-전력과-냉각-규모"/>
    <w:p>
      <w:pPr>
        <w:pStyle w:val="Heading1"/>
        <w:keepNext/>
        <w:widowControl/>
      </w:pPr>
      <w:bookmarkStart w:id="88" w:name="topic_88"/>
      <w:r>
        <w:t xml:space="preserve">88 사례 C 랙 전력과 냉각 규모</w:t>
      </w:r>
      <w:bookmarkEnd w:id="88"/>
    </w:p>
    <w:p>
      <w:pPr>
        <w:pStyle w:val="FirstParagraph"/>
        <w:widowControl/>
      </w:pPr>
      <w:r>
        <w:rPr>
          <w:bCs/>
          <w:b/>
        </w:rPr>
        <w:t xml:space="preserve">8부 재현 가능한 통합 사례 검증</w:t>
      </w:r>
    </w:p>
    <w:p>
      <w:pPr>
        <w:pStyle w:val="BodyText"/>
        <w:widowControl/>
      </w:pPr>
      <w:r>
        <w:t xml:space="preserve">H100 최대전력을 참고한 서버당 10.2kW 모델을 사용하면 128대는 1305.6kW다. 서버당 네 대를 배치하면 서버 랙은 32개다. 네트워크·저장 및 관리 전력은 100kW로 별도 예약한 가정이며 실제 부품별 계산으로 대체해야 한다.</w:t>
      </w:r>
    </w:p>
    <w:p>
      <w:pPr>
        <w:pStyle w:val="BodyText"/>
        <w:widowControl/>
      </w:pPr>
      <w:r>
        <w:t xml:space="preserve">총 IT 전력은 1405.6kW다. 같은 운전점의 시설 전력비를 1.3으로 가정하면 시설 전력은 1827.28kW다. 이 수량은 서버 랙 기준이며 48대 Fabric 스위치와 저장장치를 위한 공간을 자동 포함하지 않는다.</w:t>
      </w:r>
    </w:p>
    <w:p>
      <w:pPr>
        <w:pStyle w:val="BodyText"/>
        <w:widowControl/>
      </w:pPr>
      <w:r>
        <w:t xml:space="preserve">전체 열을 액체 80%, 공기 20%로 나누는 별도 가상 수랭 설계를 비교할 수 있지만 H100 공랭 제품을 그대로 수랭 제품으로 전환한 검증은 아니다. 액냉 지원 서버를 선정한 뒤 실제 회수율로 다시 계산해야 한다.</w:t>
      </w:r>
    </w:p>
    <w:bookmarkStart w:id="286" w:name="계산식과-변수-56"/>
    <w:p>
      <w:pPr>
        <w:pStyle w:val="Heading2"/>
        <w:widowControl/>
      </w:pPr>
      <w:r>
        <w:t xml:space="preserve">계산식과 변수</w:t>
      </w:r>
    </w:p>
    <w:p>
      <w:pPr>
        <w:pStyle w:val="FirstParagraph"/>
        <w:widowControl/>
        <w:spacing w:line="252" w:lineRule="auto" w:before="100" w:after="180"/>
      </w:pPr>
      <m:oMathPara>
        <m:oMathParaPr>
          <m:jc m:val="center"/>
        </m:oMathParaPr>
        <m:oMath>
          <m:sSub>
            <m:e>
              <m:r>
                <m:t>P</m:t>
              </m:r>
            </m:e>
            <m:sub>
              <m:r>
                <m:t>I</m:t>
              </m:r>
              <m:r>
                <m:t>T</m:t>
              </m:r>
            </m:sub>
          </m:sSub>
          <m:r>
            <m:rPr>
              <m:sty m:val="p"/>
            </m:rPr>
            <m:t>=</m:t>
          </m:r>
          <m:r>
            <m:t>128</m:t>
          </m:r>
          <m:d>
            <m:dPr>
              <m:begChr m:val="("/>
              <m:endChr m:val=")"/>
              <m:sepChr m:val=""/>
              <m:grow/>
            </m:dPr>
            <m:e>
              <m:r>
                <m:t>10.2</m:t>
              </m:r>
            </m:e>
          </m:d>
          <m:r>
            <m:rPr>
              <m:sty m:val="p"/>
            </m:rPr>
            <m:t>+</m:t>
          </m:r>
          <m:r>
            <m:t>100</m:t>
          </m:r>
          <m:r>
            <m:rPr>
              <m:sty m:val="p"/>
            </m:rPr>
            <m:t>=</m:t>
          </m:r>
          <m:r>
            <m:t>1405.6</m:t>
          </m:r>
        </m:oMath>
      </m:oMathPara>
    </w:p>
    <w:p>
      <w:pPr>
        <w:pStyle w:val="FirstParagraph"/>
        <w:widowControl/>
        <w:spacing w:line="252" w:lineRule="auto" w:before="100" w:after="180"/>
      </w:pPr>
      <m:oMathPara>
        <m:oMathParaPr>
          <m:jc m:val="center"/>
        </m:oMathParaPr>
        <m:oMath>
          <m:sSub>
            <m:e>
              <m:r>
                <m:t>P</m:t>
              </m:r>
            </m:e>
            <m:sub>
              <m:r>
                <m:t>f</m:t>
              </m:r>
              <m:r>
                <m:t>a</m:t>
              </m:r>
              <m:r>
                <m:t>c</m:t>
              </m:r>
              <m:r>
                <m:t>i</m:t>
              </m:r>
              <m:r>
                <m:t>l</m:t>
              </m:r>
              <m:r>
                <m:t>i</m:t>
              </m:r>
              <m:r>
                <m:t>t</m:t>
              </m:r>
              <m:r>
                <m:t>y</m:t>
              </m:r>
            </m:sub>
          </m:sSub>
          <m:r>
            <m:rPr>
              <m:sty m:val="p"/>
            </m:rPr>
            <m:t>=</m:t>
          </m:r>
          <m:r>
            <m:t>1405.6</m:t>
          </m:r>
          <m:d>
            <m:dPr>
              <m:begChr m:val="("/>
              <m:endChr m:val=")"/>
              <m:sepChr m:val=""/>
              <m:grow/>
            </m:dPr>
            <m:e>
              <m:r>
                <m:t>1.3</m:t>
              </m:r>
            </m:e>
          </m:d>
          <m:r>
            <m:rPr>
              <m:sty m:val="p"/>
            </m:rPr>
            <m:t>=</m:t>
          </m:r>
          <m:r>
            <m:t>1827.28</m:t>
          </m:r>
        </m:oMath>
      </m:oMathPara>
    </w:p>
    <w:tbl>
      <w:tblPr>
        <w:tblStyle w:val="Table"/>
        <w:tblW w:type="dxa" w:w="986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096"/>
        <w:gridCol w:w="4392"/>
      </w:tblGrid>
      <w:tr>
        <w:trPr>
          <w:tblHeader w:val="true"/>
          <w:cantSplit/>
          <w:tblHeader/>
        </w:trPr>
        <w:tc>
          <w:tcPr>
            <w:tcW w:type="dxa" w:w="237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항목</w:t>
            </w:r>
          </w:p>
        </w:tc>
        <w:tc>
          <w:tcPr>
            <w:tcW w:type="dxa" w:w="309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결과</w:t>
            </w:r>
          </w:p>
        </w:tc>
        <w:tc>
          <w:tcPr>
            <w:tcW w:type="dxa" w:w="4392"/>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구분</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서버 랙</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32개</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4대 배치 기준</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서버 최대전력</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1305.6kW</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공식 단위값 적용</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부대 IT 예약</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100kW</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예산 가정</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총 IT 전력</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1405.6kW</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합산</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시설 전력 추정</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1827.28kW</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비율 가정</w:t>
            </w:r>
          </w:p>
        </w:tc>
      </w:tr>
    </w:tbl>
    <w:bookmarkEnd w:id="286"/>
    <w:bookmarkStart w:id="287" w:name="적용과-검증-84"/>
    <w:p>
      <w:pPr>
        <w:pStyle w:val="Heading2"/>
        <w:widowControl/>
      </w:pPr>
      <w:r>
        <w:t xml:space="preserve">적용과 검증</w:t>
      </w:r>
    </w:p>
    <w:p>
      <w:pPr>
        <w:pStyle w:val="FirstParagraph"/>
        <w:keepNext/>
        <w:widowControl/>
      </w:pPr>
      <w:r>
        <w:t xml:space="preserve">수랭 지원 제품에서 같은 총부하와 회수율 80%를 가정하면 액체측 열은 1124.48kW다. 물의 ΔT=10K이면 약 1611.8L/min이 필요하다. 공기측 281.12kW도 별도로 제거한다.</w:t>
      </w:r>
    </w:p>
    <w:p>
      <w:pPr>
        <w:pStyle w:val="BodyText"/>
        <w:widowControl/>
        <w:spacing w:before="160"/>
      </w:pPr>
      <w:r>
        <w:rPr>
          <w:sz w:val="17"/>
        </w:rPr>
        <w:t xml:space="preserve">근거 및 추가 읽기 [R09] [R10] [R13]</w:t>
      </w:r>
    </w:p>
    <w:bookmarkEnd w:id="287"/>
    <w:bookmarkEnd w:id="288"/>
    <w:bookmarkStart w:id="293" w:name="사례-d-pam4-광링크와-접속점-변경-검증"/>
    <w:p>
      <w:pPr>
        <w:pStyle w:val="Heading1"/>
        <w:keepNext/>
        <w:widowControl/>
      </w:pPr>
      <w:bookmarkStart w:id="89" w:name="topic_89"/>
      <w:r>
        <w:t xml:space="preserve">89 사례 D PAM4 광링크와 접속점 변경 검증</w:t>
      </w:r>
      <w:bookmarkEnd w:id="89"/>
    </w:p>
    <w:p>
      <w:pPr>
        <w:pStyle w:val="FirstParagraph"/>
        <w:widowControl/>
      </w:pPr>
      <w:r>
        <w:rPr>
          <w:bCs/>
          <w:b/>
        </w:rPr>
        <w:t xml:space="preserve">8부 재현 가능한 통합 사례 검증</w:t>
      </w:r>
    </w:p>
    <w:p>
      <w:pPr>
        <w:pStyle w:val="BodyText"/>
        <w:widowControl/>
      </w:pPr>
      <w:r>
        <w:t xml:space="preserve">사례 D는 기존의 100m 단모드 구조화 배선과 접속 손실을 유지하면서 PAM4 품질 조건을 추가한다. 감쇠 0.4dB/km, 결합 쌍당 0.35dB와 융착당 0.10dB는 설계 가정이다. 초기 결합 쌍 네 개와 융착 두 개에서 총손실은 1.64dB다. 결합 쌍 네 개 추가 시 3.04dB, 두 개 추가 시 2.34dB다.</w:t>
      </w:r>
    </w:p>
    <w:bookmarkStart w:id="289" w:name="동일-조건의-oma와-수신-스트레스-비교"/>
    <w:p>
      <w:pPr>
        <w:pStyle w:val="Heading2"/>
        <w:widowControl/>
      </w:pPr>
      <w:r>
        <w:t xml:space="preserve">동일 조건의 OMA와 수신 스트레스 비교</w:t>
      </w:r>
    </w:p>
    <w:p>
      <w:pPr>
        <w:pStyle w:val="FirstParagraph"/>
        <w:widowControl/>
      </w:pPr>
      <w:r>
        <w:t xml:space="preserve">비교 대상으로 [R30]의 100m 2×400G 제품군 공개 광학 사양을 택한다. 이는 사례 D가 제조사의 승인된 구조화 배선이라는 뜻은 아니다. 해당 제품의 추가 접속 허용 구조와 모든 실제 모듈 형명은 별도 확인한다. 송신점은 TDECQ=3.4dB, OMAouter=1.2dBm으로 가정한다. OMA−TDECQ=−2.2dBm이므로 공개 송신 결합 하한을 만족한다.</w:t>
      </w:r>
    </w:p>
    <w:p>
      <w:pPr>
        <w:pStyle w:val="BodyText"/>
        <w:widowControl/>
      </w:pPr>
      <w:r>
        <w:t xml:space="preserve">수신 비교에는 SECQ=3.4dB 등 지정 시험 조건에서 SRS=−1.9dBm OMA를 사용한다. 계산을 위해 TP3의 파형 스트레스가 그 수신 시험 조건과 같음을 추가 가정한다. 송신 TDECQ가 3.4dB라는 사실만으로 수신 SECQ도 3.4dB라고 추정한 것이 아니다. 이 조건을 실측하지 않으면 결과는 조건부 참고 계산이다.</w:t>
      </w:r>
    </w:p>
    <w:p>
      <w:pPr>
        <w:pStyle w:val="BodyText"/>
        <w:widowControl/>
        <w:spacing w:line="252" w:lineRule="auto" w:before="100" w:after="180"/>
      </w:pPr>
      <m:oMathPara>
        <m:oMathParaPr>
          <m:jc m:val="center"/>
        </m:oMathParaPr>
        <m:oMath>
          <m:sSub>
            <m:e>
              <m:r>
                <m:t>K</m:t>
              </m:r>
            </m:e>
            <m:sub>
              <m:r>
                <m:t>T</m:t>
              </m:r>
              <m:r>
                <m:t>x</m:t>
              </m:r>
            </m:sub>
          </m:sSub>
          <m:r>
            <m:rPr>
              <m:sty m:val="p"/>
            </m:rPr>
            <m:t>=</m:t>
          </m:r>
          <m:r>
            <m:t>1.2</m:t>
          </m:r>
          <m:r>
            <m:rPr>
              <m:sty m:val="p"/>
            </m:rPr>
            <m:t>−</m:t>
          </m:r>
          <m:r>
            <m:t>3.4</m:t>
          </m:r>
          <m:r>
            <m:rPr>
              <m:sty m:val="p"/>
            </m:rPr>
            <m:t>=</m:t>
          </m:r>
          <m:r>
            <m:rPr>
              <m:sty m:val="p"/>
            </m:rPr>
            <m:t>−</m:t>
          </m:r>
          <m:r>
            <m:t>2.2</m:t>
          </m:r>
          <m:r>
            <m:t> </m:t>
          </m:r>
          <m:r>
            <m:rPr>
              <m:sty m:val="p"/>
            </m:rPr>
            <m:t>d</m:t>
          </m:r>
          <m:r>
            <m:rPr>
              <m:sty m:val="p"/>
            </m:rPr>
            <m:t>B</m:t>
          </m:r>
          <m:r>
            <m:rPr>
              <m:sty m:val="p"/>
            </m:rPr>
            <m:t>m</m:t>
          </m:r>
        </m:oMath>
      </m:oMathPara>
    </w:p>
    <w:p>
      <w:pPr>
        <w:pStyle w:val="FirstParagraph"/>
        <w:widowControl/>
        <w:spacing w:line="252" w:lineRule="auto" w:before="100" w:after="180"/>
      </w:pPr>
      <m:oMathPara>
        <m:oMathParaPr>
          <m:jc m:val="center"/>
        </m:oMathParaPr>
        <m:oMath>
          <m:sSub>
            <m:e>
              <m:r>
                <m:t>M</m:t>
              </m:r>
            </m:e>
            <m:sub>
              <m:r>
                <m:t>O</m:t>
              </m:r>
              <m:r>
                <m:t>M</m:t>
              </m:r>
              <m:r>
                <m:t>A</m:t>
              </m:r>
              <m:r>
                <m:rPr>
                  <m:sty m:val="p"/>
                </m:rPr>
                <m:t>,</m:t>
              </m:r>
              <m:r>
                <m:t>c</m:t>
              </m:r>
              <m:r>
                <m:t>o</m:t>
              </m:r>
              <m:r>
                <m:t>n</m:t>
              </m:r>
              <m:r>
                <m:t>d</m:t>
              </m:r>
              <m:r>
                <m:t>i</m:t>
              </m:r>
              <m:r>
                <m:t>t</m:t>
              </m:r>
              <m:r>
                <m:t>i</m:t>
              </m:r>
              <m:r>
                <m:t>o</m:t>
              </m:r>
              <m:r>
                <m:t>n</m:t>
              </m:r>
              <m:r>
                <m:t>a</m:t>
              </m:r>
              <m:r>
                <m:t>l</m:t>
              </m:r>
            </m:sub>
          </m:sSub>
          <m:r>
            <m:rPr>
              <m:sty m:val="p"/>
            </m:rPr>
            <m:t>=</m:t>
          </m:r>
          <m:r>
            <m:t>1.2</m:t>
          </m:r>
          <m:r>
            <m:rPr>
              <m:sty m:val="p"/>
            </m:rPr>
            <m:t>−</m:t>
          </m:r>
          <m:r>
            <m:t>I</m:t>
          </m:r>
          <m:r>
            <m:t>L</m:t>
          </m:r>
          <m:r>
            <m:rPr>
              <m:sty m:val="p"/>
            </m:rPr>
            <m:t>−</m:t>
          </m:r>
          <m:d>
            <m:dPr>
              <m:begChr m:val="("/>
              <m:endChr m:val=")"/>
              <m:sepChr m:val=""/>
              <m:grow/>
            </m:dPr>
            <m:e>
              <m:r>
                <m:rPr>
                  <m:sty m:val="p"/>
                </m:rPr>
                <m:t>−</m:t>
              </m:r>
              <m:r>
                <m:t>1.9</m:t>
              </m:r>
            </m:e>
          </m:d>
          <m:r>
            <m:rPr>
              <m:sty m:val="p"/>
            </m:rPr>
            <m:t>=</m:t>
          </m:r>
          <m:r>
            <m:t>3.1</m:t>
          </m:r>
          <m:r>
            <m:rPr>
              <m:sty m:val="p"/>
            </m:rPr>
            <m:t>−</m:t>
          </m:r>
          <m:r>
            <m:t>I</m:t>
          </m:r>
          <m:r>
            <m:t>L</m:t>
          </m:r>
        </m:oMath>
      </m:oMathPara>
    </w:p>
    <w:p>
      <w:pPr>
        <w:pStyle w:val="FirstParagraph"/>
        <w:widowControl/>
      </w:pPr>
      <w:r>
        <w:t xml:space="preserve">추가 설계 여유 0.50dB를 프로젝트 가정으로 예약한다. 제품의 최대 TDECQ를 다시 차감하지 않는다. 수신 시험 조건에서 이미 파형 스트레스가 주어졌기 때문이다. 이 3.1dB는 선택한 송신점과 수신 시험 조건 사이의 차이이며 제조사가 보증한 전체 채널 손실 한계라고 명명하지 않는다.</w:t>
      </w:r>
    </w:p>
    <w:tbl>
      <w:tblPr>
        <w:tblStyle w:val="Table"/>
        <w:tblW w:type="dxa" w:w="986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466"/>
        <w:gridCol w:w="2466"/>
        <w:gridCol w:w="2466"/>
        <w:gridCol w:w="2466"/>
      </w:tblGrid>
      <w:tr>
        <w:trPr>
          <w:tblHeader w:val="true"/>
          <w:cantSplit/>
          <w:tblHeader/>
        </w:trPr>
        <w:tc>
          <w:tcPr>
            <w:tcW w:type="dxa" w:w="246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접속 변경안</w:t>
            </w:r>
          </w:p>
        </w:tc>
        <w:tc>
          <w:tcPr>
            <w:tcW w:type="dxa" w:w="246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채널 IL</w:t>
            </w:r>
          </w:p>
        </w:tc>
        <w:tc>
          <w:tcPr>
            <w:tcW w:type="dxa" w:w="246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조건부 OMA 여유</w:t>
            </w:r>
          </w:p>
        </w:tc>
        <w:tc>
          <w:tcPr>
            <w:tcW w:type="dxa" w:w="246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0.5dB 예약 후</w:t>
            </w:r>
          </w:p>
        </w:tc>
      </w:tr>
      <w:tr>
        <w:trPr>
          <w:cantSplit/>
        </w:trPr>
        <w:tc>
          <w:tcPr>
            <w:tcW w:type="dxa" w:w="246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초기 결합 4쌍</w:t>
            </w:r>
          </w:p>
        </w:tc>
        <w:tc>
          <w:tcPr>
            <w:tcW w:type="dxa" w:w="246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1.64dB</w:t>
            </w:r>
          </w:p>
        </w:tc>
        <w:tc>
          <w:tcPr>
            <w:tcW w:type="dxa" w:w="246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1.46dB</w:t>
            </w:r>
          </w:p>
        </w:tc>
        <w:tc>
          <w:tcPr>
            <w:tcW w:type="dxa" w:w="246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0.96dB 조건 충족</w:t>
            </w:r>
          </w:p>
        </w:tc>
      </w:tr>
      <w:tr>
        <w:trPr>
          <w:cantSplit/>
        </w:trPr>
        <w:tc>
          <w:tcPr>
            <w:tcW w:type="dxa" w:w="246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결합 2쌍 추가</w:t>
            </w:r>
          </w:p>
        </w:tc>
        <w:tc>
          <w:tcPr>
            <w:tcW w:type="dxa" w:w="246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2.34dB</w:t>
            </w:r>
          </w:p>
        </w:tc>
        <w:tc>
          <w:tcPr>
            <w:tcW w:type="dxa" w:w="246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0.76dB</w:t>
            </w:r>
          </w:p>
        </w:tc>
        <w:tc>
          <w:tcPr>
            <w:tcW w:type="dxa" w:w="246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0.26dB 조건 충족</w:t>
            </w:r>
          </w:p>
        </w:tc>
      </w:tr>
      <w:tr>
        <w:trPr>
          <w:cantSplit/>
        </w:trPr>
        <w:tc>
          <w:tcPr>
            <w:tcW w:type="dxa" w:w="246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결합 4쌍 추가</w:t>
            </w:r>
          </w:p>
        </w:tc>
        <w:tc>
          <w:tcPr>
            <w:tcW w:type="dxa" w:w="246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3.04dB</w:t>
            </w:r>
          </w:p>
        </w:tc>
        <w:tc>
          <w:tcPr>
            <w:tcW w:type="dxa" w:w="246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0.06dB</w:t>
            </w:r>
          </w:p>
        </w:tc>
        <w:tc>
          <w:tcPr>
            <w:tcW w:type="dxa" w:w="246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−0.44dB 조건 불충족</w:t>
            </w:r>
          </w:p>
        </w:tc>
      </w:tr>
    </w:tbl>
    <w:p>
      <w:pPr>
        <w:pStyle w:val="BodyText"/>
        <w:widowControl/>
      </w:pPr>
      <w:r>
        <w:t xml:space="preserve">이 비교는 평균 전력 감도만 사용한 종전의 사례를 대체한다. 예를 들어 이상적 등간격 PAM4와 ER=3.5dB를 추가 가정하면 Tx 평균은 2.3637dBm이다. 세 변경안의 평균 수신전력은 각각 0.7237, 0.0237과 −0.6763dBm으로 공개 평균 범위 −5~4dBm 안에 든다. 평균 조건은 모두 통과해도 선택한 OMA 스트레스와 여유 조건에서는 마지막 변경안이 실패한다.</w:t>
      </w:r>
    </w:p>
    <w:bookmarkEnd w:id="289"/>
    <w:bookmarkStart w:id="290" w:name="상한과-하한-조건을-따로-검사하기"/>
    <w:p>
      <w:pPr>
        <w:pStyle w:val="Heading2"/>
        <w:widowControl/>
      </w:pPr>
      <w:r>
        <w:t xml:space="preserve">상한과 하한 조건을 따로 검사하기</w:t>
      </w:r>
    </w:p>
    <w:p>
      <w:pPr>
        <w:pStyle w:val="FirstParagraph"/>
        <w:widowControl/>
      </w:pPr>
      <w:r>
        <w:t xml:space="preserve">위의 송신점에서 OMA는 1.2dBm이므로 해당 예제의 상한 문제가 없지만 모든 생산품의 최대 출력까지 검증한 것은 아니다. 과부하는 최대 Tx와 최소 채널 손실, 감도는 최소 유효 Tx와 최대 채널 손실을 사용한다. §53의 4.85dBm OMA·0.20dB 최소 손실 예제처럼 평균 상한이 통과해도 OMA 상한은 실패할 수 있다.</w:t>
      </w:r>
    </w:p>
    <w:tbl>
      <w:tblPr>
        <w:tblStyle w:val="Table"/>
        <w:tblW w:type="dxa" w:w="986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096"/>
        <w:gridCol w:w="4392"/>
      </w:tblGrid>
      <w:tr>
        <w:trPr>
          <w:tblHeader w:val="true"/>
          <w:cantSplit/>
          <w:tblHeader/>
        </w:trPr>
        <w:tc>
          <w:tcPr>
            <w:tcW w:type="dxa" w:w="237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최악 조건</w:t>
            </w:r>
          </w:p>
        </w:tc>
        <w:tc>
          <w:tcPr>
            <w:tcW w:type="dxa" w:w="309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사용할 입력</w:t>
            </w:r>
          </w:p>
        </w:tc>
        <w:tc>
          <w:tcPr>
            <w:tcW w:type="dxa" w:w="4392"/>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필요한 확인</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하한</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Tx의 OMA 결합 하한과 최대 IL</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일치하는 Rx 스트레스 기준</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상한</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최대 Tx 평균과 최소 IL</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평균 Rx 상한</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변조 상한</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최대 Tx OMA와 최소 IL</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OMA Rx 상한</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장기 손상</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최대 평균 입력</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동작 상한과 구분</w:t>
            </w:r>
          </w:p>
        </w:tc>
      </w:tr>
    </w:tbl>
    <w:p>
      <w:pPr>
        <w:pStyle w:val="BodyText"/>
        <w:widowControl/>
      </w:pPr>
      <w:r>
        <w:t xml:space="preserve">상·하한 검증에는 전력 측정 오차, 온도와 노화, 케이블 손실 공차를 어느 항목에 반영했는지 남긴다. 제품 자체의 보증 범위에 포함된 온도 보정을 다시 더하거나, 반대로 실측 전형값을 생산 최악값으로 쓰지 않는다.</w:t>
      </w:r>
    </w:p>
    <w:bookmarkEnd w:id="290"/>
    <w:bookmarkStart w:id="291" w:name="반사와-mpi-검토를-접속점-변경에-추가하기"/>
    <w:p>
      <w:pPr>
        <w:pStyle w:val="Heading2"/>
        <w:widowControl/>
      </w:pPr>
      <w:r>
        <w:t xml:space="preserve">반사와 MPI 검토를 접속점 변경에 추가하기</w:t>
      </w:r>
    </w:p>
    <w:p>
      <w:pPr>
        <w:pStyle w:val="FirstParagraph"/>
        <w:widowControl/>
      </w:pPr>
      <w:r>
        <w:t xml:space="preserve">두 변경안이 같은 총손실이라고 해도 반사율과 접속 위치가 다르면 ORL과 MPI가 다를 수 있다. 편도 감쇠와 분포 후방산란을 무시한 단순 예제에서 모든 사건을 −60dB로 놓으면 결합 4쌍의 ORL은 53.98dB, 8쌍은 50.97dB다. 8쌍 중 하나가 −35dB이면 약 34.90dB로 악화된다.</w:t>
      </w:r>
    </w:p>
    <w:tbl>
      <w:tblPr>
        <w:tblStyle w:val="Table"/>
        <w:tblW w:type="dxa" w:w="986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096"/>
        <w:gridCol w:w="4392"/>
      </w:tblGrid>
      <w:tr>
        <w:trPr>
          <w:tblHeader w:val="true"/>
          <w:cantSplit/>
          <w:tblHeader/>
        </w:trPr>
        <w:tc>
          <w:tcPr>
            <w:tcW w:type="dxa" w:w="237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접속 구성의 가정</w:t>
            </w:r>
          </w:p>
        </w:tc>
        <w:tc>
          <w:tcPr>
            <w:tcW w:type="dxa" w:w="309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근사 ORL</w:t>
            </w:r>
          </w:p>
        </w:tc>
        <w:tc>
          <w:tcPr>
            <w:tcW w:type="dxa" w:w="4392"/>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이중 반사 쌍 수</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4쌍 모두 −60dB</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53.98dB</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6쌍</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8쌍 모두 −60dB</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50.97dB</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28쌍</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8쌍 중 1쌍 −35dB</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34.90dB</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28쌍</w:t>
            </w:r>
          </w:p>
        </w:tc>
      </w:tr>
    </w:tbl>
    <w:p>
      <w:pPr>
        <w:pStyle w:val="BodyText"/>
        <w:widowControl/>
      </w:pPr>
      <w:r>
        <w:t xml:space="preserve">이 표는 케이블 결합 사건만의 비교이며 실제 송수신 포트의 반사와 분포 후방산란은 별도다. ORL 값이 낮아진 만큼 TDECQ에 같은 dB를 더하는 것은 잘못이다. MPI는 각 쌍의 반사, 간격과 편광·위상 조건이 필요하며 §53의 단일 에코 모델과 별도로 전체 링크 시험을 수행한다.</w:t>
      </w:r>
    </w:p>
    <w:bookmarkEnd w:id="291"/>
    <w:bookmarkStart w:id="292" w:name="분산과-최종-판정"/>
    <w:p>
      <w:pPr>
        <w:pStyle w:val="Heading2"/>
        <w:widowControl/>
      </w:pPr>
      <w:r>
        <w:t xml:space="preserve">분산과 최종 판정</w:t>
      </w:r>
    </w:p>
    <w:p>
      <w:pPr>
        <w:pStyle w:val="FirstParagraph"/>
        <w:widowControl/>
      </w:pPr>
      <w:r>
        <w:t xml:space="preserve">§54의 O 대역 보수 예제 |D|=1.83463ps/(nm·km), 100m와 가정 RMS 스펙트럼 폭 0.4nm를 적용하면 누적 분산은 0.18346ps/nm, 시간 확산 규모는 0.07339ps다. 53.125GBd UI의 약 0.390%다. 이 값은 분산의 시간 규모이며 수신 SECQ=3.4dB라는 추가 가정을 입증하지 않는다.</w:t>
      </w:r>
    </w:p>
    <w:p>
      <w:pPr>
        <w:pStyle w:val="BodyText"/>
        <w:keepNext/>
        <w:widowControl/>
      </w:pPr>
      <w:r>
        <w:t xml:space="preserve">초기와 2쌍 추가안은 선택한 OMA 계산 조건만 충족하고 4쌍 추가안은 예약 여유 조건을 충족하지 않는다. 어떤 안도 이 계산만으로 설치 링크 전체를 합격 처리하지 않는다. 모든 사용 심의 OLTS·극성과 반사, 승인된 모듈·배선 구조, 일치하는 스트레스 조건 및 프로토콜·FEC를 적용한 BER 시험이 최종 확인 항목이다.</w:t>
      </w:r>
    </w:p>
    <w:p>
      <w:pPr>
        <w:pStyle w:val="BodyText"/>
        <w:widowControl/>
        <w:spacing w:before="160"/>
      </w:pPr>
      <w:r>
        <w:rPr>
          <w:sz w:val="17"/>
        </w:rPr>
        <w:t xml:space="preserve">근거 및 추가 읽기 [R16] [R21–R24] [R30–R36]</w:t>
      </w:r>
    </w:p>
    <w:bookmarkEnd w:id="292"/>
    <w:bookmarkEnd w:id="293"/>
    <w:bookmarkStart w:id="296" w:name="사례-e-액냉-80kw와-cdu-예비-능력"/>
    <w:p>
      <w:pPr>
        <w:pStyle w:val="Heading2"/>
        <w:keepNext/>
        <w:keepLines/>
        <w:spacing w:after="100"/>
      </w:pPr>
      <w:r>
        <w:t>사례 D 개발 판정: 거리·접속 손실 조합의 수치 임계점</w:t>
      </w:r>
    </w:p>
    <w:p>
      <w:pPr>
        <w:pStyle w:val="BodyText"/>
        <w:keepLines/>
        <w:spacing w:after="100"/>
      </w:pPr>
      <w:r>
        <w:t>기존 100m 예제는 IL=0.4×0.1 + 4×0.35 + 2×0.10=1.64dB다. 선택된 송신 OMA 1.2dBm, Rx stressed OMA −1.9dBm 가정은 산술 여유 3.1dB를 준다. 0.5dB 설계 여유를 예약하면 접속 변경 허용 손실은 2.6dB이며, 기준 1.64dB보다 0.96dB 크다.</w:t>
      </w:r>
    </w:p>
    <w:p>
      <w:pPr>
        <w:pStyle w:val="BodyText"/>
        <w:keepLines/>
        <w:spacing w:after="100"/>
      </w:pPr>
      <w:r>
        <w:t>동일 손실 0.35dB 커넥터 결합쌍을 하나 더 늘릴 때 여유는 0.61dB, 두 쌍이면 0.26dB, 세 쌍이면 −0.09dB다. 따라서 해당 예제의 채택 가능 변경 상한은 “추가 2쌍”이고, 추가 3쌍은 설계 여유 0.5dB를 어기므로 미채택한다. 이는 SRS 시험 조건이 일치하는 경우에만 유효한 선택적 OMA 여유 판단이다.</w:t>
      </w:r>
    </w:p>
    <w:p>
      <w:pPr>
        <w:pStyle w:val="BodyText"/>
        <w:keepLines/>
        <w:spacing w:after="100"/>
      </w:pPr>
      <w:r>
        <w:t>리턴로스/MPI는 커넥터 하나의 IL만으로 산정하지 않는다. OLTS 손실 시험뿐 아니라 각 반사 사건의 ORL, 이상 접속(−35dB 이벤트) 및 OTDR 양방향 관측, 프로토콜/FEC 비트오류 시험을 수락 기준으로 넣는다.</w:t>
      </w:r>
    </w:p>
    <w:tbl>
      <w:tblPr>
        <w:tblW w:type="auto" w:w="0"/>
        <w:jc w:val="center"/>
        <w:tblLayout w:type="autofit"/>
        <w:tblLook w:firstColumn="1" w:firstRow="1" w:lastColumn="0" w:lastRow="0" w:noHBand="0" w:noVBand="1" w:val="04A0"/>
      </w:tblPr>
      <w:tblGrid>
        <w:gridCol w:w="2484"/>
        <w:gridCol w:w="2484"/>
        <w:gridCol w:w="2484"/>
        <w:gridCol w:w="2484"/>
      </w:tblGrid>
      <w:tr>
        <w:trPr>
          <w:tblHeader w:val="true"/>
        </w:trPr>
        <w:tc>
          <w:tcPr>
            <w:tcW w:type="dxa" w:w="2484"/>
            <w:vAlign w:val="center"/>
            <w:shd w:fill="DDEAF3"/>
          </w:tcPr>
          <w:p>
            <w:pPr>
              <w:spacing w:after="20" w:before="20"/>
            </w:pPr>
            <w:r>
              <w:rPr>
                <w:b/>
                <w:sz w:val="16"/>
              </w:rPr>
              <w:t>추가 결합쌍</w:t>
            </w:r>
          </w:p>
        </w:tc>
        <w:tc>
          <w:tcPr>
            <w:tcW w:type="dxa" w:w="2484"/>
            <w:vAlign w:val="center"/>
            <w:shd w:fill="DDEAF3"/>
          </w:tcPr>
          <w:p>
            <w:pPr>
              <w:spacing w:after="20" w:before="20"/>
            </w:pPr>
            <w:r>
              <w:rPr>
                <w:b/>
                <w:sz w:val="16"/>
              </w:rPr>
              <w:t>전체 IL</w:t>
            </w:r>
          </w:p>
        </w:tc>
        <w:tc>
          <w:tcPr>
            <w:tcW w:type="dxa" w:w="2484"/>
            <w:vAlign w:val="center"/>
            <w:shd w:fill="DDEAF3"/>
          </w:tcPr>
          <w:p>
            <w:pPr>
              <w:spacing w:after="20" w:before="20"/>
            </w:pPr>
            <w:r>
              <w:rPr>
                <w:b/>
                <w:sz w:val="16"/>
              </w:rPr>
              <w:t>0.5dB 예약 후 여유</w:t>
            </w:r>
          </w:p>
        </w:tc>
        <w:tc>
          <w:tcPr>
            <w:tcW w:type="dxa" w:w="2484"/>
            <w:vAlign w:val="center"/>
            <w:shd w:fill="DDEAF3"/>
          </w:tcPr>
          <w:p>
            <w:pPr>
              <w:spacing w:after="20" w:before="20"/>
            </w:pPr>
            <w:r>
              <w:rPr>
                <w:b/>
                <w:sz w:val="16"/>
              </w:rPr>
              <w:t>의사결정</w:t>
            </w:r>
          </w:p>
        </w:tc>
      </w:tr>
      <w:tr>
        <w:tc>
          <w:tcPr>
            <w:tcW w:type="dxa" w:w="2484"/>
            <w:vAlign w:val="center"/>
          </w:tcPr>
          <w:p>
            <w:pPr>
              <w:spacing w:after="20" w:before="20"/>
            </w:pPr>
            <w:r>
              <w:rPr>
                <w:sz w:val="16"/>
              </w:rPr>
              <w:t>0</w:t>
            </w:r>
          </w:p>
        </w:tc>
        <w:tc>
          <w:tcPr>
            <w:tcW w:type="dxa" w:w="2484"/>
            <w:vAlign w:val="center"/>
          </w:tcPr>
          <w:p>
            <w:pPr>
              <w:spacing w:after="20" w:before="20"/>
            </w:pPr>
            <w:r>
              <w:rPr>
                <w:sz w:val="16"/>
              </w:rPr>
              <w:t>1.64dB</w:t>
            </w:r>
          </w:p>
        </w:tc>
        <w:tc>
          <w:tcPr>
            <w:tcW w:type="dxa" w:w="2484"/>
            <w:vAlign w:val="center"/>
          </w:tcPr>
          <w:p>
            <w:pPr>
              <w:spacing w:after="20" w:before="20"/>
            </w:pPr>
            <w:r>
              <w:rPr>
                <w:sz w:val="16"/>
              </w:rPr>
              <w:t>0.96dB</w:t>
            </w:r>
          </w:p>
        </w:tc>
        <w:tc>
          <w:tcPr>
            <w:tcW w:type="dxa" w:w="2484"/>
            <w:vAlign w:val="center"/>
          </w:tcPr>
          <w:p>
            <w:pPr>
              <w:spacing w:after="20" w:before="20"/>
            </w:pPr>
            <w:r>
              <w:rPr>
                <w:sz w:val="16"/>
              </w:rPr>
              <w:t>광학 산술 여유 조건부 채택</w:t>
            </w:r>
          </w:p>
        </w:tc>
      </w:tr>
      <w:tr>
        <w:tc>
          <w:tcPr>
            <w:tcW w:type="dxa" w:w="2484"/>
            <w:vAlign w:val="center"/>
            <w:shd w:fill="F2F6FA"/>
          </w:tcPr>
          <w:p>
            <w:pPr>
              <w:spacing w:after="20" w:before="20"/>
            </w:pPr>
            <w:r>
              <w:rPr>
                <w:sz w:val="16"/>
              </w:rPr>
              <w:t>1</w:t>
            </w:r>
          </w:p>
        </w:tc>
        <w:tc>
          <w:tcPr>
            <w:tcW w:type="dxa" w:w="2484"/>
            <w:vAlign w:val="center"/>
            <w:shd w:fill="F2F6FA"/>
          </w:tcPr>
          <w:p>
            <w:pPr>
              <w:spacing w:after="20" w:before="20"/>
            </w:pPr>
            <w:r>
              <w:rPr>
                <w:sz w:val="16"/>
              </w:rPr>
              <w:t>1.99dB</w:t>
            </w:r>
          </w:p>
        </w:tc>
        <w:tc>
          <w:tcPr>
            <w:tcW w:type="dxa" w:w="2484"/>
            <w:vAlign w:val="center"/>
            <w:shd w:fill="F2F6FA"/>
          </w:tcPr>
          <w:p>
            <w:pPr>
              <w:spacing w:after="20" w:before="20"/>
            </w:pPr>
            <w:r>
              <w:rPr>
                <w:sz w:val="16"/>
              </w:rPr>
              <w:t>0.61dB</w:t>
            </w:r>
          </w:p>
        </w:tc>
        <w:tc>
          <w:tcPr>
            <w:tcW w:type="dxa" w:w="2484"/>
            <w:vAlign w:val="center"/>
            <w:shd w:fill="F2F6FA"/>
          </w:tcPr>
          <w:p>
            <w:pPr>
              <w:spacing w:after="20" w:before="20"/>
            </w:pPr>
            <w:r>
              <w:rPr>
                <w:sz w:val="16"/>
              </w:rPr>
              <w:t>조건부 채택</w:t>
            </w:r>
          </w:p>
        </w:tc>
      </w:tr>
      <w:tr>
        <w:tc>
          <w:tcPr>
            <w:tcW w:type="dxa" w:w="2484"/>
            <w:vAlign w:val="center"/>
          </w:tcPr>
          <w:p>
            <w:pPr>
              <w:spacing w:after="20" w:before="20"/>
            </w:pPr>
            <w:r>
              <w:rPr>
                <w:sz w:val="16"/>
              </w:rPr>
              <w:t>2</w:t>
            </w:r>
          </w:p>
        </w:tc>
        <w:tc>
          <w:tcPr>
            <w:tcW w:type="dxa" w:w="2484"/>
            <w:vAlign w:val="center"/>
          </w:tcPr>
          <w:p>
            <w:pPr>
              <w:spacing w:after="20" w:before="20"/>
            </w:pPr>
            <w:r>
              <w:rPr>
                <w:sz w:val="16"/>
              </w:rPr>
              <w:t>2.34dB</w:t>
            </w:r>
          </w:p>
        </w:tc>
        <w:tc>
          <w:tcPr>
            <w:tcW w:type="dxa" w:w="2484"/>
            <w:vAlign w:val="center"/>
          </w:tcPr>
          <w:p>
            <w:pPr>
              <w:spacing w:after="20" w:before="20"/>
            </w:pPr>
            <w:r>
              <w:rPr>
                <w:sz w:val="16"/>
              </w:rPr>
              <w:t>0.26dB</w:t>
            </w:r>
          </w:p>
        </w:tc>
        <w:tc>
          <w:tcPr>
            <w:tcW w:type="dxa" w:w="2484"/>
            <w:vAlign w:val="center"/>
          </w:tcPr>
          <w:p>
            <w:pPr>
              <w:spacing w:after="20" w:before="20"/>
            </w:pPr>
            <w:r>
              <w:rPr>
                <w:sz w:val="16"/>
              </w:rPr>
              <w:t>조건부 채택/예비 여유 작음</w:t>
            </w:r>
          </w:p>
        </w:tc>
      </w:tr>
      <w:tr>
        <w:tc>
          <w:tcPr>
            <w:tcW w:type="dxa" w:w="2484"/>
            <w:vAlign w:val="center"/>
            <w:shd w:fill="F2F6FA"/>
          </w:tcPr>
          <w:p>
            <w:pPr>
              <w:spacing w:after="20" w:before="20"/>
            </w:pPr>
            <w:r>
              <w:rPr>
                <w:sz w:val="16"/>
              </w:rPr>
              <w:t>3</w:t>
            </w:r>
          </w:p>
        </w:tc>
        <w:tc>
          <w:tcPr>
            <w:tcW w:type="dxa" w:w="2484"/>
            <w:vAlign w:val="center"/>
            <w:shd w:fill="F2F6FA"/>
          </w:tcPr>
          <w:p>
            <w:pPr>
              <w:spacing w:after="20" w:before="20"/>
            </w:pPr>
            <w:r>
              <w:rPr>
                <w:sz w:val="16"/>
              </w:rPr>
              <w:t>2.69dB</w:t>
            </w:r>
          </w:p>
        </w:tc>
        <w:tc>
          <w:tcPr>
            <w:tcW w:type="dxa" w:w="2484"/>
            <w:vAlign w:val="center"/>
            <w:shd w:fill="F2F6FA"/>
          </w:tcPr>
          <w:p>
            <w:pPr>
              <w:spacing w:after="20" w:before="20"/>
            </w:pPr>
            <w:r>
              <w:rPr>
                <w:sz w:val="16"/>
              </w:rPr>
              <w:t>−0.09dB</w:t>
            </w:r>
          </w:p>
        </w:tc>
        <w:tc>
          <w:tcPr>
            <w:tcW w:type="dxa" w:w="2484"/>
            <w:vAlign w:val="center"/>
            <w:shd w:fill="F2F6FA"/>
          </w:tcPr>
          <w:p>
            <w:pPr>
              <w:spacing w:after="20" w:before="20"/>
            </w:pPr>
            <w:r>
              <w:rPr>
                <w:sz w:val="16"/>
              </w:rPr>
              <w:t>미채택/접속점 축소</w:t>
            </w:r>
          </w:p>
        </w:tc>
      </w:tr>
      <w:tr>
        <w:tc>
          <w:tcPr>
            <w:tcW w:type="dxa" w:w="2484"/>
            <w:vAlign w:val="center"/>
          </w:tcPr>
          <w:p>
            <w:pPr>
              <w:spacing w:after="20" w:before="20"/>
            </w:pPr>
            <w:r>
              <w:rPr>
                <w:sz w:val="16"/>
              </w:rPr>
              <w:t>4</w:t>
            </w:r>
          </w:p>
        </w:tc>
        <w:tc>
          <w:tcPr>
            <w:tcW w:type="dxa" w:w="2484"/>
            <w:vAlign w:val="center"/>
          </w:tcPr>
          <w:p>
            <w:pPr>
              <w:spacing w:after="20" w:before="20"/>
            </w:pPr>
            <w:r>
              <w:rPr>
                <w:sz w:val="16"/>
              </w:rPr>
              <w:t>3.04dB</w:t>
            </w:r>
          </w:p>
        </w:tc>
        <w:tc>
          <w:tcPr>
            <w:tcW w:type="dxa" w:w="2484"/>
            <w:vAlign w:val="center"/>
          </w:tcPr>
          <w:p>
            <w:pPr>
              <w:spacing w:after="20" w:before="20"/>
            </w:pPr>
            <w:r>
              <w:rPr>
                <w:sz w:val="16"/>
              </w:rPr>
              <w:t>−0.44dB</w:t>
            </w:r>
          </w:p>
        </w:tc>
        <w:tc>
          <w:tcPr>
            <w:tcW w:type="dxa" w:w="2484"/>
            <w:vAlign w:val="center"/>
          </w:tcPr>
          <w:p>
            <w:pPr>
              <w:spacing w:after="20" w:before="20"/>
            </w:pPr>
            <w:r>
              <w:rPr>
                <w:sz w:val="16"/>
              </w:rPr>
              <w:t>미채택</w:t>
            </w:r>
          </w:p>
        </w:tc>
      </w:tr>
    </w:tbl>
    <w:p>
      <w:pPr>
        <w:pStyle w:val="Heading1"/>
        <w:keepNext/>
        <w:widowControl/>
      </w:pPr>
      <w:bookmarkStart w:id="90" w:name="topic_90"/>
      <w:r>
        <w:t xml:space="preserve">90 사례 E 액냉 80kW와 CDU 예비 능력</w:t>
      </w:r>
      <w:bookmarkEnd w:id="90"/>
    </w:p>
    <w:p>
      <w:pPr>
        <w:pStyle w:val="FirstParagraph"/>
        <w:widowControl/>
      </w:pPr>
      <w:r>
        <w:rPr>
          <w:bCs/>
          <w:b/>
        </w:rPr>
        <w:t xml:space="preserve">8부 재현 가능한 통합 사례 검증</w:t>
      </w:r>
    </w:p>
    <w:p>
      <w:pPr>
        <w:pStyle w:val="BodyText"/>
        <w:widowControl/>
      </w:pPr>
      <w:r>
        <w:t xml:space="preserve">사례 E는 IT 100kW 랙에서 열의 80%를 물로 회수하는 가상 설계다. 액체측 열은 80kW, 공기측 열은 20kW다. 물의 온도 상승을 10K로 두면 액체 유량은 114.67L/min이다.</w:t>
      </w:r>
    </w:p>
    <w:p>
      <w:pPr>
        <w:pStyle w:val="BodyText"/>
        <w:widowControl/>
      </w:pPr>
      <w:r>
        <w:t xml:space="preserve">해당 조건에서 가용 열처리 능력이 각각 50kW인 CDU 세 대를 공통 계통으로 구성한다고 가정한다. 정상 총능력은 150kW이고 한 대 정지 후 100kW가 남아 80kW 요구를 만족한다. 두 대만 설치하면 한 대 정지 후 50kW여서 실패한다.</w:t>
      </w:r>
    </w:p>
    <w:p>
      <w:pPr>
        <w:pStyle w:val="BodyText"/>
        <w:widowControl/>
      </w:pPr>
      <w:r>
        <w:t xml:space="preserve">이 판정은 CDU가 병렬 운전 가능한 구성이며 분기 밸브와 펌프 및 전원 경로가 해당 장애 조건에서 작동한다는 전제다. 명목 열량 합산이 배관과 제어의 중복성을 증명하지는 않는다.</w:t>
      </w:r>
    </w:p>
    <w:bookmarkStart w:id="294" w:name="계산식과-변수-57"/>
    <w:p>
      <w:pPr>
        <w:pStyle w:val="Heading2"/>
        <w:widowControl/>
      </w:pPr>
      <w:r>
        <w:t xml:space="preserve">계산식과 변수</w:t>
      </w:r>
    </w:p>
    <w:p>
      <w:pPr>
        <w:pStyle w:val="FirstParagraph"/>
        <w:widowControl/>
        <w:spacing w:line="252" w:lineRule="auto" w:before="100" w:after="180"/>
      </w:pPr>
      <m:oMathPara>
        <m:oMathParaPr>
          <m:jc m:val="center"/>
        </m:oMathParaPr>
        <m:oMath>
          <m:sSub>
            <m:e>
              <m:r>
                <m:t>Q</m:t>
              </m:r>
            </m:e>
            <m:sub>
              <m:r>
                <m:t>l</m:t>
              </m:r>
              <m:r>
                <m:t>i</m:t>
              </m:r>
              <m:r>
                <m:t>q</m:t>
              </m:r>
              <m:r>
                <m:t>u</m:t>
              </m:r>
              <m:r>
                <m:t>i</m:t>
              </m:r>
              <m:r>
                <m:t>d</m:t>
              </m:r>
            </m:sub>
          </m:sSub>
          <m:r>
            <m:rPr>
              <m:sty m:val="p"/>
            </m:rPr>
            <m:t>=</m:t>
          </m:r>
          <m:r>
            <m:t>100</m:t>
          </m:r>
          <m:d>
            <m:dPr>
              <m:begChr m:val="("/>
              <m:endChr m:val=")"/>
              <m:sepChr m:val=""/>
              <m:grow/>
            </m:dPr>
            <m:e>
              <m:r>
                <m:t>0.8</m:t>
              </m:r>
            </m:e>
          </m:d>
          <m:r>
            <m:rPr>
              <m:sty m:val="p"/>
            </m:rPr>
            <m:t>=</m:t>
          </m:r>
          <m:r>
            <m:t>80</m:t>
          </m:r>
        </m:oMath>
      </m:oMathPara>
    </w:p>
    <w:p>
      <w:pPr>
        <w:pStyle w:val="FirstParagraph"/>
        <w:widowControl/>
        <w:spacing w:line="252" w:lineRule="auto" w:before="100" w:after="180"/>
      </w:pPr>
      <m:oMathPara>
        <m:oMathParaPr>
          <m:jc m:val="center"/>
        </m:oMathParaPr>
        <m:oMath>
          <m:acc>
            <m:accPr>
              <m:chr m:val="̇"/>
            </m:accPr>
            <m:e>
              <m:r>
                <m:t>V</m:t>
              </m:r>
            </m:e>
          </m:acc>
          <m:r>
            <m:rPr>
              <m:sty m:val="p"/>
            </m:rPr>
            <m:t>=</m:t>
          </m:r>
          <m:f>
            <m:fPr>
              <m:type m:val="bar"/>
            </m:fPr>
            <m:num>
              <m:r>
                <m:t>60</m:t>
              </m:r>
              <m:d>
                <m:dPr>
                  <m:begChr m:val="("/>
                  <m:endChr m:val=")"/>
                  <m:sepChr m:val=""/>
                  <m:grow/>
                </m:dPr>
                <m:e>
                  <m:r>
                    <m:t>80</m:t>
                  </m:r>
                </m:e>
              </m:d>
            </m:num>
            <m:den>
              <m:r>
                <m:t>4.186</m:t>
              </m:r>
              <m:d>
                <m:dPr>
                  <m:begChr m:val="("/>
                  <m:endChr m:val=")"/>
                  <m:sepChr m:val=""/>
                  <m:grow/>
                </m:dPr>
                <m:e>
                  <m:r>
                    <m:t>10</m:t>
                  </m:r>
                </m:e>
              </m:d>
            </m:den>
          </m:f>
          <m:r>
            <m:rPr>
              <m:sty m:val="p"/>
            </m:rPr>
            <m:t>≃</m:t>
          </m:r>
          <m:r>
            <m:t>114.67</m:t>
          </m:r>
        </m:oMath>
      </m:oMathPara>
    </w:p>
    <w:p>
      <w:pPr>
        <w:pStyle w:val="FirstParagraph"/>
        <w:widowControl/>
        <w:spacing w:line="252" w:lineRule="auto" w:before="100" w:after="180"/>
      </w:pPr>
      <m:oMathPara>
        <m:oMathParaPr>
          <m:jc m:val="center"/>
        </m:oMathParaPr>
        <m:oMath>
          <m:d>
            <m:dPr>
              <m:begChr m:val="("/>
              <m:endChr m:val=")"/>
              <m:sepChr m:val=""/>
              <m:grow/>
            </m:dPr>
            <m:e>
              <m:r>
                <m:t>3</m:t>
              </m:r>
              <m:r>
                <m:rPr>
                  <m:sty m:val="p"/>
                </m:rPr>
                <m:t>−</m:t>
              </m:r>
              <m:r>
                <m:t>1</m:t>
              </m:r>
            </m:e>
          </m:d>
          <m:r>
            <m:t>50</m:t>
          </m:r>
          <m:r>
            <m:rPr>
              <m:sty m:val="p"/>
            </m:rPr>
            <m:t>=</m:t>
          </m:r>
          <m:r>
            <m:t>100</m:t>
          </m:r>
          <m:r>
            <m:rPr>
              <m:sty m:val="p"/>
            </m:rPr>
            <m:t>≥</m:t>
          </m:r>
          <m:r>
            <m:t>80</m:t>
          </m:r>
        </m:oMath>
      </m:oMathPara>
    </w:p>
    <w:tbl>
      <w:tblPr>
        <w:tblStyle w:val="Table"/>
        <w:tblW w:type="dxa" w:w="986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096"/>
        <w:gridCol w:w="4392"/>
      </w:tblGrid>
      <w:tr>
        <w:trPr>
          <w:tblHeader w:val="true"/>
          <w:cantSplit/>
          <w:tblHeader/>
        </w:trPr>
        <w:tc>
          <w:tcPr>
            <w:tcW w:type="dxa" w:w="237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검토</w:t>
            </w:r>
          </w:p>
        </w:tc>
        <w:tc>
          <w:tcPr>
            <w:tcW w:type="dxa" w:w="309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결과</w:t>
            </w:r>
          </w:p>
        </w:tc>
        <w:tc>
          <w:tcPr>
            <w:tcW w:type="dxa" w:w="4392"/>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판정</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액체측 열</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80kW</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유량 114.67L/min</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공기측 열</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20kW</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별도 공조 필요</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CDU 2대 장애 후</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50kW</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실패</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CDU 3대 장애 후</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100kW</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열량 기준 통과</w:t>
            </w:r>
          </w:p>
        </w:tc>
      </w:tr>
    </w:tbl>
    <w:bookmarkEnd w:id="294"/>
    <w:bookmarkStart w:id="295" w:name="적용과-검증-85"/>
    <w:p>
      <w:pPr>
        <w:pStyle w:val="Heading2"/>
        <w:widowControl/>
      </w:pPr>
      <w:r>
        <w:t xml:space="preserve">적용과 검증</w:t>
      </w:r>
    </w:p>
    <w:p>
      <w:pPr>
        <w:pStyle w:val="FirstParagraph"/>
        <w:keepNext/>
        <w:widowControl/>
      </w:pPr>
      <w:r>
        <w:t xml:space="preserve">사례 검증의 최종 기록은 입력, 계산식, 산출값, 통과 조건과 미확인 항목을 모두 포함한다. 실측 데이터가 확보되면 수온·유량·차압과 전력을 대조해 모델을 갱신한다.</w:t>
      </w:r>
    </w:p>
    <w:p>
      <w:pPr>
        <w:pStyle w:val="BodyText"/>
        <w:widowControl/>
        <w:spacing w:before="160"/>
      </w:pPr>
      <w:r>
        <w:rPr>
          <w:sz w:val="17"/>
        </w:rPr>
        <w:t xml:space="preserve">근거 및 추가 읽기 [R09] [R10] [R11]</w:t>
      </w:r>
    </w:p>
    <w:bookmarkEnd w:id="295"/>
    <w:bookmarkEnd w:id="296"/>
    <w:bookmarkStart w:id="298" w:name="d-디지털-트윈에서-따라갈-학습-경로"/>
    <w:p>
      <w:pPr>
        <w:pStyle w:val="Heading2"/>
        <w:keepNext/>
        <w:keepLines/>
        <w:spacing w:after="100"/>
      </w:pPr>
      <w:r>
        <w:t>차세대 DCI: 800ZR 코히어런트 링크의 독립 예제</w:t>
      </w:r>
    </w:p>
    <w:p>
      <w:pPr>
        <w:pStyle w:val="BodyText"/>
        <w:keepLines/>
        <w:spacing w:after="100"/>
      </w:pPr>
      <w:r>
        <w:t>데이터센터 내부 100m PAM4 direct-detect 링크를 80km DCI에 그대로 확장할 수 없다. DCI는 광전송 OSNR/eSNR, ASE, 파장·증폭기, CD/PMD 허용량과 고장 복구를 함께 다루어야 한다. OIF-800ZR-01.0 (2024-10-08)의 예로 OSNR tolerance 표 6.1.330은 27.0dB/12.5GHz, CD tolerance 6.1.341은 2400ps/nm, PMD tolerance 6.1.350은 10ps 조건을 명시한다 [R40]. 이는 해당 IA의 정의된 시험 기준이지 모든 DCI 경로가 80km 통과라는 뜻이 아니다.</w:t>
      </w:r>
    </w:p>
    <w:p>
      <w:pPr>
        <w:pStyle w:val="BodyText"/>
        <w:keepLines/>
        <w:spacing w:after="100"/>
      </w:pPr>
      <w:r>
        <w:t>설명용 단일 80km G.652.D 경로: 광섬유 감쇠 0.22dB/km, 결합쌍 4개×0.35dB, 융착 10개×0.10dB, 예비손실 3dB면 17.6+1.4+1.0+3.0=23.0dB 손실 예산이다. CD 계수 D=17ps/(nm·km)를 가정하면 누적 CD는 1360ps/nm, PMD 계수=0.1ps/√km면 평균 DGD의 제곱근 근사규모는 0.894ps, 광전파 지연은 5µs/km 가정에서 한 방향 400µs다.</w:t>
      </w:r>
    </w:p>
    <w:p>
      <w:pPr>
        <w:pStyle w:val="BodyText"/>
        <w:keepLines/>
        <w:spacing w:after="100"/>
      </w:pPr>
      <w:r>
        <w:t>CD 1360ps/nm가 IA의 2400ps/nm 범위 내이더라도 선로 손실 23dB를 송수신기 한 쌍이 바로 감당하는지 결론 낼 수 없다. 증폭기/ROADM 도입 시 ASE가 OSNR을 제한하고 필터링·비선형·ROADM 출력 레벨이 달라지므로 설계는 광증폭기/전송장치의 프로파일과 OSNR 실측으로 확정한다. 단순 IL 합격과 코히어런트 시스템 합격을 분리한다.</w:t>
      </w:r>
    </w:p>
    <w:p>
      <w:pPr>
        <w:pStyle w:val="BodyText"/>
        <w:keepLines/>
        <w:spacing w:after="100"/>
      </w:pPr>
      <w:r>
        <w:t>광케이블 개발자는 80km 구간의 G.652.D와 G.654.E 선택을 감쇠·Aeff·CD·MFD·접속 손실·수리성 기준으로 평가한다. G.654.E의 구체 값은 ITU-T G.654(08/2024) §6, §7, §8 및 제품 개별 사양으로 대조한다 [R44]. 장거리 선로에서 반사·MPI와 OSNR 비용을 혼동하지 않는다.</w:t>
      </w:r>
    </w:p>
    <w:tbl>
      <w:tblPr>
        <w:tblW w:type="auto" w:w="0"/>
        <w:jc w:val="center"/>
        <w:tblLayout w:type="autofit"/>
        <w:tblLook w:firstColumn="1" w:firstRow="1" w:lastColumn="0" w:lastRow="0" w:noHBand="0" w:noVBand="1" w:val="04A0"/>
      </w:tblPr>
      <w:tblGrid>
        <w:gridCol w:w="2484"/>
        <w:gridCol w:w="2484"/>
        <w:gridCol w:w="2484"/>
        <w:gridCol w:w="2484"/>
      </w:tblGrid>
      <w:tr>
        <w:trPr>
          <w:tblHeader w:val="true"/>
        </w:trPr>
        <w:tc>
          <w:tcPr>
            <w:tcW w:type="dxa" w:w="2484"/>
            <w:vAlign w:val="center"/>
            <w:shd w:fill="DDEAF3"/>
          </w:tcPr>
          <w:p>
            <w:pPr>
              <w:spacing w:after="20" w:before="20"/>
            </w:pPr>
            <w:r>
              <w:rPr>
                <w:b/>
                <w:sz w:val="16"/>
              </w:rPr>
              <w:t>DCI 계산</w:t>
            </w:r>
          </w:p>
        </w:tc>
        <w:tc>
          <w:tcPr>
            <w:tcW w:type="dxa" w:w="2484"/>
            <w:vAlign w:val="center"/>
            <w:shd w:fill="DDEAF3"/>
          </w:tcPr>
          <w:p>
            <w:pPr>
              <w:spacing w:after="20" w:before="20"/>
            </w:pPr>
            <w:r>
              <w:rPr>
                <w:b/>
                <w:sz w:val="16"/>
              </w:rPr>
              <w:t>입력 가정/규격</w:t>
            </w:r>
          </w:p>
        </w:tc>
        <w:tc>
          <w:tcPr>
            <w:tcW w:type="dxa" w:w="2484"/>
            <w:vAlign w:val="center"/>
            <w:shd w:fill="DDEAF3"/>
          </w:tcPr>
          <w:p>
            <w:pPr>
              <w:spacing w:after="20" w:before="20"/>
            </w:pPr>
            <w:r>
              <w:rPr>
                <w:b/>
                <w:sz w:val="16"/>
              </w:rPr>
              <w:t>산출</w:t>
            </w:r>
          </w:p>
        </w:tc>
        <w:tc>
          <w:tcPr>
            <w:tcW w:type="dxa" w:w="2484"/>
            <w:vAlign w:val="center"/>
            <w:shd w:fill="DDEAF3"/>
          </w:tcPr>
          <w:p>
            <w:pPr>
              <w:spacing w:after="20" w:before="20"/>
            </w:pPr>
            <w:r>
              <w:rPr>
                <w:b/>
                <w:sz w:val="16"/>
              </w:rPr>
              <w:t>결론</w:t>
            </w:r>
          </w:p>
        </w:tc>
      </w:tr>
      <w:tr>
        <w:tc>
          <w:tcPr>
            <w:tcW w:type="dxa" w:w="2484"/>
            <w:vAlign w:val="center"/>
          </w:tcPr>
          <w:p>
            <w:pPr>
              <w:spacing w:after="20" w:before="20"/>
            </w:pPr>
            <w:r>
              <w:rPr>
                <w:sz w:val="16"/>
              </w:rPr>
              <w:t>80km 선로 감쇠</w:t>
            </w:r>
          </w:p>
        </w:tc>
        <w:tc>
          <w:tcPr>
            <w:tcW w:type="dxa" w:w="2484"/>
            <w:vAlign w:val="center"/>
          </w:tcPr>
          <w:p>
            <w:pPr>
              <w:spacing w:after="20" w:before="20"/>
            </w:pPr>
            <w:r>
              <w:rPr>
                <w:sz w:val="16"/>
              </w:rPr>
              <w:t>0.22dB/km</w:t>
            </w:r>
          </w:p>
        </w:tc>
        <w:tc>
          <w:tcPr>
            <w:tcW w:type="dxa" w:w="2484"/>
            <w:vAlign w:val="center"/>
          </w:tcPr>
          <w:p>
            <w:pPr>
              <w:spacing w:after="20" w:before="20"/>
            </w:pPr>
            <w:r>
              <w:rPr>
                <w:sz w:val="16"/>
              </w:rPr>
              <w:t>17.6dB</w:t>
            </w:r>
          </w:p>
        </w:tc>
        <w:tc>
          <w:tcPr>
            <w:tcW w:type="dxa" w:w="2484"/>
            <w:vAlign w:val="center"/>
          </w:tcPr>
          <w:p>
            <w:pPr>
              <w:spacing w:after="20" w:before="20"/>
            </w:pPr>
            <w:r>
              <w:rPr>
                <w:sz w:val="16"/>
              </w:rPr>
              <w:t>가정</w:t>
            </w:r>
          </w:p>
        </w:tc>
      </w:tr>
      <w:tr>
        <w:tc>
          <w:tcPr>
            <w:tcW w:type="dxa" w:w="2484"/>
            <w:vAlign w:val="center"/>
            <w:shd w:fill="F2F6FA"/>
          </w:tcPr>
          <w:p>
            <w:pPr>
              <w:spacing w:after="20" w:before="20"/>
            </w:pPr>
            <w:r>
              <w:rPr>
                <w:sz w:val="16"/>
              </w:rPr>
              <w:t>결합/융착/예비</w:t>
            </w:r>
          </w:p>
        </w:tc>
        <w:tc>
          <w:tcPr>
            <w:tcW w:type="dxa" w:w="2484"/>
            <w:vAlign w:val="center"/>
            <w:shd w:fill="F2F6FA"/>
          </w:tcPr>
          <w:p>
            <w:pPr>
              <w:spacing w:after="20" w:before="20"/>
            </w:pPr>
            <w:r>
              <w:rPr>
                <w:sz w:val="16"/>
              </w:rPr>
              <w:t>4×0.35+10×0.10+3</w:t>
            </w:r>
          </w:p>
        </w:tc>
        <w:tc>
          <w:tcPr>
            <w:tcW w:type="dxa" w:w="2484"/>
            <w:vAlign w:val="center"/>
            <w:shd w:fill="F2F6FA"/>
          </w:tcPr>
          <w:p>
            <w:pPr>
              <w:spacing w:after="20" w:before="20"/>
            </w:pPr>
            <w:r>
              <w:rPr>
                <w:sz w:val="16"/>
              </w:rPr>
              <w:t>5.4dB</w:t>
            </w:r>
          </w:p>
        </w:tc>
        <w:tc>
          <w:tcPr>
            <w:tcW w:type="dxa" w:w="2484"/>
            <w:vAlign w:val="center"/>
            <w:shd w:fill="F2F6FA"/>
          </w:tcPr>
          <w:p>
            <w:pPr>
              <w:spacing w:after="20" w:before="20"/>
            </w:pPr>
            <w:r>
              <w:rPr>
                <w:sz w:val="16"/>
              </w:rPr>
              <w:t>가정</w:t>
            </w:r>
          </w:p>
        </w:tc>
      </w:tr>
      <w:tr>
        <w:tc>
          <w:tcPr>
            <w:tcW w:type="dxa" w:w="2484"/>
            <w:vAlign w:val="center"/>
          </w:tcPr>
          <w:p>
            <w:pPr>
              <w:spacing w:after="20" w:before="20"/>
            </w:pPr>
            <w:r>
              <w:rPr>
                <w:sz w:val="16"/>
              </w:rPr>
              <w:t>총 손실 예산</w:t>
            </w:r>
          </w:p>
        </w:tc>
        <w:tc>
          <w:tcPr>
            <w:tcW w:type="dxa" w:w="2484"/>
            <w:vAlign w:val="center"/>
          </w:tcPr>
          <w:p>
            <w:pPr>
              <w:spacing w:after="20" w:before="20"/>
            </w:pPr>
            <w:r>
              <w:rPr>
                <w:sz w:val="16"/>
              </w:rPr>
              <w:t>17.6+5.4</w:t>
            </w:r>
          </w:p>
        </w:tc>
        <w:tc>
          <w:tcPr>
            <w:tcW w:type="dxa" w:w="2484"/>
            <w:vAlign w:val="center"/>
          </w:tcPr>
          <w:p>
            <w:pPr>
              <w:spacing w:after="20" w:before="20"/>
            </w:pPr>
            <w:r>
              <w:rPr>
                <w:sz w:val="16"/>
              </w:rPr>
              <w:t>23.0dB</w:t>
            </w:r>
          </w:p>
        </w:tc>
        <w:tc>
          <w:tcPr>
            <w:tcW w:type="dxa" w:w="2484"/>
            <w:vAlign w:val="center"/>
          </w:tcPr>
          <w:p>
            <w:pPr>
              <w:spacing w:after="20" w:before="20"/>
            </w:pPr>
            <w:r>
              <w:rPr>
                <w:sz w:val="16"/>
              </w:rPr>
              <w:t>광출력·EDFA 별도</w:t>
            </w:r>
          </w:p>
        </w:tc>
      </w:tr>
      <w:tr>
        <w:tc>
          <w:tcPr>
            <w:tcW w:type="dxa" w:w="2484"/>
            <w:vAlign w:val="center"/>
            <w:shd w:fill="F2F6FA"/>
          </w:tcPr>
          <w:p>
            <w:pPr>
              <w:spacing w:after="20" w:before="20"/>
            </w:pPr>
            <w:r>
              <w:rPr>
                <w:sz w:val="16"/>
              </w:rPr>
              <w:t>누적 CD</w:t>
            </w:r>
          </w:p>
        </w:tc>
        <w:tc>
          <w:tcPr>
            <w:tcW w:type="dxa" w:w="2484"/>
            <w:vAlign w:val="center"/>
            <w:shd w:fill="F2F6FA"/>
          </w:tcPr>
          <w:p>
            <w:pPr>
              <w:spacing w:after="20" w:before="20"/>
            </w:pPr>
            <w:r>
              <w:rPr>
                <w:sz w:val="16"/>
              </w:rPr>
              <w:t>80×17ps/(nm km)</w:t>
            </w:r>
          </w:p>
        </w:tc>
        <w:tc>
          <w:tcPr>
            <w:tcW w:type="dxa" w:w="2484"/>
            <w:vAlign w:val="center"/>
            <w:shd w:fill="F2F6FA"/>
          </w:tcPr>
          <w:p>
            <w:pPr>
              <w:spacing w:after="20" w:before="20"/>
            </w:pPr>
            <w:r>
              <w:rPr>
                <w:sz w:val="16"/>
              </w:rPr>
              <w:t>1360ps/nm</w:t>
            </w:r>
          </w:p>
        </w:tc>
        <w:tc>
          <w:tcPr>
            <w:tcW w:type="dxa" w:w="2484"/>
            <w:vAlign w:val="center"/>
            <w:shd w:fill="F2F6FA"/>
          </w:tcPr>
          <w:p>
            <w:pPr>
              <w:spacing w:after="20" w:before="20"/>
            </w:pPr>
            <w:r>
              <w:rPr>
                <w:sz w:val="16"/>
              </w:rPr>
              <w:t>800ZR IA 2400 범위 내 수치</w:t>
            </w:r>
          </w:p>
        </w:tc>
      </w:tr>
      <w:tr>
        <w:tc>
          <w:tcPr>
            <w:tcW w:type="dxa" w:w="2484"/>
            <w:vAlign w:val="center"/>
          </w:tcPr>
          <w:p>
            <w:pPr>
              <w:spacing w:after="20" w:before="20"/>
            </w:pPr>
            <w:r>
              <w:rPr>
                <w:sz w:val="16"/>
              </w:rPr>
              <w:t>PMD 근사</w:t>
            </w:r>
          </w:p>
        </w:tc>
        <w:tc>
          <w:tcPr>
            <w:tcW w:type="dxa" w:w="2484"/>
            <w:vAlign w:val="center"/>
          </w:tcPr>
          <w:p>
            <w:pPr>
              <w:spacing w:after="20" w:before="20"/>
            </w:pPr>
            <w:r>
              <w:rPr>
                <w:sz w:val="16"/>
              </w:rPr>
              <w:t>0.1√80</w:t>
            </w:r>
          </w:p>
        </w:tc>
        <w:tc>
          <w:tcPr>
            <w:tcW w:type="dxa" w:w="2484"/>
            <w:vAlign w:val="center"/>
          </w:tcPr>
          <w:p>
            <w:pPr>
              <w:spacing w:after="20" w:before="20"/>
            </w:pPr>
            <w:r>
              <w:rPr>
                <w:sz w:val="16"/>
              </w:rPr>
              <w:t>0.894ps</w:t>
            </w:r>
          </w:p>
        </w:tc>
        <w:tc>
          <w:tcPr>
            <w:tcW w:type="dxa" w:w="2484"/>
            <w:vAlign w:val="center"/>
          </w:tcPr>
          <w:p>
            <w:pPr>
              <w:spacing w:after="20" w:before="20"/>
            </w:pPr>
            <w:r>
              <w:rPr>
                <w:sz w:val="16"/>
              </w:rPr>
              <w:t>실제 통계 DGD 아님</w:t>
            </w:r>
          </w:p>
        </w:tc>
      </w:tr>
      <w:tr>
        <w:tc>
          <w:tcPr>
            <w:tcW w:type="dxa" w:w="2484"/>
            <w:vAlign w:val="center"/>
            <w:shd w:fill="F2F6FA"/>
          </w:tcPr>
          <w:p>
            <w:pPr>
              <w:spacing w:after="20" w:before="20"/>
            </w:pPr>
            <w:r>
              <w:rPr>
                <w:sz w:val="16"/>
              </w:rPr>
              <w:t>전파 지연</w:t>
            </w:r>
          </w:p>
        </w:tc>
        <w:tc>
          <w:tcPr>
            <w:tcW w:type="dxa" w:w="2484"/>
            <w:vAlign w:val="center"/>
            <w:shd w:fill="F2F6FA"/>
          </w:tcPr>
          <w:p>
            <w:pPr>
              <w:spacing w:after="20" w:before="20"/>
            </w:pPr>
            <w:r>
              <w:rPr>
                <w:sz w:val="16"/>
              </w:rPr>
              <w:t>80×5µs/km</w:t>
            </w:r>
          </w:p>
        </w:tc>
        <w:tc>
          <w:tcPr>
            <w:tcW w:type="dxa" w:w="2484"/>
            <w:vAlign w:val="center"/>
            <w:shd w:fill="F2F6FA"/>
          </w:tcPr>
          <w:p>
            <w:pPr>
              <w:spacing w:after="20" w:before="20"/>
            </w:pPr>
            <w:r>
              <w:rPr>
                <w:sz w:val="16"/>
              </w:rPr>
              <w:t>400µs one-way</w:t>
            </w:r>
          </w:p>
        </w:tc>
        <w:tc>
          <w:tcPr>
            <w:tcW w:type="dxa" w:w="2484"/>
            <w:vAlign w:val="center"/>
            <w:shd w:fill="F2F6FA"/>
          </w:tcPr>
          <w:p>
            <w:pPr>
              <w:spacing w:after="20" w:before="20"/>
            </w:pPr>
            <w:r>
              <w:rPr>
                <w:sz w:val="16"/>
              </w:rPr>
              <w:t>라우팅·FEC 지연 제외</w:t>
            </w:r>
          </w:p>
        </w:tc>
      </w:tr>
      <w:tr>
        <w:tc>
          <w:tcPr>
            <w:tcW w:type="dxa" w:w="2484"/>
            <w:vAlign w:val="center"/>
          </w:tcPr>
          <w:p>
            <w:pPr>
              <w:spacing w:after="20" w:before="20"/>
            </w:pPr>
            <w:r>
              <w:rPr>
                <w:sz w:val="16"/>
              </w:rPr>
              <w:t>최종 OSNR 판정</w:t>
            </w:r>
          </w:p>
        </w:tc>
        <w:tc>
          <w:tcPr>
            <w:tcW w:type="dxa" w:w="2484"/>
            <w:vAlign w:val="center"/>
          </w:tcPr>
          <w:p>
            <w:pPr>
              <w:spacing w:after="20" w:before="20"/>
            </w:pPr>
            <w:r>
              <w:rPr>
                <w:sz w:val="16"/>
              </w:rPr>
              <w:t>증폭기 NF·채널 power·span 미입력</w:t>
            </w:r>
          </w:p>
        </w:tc>
        <w:tc>
          <w:tcPr>
            <w:tcW w:type="dxa" w:w="2484"/>
            <w:vAlign w:val="center"/>
          </w:tcPr>
          <w:p>
            <w:pPr>
              <w:spacing w:after="20" w:before="20"/>
            </w:pPr>
            <w:r>
              <w:rPr>
                <w:sz w:val="16"/>
              </w:rPr>
              <w:t>계산 불가</w:t>
            </w:r>
          </w:p>
        </w:tc>
        <w:tc>
          <w:tcPr>
            <w:tcW w:type="dxa" w:w="2484"/>
            <w:vAlign w:val="center"/>
          </w:tcPr>
          <w:p>
            <w:pPr>
              <w:spacing w:after="20" w:before="20"/>
            </w:pPr>
            <w:r>
              <w:rPr>
                <w:sz w:val="16"/>
              </w:rPr>
              <w:t>입력 추가 후 시험</w:t>
            </w:r>
          </w:p>
        </w:tc>
      </w:tr>
    </w:tbl>
    <w:p>
      <w:pPr>
        <w:pStyle w:val="BodyText"/>
        <w:keepLines/>
        <w:spacing w:after="100"/>
      </w:pPr>
      <w:r>
        <w:t>표 해석: OIF IA 허용치의 충족은 전체 시스템의 필요조건 일부이며 이 표는 현장 800ZR link 수락 성적서가 아니다.</w:t>
      </w:r>
    </w:p>
    <w:p>
      <w:pPr>
        <w:pStyle w:val="Heading2"/>
        <w:keepLines/>
        <w:spacing w:after="100"/>
      </w:pPr>
      <w:r>
        <w:t>보강: DCI 1600ZR 1차 규격과 1.6T Ethernet의 구분</w:t>
      </w:r>
    </w:p>
    <w:p>
      <w:pPr>
        <w:pStyle w:val="BodyText"/>
        <w:keepLines/>
        <w:spacing w:after="100"/>
      </w:pPr>
      <w:r>
        <w:t>OIF 공식 Implementation Agreement 목록에는 2026년 9월 OIF-1600ZR-01.0이 등록되어 있다 [R49]. 이는 DCI용 코히어런트 라인 인터페이스의 상호운용 합의문이다. IEEE P802.3dj(2026년 10월 현재 진행 중인 Ethernet PHY 표준 초안)와는 적용 계층과 시험 항목이 다르다.</w:t>
      </w:r>
    </w:p>
    <w:p>
      <w:pPr>
        <w:pStyle w:val="BodyText"/>
        <w:keepLines/>
        <w:spacing w:after="100"/>
      </w:pPr>
      <w:r>
        <w:t>같은 1.6Tb/s라도 데이터센터 내부 1.6T 병렬 광 PMD에서는 광레인 수·심수·OMA/TDECQ/BER가 우선이고, 1600ZR DCI에서는 코히어런트 광 송신 품질, 편광·CD/PMD·OSNR 및 FEC, 광증폭기/ROADM 채널을 함께 다룬다. OIF 명칭만으로 선로 80km 통과나 인접 기기 상호운용을 보증하지 않는다.</w:t>
      </w:r>
    </w:p>
    <w:p>
      <w:pPr>
        <w:pStyle w:val="BodyText"/>
        <w:keepLines/>
        <w:spacing w:after="100"/>
      </w:pPr>
      <w:r>
        <w:t>발주에서는 통신 방식(클라이언트 속도, line rate, line FEC, DWDM spacing), 송수신기 공식 프로파일, line input range, OSNR 수용치, 표준 검증 항목, 경로·장애·현장 테스트 규격을 구분해 적는다. 1.6T DCI의 구체 수치는 1600ZR IA 원문 확인 후에만 적용한다.</w:t>
      </w:r>
    </w:p>
    <w:tbl>
      <w:tblPr>
        <w:tblW w:type="auto" w:w="0"/>
        <w:jc w:val="center"/>
        <w:tblLayout w:type="autofit"/>
        <w:tblLook w:firstColumn="1" w:firstRow="1" w:lastColumn="0" w:lastRow="0" w:noHBand="0" w:noVBand="1" w:val="04A0"/>
      </w:tblPr>
      <w:tblGrid>
        <w:gridCol w:w="2484"/>
        <w:gridCol w:w="2484"/>
        <w:gridCol w:w="2484"/>
        <w:gridCol w:w="2484"/>
      </w:tblGrid>
      <w:tr>
        <w:trPr>
          <w:tblHeader w:val="true"/>
        </w:trPr>
        <w:tc>
          <w:tcPr>
            <w:tcW w:type="dxa" w:w="2484"/>
            <w:vAlign w:val="center"/>
            <w:shd w:fill="DFEAF3"/>
          </w:tcPr>
          <w:p>
            <w:pPr>
              <w:spacing w:after="20" w:before="20"/>
            </w:pPr>
            <w:r>
              <w:rPr>
                <w:b/>
                <w:sz w:val="16"/>
              </w:rPr>
              <w:t>분야</w:t>
            </w:r>
          </w:p>
        </w:tc>
        <w:tc>
          <w:tcPr>
            <w:tcW w:type="dxa" w:w="2484"/>
            <w:vAlign w:val="center"/>
            <w:shd w:fill="DFEAF3"/>
          </w:tcPr>
          <w:p>
            <w:pPr>
              <w:spacing w:after="20" w:before="20"/>
            </w:pPr>
            <w:r>
              <w:rPr>
                <w:b/>
                <w:sz w:val="16"/>
              </w:rPr>
              <w:t>기준 문서</w:t>
            </w:r>
          </w:p>
        </w:tc>
        <w:tc>
          <w:tcPr>
            <w:tcW w:type="dxa" w:w="2484"/>
            <w:vAlign w:val="center"/>
            <w:shd w:fill="DFEAF3"/>
          </w:tcPr>
          <w:p>
            <w:pPr>
              <w:spacing w:after="20" w:before="20"/>
            </w:pPr>
            <w:r>
              <w:rPr>
                <w:b/>
                <w:sz w:val="16"/>
              </w:rPr>
              <w:t>핵심 물리량</w:t>
            </w:r>
          </w:p>
        </w:tc>
        <w:tc>
          <w:tcPr>
            <w:tcW w:type="dxa" w:w="2484"/>
            <w:vAlign w:val="center"/>
            <w:shd w:fill="DFEAF3"/>
          </w:tcPr>
          <w:p>
            <w:pPr>
              <w:spacing w:after="20" w:before="20"/>
            </w:pPr>
            <w:r>
              <w:rPr>
                <w:b/>
                <w:sz w:val="16"/>
              </w:rPr>
              <w:t>규격 상태(2026-10-16)</w:t>
            </w:r>
          </w:p>
        </w:tc>
      </w:tr>
      <w:tr>
        <w:tc>
          <w:tcPr>
            <w:tcW w:type="dxa" w:w="2484"/>
            <w:vAlign w:val="center"/>
            <w:shd w:fill="FFFFFF"/>
          </w:tcPr>
          <w:p>
            <w:pPr>
              <w:spacing w:after="20" w:before="20"/>
            </w:pPr>
            <w:r>
              <w:rPr>
                <w:b w:val="0"/>
                <w:sz w:val="16"/>
              </w:rPr>
              <w:t>데이터센터 내부 800G</w:t>
            </w:r>
          </w:p>
        </w:tc>
        <w:tc>
          <w:tcPr>
            <w:tcW w:type="dxa" w:w="2484"/>
            <w:vAlign w:val="center"/>
            <w:shd w:fill="FFFFFF"/>
          </w:tcPr>
          <w:p>
            <w:pPr>
              <w:spacing w:after="20" w:before="20"/>
            </w:pPr>
            <w:r>
              <w:rPr>
                <w:b w:val="0"/>
                <w:sz w:val="16"/>
              </w:rPr>
              <w:t>IEEE 802.3df-2024</w:t>
            </w:r>
          </w:p>
        </w:tc>
        <w:tc>
          <w:tcPr>
            <w:tcW w:type="dxa" w:w="2484"/>
            <w:vAlign w:val="center"/>
            <w:shd w:fill="FFFFFF"/>
          </w:tcPr>
          <w:p>
            <w:pPr>
              <w:spacing w:after="20" w:before="20"/>
            </w:pPr>
            <w:r>
              <w:rPr>
                <w:b w:val="0"/>
                <w:sz w:val="16"/>
              </w:rPr>
              <w:t>8×100G 레인 후보, PMD별 심수/거리</w:t>
            </w:r>
          </w:p>
        </w:tc>
        <w:tc>
          <w:tcPr>
            <w:tcW w:type="dxa" w:w="2484"/>
            <w:vAlign w:val="center"/>
            <w:shd w:fill="FFFFFF"/>
          </w:tcPr>
          <w:p>
            <w:pPr>
              <w:spacing w:after="20" w:before="20"/>
            </w:pPr>
            <w:r>
              <w:rPr>
                <w:b w:val="0"/>
                <w:sz w:val="16"/>
              </w:rPr>
              <w:t>출판된 규격</w:t>
            </w:r>
          </w:p>
        </w:tc>
      </w:tr>
      <w:tr>
        <w:tc>
          <w:tcPr>
            <w:tcW w:type="dxa" w:w="2484"/>
            <w:vAlign w:val="center"/>
            <w:shd w:fill="F4F7FA"/>
          </w:tcPr>
          <w:p>
            <w:pPr>
              <w:spacing w:after="20" w:before="20"/>
            </w:pPr>
            <w:r>
              <w:rPr>
                <w:b w:val="0"/>
                <w:sz w:val="16"/>
              </w:rPr>
              <w:t>차세대 Ethernet 1.6T</w:t>
            </w:r>
          </w:p>
        </w:tc>
        <w:tc>
          <w:tcPr>
            <w:tcW w:type="dxa" w:w="2484"/>
            <w:vAlign w:val="center"/>
            <w:shd w:fill="F4F7FA"/>
          </w:tcPr>
          <w:p>
            <w:pPr>
              <w:spacing w:after="20" w:before="20"/>
            </w:pPr>
            <w:r>
              <w:rPr>
                <w:b w:val="0"/>
                <w:sz w:val="16"/>
              </w:rPr>
              <w:t>IEEE P802.3dj</w:t>
            </w:r>
          </w:p>
        </w:tc>
        <w:tc>
          <w:tcPr>
            <w:tcW w:type="dxa" w:w="2484"/>
            <w:vAlign w:val="center"/>
            <w:shd w:fill="F4F7FA"/>
          </w:tcPr>
          <w:p>
            <w:pPr>
              <w:spacing w:after="20" w:before="20"/>
            </w:pPr>
            <w:r>
              <w:rPr>
                <w:b w:val="0"/>
                <w:sz w:val="16"/>
              </w:rPr>
              <w:t>호스트/PHY 전기·광 신호 및 BER</w:t>
            </w:r>
          </w:p>
        </w:tc>
        <w:tc>
          <w:tcPr>
            <w:tcW w:type="dxa" w:w="2484"/>
            <w:vAlign w:val="center"/>
            <w:shd w:fill="F4F7FA"/>
          </w:tcPr>
          <w:p>
            <w:pPr>
              <w:spacing w:after="20" w:before="20"/>
            </w:pPr>
            <w:r>
              <w:rPr>
                <w:b w:val="0"/>
                <w:sz w:val="16"/>
              </w:rPr>
              <w:t>초안/재회람 진행</w:t>
            </w:r>
          </w:p>
        </w:tc>
      </w:tr>
      <w:tr>
        <w:tc>
          <w:tcPr>
            <w:tcW w:type="dxa" w:w="2484"/>
            <w:vAlign w:val="center"/>
            <w:shd w:fill="FFFFFF"/>
          </w:tcPr>
          <w:p>
            <w:pPr>
              <w:spacing w:after="20" w:before="20"/>
            </w:pPr>
            <w:r>
              <w:rPr>
                <w:b w:val="0"/>
                <w:sz w:val="16"/>
              </w:rPr>
              <w:t>코히어런트 DCI 800G</w:t>
            </w:r>
          </w:p>
        </w:tc>
        <w:tc>
          <w:tcPr>
            <w:tcW w:type="dxa" w:w="2484"/>
            <w:vAlign w:val="center"/>
            <w:shd w:fill="FFFFFF"/>
          </w:tcPr>
          <w:p>
            <w:pPr>
              <w:spacing w:after="20" w:before="20"/>
            </w:pPr>
            <w:r>
              <w:rPr>
                <w:b w:val="0"/>
                <w:sz w:val="16"/>
              </w:rPr>
              <w:t>OIF-800ZR-01.0</w:t>
            </w:r>
          </w:p>
        </w:tc>
        <w:tc>
          <w:tcPr>
            <w:tcW w:type="dxa" w:w="2484"/>
            <w:vAlign w:val="center"/>
            <w:shd w:fill="FFFFFF"/>
          </w:tcPr>
          <w:p>
            <w:pPr>
              <w:spacing w:after="20" w:before="20"/>
            </w:pPr>
            <w:r>
              <w:rPr>
                <w:b w:val="0"/>
                <w:sz w:val="16"/>
              </w:rPr>
              <w:t>OSNR·CD·PMD·광입력 범위</w:t>
            </w:r>
          </w:p>
        </w:tc>
        <w:tc>
          <w:tcPr>
            <w:tcW w:type="dxa" w:w="2484"/>
            <w:vAlign w:val="center"/>
            <w:shd w:fill="FFFFFF"/>
          </w:tcPr>
          <w:p>
            <w:pPr>
              <w:spacing w:after="20" w:before="20"/>
            </w:pPr>
            <w:r>
              <w:rPr>
                <w:b w:val="0"/>
                <w:sz w:val="16"/>
              </w:rPr>
              <w:t>합의문 출판</w:t>
            </w:r>
          </w:p>
        </w:tc>
      </w:tr>
      <w:tr>
        <w:tc>
          <w:tcPr>
            <w:tcW w:type="dxa" w:w="2484"/>
            <w:vAlign w:val="center"/>
            <w:shd w:fill="F4F7FA"/>
          </w:tcPr>
          <w:p>
            <w:pPr>
              <w:spacing w:after="20" w:before="20"/>
            </w:pPr>
            <w:r>
              <w:rPr>
                <w:b w:val="0"/>
                <w:sz w:val="16"/>
              </w:rPr>
              <w:t>코히어런트 DCI 1.6T</w:t>
            </w:r>
          </w:p>
        </w:tc>
        <w:tc>
          <w:tcPr>
            <w:tcW w:type="dxa" w:w="2484"/>
            <w:vAlign w:val="center"/>
            <w:shd w:fill="F4F7FA"/>
          </w:tcPr>
          <w:p>
            <w:pPr>
              <w:spacing w:after="20" w:before="20"/>
            </w:pPr>
            <w:r>
              <w:rPr>
                <w:b w:val="0"/>
                <w:sz w:val="16"/>
              </w:rPr>
              <w:t>OIF-1600ZR-01.0</w:t>
            </w:r>
          </w:p>
        </w:tc>
        <w:tc>
          <w:tcPr>
            <w:tcW w:type="dxa" w:w="2484"/>
            <w:vAlign w:val="center"/>
            <w:shd w:fill="F4F7FA"/>
          </w:tcPr>
          <w:p>
            <w:pPr>
              <w:spacing w:after="20" w:before="20"/>
            </w:pPr>
            <w:r>
              <w:rPr>
                <w:b w:val="0"/>
                <w:sz w:val="16"/>
              </w:rPr>
              <w:t>코히어런트 전송·FEC·회선 조건</w:t>
            </w:r>
          </w:p>
        </w:tc>
        <w:tc>
          <w:tcPr>
            <w:tcW w:type="dxa" w:w="2484"/>
            <w:vAlign w:val="center"/>
            <w:shd w:fill="F4F7FA"/>
          </w:tcPr>
          <w:p>
            <w:pPr>
              <w:spacing w:after="20" w:before="20"/>
            </w:pPr>
            <w:r>
              <w:rPr>
                <w:b w:val="0"/>
                <w:sz w:val="16"/>
              </w:rPr>
              <w:t>2026-09 합의문 출판</w:t>
            </w:r>
          </w:p>
        </w:tc>
      </w:tr>
    </w:tbl>
    <w:p>
      <w:pPr>
        <w:pStyle w:val="BodyText"/>
        <w:keepLines/>
        <w:spacing w:after="100"/>
      </w:pPr>
      <w:r>
        <w:t>표 해석: 서로 다른 단체/인터페이스 규격을 같은 1.6T라는 이름만으로 상호 대체하지 않는다.</w:t>
      </w:r>
    </w:p>
    <w:p>
      <w:pPr>
        <w:pStyle w:val="Heading1"/>
        <w:keepNext/>
        <w:widowControl/>
      </w:pPr>
      <w:bookmarkStart w:id="91" w:name="topic_91"/>
      <w:r>
        <w:t xml:space="preserve">91 3D 디지털 트윈에서 따라갈 학습 경로</w:t>
      </w:r>
      <w:bookmarkEnd w:id="91"/>
    </w:p>
    <w:p>
      <w:pPr>
        <w:pStyle w:val="FirstParagraph"/>
        <w:widowControl/>
      </w:pPr>
      <w:r>
        <w:rPr>
          <w:bCs/>
          <w:b/>
        </w:rPr>
        <w:t xml:space="preserve">9부 제공 웹사이트를 활용한 교육과 검증</w:t>
      </w:r>
    </w:p>
    <w:p>
      <w:pPr>
        <w:pStyle w:val="BodyText"/>
        <w:widowControl/>
      </w:pPr>
      <w:r>
        <w:t xml:space="preserve">사용자 제공 3D 페이지의 공개 HTML을 확인한 결과, 캠퍼스와 수전·발전 야드, 냉각 플랜트, Gray Zone, Data Hall, Network/MMR 및 NOC/Safety 구분이 있다. 화면의 위치와 실제 건축 구획은 구분해서 이해한다.</w:t>
      </w:r>
    </w:p>
    <w:p>
      <w:pPr>
        <w:pStyle w:val="BodyText"/>
        <w:widowControl/>
      </w:pPr>
      <w:r>
        <w:t xml:space="preserve">발표는 외부 전력 인입과 열 배출 경로를 먼저 소개한 뒤 서버실로 들어가는 순서가 좋다. 서버 랙에서는 전원, NIC와 광패널을 관찰하고 마지막으로 MMR과 관제실에서 외부 연결과 장애 대응을 설명한다. 기능을 누를 때마다 무엇이 변하는지 문장으로 알려준다.</w:t>
      </w:r>
    </w:p>
    <w:p>
      <w:pPr>
        <w:pStyle w:val="BodyText"/>
        <w:widowControl/>
      </w:pPr>
      <w:r>
        <w:t xml:space="preserve">이 백서의 사이트 검토는 공개 HTML의 기능 설명과 표시된 계산 경계를 대상으로 했다. 외부 스크립트 전체를 감사하거나 브라우저 상호작용을 실행 시험한 것은 아니다. 화면 버전이 바뀌면 해당 버튼과 표시를 다시 확인한다.</w:t>
      </w:r>
    </w:p>
    <w:tbl>
      <w:tblPr>
        <w:tblStyle w:val="Table"/>
        <w:tblW w:type="dxa" w:w="986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096"/>
        <w:gridCol w:w="4392"/>
      </w:tblGrid>
      <w:tr>
        <w:trPr>
          <w:tblHeader w:val="true"/>
          <w:cantSplit/>
          <w:tblHeader/>
        </w:trPr>
        <w:tc>
          <w:tcPr>
            <w:tcW w:type="dxa" w:w="237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교육 순서</w:t>
            </w:r>
          </w:p>
        </w:tc>
        <w:tc>
          <w:tcPr>
            <w:tcW w:type="dxa" w:w="309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관찰 대상</w:t>
            </w:r>
          </w:p>
        </w:tc>
        <w:tc>
          <w:tcPr>
            <w:tcW w:type="dxa" w:w="4392"/>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설명할 질문</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외부 시설</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전원과 냉각 플랜트</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에너지와 열은 어디로 가는가</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지원 공간</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UPS와 배전</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정전 때 무엇이 유지되는가</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서버실</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랙과 케이블</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IT 요구가 무엇인가</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통신과 관제</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MMR NOC</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외부 연결과 장애 대응</w:t>
            </w:r>
          </w:p>
        </w:tc>
      </w:tr>
    </w:tbl>
    <w:bookmarkStart w:id="297" w:name="적용과-검증-86"/>
    <w:p>
      <w:pPr>
        <w:pStyle w:val="Heading2"/>
        <w:widowControl/>
      </w:pPr>
      <w:r>
        <w:t xml:space="preserve">적용과 검증</w:t>
      </w:r>
    </w:p>
    <w:p>
      <w:pPr>
        <w:pStyle w:val="FirstParagraph"/>
        <w:keepNext/>
        <w:widowControl/>
      </w:pPr>
      <w:r>
        <w:t xml:space="preserve">발표자는 사이트를 개념 관찰 도구로 사용하고 설계 수치는 본문의 Case Study 표로 설명한다. 두 자료를 연결하면 외형 이해와 계산 근거를 동시에 전달할 수 있다.</w:t>
      </w:r>
    </w:p>
    <w:p>
      <w:pPr>
        <w:pStyle w:val="BodyText"/>
        <w:widowControl/>
        <w:spacing w:before="160"/>
      </w:pPr>
      <w:r>
        <w:rPr>
          <w:sz w:val="17"/>
        </w:rPr>
        <w:t xml:space="preserve">근거 및 추가 읽기 [R28]</w:t>
      </w:r>
    </w:p>
    <w:bookmarkEnd w:id="297"/>
    <w:bookmarkEnd w:id="298"/>
    <w:bookmarkStart w:id="300" w:name="d-표시값을-물리-모델로-해석하는-방법"/>
    <w:p>
      <w:pPr>
        <w:pStyle w:val="Heading2"/>
        <w:keepNext/>
        <w:keepLines/>
        <w:spacing w:after="100"/>
      </w:pPr>
      <w:r>
        <w:t>웹 도구 비종속: 계산 엔진과 화면 스냅샷 분리</w:t>
      </w:r>
    </w:p>
    <w:p>
      <w:pPr>
        <w:pStyle w:val="BodyText"/>
        <w:keepLines/>
        <w:spacing w:after="100"/>
      </w:pPr>
      <w:r>
        <w:t>9부에서 관찰한 v4.8.1·v8.2.0은 2026-10-16 당시 공개 HTML의 역사적 버전 식별자이다. 설계 계산 백서의 공식은 특정 사이트 버튼·색상·레이아웃 변경과 무관해야 한다. 이를 위해 예제 입력(schema v1), 독립 수식(versioned calculation specification), 예상 출력(golden vector), 사용자 화면 adapter를 네 계층으로 분리한다.</w:t>
      </w:r>
    </w:p>
    <w:p>
      <w:pPr>
        <w:pStyle w:val="BodyText"/>
        <w:keepLines/>
        <w:spacing w:after="100"/>
      </w:pPr>
      <w:r>
        <w:t>회귀 검산의 필수 메타데이터: run_id, Git commit SHA 또는 배포 fingerprint, calculation_schema_version, 기준 시각, 입력 JSON 해시, 출력 JSON 해시, 올림·예비정책, 단위, 출처 및 허용 오차. 도구 결과가 사라져도 보존된 JSON으로 교차 재현할 수 있어야 한다.</w:t>
      </w:r>
    </w:p>
    <w:p>
      <w:pPr>
        <w:pStyle w:val="BodyText"/>
        <w:keepLines/>
        <w:spacing w:after="100"/>
      </w:pPr>
      <w:r>
        <w:t>본 개정판은 사이트의 최신 실행 결과를 직접 획득하지 못했으므로, 사례 B의 도구 출력 열을 실제 실행이라고 꾸미지 않는다. 이하 §94는 현행 도구에서 동일 입력과 정의를 넣어 저장하면 대조표를 채울 수 있는 수치 baseline이다.</w:t>
      </w:r>
    </w:p>
    <w:p>
      <w:pPr>
        <w:pStyle w:val="Heading1"/>
        <w:keepNext/>
        <w:widowControl/>
      </w:pPr>
      <w:bookmarkStart w:id="92" w:name="topic_92"/>
      <w:r>
        <w:t xml:space="preserve">92 3D 표시값을 물리 모델로 해석하는 방법</w:t>
      </w:r>
      <w:bookmarkEnd w:id="92"/>
    </w:p>
    <w:p>
      <w:pPr>
        <w:pStyle w:val="FirstParagraph"/>
        <w:widowControl/>
      </w:pPr>
      <w:r>
        <w:rPr>
          <w:bCs/>
          <w:b/>
        </w:rPr>
        <w:t xml:space="preserve">9부 제공 웹사이트를 활용한 교육과 검증</w:t>
      </w:r>
    </w:p>
    <w:p>
      <w:pPr>
        <w:pStyle w:val="BodyText"/>
        <w:widowControl/>
      </w:pPr>
      <w:r>
        <w:t xml:space="preserve">3D 페이지는 장비와 운전값이 설명용 예시임을 명시한다. 공개 HTML의 계산 경계 안내에는 UPS 잔여시간이 설정 백업 분에서 경과 시간을 빼는 방식이고 가용성은 교육용 가정표임을 설명한다. 이 표시를 배터리 실측이나 신뢰도 통계로 소개하지 않는다.</w:t>
      </w:r>
    </w:p>
    <w:p>
      <w:pPr>
        <w:pStyle w:val="BodyText"/>
        <w:widowControl/>
      </w:pPr>
      <w:r>
        <w:t xml:space="preserve">교육용 표시를 실제 설계와 연결하려면 각각의 근거 모델을 추가한다. UPS 시간은 배터리 런타임 자료로, 온도는 열수지와 계측으로, 가용성은 고장·복구 자료와 토폴로지로 검증한다. 화면의 변화가 물리적 인과를 이해시키도록 설명한다.</w:t>
      </w:r>
    </w:p>
    <w:p>
      <w:pPr>
        <w:pStyle w:val="BodyText"/>
        <w:widowControl/>
      </w:pPr>
      <w:r>
        <w:t xml:space="preserve">PUE 표시 역시 계측한 연간 비율과 순간 모델 값을 구분한다. 시설 구성과 부하율이 달라지면 손실과 냉각 전력도 바뀌므로 상수 하나를 모든 상태에 적용하지 않는다.</w:t>
      </w:r>
    </w:p>
    <w:tbl>
      <w:tblPr>
        <w:tblStyle w:val="Table"/>
        <w:tblW w:type="dxa" w:w="986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096"/>
        <w:gridCol w:w="4392"/>
      </w:tblGrid>
      <w:tr>
        <w:trPr>
          <w:tblHeader w:val="true"/>
          <w:cantSplit/>
          <w:tblHeader/>
        </w:trPr>
        <w:tc>
          <w:tcPr>
            <w:tcW w:type="dxa" w:w="237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화면 항목</w:t>
            </w:r>
          </w:p>
        </w:tc>
        <w:tc>
          <w:tcPr>
            <w:tcW w:type="dxa" w:w="309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설계 검증용 근거</w:t>
            </w:r>
          </w:p>
        </w:tc>
        <w:tc>
          <w:tcPr>
            <w:tcW w:type="dxa" w:w="4392"/>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필요 데이터</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UPS 잔여시간</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부하별 런타임</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배터리와 부하</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랙 온도</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열수지와 유량</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센서와 공기 흐름</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가용성</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고장과 복구 모델</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사건 이력과 경로</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PUE</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동일 기간 에너지</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시설과 IT 계량</w:t>
            </w:r>
          </w:p>
        </w:tc>
      </w:tr>
    </w:tbl>
    <w:bookmarkStart w:id="299" w:name="적용과-검증-87"/>
    <w:p>
      <w:pPr>
        <w:pStyle w:val="Heading2"/>
        <w:widowControl/>
      </w:pPr>
      <w:r>
        <w:t xml:space="preserve">적용과 검증</w:t>
      </w:r>
    </w:p>
    <w:p>
      <w:pPr>
        <w:pStyle w:val="FirstParagraph"/>
        <w:keepNext/>
        <w:widowControl/>
      </w:pPr>
      <w:r>
        <w:t xml:space="preserve">사이트 자체를 수정하지 않고 현재 표현의 의미와 한계를 설명했다. 후속 개선에서는 값마다 가정·사양·계측 구분과 출처를 표시하면 학습자의 오해를 줄일 수 있다.</w:t>
      </w:r>
    </w:p>
    <w:p>
      <w:pPr>
        <w:pStyle w:val="BodyText"/>
        <w:widowControl/>
        <w:spacing w:before="160"/>
      </w:pPr>
      <w:r>
        <w:rPr>
          <w:sz w:val="17"/>
        </w:rPr>
        <w:t xml:space="preserve">근거 및 추가 읽기 [R28] [R01]</w:t>
      </w:r>
    </w:p>
    <w:bookmarkEnd w:id="299"/>
    <w:bookmarkEnd w:id="300"/>
    <w:bookmarkStart w:id="302" w:name="bom-도구의-입력을-요구조건표로-옮기기"/>
    <w:p>
      <w:pPr>
        <w:pStyle w:val="Heading1"/>
        <w:keepNext/>
        <w:widowControl/>
      </w:pPr>
      <w:bookmarkStart w:id="93" w:name="topic_93"/>
      <w:r>
        <w:t xml:space="preserve">93 BOM 도구의 입력을 요구조건표로 옮기기</w:t>
      </w:r>
      <w:bookmarkEnd w:id="93"/>
    </w:p>
    <w:p>
      <w:pPr>
        <w:pStyle w:val="FirstParagraph"/>
        <w:widowControl/>
      </w:pPr>
      <w:r>
        <w:rPr>
          <w:bCs/>
          <w:b/>
        </w:rPr>
        <w:t xml:space="preserve">9부 제공 웹사이트를 활용한 교육과 검증</w:t>
      </w:r>
    </w:p>
    <w:p>
      <w:pPr>
        <w:pStyle w:val="BodyText"/>
        <w:widowControl/>
      </w:pPr>
      <w:r>
        <w:t xml:space="preserve">제공된 BOM 홈페이지의 공개 HTML에는 GPU 목표, 시스템, 토폴로지와 프로토콜, 랙 RU·전력·냉각 및 연결 거리와 트렁크 심수 입력이 있다. 확인 시 표시 버전은 v8.2.0이며 하단 업데이트 일자는 2026년 10월 14일이다.</w:t>
      </w:r>
    </w:p>
    <w:p>
      <w:pPr>
        <w:pStyle w:val="BodyText"/>
        <w:widowControl/>
      </w:pPr>
      <w:r>
        <w:t xml:space="preserve">이 입력 구조는 본문의 설계 순서와 연결할 수 있다. GPU 목표는 서버 수로, 랙 제약은 배치 대수로, 포트와 토폴로지는 링크 수로, 거리와 트렁크 심수는 배선 수량으로 변환한다. 별도 시설과 저장장치 옵션이 있는지도 범위표에 표시한다.</w:t>
      </w:r>
    </w:p>
    <w:p>
      <w:pPr>
        <w:pStyle w:val="BodyText"/>
        <w:widowControl/>
      </w:pPr>
      <w:r>
        <w:t xml:space="preserve">입력 기본값은 사용자의 실제 요구조건이 아니다. 100kW 랙이나 30m 서버 거리 같은 표시값을 그대로 현장 사양으로 사용하지 말고 제품 자료와 실측으로 대체한다. 계산 엔진의 상세 구현은 이 문서에서 전체 감사하지 않았다.</w:t>
      </w:r>
    </w:p>
    <w:tbl>
      <w:tblPr>
        <w:tblStyle w:val="Table"/>
        <w:tblW w:type="dxa" w:w="986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096"/>
        <w:gridCol w:w="4392"/>
      </w:tblGrid>
      <w:tr>
        <w:trPr>
          <w:tblHeader w:val="true"/>
          <w:cantSplit/>
          <w:tblHeader/>
        </w:trPr>
        <w:tc>
          <w:tcPr>
            <w:tcW w:type="dxa" w:w="237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도구 입력</w:t>
            </w:r>
          </w:p>
        </w:tc>
        <w:tc>
          <w:tcPr>
            <w:tcW w:type="dxa" w:w="309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백서의 계산</w:t>
            </w:r>
          </w:p>
        </w:tc>
        <w:tc>
          <w:tcPr>
            <w:tcW w:type="dxa" w:w="4392"/>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추가 확인</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필요 GPU</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서버 수</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모델과 서버당 GPU</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랙 RU와 전력</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랙 배치 한계</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부대 장비 예약</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냉각 kW와 방식</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열량과 유량</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공랭 잔여 부하</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거리와 트렁크</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모듈과 본수</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극성과 경로별 올림</w:t>
            </w:r>
          </w:p>
        </w:tc>
      </w:tr>
    </w:tbl>
    <w:bookmarkStart w:id="301" w:name="적용과-검증-88"/>
    <w:p>
      <w:pPr>
        <w:pStyle w:val="Heading2"/>
        <w:widowControl/>
      </w:pPr>
      <w:r>
        <w:t xml:space="preserve">적용과 검증</w:t>
      </w:r>
    </w:p>
    <w:p>
      <w:pPr>
        <w:pStyle w:val="FirstParagraph"/>
        <w:keepNext/>
        <w:widowControl/>
      </w:pPr>
      <w:r>
        <w:t xml:space="preserve">실무 사용 시 입력 스냅샷과 결과 버전 및 제품 카탈로그 기준일을 함께 저장한다. 결과가 달라졌을 때 입력 변화와 계산 엔진 변화 및 제품 자료 갱신을 구분할 수 있다.</w:t>
      </w:r>
    </w:p>
    <w:p>
      <w:pPr>
        <w:pStyle w:val="BodyText"/>
        <w:widowControl/>
        <w:spacing w:before="160"/>
      </w:pPr>
      <w:r>
        <w:rPr>
          <w:sz w:val="17"/>
        </w:rPr>
        <w:t xml:space="preserve">근거 및 추가 읽기 [R29]</w:t>
      </w:r>
    </w:p>
    <w:bookmarkEnd w:id="301"/>
    <w:bookmarkEnd w:id="302"/>
    <w:bookmarkStart w:id="304" w:name="웹-계산-결과의-독립-검산-절차"/>
    <w:p>
      <w:pPr>
        <w:pStyle w:val="Heading1"/>
        <w:keepNext/>
        <w:widowControl/>
      </w:pPr>
      <w:bookmarkStart w:id="94" w:name="topic_94"/>
      <w:r>
        <w:t xml:space="preserve">94 웹 계산 결과의 독립 검산 절차</w:t>
      </w:r>
      <w:bookmarkEnd w:id="94"/>
    </w:p>
    <w:p>
      <w:pPr>
        <w:pStyle w:val="FirstParagraph"/>
        <w:widowControl/>
      </w:pPr>
      <w:r>
        <w:rPr>
          <w:bCs/>
          <w:b/>
        </w:rPr>
        <w:t xml:space="preserve">9부 제공 웹사이트를 활용한 교육과 검증</w:t>
      </w:r>
    </w:p>
    <w:p>
      <w:pPr>
        <w:pStyle w:val="BodyText"/>
        <w:widowControl/>
      </w:pPr>
      <w:r>
        <w:t xml:space="preserve">웹 도구 결과를 검증하려면 작은 사례를 먼저 입력하고 수기로 계산한 값과 비교한다. 서버 8대와 단순한 토폴로지처럼 사람이 포트와 링크를 셀 수 있는 사례가 좋다. 복잡한 전체 결과부터 비교하면 오류 위치를 찾기 어렵다.</w:t>
      </w:r>
    </w:p>
    <w:p>
      <w:pPr>
        <w:pStyle w:val="BodyText"/>
        <w:widowControl/>
      </w:pPr>
      <w:r>
        <w:t xml:space="preserve">처음에는 서버 수, 랙 수, 링크 수와 전력 합계 같은 정수·합산 결과를 확인한다. 그다음 경로별 케이블 올림, 부품 분기와 예비 정책을 검토한다. 마지막으로 손실·거리·장애 후 용량 조건을 확인한다.</w:t>
      </w:r>
    </w:p>
    <w:p>
      <w:pPr>
        <w:pStyle w:val="BodyText"/>
        <w:widowControl/>
      </w:pPr>
      <w:r>
        <w:t xml:space="preserve">서로 다른 결과가 나와도 바로 어느 쪽이 틀렸다고 결론 내리지 않는다. 예비율의 정의, 부대 장비 범위와 논리·물리 포트의 차이일 수 있다. 결과 차이를 계산 경계와 식으로 분해해서 설명한다.</w:t>
      </w:r>
    </w:p>
    <w:tbl>
      <w:tblPr>
        <w:tblStyle w:val="Table"/>
        <w:tblW w:type="dxa" w:w="986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096"/>
        <w:gridCol w:w="4392"/>
      </w:tblGrid>
      <w:tr>
        <w:trPr>
          <w:tblHeader w:val="true"/>
          <w:cantSplit/>
          <w:tblHeader/>
        </w:trPr>
        <w:tc>
          <w:tcPr>
            <w:tcW w:type="dxa" w:w="237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검산 순서</w:t>
            </w:r>
          </w:p>
        </w:tc>
        <w:tc>
          <w:tcPr>
            <w:tcW w:type="dxa" w:w="309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기준값</w:t>
            </w:r>
          </w:p>
        </w:tc>
        <w:tc>
          <w:tcPr>
            <w:tcW w:type="dxa" w:w="4392"/>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실패 시 확인</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서버</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GPU 목표 나누기 서버 구성</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올림과 예비</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랙</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최소 제약</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부대 전력과 냉각</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링크</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접속표의 연결 수</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양단 중복</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광배선</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경로별 심수</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올림 위치와 분기</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전력</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부품 합과 랙 합</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중복과 누락</w:t>
            </w:r>
          </w:p>
        </w:tc>
      </w:tr>
    </w:tbl>
    <w:bookmarkStart w:id="303" w:name="적용과-검증-89"/>
    <w:p>
      <w:pPr>
        <w:pStyle w:val="Heading2"/>
        <w:widowControl/>
      </w:pPr>
      <w:r>
        <w:t xml:space="preserve">적용과 검증</w:t>
      </w:r>
    </w:p>
    <w:p>
      <w:pPr>
        <w:pStyle w:val="FirstParagraph"/>
        <w:keepNext/>
        <w:widowControl/>
      </w:pPr>
      <w:r>
        <w:t xml:space="preserve">수기 결과와 도구 결과가 일치해도 제품 호환성이 자동 입증되는 것은 아니다. 장비별 지원 모듈 목록과 시험 결과를 별도 합격 기준으로 둔다.</w:t>
      </w:r>
    </w:p>
    <w:p>
      <w:pPr>
        <w:pStyle w:val="BodyText"/>
        <w:widowControl/>
        <w:spacing w:before="160"/>
      </w:pPr>
      <w:r>
        <w:rPr>
          <w:sz w:val="17"/>
        </w:rPr>
        <w:t xml:space="preserve">근거 및 추가 읽기 [R29] [R13] [R17]</w:t>
      </w:r>
    </w:p>
    <w:bookmarkEnd w:id="303"/>
    <w:bookmarkEnd w:id="304"/>
    <w:bookmarkStart w:id="306" w:name="장애-시나리오를-발표에-활용하기"/>
    <w:p>
      <w:pPr>
        <w:pStyle w:val="Heading2"/>
        <w:keepNext/>
        <w:keepLines/>
        <w:spacing w:after="100"/>
      </w:pPr>
      <w:r>
        <w:t>교차 검산: 사례 B 독립 백서값 vs 웹 도구 결과</w:t>
      </w:r>
    </w:p>
    <w:p>
      <w:pPr>
        <w:pStyle w:val="BodyText"/>
        <w:keepLines/>
        <w:spacing w:after="100"/>
      </w:pPr>
      <w:r>
        <w:t>사례 B에 동일 입력(64 GPU, 8GPU/서버, 8U, 10.2kW, 42U 랙, 예약 6U, 랙당 기타 1kW, 45kW 전력/냉각, 64개 400G 논리 링크, 30m MPO-12 12심 조립품, DR4 사용 8심/링크, PUE 1.3, 8760h)을 설정한다. 도구별 시스템/제품/토폴로지 기본값이 일치하지 않을 수 있으므로 동일 조건을 구현하지 못하는 항목은 N/A로 표시해야 한다.</w:t>
      </w:r>
    </w:p>
    <w:p>
      <w:pPr>
        <w:pStyle w:val="BodyText"/>
        <w:keepLines/>
        <w:spacing w:after="100"/>
      </w:pPr>
      <w:r>
        <w:t>아래 원래 표의 “웹 도구 실행 출력 = 미획득”은 GitHub Pages 화면을 직접 조작해 해당 결과를 수집하지 못했다는 의미다. 단, 이후 추가된 v1.4 표는 GitHub에 게시된 phase7-bom-engine.js를 같은 소스 해시로 저장하고 Node.js에서 실제 실행한 결과다. 웹 UI 미검증과 소스 엔진 실행 검증은 별개이다.</w:t>
      </w:r>
    </w:p>
    <w:tbl>
      <w:tblPr>
        <w:tblW w:type="auto" w:w="0"/>
        <w:jc w:val="center"/>
        <w:tblLayout w:type="autofit"/>
        <w:tblLook w:firstColumn="1" w:firstRow="1" w:lastColumn="0" w:lastRow="0" w:noHBand="0" w:noVBand="1" w:val="04A0"/>
      </w:tblPr>
      <w:tblGrid>
        <w:gridCol w:w="1987"/>
        <w:gridCol w:w="1987"/>
        <w:gridCol w:w="1987"/>
        <w:gridCol w:w="1987"/>
        <w:gridCol w:w="1987"/>
      </w:tblGrid>
      <w:tr>
        <w:trPr>
          <w:tblHeader w:val="true"/>
        </w:trPr>
        <w:tc>
          <w:tcPr>
            <w:tcW w:type="dxa" w:w="1987"/>
            <w:vAlign w:val="center"/>
            <w:shd w:fill="DDEAF3"/>
          </w:tcPr>
          <w:p>
            <w:pPr>
              <w:spacing w:after="20" w:before="20"/>
            </w:pPr>
            <w:r>
              <w:rPr>
                <w:b/>
                <w:sz w:val="16"/>
              </w:rPr>
              <w:t>변수/산출</w:t>
            </w:r>
          </w:p>
        </w:tc>
        <w:tc>
          <w:tcPr>
            <w:tcW w:type="dxa" w:w="1987"/>
            <w:vAlign w:val="center"/>
            <w:shd w:fill="DDEAF3"/>
          </w:tcPr>
          <w:p>
            <w:pPr>
              <w:spacing w:after="20" w:before="20"/>
            </w:pPr>
            <w:r>
              <w:rPr>
                <w:b/>
                <w:sz w:val="16"/>
              </w:rPr>
              <w:t>입력·독립 산식</w:t>
            </w:r>
          </w:p>
        </w:tc>
        <w:tc>
          <w:tcPr>
            <w:tcW w:type="dxa" w:w="1987"/>
            <w:vAlign w:val="center"/>
            <w:shd w:fill="DDEAF3"/>
          </w:tcPr>
          <w:p>
            <w:pPr>
              <w:spacing w:after="20" w:before="20"/>
            </w:pPr>
            <w:r>
              <w:rPr>
                <w:b/>
                <w:sz w:val="16"/>
              </w:rPr>
              <w:t>백서 직접 검산</w:t>
            </w:r>
          </w:p>
        </w:tc>
        <w:tc>
          <w:tcPr>
            <w:tcW w:type="dxa" w:w="1987"/>
            <w:vAlign w:val="center"/>
            <w:shd w:fill="DDEAF3"/>
          </w:tcPr>
          <w:p>
            <w:pPr>
              <w:spacing w:after="20" w:before="20"/>
            </w:pPr>
            <w:r>
              <w:rPr>
                <w:b/>
                <w:sz w:val="16"/>
              </w:rPr>
              <w:t>웹 도구 실행 출력</w:t>
            </w:r>
          </w:p>
        </w:tc>
        <w:tc>
          <w:tcPr>
            <w:tcW w:type="dxa" w:w="1987"/>
            <w:vAlign w:val="center"/>
            <w:shd w:fill="DDEAF3"/>
          </w:tcPr>
          <w:p>
            <w:pPr>
              <w:spacing w:after="20" w:before="20"/>
            </w:pPr>
            <w:r>
              <w:rPr>
                <w:b/>
                <w:sz w:val="16"/>
              </w:rPr>
              <w:t>교차 판정</w:t>
            </w:r>
          </w:p>
        </w:tc>
      </w:tr>
      <w:tr>
        <w:tc>
          <w:tcPr>
            <w:tcW w:type="dxa" w:w="1987"/>
            <w:vAlign w:val="center"/>
          </w:tcPr>
          <w:p>
            <w:pPr>
              <w:spacing w:after="20" w:before="20"/>
            </w:pPr>
            <w:r>
              <w:rPr>
                <w:sz w:val="16"/>
              </w:rPr>
              <w:t>GPU/서버</w:t>
            </w:r>
          </w:p>
        </w:tc>
        <w:tc>
          <w:tcPr>
            <w:tcW w:type="dxa" w:w="1987"/>
            <w:vAlign w:val="center"/>
          </w:tcPr>
          <w:p>
            <w:pPr>
              <w:spacing w:after="20" w:before="20"/>
            </w:pPr>
            <w:r>
              <w:rPr>
                <w:sz w:val="16"/>
              </w:rPr>
              <w:t>64/8</w:t>
            </w:r>
          </w:p>
        </w:tc>
        <w:tc>
          <w:tcPr>
            <w:tcW w:type="dxa" w:w="1987"/>
            <w:vAlign w:val="center"/>
          </w:tcPr>
          <w:p>
            <w:pPr>
              <w:spacing w:after="20" w:before="20"/>
            </w:pPr>
            <w:r>
              <w:rPr>
                <w:sz w:val="16"/>
              </w:rPr>
              <w:t>8대</w:t>
            </w:r>
          </w:p>
        </w:tc>
        <w:tc>
          <w:tcPr>
            <w:tcW w:type="dxa" w:w="1987"/>
            <w:vAlign w:val="center"/>
          </w:tcPr>
          <w:p>
            <w:pPr>
              <w:spacing w:after="20" w:before="20"/>
            </w:pPr>
            <w:r>
              <w:rPr>
                <w:sz w:val="16"/>
              </w:rPr>
              <w:t>미획득</w:t>
            </w:r>
          </w:p>
        </w:tc>
        <w:tc>
          <w:tcPr>
            <w:tcW w:type="dxa" w:w="1987"/>
            <w:vAlign w:val="center"/>
          </w:tcPr>
          <w:p>
            <w:pPr>
              <w:spacing w:after="20" w:before="20"/>
            </w:pPr>
            <w:r>
              <w:rPr>
                <w:sz w:val="16"/>
              </w:rPr>
              <w:t>미검증</w:t>
            </w:r>
          </w:p>
        </w:tc>
      </w:tr>
      <w:tr>
        <w:tc>
          <w:tcPr>
            <w:tcW w:type="dxa" w:w="1987"/>
            <w:vAlign w:val="center"/>
            <w:shd w:fill="F2F6FA"/>
          </w:tcPr>
          <w:p>
            <w:pPr>
              <w:spacing w:after="20" w:before="20"/>
            </w:pPr>
            <w:r>
              <w:rPr>
                <w:sz w:val="16"/>
              </w:rPr>
              <w:t>서버 랙 최소 수</w:t>
            </w:r>
          </w:p>
        </w:tc>
        <w:tc>
          <w:tcPr>
            <w:tcW w:type="dxa" w:w="1987"/>
            <w:vAlign w:val="center"/>
            <w:shd w:fill="F2F6FA"/>
          </w:tcPr>
          <w:p>
            <w:pPr>
              <w:spacing w:after="20" w:before="20"/>
            </w:pPr>
            <w:r>
              <w:rPr>
                <w:sz w:val="16"/>
              </w:rPr>
              <w:t>ceil(8/4)</w:t>
            </w:r>
          </w:p>
        </w:tc>
        <w:tc>
          <w:tcPr>
            <w:tcW w:type="dxa" w:w="1987"/>
            <w:vAlign w:val="center"/>
            <w:shd w:fill="F2F6FA"/>
          </w:tcPr>
          <w:p>
            <w:pPr>
              <w:spacing w:after="20" w:before="20"/>
            </w:pPr>
            <w:r>
              <w:rPr>
                <w:sz w:val="16"/>
              </w:rPr>
              <w:t>2랙</w:t>
            </w:r>
          </w:p>
        </w:tc>
        <w:tc>
          <w:tcPr>
            <w:tcW w:type="dxa" w:w="1987"/>
            <w:vAlign w:val="center"/>
            <w:shd w:fill="F2F6FA"/>
          </w:tcPr>
          <w:p>
            <w:pPr>
              <w:spacing w:after="20" w:before="20"/>
            </w:pPr>
            <w:r>
              <w:rPr>
                <w:sz w:val="16"/>
              </w:rPr>
              <w:t>미획득</w:t>
            </w:r>
          </w:p>
        </w:tc>
        <w:tc>
          <w:tcPr>
            <w:tcW w:type="dxa" w:w="1987"/>
            <w:vAlign w:val="center"/>
            <w:shd w:fill="F2F6FA"/>
          </w:tcPr>
          <w:p>
            <w:pPr>
              <w:spacing w:after="20" w:before="20"/>
            </w:pPr>
            <w:r>
              <w:rPr>
                <w:sz w:val="16"/>
              </w:rPr>
              <w:t>미검증</w:t>
            </w:r>
          </w:p>
        </w:tc>
      </w:tr>
      <w:tr>
        <w:tc>
          <w:tcPr>
            <w:tcW w:type="dxa" w:w="1987"/>
            <w:vAlign w:val="center"/>
          </w:tcPr>
          <w:p>
            <w:pPr>
              <w:spacing w:after="20" w:before="20"/>
            </w:pPr>
            <w:r>
              <w:rPr>
                <w:sz w:val="16"/>
              </w:rPr>
              <w:t>랙당 RU</w:t>
            </w:r>
          </w:p>
        </w:tc>
        <w:tc>
          <w:tcPr>
            <w:tcW w:type="dxa" w:w="1987"/>
            <w:vAlign w:val="center"/>
          </w:tcPr>
          <w:p>
            <w:pPr>
              <w:spacing w:after="20" w:before="20"/>
            </w:pPr>
            <w:r>
              <w:rPr>
                <w:sz w:val="16"/>
              </w:rPr>
              <w:t>4×8+6</w:t>
            </w:r>
          </w:p>
        </w:tc>
        <w:tc>
          <w:tcPr>
            <w:tcW w:type="dxa" w:w="1987"/>
            <w:vAlign w:val="center"/>
          </w:tcPr>
          <w:p>
            <w:pPr>
              <w:spacing w:after="20" w:before="20"/>
            </w:pPr>
            <w:r>
              <w:rPr>
                <w:sz w:val="16"/>
              </w:rPr>
              <w:t>38U</w:t>
            </w:r>
          </w:p>
        </w:tc>
        <w:tc>
          <w:tcPr>
            <w:tcW w:type="dxa" w:w="1987"/>
            <w:vAlign w:val="center"/>
          </w:tcPr>
          <w:p>
            <w:pPr>
              <w:spacing w:after="20" w:before="20"/>
            </w:pPr>
            <w:r>
              <w:rPr>
                <w:sz w:val="16"/>
              </w:rPr>
              <w:t>미획득</w:t>
            </w:r>
          </w:p>
        </w:tc>
        <w:tc>
          <w:tcPr>
            <w:tcW w:type="dxa" w:w="1987"/>
            <w:vAlign w:val="center"/>
          </w:tcPr>
          <w:p>
            <w:pPr>
              <w:spacing w:after="20" w:before="20"/>
            </w:pPr>
            <w:r>
              <w:rPr>
                <w:sz w:val="16"/>
              </w:rPr>
              <w:t>미검증</w:t>
            </w:r>
          </w:p>
        </w:tc>
      </w:tr>
      <w:tr>
        <w:tc>
          <w:tcPr>
            <w:tcW w:type="dxa" w:w="1987"/>
            <w:vAlign w:val="center"/>
            <w:shd w:fill="F2F6FA"/>
          </w:tcPr>
          <w:p>
            <w:pPr>
              <w:spacing w:after="20" w:before="20"/>
            </w:pPr>
            <w:r>
              <w:rPr>
                <w:sz w:val="16"/>
              </w:rPr>
              <w:t>랙당 IT 전력</w:t>
            </w:r>
          </w:p>
        </w:tc>
        <w:tc>
          <w:tcPr>
            <w:tcW w:type="dxa" w:w="1987"/>
            <w:vAlign w:val="center"/>
            <w:shd w:fill="F2F6FA"/>
          </w:tcPr>
          <w:p>
            <w:pPr>
              <w:spacing w:after="20" w:before="20"/>
            </w:pPr>
            <w:r>
              <w:rPr>
                <w:sz w:val="16"/>
              </w:rPr>
              <w:t>4×10.2+1</w:t>
            </w:r>
          </w:p>
        </w:tc>
        <w:tc>
          <w:tcPr>
            <w:tcW w:type="dxa" w:w="1987"/>
            <w:vAlign w:val="center"/>
            <w:shd w:fill="F2F6FA"/>
          </w:tcPr>
          <w:p>
            <w:pPr>
              <w:spacing w:after="20" w:before="20"/>
            </w:pPr>
            <w:r>
              <w:rPr>
                <w:sz w:val="16"/>
              </w:rPr>
              <w:t>41.8kW</w:t>
            </w:r>
          </w:p>
        </w:tc>
        <w:tc>
          <w:tcPr>
            <w:tcW w:type="dxa" w:w="1987"/>
            <w:vAlign w:val="center"/>
            <w:shd w:fill="F2F6FA"/>
          </w:tcPr>
          <w:p>
            <w:pPr>
              <w:spacing w:after="20" w:before="20"/>
            </w:pPr>
            <w:r>
              <w:rPr>
                <w:sz w:val="16"/>
              </w:rPr>
              <w:t>미획득</w:t>
            </w:r>
          </w:p>
        </w:tc>
        <w:tc>
          <w:tcPr>
            <w:tcW w:type="dxa" w:w="1987"/>
            <w:vAlign w:val="center"/>
            <w:shd w:fill="F2F6FA"/>
          </w:tcPr>
          <w:p>
            <w:pPr>
              <w:spacing w:after="20" w:before="20"/>
            </w:pPr>
            <w:r>
              <w:rPr>
                <w:sz w:val="16"/>
              </w:rPr>
              <w:t>미검증</w:t>
            </w:r>
          </w:p>
        </w:tc>
      </w:tr>
      <w:tr>
        <w:tc>
          <w:tcPr>
            <w:tcW w:type="dxa" w:w="1987"/>
            <w:vAlign w:val="center"/>
          </w:tcPr>
          <w:p>
            <w:pPr>
              <w:spacing w:after="20" w:before="20"/>
            </w:pPr>
            <w:r>
              <w:rPr>
                <w:sz w:val="16"/>
              </w:rPr>
              <w:t>전체 IT 전력</w:t>
            </w:r>
          </w:p>
        </w:tc>
        <w:tc>
          <w:tcPr>
            <w:tcW w:type="dxa" w:w="1987"/>
            <w:vAlign w:val="center"/>
          </w:tcPr>
          <w:p>
            <w:pPr>
              <w:spacing w:after="20" w:before="20"/>
            </w:pPr>
            <w:r>
              <w:rPr>
                <w:sz w:val="16"/>
              </w:rPr>
              <w:t>2×41.8</w:t>
            </w:r>
          </w:p>
        </w:tc>
        <w:tc>
          <w:tcPr>
            <w:tcW w:type="dxa" w:w="1987"/>
            <w:vAlign w:val="center"/>
          </w:tcPr>
          <w:p>
            <w:pPr>
              <w:spacing w:after="20" w:before="20"/>
            </w:pPr>
            <w:r>
              <w:rPr>
                <w:sz w:val="16"/>
              </w:rPr>
              <w:t>83.6kW</w:t>
            </w:r>
          </w:p>
        </w:tc>
        <w:tc>
          <w:tcPr>
            <w:tcW w:type="dxa" w:w="1987"/>
            <w:vAlign w:val="center"/>
          </w:tcPr>
          <w:p>
            <w:pPr>
              <w:spacing w:after="20" w:before="20"/>
            </w:pPr>
            <w:r>
              <w:rPr>
                <w:sz w:val="16"/>
              </w:rPr>
              <w:t>미획득</w:t>
            </w:r>
          </w:p>
        </w:tc>
        <w:tc>
          <w:tcPr>
            <w:tcW w:type="dxa" w:w="1987"/>
            <w:vAlign w:val="center"/>
          </w:tcPr>
          <w:p>
            <w:pPr>
              <w:spacing w:after="20" w:before="20"/>
            </w:pPr>
            <w:r>
              <w:rPr>
                <w:sz w:val="16"/>
              </w:rPr>
              <w:t>미검증</w:t>
            </w:r>
          </w:p>
        </w:tc>
      </w:tr>
      <w:tr>
        <w:tc>
          <w:tcPr>
            <w:tcW w:type="dxa" w:w="1987"/>
            <w:vAlign w:val="center"/>
            <w:shd w:fill="F2F6FA"/>
          </w:tcPr>
          <w:p>
            <w:pPr>
              <w:spacing w:after="20" w:before="20"/>
            </w:pPr>
            <w:r>
              <w:rPr>
                <w:sz w:val="16"/>
              </w:rPr>
              <w:t>서버 논리 400G 링크</w:t>
            </w:r>
          </w:p>
        </w:tc>
        <w:tc>
          <w:tcPr>
            <w:tcW w:type="dxa" w:w="1987"/>
            <w:vAlign w:val="center"/>
            <w:shd w:fill="F2F6FA"/>
          </w:tcPr>
          <w:p>
            <w:pPr>
              <w:spacing w:after="20" w:before="20"/>
            </w:pPr>
            <w:r>
              <w:rPr>
                <w:sz w:val="16"/>
              </w:rPr>
              <w:t>8×8</w:t>
            </w:r>
          </w:p>
        </w:tc>
        <w:tc>
          <w:tcPr>
            <w:tcW w:type="dxa" w:w="1987"/>
            <w:vAlign w:val="center"/>
            <w:shd w:fill="F2F6FA"/>
          </w:tcPr>
          <w:p>
            <w:pPr>
              <w:spacing w:after="20" w:before="20"/>
            </w:pPr>
            <w:r>
              <w:rPr>
                <w:sz w:val="16"/>
              </w:rPr>
              <w:t>64링크</w:t>
            </w:r>
          </w:p>
        </w:tc>
        <w:tc>
          <w:tcPr>
            <w:tcW w:type="dxa" w:w="1987"/>
            <w:vAlign w:val="center"/>
            <w:shd w:fill="F2F6FA"/>
          </w:tcPr>
          <w:p>
            <w:pPr>
              <w:spacing w:after="20" w:before="20"/>
            </w:pPr>
            <w:r>
              <w:rPr>
                <w:sz w:val="16"/>
              </w:rPr>
              <w:t>미획득</w:t>
            </w:r>
          </w:p>
        </w:tc>
        <w:tc>
          <w:tcPr>
            <w:tcW w:type="dxa" w:w="1987"/>
            <w:vAlign w:val="center"/>
            <w:shd w:fill="F2F6FA"/>
          </w:tcPr>
          <w:p>
            <w:pPr>
              <w:spacing w:after="20" w:before="20"/>
            </w:pPr>
            <w:r>
              <w:rPr>
                <w:sz w:val="16"/>
              </w:rPr>
              <w:t>미검증</w:t>
            </w:r>
          </w:p>
        </w:tc>
      </w:tr>
      <w:tr>
        <w:tc>
          <w:tcPr>
            <w:tcW w:type="dxa" w:w="1987"/>
            <w:vAlign w:val="center"/>
          </w:tcPr>
          <w:p>
            <w:pPr>
              <w:spacing w:after="20" w:before="20"/>
            </w:pPr>
            <w:r>
              <w:rPr>
                <w:sz w:val="16"/>
              </w:rPr>
              <w:t>물리 모듈 (양단)</w:t>
            </w:r>
          </w:p>
        </w:tc>
        <w:tc>
          <w:tcPr>
            <w:tcW w:type="dxa" w:w="1987"/>
            <w:vAlign w:val="center"/>
          </w:tcPr>
          <w:p>
            <w:pPr>
              <w:spacing w:after="20" w:before="20"/>
            </w:pPr>
            <w:r>
              <w:rPr>
                <w:sz w:val="16"/>
              </w:rPr>
              <w:t>(8×4)+(32)</w:t>
            </w:r>
          </w:p>
        </w:tc>
        <w:tc>
          <w:tcPr>
            <w:tcW w:type="dxa" w:w="1987"/>
            <w:vAlign w:val="center"/>
          </w:tcPr>
          <w:p>
            <w:pPr>
              <w:spacing w:after="20" w:before="20"/>
            </w:pPr>
            <w:r>
              <w:rPr>
                <w:sz w:val="16"/>
              </w:rPr>
              <w:t>64개</w:t>
            </w:r>
          </w:p>
        </w:tc>
        <w:tc>
          <w:tcPr>
            <w:tcW w:type="dxa" w:w="1987"/>
            <w:vAlign w:val="center"/>
          </w:tcPr>
          <w:p>
            <w:pPr>
              <w:spacing w:after="20" w:before="20"/>
            </w:pPr>
            <w:r>
              <w:rPr>
                <w:sz w:val="16"/>
              </w:rPr>
              <w:t>미획득</w:t>
            </w:r>
          </w:p>
        </w:tc>
        <w:tc>
          <w:tcPr>
            <w:tcW w:type="dxa" w:w="1987"/>
            <w:vAlign w:val="center"/>
          </w:tcPr>
          <w:p>
            <w:pPr>
              <w:spacing w:after="20" w:before="20"/>
            </w:pPr>
            <w:r>
              <w:rPr>
                <w:sz w:val="16"/>
              </w:rPr>
              <w:t>미검증</w:t>
            </w:r>
          </w:p>
        </w:tc>
      </w:tr>
      <w:tr>
        <w:tc>
          <w:tcPr>
            <w:tcW w:type="dxa" w:w="1987"/>
            <w:vAlign w:val="center"/>
            <w:shd w:fill="F2F6FA"/>
          </w:tcPr>
          <w:p>
            <w:pPr>
              <w:spacing w:after="20" w:before="20"/>
            </w:pPr>
            <w:r>
              <w:rPr>
                <w:sz w:val="16"/>
              </w:rPr>
              <w:t>운용 MPO 조립품</w:t>
            </w:r>
          </w:p>
        </w:tc>
        <w:tc>
          <w:tcPr>
            <w:tcW w:type="dxa" w:w="1987"/>
            <w:vAlign w:val="center"/>
            <w:shd w:fill="F2F6FA"/>
          </w:tcPr>
          <w:p>
            <w:pPr>
              <w:spacing w:after="20" w:before="20"/>
            </w:pPr>
            <w:r>
              <w:rPr>
                <w:sz w:val="16"/>
              </w:rPr>
              <w:t>1×64</w:t>
            </w:r>
          </w:p>
        </w:tc>
        <w:tc>
          <w:tcPr>
            <w:tcW w:type="dxa" w:w="1987"/>
            <w:vAlign w:val="center"/>
            <w:shd w:fill="F2F6FA"/>
          </w:tcPr>
          <w:p>
            <w:pPr>
              <w:spacing w:after="20" w:before="20"/>
            </w:pPr>
            <w:r>
              <w:rPr>
                <w:sz w:val="16"/>
              </w:rPr>
              <w:t>64개</w:t>
            </w:r>
          </w:p>
        </w:tc>
        <w:tc>
          <w:tcPr>
            <w:tcW w:type="dxa" w:w="1987"/>
            <w:vAlign w:val="center"/>
            <w:shd w:fill="F2F6FA"/>
          </w:tcPr>
          <w:p>
            <w:pPr>
              <w:spacing w:after="20" w:before="20"/>
            </w:pPr>
            <w:r>
              <w:rPr>
                <w:sz w:val="16"/>
              </w:rPr>
              <w:t>미획득</w:t>
            </w:r>
          </w:p>
        </w:tc>
        <w:tc>
          <w:tcPr>
            <w:tcW w:type="dxa" w:w="1987"/>
            <w:vAlign w:val="center"/>
            <w:shd w:fill="F2F6FA"/>
          </w:tcPr>
          <w:p>
            <w:pPr>
              <w:spacing w:after="20" w:before="20"/>
            </w:pPr>
            <w:r>
              <w:rPr>
                <w:sz w:val="16"/>
              </w:rPr>
              <w:t>미검증</w:t>
            </w:r>
          </w:p>
        </w:tc>
      </w:tr>
      <w:tr>
        <w:tc>
          <w:tcPr>
            <w:tcW w:type="dxa" w:w="1987"/>
            <w:vAlign w:val="center"/>
          </w:tcPr>
          <w:p>
            <w:pPr>
              <w:spacing w:after="20" w:before="20"/>
            </w:pPr>
            <w:r>
              <w:rPr>
                <w:sz w:val="16"/>
              </w:rPr>
              <w:t>사용 심수</w:t>
            </w:r>
          </w:p>
        </w:tc>
        <w:tc>
          <w:tcPr>
            <w:tcW w:type="dxa" w:w="1987"/>
            <w:vAlign w:val="center"/>
          </w:tcPr>
          <w:p>
            <w:pPr>
              <w:spacing w:after="20" w:before="20"/>
            </w:pPr>
            <w:r>
              <w:rPr>
                <w:sz w:val="16"/>
              </w:rPr>
              <w:t>64×8</w:t>
            </w:r>
          </w:p>
        </w:tc>
        <w:tc>
          <w:tcPr>
            <w:tcW w:type="dxa" w:w="1987"/>
            <w:vAlign w:val="center"/>
          </w:tcPr>
          <w:p>
            <w:pPr>
              <w:spacing w:after="20" w:before="20"/>
            </w:pPr>
            <w:r>
              <w:rPr>
                <w:sz w:val="16"/>
              </w:rPr>
              <w:t>512심</w:t>
            </w:r>
          </w:p>
        </w:tc>
        <w:tc>
          <w:tcPr>
            <w:tcW w:type="dxa" w:w="1987"/>
            <w:vAlign w:val="center"/>
          </w:tcPr>
          <w:p>
            <w:pPr>
              <w:spacing w:after="20" w:before="20"/>
            </w:pPr>
            <w:r>
              <w:rPr>
                <w:sz w:val="16"/>
              </w:rPr>
              <w:t>미획득</w:t>
            </w:r>
          </w:p>
        </w:tc>
        <w:tc>
          <w:tcPr>
            <w:tcW w:type="dxa" w:w="1987"/>
            <w:vAlign w:val="center"/>
          </w:tcPr>
          <w:p>
            <w:pPr>
              <w:spacing w:after="20" w:before="20"/>
            </w:pPr>
            <w:r>
              <w:rPr>
                <w:sz w:val="16"/>
              </w:rPr>
              <w:t>미검증</w:t>
            </w:r>
          </w:p>
        </w:tc>
      </w:tr>
      <w:tr>
        <w:tc>
          <w:tcPr>
            <w:tcW w:type="dxa" w:w="1987"/>
            <w:vAlign w:val="center"/>
            <w:shd w:fill="F2F6FA"/>
          </w:tcPr>
          <w:p>
            <w:pPr>
              <w:spacing w:after="20" w:before="20"/>
            </w:pPr>
            <w:r>
              <w:rPr>
                <w:sz w:val="16"/>
              </w:rPr>
              <w:t>내장 심수</w:t>
            </w:r>
          </w:p>
        </w:tc>
        <w:tc>
          <w:tcPr>
            <w:tcW w:type="dxa" w:w="1987"/>
            <w:vAlign w:val="center"/>
            <w:shd w:fill="F2F6FA"/>
          </w:tcPr>
          <w:p>
            <w:pPr>
              <w:spacing w:after="20" w:before="20"/>
            </w:pPr>
            <w:r>
              <w:rPr>
                <w:sz w:val="16"/>
              </w:rPr>
              <w:t>64×12</w:t>
            </w:r>
          </w:p>
        </w:tc>
        <w:tc>
          <w:tcPr>
            <w:tcW w:type="dxa" w:w="1987"/>
            <w:vAlign w:val="center"/>
            <w:shd w:fill="F2F6FA"/>
          </w:tcPr>
          <w:p>
            <w:pPr>
              <w:spacing w:after="20" w:before="20"/>
            </w:pPr>
            <w:r>
              <w:rPr>
                <w:sz w:val="16"/>
              </w:rPr>
              <w:t>768심</w:t>
            </w:r>
          </w:p>
        </w:tc>
        <w:tc>
          <w:tcPr>
            <w:tcW w:type="dxa" w:w="1987"/>
            <w:vAlign w:val="center"/>
            <w:shd w:fill="F2F6FA"/>
          </w:tcPr>
          <w:p>
            <w:pPr>
              <w:spacing w:after="20" w:before="20"/>
            </w:pPr>
            <w:r>
              <w:rPr>
                <w:sz w:val="16"/>
              </w:rPr>
              <w:t>미획득</w:t>
            </w:r>
          </w:p>
        </w:tc>
        <w:tc>
          <w:tcPr>
            <w:tcW w:type="dxa" w:w="1987"/>
            <w:vAlign w:val="center"/>
            <w:shd w:fill="F2F6FA"/>
          </w:tcPr>
          <w:p>
            <w:pPr>
              <w:spacing w:after="20" w:before="20"/>
            </w:pPr>
            <w:r>
              <w:rPr>
                <w:sz w:val="16"/>
              </w:rPr>
              <w:t>미검증</w:t>
            </w:r>
          </w:p>
        </w:tc>
      </w:tr>
      <w:tr>
        <w:tc>
          <w:tcPr>
            <w:tcW w:type="dxa" w:w="1987"/>
            <w:vAlign w:val="center"/>
          </w:tcPr>
          <w:p>
            <w:pPr>
              <w:spacing w:after="20" w:before="20"/>
            </w:pPr>
            <w:r>
              <w:rPr>
                <w:sz w:val="16"/>
              </w:rPr>
              <w:t>케이블 총길이</w:t>
            </w:r>
          </w:p>
        </w:tc>
        <w:tc>
          <w:tcPr>
            <w:tcW w:type="dxa" w:w="1987"/>
            <w:vAlign w:val="center"/>
          </w:tcPr>
          <w:p>
            <w:pPr>
              <w:spacing w:after="20" w:before="20"/>
            </w:pPr>
            <w:r>
              <w:rPr>
                <w:sz w:val="16"/>
              </w:rPr>
              <w:t>64×30</w:t>
            </w:r>
          </w:p>
        </w:tc>
        <w:tc>
          <w:tcPr>
            <w:tcW w:type="dxa" w:w="1987"/>
            <w:vAlign w:val="center"/>
          </w:tcPr>
          <w:p>
            <w:pPr>
              <w:spacing w:after="20" w:before="20"/>
            </w:pPr>
            <w:r>
              <w:rPr>
                <w:sz w:val="16"/>
              </w:rPr>
              <w:t>1920m</w:t>
            </w:r>
          </w:p>
        </w:tc>
        <w:tc>
          <w:tcPr>
            <w:tcW w:type="dxa" w:w="1987"/>
            <w:vAlign w:val="center"/>
          </w:tcPr>
          <w:p>
            <w:pPr>
              <w:spacing w:after="20" w:before="20"/>
            </w:pPr>
            <w:r>
              <w:rPr>
                <w:sz w:val="16"/>
              </w:rPr>
              <w:t>미획득</w:t>
            </w:r>
          </w:p>
        </w:tc>
        <w:tc>
          <w:tcPr>
            <w:tcW w:type="dxa" w:w="1987"/>
            <w:vAlign w:val="center"/>
          </w:tcPr>
          <w:p>
            <w:pPr>
              <w:spacing w:after="20" w:before="20"/>
            </w:pPr>
            <w:r>
              <w:rPr>
                <w:sz w:val="16"/>
              </w:rPr>
              <w:t>미검증</w:t>
            </w:r>
          </w:p>
        </w:tc>
      </w:tr>
      <w:tr>
        <w:tc>
          <w:tcPr>
            <w:tcW w:type="dxa" w:w="1987"/>
            <w:vAlign w:val="center"/>
            <w:shd w:fill="F2F6FA"/>
          </w:tcPr>
          <w:p>
            <w:pPr>
              <w:spacing w:after="20" w:before="20"/>
            </w:pPr>
            <w:r>
              <w:rPr>
                <w:sz w:val="16"/>
              </w:rPr>
              <w:t>시설 전력</w:t>
            </w:r>
          </w:p>
        </w:tc>
        <w:tc>
          <w:tcPr>
            <w:tcW w:type="dxa" w:w="1987"/>
            <w:vAlign w:val="center"/>
            <w:shd w:fill="F2F6FA"/>
          </w:tcPr>
          <w:p>
            <w:pPr>
              <w:spacing w:after="20" w:before="20"/>
            </w:pPr>
            <w:r>
              <w:rPr>
                <w:sz w:val="16"/>
              </w:rPr>
              <w:t>83.6×1.3</w:t>
            </w:r>
          </w:p>
        </w:tc>
        <w:tc>
          <w:tcPr>
            <w:tcW w:type="dxa" w:w="1987"/>
            <w:vAlign w:val="center"/>
            <w:shd w:fill="F2F6FA"/>
          </w:tcPr>
          <w:p>
            <w:pPr>
              <w:spacing w:after="20" w:before="20"/>
            </w:pPr>
            <w:r>
              <w:rPr>
                <w:sz w:val="16"/>
              </w:rPr>
              <w:t>108.68kW</w:t>
            </w:r>
          </w:p>
        </w:tc>
        <w:tc>
          <w:tcPr>
            <w:tcW w:type="dxa" w:w="1987"/>
            <w:vAlign w:val="center"/>
            <w:shd w:fill="F2F6FA"/>
          </w:tcPr>
          <w:p>
            <w:pPr>
              <w:spacing w:after="20" w:before="20"/>
            </w:pPr>
            <w:r>
              <w:rPr>
                <w:sz w:val="16"/>
              </w:rPr>
              <w:t>미획득</w:t>
            </w:r>
          </w:p>
        </w:tc>
        <w:tc>
          <w:tcPr>
            <w:tcW w:type="dxa" w:w="1987"/>
            <w:vAlign w:val="center"/>
            <w:shd w:fill="F2F6FA"/>
          </w:tcPr>
          <w:p>
            <w:pPr>
              <w:spacing w:after="20" w:before="20"/>
            </w:pPr>
            <w:r>
              <w:rPr>
                <w:sz w:val="16"/>
              </w:rPr>
              <w:t>미검증</w:t>
            </w:r>
          </w:p>
        </w:tc>
      </w:tr>
      <w:tr>
        <w:tc>
          <w:tcPr>
            <w:tcW w:type="dxa" w:w="1987"/>
            <w:vAlign w:val="center"/>
          </w:tcPr>
          <w:p>
            <w:pPr>
              <w:spacing w:after="20" w:before="20"/>
            </w:pPr>
            <w:r>
              <w:rPr>
                <w:sz w:val="16"/>
              </w:rPr>
              <w:t>연간 시설 에너지</w:t>
            </w:r>
          </w:p>
        </w:tc>
        <w:tc>
          <w:tcPr>
            <w:tcW w:type="dxa" w:w="1987"/>
            <w:vAlign w:val="center"/>
          </w:tcPr>
          <w:p>
            <w:pPr>
              <w:spacing w:after="20" w:before="20"/>
            </w:pPr>
            <w:r>
              <w:rPr>
                <w:sz w:val="16"/>
              </w:rPr>
              <w:t>108.68×8760</w:t>
            </w:r>
          </w:p>
        </w:tc>
        <w:tc>
          <w:tcPr>
            <w:tcW w:type="dxa" w:w="1987"/>
            <w:vAlign w:val="center"/>
          </w:tcPr>
          <w:p>
            <w:pPr>
              <w:spacing w:after="20" w:before="20"/>
            </w:pPr>
            <w:r>
              <w:rPr>
                <w:sz w:val="16"/>
              </w:rPr>
              <w:t>952036.8kWh</w:t>
            </w:r>
          </w:p>
        </w:tc>
        <w:tc>
          <w:tcPr>
            <w:tcW w:type="dxa" w:w="1987"/>
            <w:vAlign w:val="center"/>
          </w:tcPr>
          <w:p>
            <w:pPr>
              <w:spacing w:after="20" w:before="20"/>
            </w:pPr>
            <w:r>
              <w:rPr>
                <w:sz w:val="16"/>
              </w:rPr>
              <w:t>미획득</w:t>
            </w:r>
          </w:p>
        </w:tc>
        <w:tc>
          <w:tcPr>
            <w:tcW w:type="dxa" w:w="1987"/>
            <w:vAlign w:val="center"/>
          </w:tcPr>
          <w:p>
            <w:pPr>
              <w:spacing w:after="20" w:before="20"/>
            </w:pPr>
            <w:r>
              <w:rPr>
                <w:sz w:val="16"/>
              </w:rPr>
              <w:t>미검증</w:t>
            </w:r>
          </w:p>
        </w:tc>
      </w:tr>
      <w:tr>
        <w:tc>
          <w:tcPr>
            <w:tcW w:type="dxa" w:w="1987"/>
            <w:vAlign w:val="center"/>
            <w:shd w:fill="F2F6FA"/>
          </w:tcPr>
          <w:p>
            <w:pPr>
              <w:spacing w:after="20" w:before="20"/>
            </w:pPr>
            <w:r>
              <w:rPr>
                <w:sz w:val="16"/>
              </w:rPr>
              <w:t>공기 유량(랙당)</w:t>
            </w:r>
          </w:p>
        </w:tc>
        <w:tc>
          <w:tcPr>
            <w:tcW w:type="dxa" w:w="1987"/>
            <w:vAlign w:val="center"/>
            <w:shd w:fill="F2F6FA"/>
          </w:tcPr>
          <w:p>
            <w:pPr>
              <w:spacing w:after="20" w:before="20"/>
            </w:pPr>
            <w:r>
              <w:rPr>
                <w:sz w:val="16"/>
              </w:rPr>
              <w:t>41800/(1.2×1005×15)×3600</w:t>
            </w:r>
          </w:p>
        </w:tc>
        <w:tc>
          <w:tcPr>
            <w:tcW w:type="dxa" w:w="1987"/>
            <w:vAlign w:val="center"/>
            <w:shd w:fill="F2F6FA"/>
          </w:tcPr>
          <w:p>
            <w:pPr>
              <w:spacing w:after="20" w:before="20"/>
            </w:pPr>
            <w:r>
              <w:rPr>
                <w:sz w:val="16"/>
              </w:rPr>
              <w:t>8318.4m³/h</w:t>
            </w:r>
          </w:p>
        </w:tc>
        <w:tc>
          <w:tcPr>
            <w:tcW w:type="dxa" w:w="1987"/>
            <w:vAlign w:val="center"/>
            <w:shd w:fill="F2F6FA"/>
          </w:tcPr>
          <w:p>
            <w:pPr>
              <w:spacing w:after="20" w:before="20"/>
            </w:pPr>
            <w:r>
              <w:rPr>
                <w:sz w:val="16"/>
              </w:rPr>
              <w:t>미획득</w:t>
            </w:r>
          </w:p>
        </w:tc>
        <w:tc>
          <w:tcPr>
            <w:tcW w:type="dxa" w:w="1987"/>
            <w:vAlign w:val="center"/>
            <w:shd w:fill="F2F6FA"/>
          </w:tcPr>
          <w:p>
            <w:pPr>
              <w:spacing w:after="20" w:before="20"/>
            </w:pPr>
            <w:r>
              <w:rPr>
                <w:sz w:val="16"/>
              </w:rPr>
              <w:t>미검증</w:t>
            </w:r>
          </w:p>
        </w:tc>
      </w:tr>
    </w:tbl>
    <w:p>
      <w:pPr>
        <w:pStyle w:val="BodyText"/>
        <w:keepLines/>
        <w:spacing w:after="100"/>
      </w:pPr>
      <w:r>
        <w:t>표 해석: ‘물리 모듈 (양단)’은 Twin-port 2×400G 모듈 32개(서버 측)+32개(스위치 측)의 총합이며 128개 논리 광 인터페이스의 양단과 혼동하지 않는다.</w:t>
      </w:r>
    </w:p>
    <w:p>
      <w:pPr>
        <w:pStyle w:val="Heading2"/>
        <w:keepNext/>
        <w:keepLines/>
        <w:spacing w:after="100"/>
      </w:pPr>
      <w:r>
        <w:t>정량 합격 기준과 불일치 진단 규칙</w:t>
      </w:r>
    </w:p>
    <w:p>
      <w:pPr>
        <w:pStyle w:val="BodyText"/>
        <w:keepLines/>
        <w:spacing w:after="100"/>
      </w:pPr>
      <w:r>
        <w:t>수량(서버·랙·링크·모듈·조립품·심수)은 동일 입력 및 반올림 규칙이면 정수 완전 일치(차이 0)를 목표로 한다. 수치 실수값은 단위 변환과 반올림으로 인한 차이만 허용한다. 예: 전력 ±0.01kW, 길이 ±1m, 유량 ±1%를 프로젝트 시험 허용오차 예시로 사용한다. 이는 규격의 인증 공차가 아니며 도구 출력 정밀도에 따라 변경할 수 있다.</w:t>
      </w:r>
    </w:p>
    <w:p>
      <w:pPr>
        <w:pStyle w:val="BodyText"/>
        <w:keepLines/>
        <w:spacing w:after="100"/>
      </w:pPr>
      <w:r>
        <w:t>오류 원인 추적 순서: ① GPU/서버 구성 → ② 동일 랙 예약 RU와 주변 IT 전력 → ③ PUE의 정의(시간 가중/상한) → ④ 논리 400G 인터페이스 vs 물리 케이지 → ⑤ MPO 사용/내장 심수 → ⑥ 구매 예비 vs 운용 설치 → ⑦ 전력/냉각 통과 조건. 실패 행마다 도구의 실제 JSON 필드, 수식 버전과 source provenance를 남긴다.</w:t>
      </w:r>
    </w:p>
    <w:p>
      <w:pPr>
        <w:pStyle w:val="BodyText"/>
        <w:keepLines/>
        <w:spacing w:after="100"/>
      </w:pPr>
      <w:r>
        <w:t>실제 웹 UI 대조를 끝내려면 해당 사이트에서 같은 Case B JSON 또는 동등 프리셋을 입력하고 결과 JSON/스크린샷을 확보해야 한다. v1.4에서는 소스 레벨 검산은 실시하였으나 브라우저 UI 대조 및 BOM 전체 제품 구매값 검증은 여전히 남아 있다.</w:t>
      </w:r>
    </w:p>
    <w:p>
      <w:pPr>
        <w:pStyle w:val="Heading2"/>
        <w:keepLines/>
        <w:spacing w:after="120"/>
      </w:pPr>
      <w:r>
        <w:t>v1.4 실행 증빙 — GitHub 공통 BOM 엔진의 실제 소스 교차검산</w:t>
      </w:r>
    </w:p>
    <w:p>
      <w:pPr>
        <w:pStyle w:val="BodyText"/>
        <w:keepLines/>
        <w:spacing w:after="120"/>
      </w:pPr>
      <w:r>
        <w:t>검증 대상은 kimheeseo/LSCNS의 DCI/DataCenter/phase7-bom-engine.js이다. GitHub 원본 blob SHA 19b6f48b9c9b95b40a39a4c70463bc103b9ff9d2와 로컬 git hash-object 결과가 일치함을 확인하였다. 이는 문서에 수식만 기록한 것이 아니라 해당 소스 코드를 Node.js로 실행한 검증이다. GitHub Pages 브라우저 화면을 조작했다는 뜻은 아니다.</w:t>
      </w:r>
    </w:p>
    <w:p>
      <w:pPr>
        <w:pStyle w:val="BodyText"/>
        <w:keepLines/>
        <w:spacing w:after="120"/>
      </w:pPr>
      <w:r>
        <w:t>동일 사례 B 입력을 고정하기 위해 공유 스키마 lsdc-twin-bom/1.0의 caseB_packet.json을 새로 작성하였다. facility.rackCount=2; compute.gpuServerCount=8; compute.gpuPerServer=8; network.nicPerServer=8; topology.links=64개(각 30m의 활성 SMF DR4 광링크); 스위치 노드 1개를 Spine으로 분류했다. 광 링크마다 id/from/to/type/fiber/lengthM/speed를 기록했으며 동시 장애는 없는 초기 상태다.</w:t>
      </w:r>
    </w:p>
    <w:p>
      <w:pPr>
        <w:pStyle w:val="BodyText"/>
        <w:keepLines/>
        <w:spacing w:after="120"/>
      </w:pPr>
      <w:r>
        <w:t>주의 1: gpuServerRatio는 원본 공유 스키마에서 0~1이므로 랙당 서버 네 대를 이 비율로 표현하지 않는다. Case B는 compute.gpuServerCount=8을 명시한다. 주의 2: packet의 NIC/server=8은 검증을 위한 논리 인터페이스 수량 가정이며 실물 NIC 카드/케이지/모듈 구매 수량의 확정이 아니다. 주의 3: rackCount=2는 엔진 계산 결과가 아니라 입력을 반영한 결과이며 §80의 최소 랙수 증명과 다르다.</w:t>
      </w:r>
    </w:p>
    <w:tbl>
      <w:tblPr>
        <w:tblW w:type="auto" w:w="0"/>
        <w:jc w:val="center"/>
        <w:tblLook w:firstColumn="1" w:firstRow="1" w:lastColumn="0" w:lastRow="0" w:noHBand="0" w:noVBand="1" w:val="04A0"/>
      </w:tblPr>
      <w:tblGrid>
        <w:gridCol w:w="2484"/>
        <w:gridCol w:w="2484"/>
        <w:gridCol w:w="2484"/>
        <w:gridCol w:w="2484"/>
      </w:tblGrid>
      <w:tr>
        <w:trPr>
          <w:tblHeader w:val="true"/>
        </w:trPr>
        <w:tc>
          <w:tcPr>
            <w:tcW w:type="dxa" w:w="2484"/>
            <w:vAlign w:val="center"/>
            <w:shd w:fill="DFEAF3"/>
          </w:tcPr>
          <w:p>
            <w:pPr>
              <w:spacing w:before="20" w:after="20"/>
            </w:pPr>
            <w:r>
              <w:rPr>
                <w:b/>
                <w:sz w:val="16"/>
              </w:rPr>
              <w:t>검산 변수</w:t>
            </w:r>
          </w:p>
        </w:tc>
        <w:tc>
          <w:tcPr>
            <w:tcW w:type="dxa" w:w="2484"/>
            <w:vAlign w:val="center"/>
            <w:shd w:fill="DFEAF3"/>
          </w:tcPr>
          <w:p>
            <w:pPr>
              <w:spacing w:before="20" w:after="20"/>
            </w:pPr>
            <w:r>
              <w:rPr>
                <w:b/>
                <w:sz w:val="16"/>
              </w:rPr>
              <w:t>입력/백서 참조</w:t>
            </w:r>
          </w:p>
        </w:tc>
        <w:tc>
          <w:tcPr>
            <w:tcW w:type="dxa" w:w="2484"/>
            <w:vAlign w:val="center"/>
            <w:shd w:fill="DFEAF3"/>
          </w:tcPr>
          <w:p>
            <w:pPr>
              <w:spacing w:before="20" w:after="20"/>
            </w:pPr>
            <w:r>
              <w:rPr>
                <w:b/>
                <w:sz w:val="16"/>
              </w:rPr>
              <w:t>Node.js 원본 엔진 출력</w:t>
            </w:r>
          </w:p>
        </w:tc>
        <w:tc>
          <w:tcPr>
            <w:tcW w:type="dxa" w:w="2484"/>
            <w:vAlign w:val="center"/>
            <w:shd w:fill="DFEAF3"/>
          </w:tcPr>
          <w:p>
            <w:pPr>
              <w:spacing w:before="20" w:after="20"/>
            </w:pPr>
            <w:r>
              <w:rPr>
                <w:b/>
                <w:sz w:val="16"/>
              </w:rPr>
              <w:t>교차 판정</w:t>
            </w:r>
          </w:p>
        </w:tc>
      </w:tr>
      <w:tr>
        <w:tc>
          <w:tcPr>
            <w:tcW w:type="dxa" w:w="2484"/>
            <w:vAlign w:val="center"/>
            <w:shd w:fill="FFFFFF"/>
          </w:tcPr>
          <w:p>
            <w:pPr>
              <w:spacing w:before="20" w:after="20"/>
            </w:pPr>
            <w:r>
              <w:rPr>
                <w:b w:val="0"/>
                <w:sz w:val="16"/>
              </w:rPr>
              <w:t>서버 랙 수</w:t>
            </w:r>
          </w:p>
        </w:tc>
        <w:tc>
          <w:tcPr>
            <w:tcW w:type="dxa" w:w="2484"/>
            <w:vAlign w:val="center"/>
            <w:shd w:fill="FFFFFF"/>
          </w:tcPr>
          <w:p>
            <w:pPr>
              <w:spacing w:before="20" w:after="20"/>
            </w:pPr>
            <w:r>
              <w:rPr>
                <w:b w:val="0"/>
                <w:sz w:val="16"/>
              </w:rPr>
              <w:t>2</w:t>
            </w:r>
          </w:p>
        </w:tc>
        <w:tc>
          <w:tcPr>
            <w:tcW w:type="dxa" w:w="2484"/>
            <w:vAlign w:val="center"/>
            <w:shd w:fill="FFFFFF"/>
          </w:tcPr>
          <w:p>
            <w:pPr>
              <w:spacing w:before="20" w:after="20"/>
            </w:pPr>
            <w:r>
              <w:rPr>
                <w:b w:val="0"/>
                <w:sz w:val="16"/>
              </w:rPr>
              <w:t>2</w:t>
            </w:r>
          </w:p>
        </w:tc>
        <w:tc>
          <w:tcPr>
            <w:tcW w:type="dxa" w:w="2484"/>
            <w:vAlign w:val="center"/>
            <w:shd w:fill="FFFFFF"/>
          </w:tcPr>
          <w:p>
            <w:pPr>
              <w:spacing w:before="20" w:after="20"/>
            </w:pPr>
            <w:r>
              <w:rPr>
                <w:b w:val="0"/>
                <w:sz w:val="16"/>
              </w:rPr>
              <w:t>입력 반영(최소 수 산출 아님)</w:t>
            </w:r>
          </w:p>
        </w:tc>
      </w:tr>
      <w:tr>
        <w:tc>
          <w:tcPr>
            <w:tcW w:type="dxa" w:w="2484"/>
            <w:vAlign w:val="center"/>
            <w:shd w:fill="F4F7FA"/>
          </w:tcPr>
          <w:p>
            <w:pPr>
              <w:spacing w:before="20" w:after="20"/>
            </w:pPr>
            <w:r>
              <w:rPr>
                <w:b w:val="0"/>
                <w:sz w:val="16"/>
              </w:rPr>
              <w:t>GPU 서버 수</w:t>
            </w:r>
          </w:p>
        </w:tc>
        <w:tc>
          <w:tcPr>
            <w:tcW w:type="dxa" w:w="2484"/>
            <w:vAlign w:val="center"/>
            <w:shd w:fill="F4F7FA"/>
          </w:tcPr>
          <w:p>
            <w:pPr>
              <w:spacing w:before="20" w:after="20"/>
            </w:pPr>
            <w:r>
              <w:rPr>
                <w:b w:val="0"/>
                <w:sz w:val="16"/>
              </w:rPr>
              <w:t>8</w:t>
            </w:r>
          </w:p>
        </w:tc>
        <w:tc>
          <w:tcPr>
            <w:tcW w:type="dxa" w:w="2484"/>
            <w:vAlign w:val="center"/>
            <w:shd w:fill="F4F7FA"/>
          </w:tcPr>
          <w:p>
            <w:pPr>
              <w:spacing w:before="20" w:after="20"/>
            </w:pPr>
            <w:r>
              <w:rPr>
                <w:b w:val="0"/>
                <w:sz w:val="16"/>
              </w:rPr>
              <w:t>8</w:t>
            </w:r>
          </w:p>
        </w:tc>
        <w:tc>
          <w:tcPr>
            <w:tcW w:type="dxa" w:w="2484"/>
            <w:vAlign w:val="center"/>
            <w:shd w:fill="F4F7FA"/>
          </w:tcPr>
          <w:p>
            <w:pPr>
              <w:spacing w:before="20" w:after="20"/>
            </w:pPr>
            <w:r>
              <w:rPr>
                <w:b w:val="0"/>
                <w:sz w:val="16"/>
              </w:rPr>
              <w:t>일치(명시 값)</w:t>
            </w:r>
          </w:p>
        </w:tc>
      </w:tr>
      <w:tr>
        <w:tc>
          <w:tcPr>
            <w:tcW w:type="dxa" w:w="2484"/>
            <w:vAlign w:val="center"/>
            <w:shd w:fill="FFFFFF"/>
          </w:tcPr>
          <w:p>
            <w:pPr>
              <w:spacing w:before="20" w:after="20"/>
            </w:pPr>
            <w:r>
              <w:rPr>
                <w:b w:val="0"/>
                <w:sz w:val="16"/>
              </w:rPr>
              <w:t>GPU 수</w:t>
            </w:r>
          </w:p>
        </w:tc>
        <w:tc>
          <w:tcPr>
            <w:tcW w:type="dxa" w:w="2484"/>
            <w:vAlign w:val="center"/>
            <w:shd w:fill="FFFFFF"/>
          </w:tcPr>
          <w:p>
            <w:pPr>
              <w:spacing w:before="20" w:after="20"/>
            </w:pPr>
            <w:r>
              <w:rPr>
                <w:b w:val="0"/>
                <w:sz w:val="16"/>
              </w:rPr>
              <w:t>64</w:t>
            </w:r>
          </w:p>
        </w:tc>
        <w:tc>
          <w:tcPr>
            <w:tcW w:type="dxa" w:w="2484"/>
            <w:vAlign w:val="center"/>
            <w:shd w:fill="FFFFFF"/>
          </w:tcPr>
          <w:p>
            <w:pPr>
              <w:spacing w:before="20" w:after="20"/>
            </w:pPr>
            <w:r>
              <w:rPr>
                <w:b w:val="0"/>
                <w:sz w:val="16"/>
              </w:rPr>
              <w:t>64</w:t>
            </w:r>
          </w:p>
        </w:tc>
        <w:tc>
          <w:tcPr>
            <w:tcW w:type="dxa" w:w="2484"/>
            <w:vAlign w:val="center"/>
            <w:shd w:fill="FFFFFF"/>
          </w:tcPr>
          <w:p>
            <w:pPr>
              <w:spacing w:before="20" w:after="20"/>
            </w:pPr>
            <w:r>
              <w:rPr>
                <w:b w:val="0"/>
                <w:sz w:val="16"/>
              </w:rPr>
              <w:t>일치(8×8)</w:t>
            </w:r>
          </w:p>
        </w:tc>
      </w:tr>
      <w:tr>
        <w:tc>
          <w:tcPr>
            <w:tcW w:type="dxa" w:w="2484"/>
            <w:vAlign w:val="center"/>
            <w:shd w:fill="F4F7FA"/>
          </w:tcPr>
          <w:p>
            <w:pPr>
              <w:spacing w:before="20" w:after="20"/>
            </w:pPr>
            <w:r>
              <w:rPr>
                <w:b w:val="0"/>
                <w:sz w:val="16"/>
              </w:rPr>
              <w:t>NIC 수(가정)</w:t>
            </w:r>
          </w:p>
        </w:tc>
        <w:tc>
          <w:tcPr>
            <w:tcW w:type="dxa" w:w="2484"/>
            <w:vAlign w:val="center"/>
            <w:shd w:fill="F4F7FA"/>
          </w:tcPr>
          <w:p>
            <w:pPr>
              <w:spacing w:before="20" w:after="20"/>
            </w:pPr>
            <w:r>
              <w:rPr>
                <w:b w:val="0"/>
                <w:sz w:val="16"/>
              </w:rPr>
              <w:t>64</w:t>
            </w:r>
          </w:p>
        </w:tc>
        <w:tc>
          <w:tcPr>
            <w:tcW w:type="dxa" w:w="2484"/>
            <w:vAlign w:val="center"/>
            <w:shd w:fill="F4F7FA"/>
          </w:tcPr>
          <w:p>
            <w:pPr>
              <w:spacing w:before="20" w:after="20"/>
            </w:pPr>
            <w:r>
              <w:rPr>
                <w:b w:val="0"/>
                <w:sz w:val="16"/>
              </w:rPr>
              <w:t>64</w:t>
            </w:r>
          </w:p>
        </w:tc>
        <w:tc>
          <w:tcPr>
            <w:tcW w:type="dxa" w:w="2484"/>
            <w:vAlign w:val="center"/>
            <w:shd w:fill="F4F7FA"/>
          </w:tcPr>
          <w:p>
            <w:pPr>
              <w:spacing w:before="20" w:after="20"/>
            </w:pPr>
            <w:r>
              <w:rPr>
                <w:b w:val="0"/>
                <w:sz w:val="16"/>
              </w:rPr>
              <w:t>조건부(8/서버 가정)</w:t>
            </w:r>
          </w:p>
        </w:tc>
      </w:tr>
      <w:tr>
        <w:tc>
          <w:tcPr>
            <w:tcW w:type="dxa" w:w="2484"/>
            <w:vAlign w:val="center"/>
            <w:shd w:fill="FFFFFF"/>
          </w:tcPr>
          <w:p>
            <w:pPr>
              <w:spacing w:before="20" w:after="20"/>
            </w:pPr>
            <w:r>
              <w:rPr>
                <w:b w:val="0"/>
                <w:sz w:val="16"/>
              </w:rPr>
              <w:t>Leaf/ToR 수</w:t>
            </w:r>
          </w:p>
        </w:tc>
        <w:tc>
          <w:tcPr>
            <w:tcW w:type="dxa" w:w="2484"/>
            <w:vAlign w:val="center"/>
            <w:shd w:fill="FFFFFF"/>
          </w:tcPr>
          <w:p>
            <w:pPr>
              <w:spacing w:before="20" w:after="20"/>
            </w:pPr>
            <w:r>
              <w:rPr>
                <w:b w:val="0"/>
                <w:sz w:val="16"/>
              </w:rPr>
              <w:t>0</w:t>
            </w:r>
          </w:p>
        </w:tc>
        <w:tc>
          <w:tcPr>
            <w:tcW w:type="dxa" w:w="2484"/>
            <w:vAlign w:val="center"/>
            <w:shd w:fill="FFFFFF"/>
          </w:tcPr>
          <w:p>
            <w:pPr>
              <w:spacing w:before="20" w:after="20"/>
            </w:pPr>
            <w:r>
              <w:rPr>
                <w:b w:val="0"/>
                <w:sz w:val="16"/>
              </w:rPr>
              <w:t>0</w:t>
            </w:r>
          </w:p>
        </w:tc>
        <w:tc>
          <w:tcPr>
            <w:tcW w:type="dxa" w:w="2484"/>
            <w:vAlign w:val="center"/>
            <w:shd w:fill="FFFFFF"/>
          </w:tcPr>
          <w:p>
            <w:pPr>
              <w:spacing w:before="20" w:after="20"/>
            </w:pPr>
            <w:r>
              <w:rPr>
                <w:b w:val="0"/>
                <w:sz w:val="16"/>
              </w:rPr>
              <w:t>임의 예제 topology</w:t>
            </w:r>
          </w:p>
        </w:tc>
      </w:tr>
      <w:tr>
        <w:tc>
          <w:tcPr>
            <w:tcW w:type="dxa" w:w="2484"/>
            <w:vAlign w:val="center"/>
            <w:shd w:fill="F4F7FA"/>
          </w:tcPr>
          <w:p>
            <w:pPr>
              <w:spacing w:before="20" w:after="20"/>
            </w:pPr>
            <w:r>
              <w:rPr>
                <w:b w:val="0"/>
                <w:sz w:val="16"/>
              </w:rPr>
              <w:t>Spine 수</w:t>
            </w:r>
          </w:p>
        </w:tc>
        <w:tc>
          <w:tcPr>
            <w:tcW w:type="dxa" w:w="2484"/>
            <w:vAlign w:val="center"/>
            <w:shd w:fill="F4F7FA"/>
          </w:tcPr>
          <w:p>
            <w:pPr>
              <w:spacing w:before="20" w:after="20"/>
            </w:pPr>
            <w:r>
              <w:rPr>
                <w:b w:val="0"/>
                <w:sz w:val="16"/>
              </w:rPr>
              <w:t>1</w:t>
            </w:r>
          </w:p>
        </w:tc>
        <w:tc>
          <w:tcPr>
            <w:tcW w:type="dxa" w:w="2484"/>
            <w:vAlign w:val="center"/>
            <w:shd w:fill="F4F7FA"/>
          </w:tcPr>
          <w:p>
            <w:pPr>
              <w:spacing w:before="20" w:after="20"/>
            </w:pPr>
            <w:r>
              <w:rPr>
                <w:b w:val="0"/>
                <w:sz w:val="16"/>
              </w:rPr>
              <w:t>1</w:t>
            </w:r>
          </w:p>
        </w:tc>
        <w:tc>
          <w:tcPr>
            <w:tcW w:type="dxa" w:w="2484"/>
            <w:vAlign w:val="center"/>
            <w:shd w:fill="F4F7FA"/>
          </w:tcPr>
          <w:p>
            <w:pPr>
              <w:spacing w:before="20" w:after="20"/>
            </w:pPr>
            <w:r>
              <w:rPr>
                <w:b w:val="0"/>
                <w:sz w:val="16"/>
              </w:rPr>
              <w:t>단일 스위치의 예제 역할</w:t>
            </w:r>
          </w:p>
        </w:tc>
      </w:tr>
      <w:tr>
        <w:tc>
          <w:tcPr>
            <w:tcW w:type="dxa" w:w="2484"/>
            <w:vAlign w:val="center"/>
            <w:shd w:fill="FFFFFF"/>
          </w:tcPr>
          <w:p>
            <w:pPr>
              <w:spacing w:before="20" w:after="20"/>
            </w:pPr>
            <w:r>
              <w:rPr>
                <w:b w:val="0"/>
                <w:sz w:val="16"/>
              </w:rPr>
              <w:t>Core 수</w:t>
            </w:r>
          </w:p>
        </w:tc>
        <w:tc>
          <w:tcPr>
            <w:tcW w:type="dxa" w:w="2484"/>
            <w:vAlign w:val="center"/>
            <w:shd w:fill="FFFFFF"/>
          </w:tcPr>
          <w:p>
            <w:pPr>
              <w:spacing w:before="20" w:after="20"/>
            </w:pPr>
            <w:r>
              <w:rPr>
                <w:b w:val="0"/>
                <w:sz w:val="16"/>
              </w:rPr>
              <w:t>0</w:t>
            </w:r>
          </w:p>
        </w:tc>
        <w:tc>
          <w:tcPr>
            <w:tcW w:type="dxa" w:w="2484"/>
            <w:vAlign w:val="center"/>
            <w:shd w:fill="FFFFFF"/>
          </w:tcPr>
          <w:p>
            <w:pPr>
              <w:spacing w:before="20" w:after="20"/>
            </w:pPr>
            <w:r>
              <w:rPr>
                <w:b w:val="0"/>
                <w:sz w:val="16"/>
              </w:rPr>
              <w:t>0</w:t>
            </w:r>
          </w:p>
        </w:tc>
        <w:tc>
          <w:tcPr>
            <w:tcW w:type="dxa" w:w="2484"/>
            <w:vAlign w:val="center"/>
            <w:shd w:fill="FFFFFF"/>
          </w:tcPr>
          <w:p>
            <w:pPr>
              <w:spacing w:before="20" w:after="20"/>
            </w:pPr>
            <w:r>
              <w:rPr>
                <w:b w:val="0"/>
                <w:sz w:val="16"/>
              </w:rPr>
              <w:t>임의 예제 topology</w:t>
            </w:r>
          </w:p>
        </w:tc>
      </w:tr>
      <w:tr>
        <w:tc>
          <w:tcPr>
            <w:tcW w:type="dxa" w:w="2484"/>
            <w:vAlign w:val="center"/>
            <w:shd w:fill="F4F7FA"/>
          </w:tcPr>
          <w:p>
            <w:pPr>
              <w:spacing w:before="20" w:after="20"/>
            </w:pPr>
            <w:r>
              <w:rPr>
                <w:b w:val="0"/>
                <w:sz w:val="16"/>
              </w:rPr>
              <w:t>활성 광링크 수</w:t>
            </w:r>
          </w:p>
        </w:tc>
        <w:tc>
          <w:tcPr>
            <w:tcW w:type="dxa" w:w="2484"/>
            <w:vAlign w:val="center"/>
            <w:shd w:fill="F4F7FA"/>
          </w:tcPr>
          <w:p>
            <w:pPr>
              <w:spacing w:before="20" w:after="20"/>
            </w:pPr>
            <w:r>
              <w:rPr>
                <w:b w:val="0"/>
                <w:sz w:val="16"/>
              </w:rPr>
              <w:t>64</w:t>
            </w:r>
          </w:p>
        </w:tc>
        <w:tc>
          <w:tcPr>
            <w:tcW w:type="dxa" w:w="2484"/>
            <w:vAlign w:val="center"/>
            <w:shd w:fill="F4F7FA"/>
          </w:tcPr>
          <w:p>
            <w:pPr>
              <w:spacing w:before="20" w:after="20"/>
            </w:pPr>
            <w:r>
              <w:rPr>
                <w:b w:val="0"/>
                <w:sz w:val="16"/>
              </w:rPr>
              <w:t>64</w:t>
            </w:r>
          </w:p>
        </w:tc>
        <w:tc>
          <w:tcPr>
            <w:tcW w:type="dxa" w:w="2484"/>
            <w:vAlign w:val="center"/>
            <w:shd w:fill="F4F7FA"/>
          </w:tcPr>
          <w:p>
            <w:pPr>
              <w:spacing w:before="20" w:after="20"/>
            </w:pPr>
            <w:r>
              <w:rPr>
                <w:b w:val="0"/>
                <w:sz w:val="16"/>
              </w:rPr>
              <w:t>일치(링크 개수)</w:t>
            </w:r>
          </w:p>
        </w:tc>
      </w:tr>
      <w:tr>
        <w:tc>
          <w:tcPr>
            <w:tcW w:type="dxa" w:w="2484"/>
            <w:vAlign w:val="center"/>
            <w:shd w:fill="FFFFFF"/>
          </w:tcPr>
          <w:p>
            <w:pPr>
              <w:spacing w:before="20" w:after="20"/>
            </w:pPr>
            <w:r>
              <w:rPr>
                <w:b w:val="0"/>
                <w:sz w:val="16"/>
              </w:rPr>
              <w:t>광링크 총길이</w:t>
            </w:r>
          </w:p>
        </w:tc>
        <w:tc>
          <w:tcPr>
            <w:tcW w:type="dxa" w:w="2484"/>
            <w:vAlign w:val="center"/>
            <w:shd w:fill="FFFFFF"/>
          </w:tcPr>
          <w:p>
            <w:pPr>
              <w:spacing w:before="20" w:after="20"/>
            </w:pPr>
            <w:r>
              <w:rPr>
                <w:b w:val="0"/>
                <w:sz w:val="16"/>
              </w:rPr>
              <w:t>1,920m</w:t>
            </w:r>
          </w:p>
        </w:tc>
        <w:tc>
          <w:tcPr>
            <w:tcW w:type="dxa" w:w="2484"/>
            <w:vAlign w:val="center"/>
            <w:shd w:fill="FFFFFF"/>
          </w:tcPr>
          <w:p>
            <w:pPr>
              <w:spacing w:before="20" w:after="20"/>
            </w:pPr>
            <w:r>
              <w:rPr>
                <w:b w:val="0"/>
                <w:sz w:val="16"/>
              </w:rPr>
              <w:t>1,920m</w:t>
            </w:r>
          </w:p>
        </w:tc>
        <w:tc>
          <w:tcPr>
            <w:tcW w:type="dxa" w:w="2484"/>
            <w:vAlign w:val="center"/>
            <w:shd w:fill="FFFFFF"/>
          </w:tcPr>
          <w:p>
            <w:pPr>
              <w:spacing w:before="20" w:after="20"/>
            </w:pPr>
            <w:r>
              <w:rPr>
                <w:b w:val="0"/>
                <w:sz w:val="16"/>
              </w:rPr>
              <w:t>일치(64×30m)</w:t>
            </w:r>
          </w:p>
        </w:tc>
      </w:tr>
    </w:tbl>
    <w:p>
      <w:pPr>
        <w:pStyle w:val="BodyText"/>
        <w:keepLines/>
        <w:spacing w:after="120"/>
      </w:pPr>
      <w:r>
        <w:t>표 판정: 위 9행은 엔진이 출력하는 9개 counts 필드를 모두 보여 준다. 이 가운데 백서 §79~84와 의미가 직접 겹치는 정량 변수는 GPU 수, 서버 수, 랙 수, 활성 광링크 수, 광링크 총길이의 5개이며, 5개 모두 값이 일치한다. 랙 수는 동일 입력 반영의 일치, 0/1 스위치 계층 수량은 예제 모델의 정의 결과로 보아야 한다.</w:t>
      </w:r>
    </w:p>
    <w:p>
      <w:pPr>
        <w:pStyle w:val="Heading2"/>
        <w:keepLines/>
        <w:spacing w:after="120"/>
      </w:pPr>
      <w:r>
        <w:t>실제 회귀 시험 — 단선·매체 변경·누락값 처리</w:t>
      </w:r>
    </w:p>
    <w:tbl>
      <w:tblPr>
        <w:tblW w:type="auto" w:w="0"/>
        <w:jc w:val="center"/>
        <w:tblLook w:firstColumn="1" w:firstRow="1" w:lastColumn="0" w:lastRow="0" w:noHBand="0" w:noVBand="1" w:val="04A0"/>
      </w:tblPr>
      <w:tblGrid>
        <w:gridCol w:w="2484"/>
        <w:gridCol w:w="2484"/>
        <w:gridCol w:w="2484"/>
        <w:gridCol w:w="2484"/>
      </w:tblGrid>
      <w:tr>
        <w:trPr>
          <w:tblHeader w:val="true"/>
        </w:trPr>
        <w:tc>
          <w:tcPr>
            <w:tcW w:type="dxa" w:w="2484"/>
            <w:vAlign w:val="center"/>
            <w:shd w:fill="DFEAF3"/>
          </w:tcPr>
          <w:p>
            <w:pPr>
              <w:spacing w:before="20" w:after="20"/>
            </w:pPr>
            <w:r>
              <w:rPr>
                <w:b/>
                <w:sz w:val="16"/>
              </w:rPr>
              <w:t>시험 조건</w:t>
            </w:r>
          </w:p>
        </w:tc>
        <w:tc>
          <w:tcPr>
            <w:tcW w:type="dxa" w:w="2484"/>
            <w:vAlign w:val="center"/>
            <w:shd w:fill="DFEAF3"/>
          </w:tcPr>
          <w:p>
            <w:pPr>
              <w:spacing w:before="20" w:after="20"/>
            </w:pPr>
            <w:r>
              <w:rPr>
                <w:b/>
                <w:sz w:val="16"/>
              </w:rPr>
              <w:t>예상 출력</w:t>
            </w:r>
          </w:p>
        </w:tc>
        <w:tc>
          <w:tcPr>
            <w:tcW w:type="dxa" w:w="2484"/>
            <w:vAlign w:val="center"/>
            <w:shd w:fill="DFEAF3"/>
          </w:tcPr>
          <w:p>
            <w:pPr>
              <w:spacing w:before="20" w:after="20"/>
            </w:pPr>
            <w:r>
              <w:rPr>
                <w:b/>
                <w:sz w:val="16"/>
              </w:rPr>
              <w:t>실제 출력</w:t>
            </w:r>
          </w:p>
        </w:tc>
        <w:tc>
          <w:tcPr>
            <w:tcW w:type="dxa" w:w="2484"/>
            <w:vAlign w:val="center"/>
            <w:shd w:fill="DFEAF3"/>
          </w:tcPr>
          <w:p>
            <w:pPr>
              <w:spacing w:before="20" w:after="20"/>
            </w:pPr>
            <w:r>
              <w:rPr>
                <w:b/>
                <w:sz w:val="16"/>
              </w:rPr>
              <w:t>판정</w:t>
            </w:r>
          </w:p>
        </w:tc>
      </w:tr>
      <w:tr>
        <w:tc>
          <w:tcPr>
            <w:tcW w:type="dxa" w:w="2484"/>
            <w:vAlign w:val="center"/>
            <w:shd w:fill="FFFFFF"/>
          </w:tcPr>
          <w:p>
            <w:pPr>
              <w:spacing w:before="20" w:after="20"/>
            </w:pPr>
            <w:r>
              <w:rPr>
                <w:b w:val="0"/>
                <w:sz w:val="16"/>
              </w:rPr>
              <w:t>기준</w:t>
            </w:r>
          </w:p>
        </w:tc>
        <w:tc>
          <w:tcPr>
            <w:tcW w:type="dxa" w:w="2484"/>
            <w:vAlign w:val="center"/>
            <w:shd w:fill="FFFFFF"/>
          </w:tcPr>
          <w:p>
            <w:pPr>
              <w:spacing w:before="20" w:after="20"/>
            </w:pPr>
            <w:r>
              <w:rPr>
                <w:b w:val="0"/>
                <w:sz w:val="16"/>
              </w:rPr>
              <w:t>64 / 1,920m</w:t>
            </w:r>
          </w:p>
        </w:tc>
        <w:tc>
          <w:tcPr>
            <w:tcW w:type="dxa" w:w="2484"/>
            <w:vAlign w:val="center"/>
            <w:shd w:fill="FFFFFF"/>
          </w:tcPr>
          <w:p>
            <w:pPr>
              <w:spacing w:before="20" w:after="20"/>
            </w:pPr>
            <w:r>
              <w:rPr>
                <w:b w:val="0"/>
                <w:sz w:val="16"/>
              </w:rPr>
              <w:t>64 / 1,920m</w:t>
            </w:r>
          </w:p>
        </w:tc>
        <w:tc>
          <w:tcPr>
            <w:tcW w:type="dxa" w:w="2484"/>
            <w:vAlign w:val="center"/>
            <w:shd w:fill="FFFFFF"/>
          </w:tcPr>
          <w:p>
            <w:pPr>
              <w:spacing w:before="20" w:after="20"/>
            </w:pPr>
            <w:r>
              <w:rPr>
                <w:b w:val="0"/>
                <w:sz w:val="16"/>
              </w:rPr>
              <w:t>통과</w:t>
            </w:r>
          </w:p>
        </w:tc>
      </w:tr>
      <w:tr>
        <w:tc>
          <w:tcPr>
            <w:tcW w:type="dxa" w:w="2484"/>
            <w:vAlign w:val="center"/>
            <w:shd w:fill="F4F7FA"/>
          </w:tcPr>
          <w:p>
            <w:pPr>
              <w:spacing w:before="20" w:after="20"/>
            </w:pPr>
            <w:r>
              <w:rPr>
                <w:b w:val="0"/>
                <w:sz w:val="16"/>
              </w:rPr>
              <w:t>광링크 1개 down=true</w:t>
            </w:r>
          </w:p>
        </w:tc>
        <w:tc>
          <w:tcPr>
            <w:tcW w:type="dxa" w:w="2484"/>
            <w:vAlign w:val="center"/>
            <w:shd w:fill="F4F7FA"/>
          </w:tcPr>
          <w:p>
            <w:pPr>
              <w:spacing w:before="20" w:after="20"/>
            </w:pPr>
            <w:r>
              <w:rPr>
                <w:b w:val="0"/>
                <w:sz w:val="16"/>
              </w:rPr>
              <w:t>63 / 1,890m</w:t>
            </w:r>
          </w:p>
        </w:tc>
        <w:tc>
          <w:tcPr>
            <w:tcW w:type="dxa" w:w="2484"/>
            <w:vAlign w:val="center"/>
            <w:shd w:fill="F4F7FA"/>
          </w:tcPr>
          <w:p>
            <w:pPr>
              <w:spacing w:before="20" w:after="20"/>
            </w:pPr>
            <w:r>
              <w:rPr>
                <w:b w:val="0"/>
                <w:sz w:val="16"/>
              </w:rPr>
              <w:t>63 / 1,890m</w:t>
            </w:r>
          </w:p>
        </w:tc>
        <w:tc>
          <w:tcPr>
            <w:tcW w:type="dxa" w:w="2484"/>
            <w:vAlign w:val="center"/>
            <w:shd w:fill="F4F7FA"/>
          </w:tcPr>
          <w:p>
            <w:pPr>
              <w:spacing w:before="20" w:after="20"/>
            </w:pPr>
            <w:r>
              <w:rPr>
                <w:b w:val="0"/>
                <w:sz w:val="16"/>
              </w:rPr>
              <w:t>통과</w:t>
            </w:r>
          </w:p>
        </w:tc>
      </w:tr>
      <w:tr>
        <w:tc>
          <w:tcPr>
            <w:tcW w:type="dxa" w:w="2484"/>
            <w:vAlign w:val="center"/>
            <w:shd w:fill="FFFFFF"/>
          </w:tcPr>
          <w:p>
            <w:pPr>
              <w:spacing w:before="20" w:after="20"/>
            </w:pPr>
            <w:r>
              <w:rPr>
                <w:b w:val="0"/>
                <w:sz w:val="16"/>
              </w:rPr>
              <w:t>광링크 1개 media=copper</w:t>
            </w:r>
          </w:p>
        </w:tc>
        <w:tc>
          <w:tcPr>
            <w:tcW w:type="dxa" w:w="2484"/>
            <w:vAlign w:val="center"/>
            <w:shd w:fill="FFFFFF"/>
          </w:tcPr>
          <w:p>
            <w:pPr>
              <w:spacing w:before="20" w:after="20"/>
            </w:pPr>
            <w:r>
              <w:rPr>
                <w:b w:val="0"/>
                <w:sz w:val="16"/>
              </w:rPr>
              <w:t>63 / 1,890m</w:t>
            </w:r>
          </w:p>
        </w:tc>
        <w:tc>
          <w:tcPr>
            <w:tcW w:type="dxa" w:w="2484"/>
            <w:vAlign w:val="center"/>
            <w:shd w:fill="FFFFFF"/>
          </w:tcPr>
          <w:p>
            <w:pPr>
              <w:spacing w:before="20" w:after="20"/>
            </w:pPr>
            <w:r>
              <w:rPr>
                <w:b w:val="0"/>
                <w:sz w:val="16"/>
              </w:rPr>
              <w:t>63 / 1,890m</w:t>
            </w:r>
          </w:p>
        </w:tc>
        <w:tc>
          <w:tcPr>
            <w:tcW w:type="dxa" w:w="2484"/>
            <w:vAlign w:val="center"/>
            <w:shd w:fill="FFFFFF"/>
          </w:tcPr>
          <w:p>
            <w:pPr>
              <w:spacing w:before="20" w:after="20"/>
            </w:pPr>
            <w:r>
              <w:rPr>
                <w:b w:val="0"/>
                <w:sz w:val="16"/>
              </w:rPr>
              <w:t>통과</w:t>
            </w:r>
          </w:p>
        </w:tc>
      </w:tr>
      <w:tr>
        <w:tc>
          <w:tcPr>
            <w:tcW w:type="dxa" w:w="2484"/>
            <w:vAlign w:val="center"/>
            <w:shd w:fill="F4F7FA"/>
          </w:tcPr>
          <w:p>
            <w:pPr>
              <w:spacing w:before="20" w:after="20"/>
            </w:pPr>
            <w:r>
              <w:rPr>
                <w:b w:val="0"/>
                <w:sz w:val="16"/>
              </w:rPr>
              <w:t>광링크 1개 lengthM=null</w:t>
            </w:r>
          </w:p>
        </w:tc>
        <w:tc>
          <w:tcPr>
            <w:tcW w:type="dxa" w:w="2484"/>
            <w:vAlign w:val="center"/>
            <w:shd w:fill="F4F7FA"/>
          </w:tcPr>
          <w:p>
            <w:pPr>
              <w:spacing w:before="20" w:after="20"/>
            </w:pPr>
            <w:r>
              <w:rPr>
                <w:b w:val="0"/>
                <w:sz w:val="16"/>
              </w:rPr>
              <w:t>길이 합계 null</w:t>
            </w:r>
          </w:p>
        </w:tc>
        <w:tc>
          <w:tcPr>
            <w:tcW w:type="dxa" w:w="2484"/>
            <w:vAlign w:val="center"/>
            <w:shd w:fill="F4F7FA"/>
          </w:tcPr>
          <w:p>
            <w:pPr>
              <w:spacing w:before="20" w:after="20"/>
            </w:pPr>
            <w:r>
              <w:rPr>
                <w:b w:val="0"/>
                <w:sz w:val="16"/>
              </w:rPr>
              <w:t>길이 합계 null</w:t>
            </w:r>
          </w:p>
        </w:tc>
        <w:tc>
          <w:tcPr>
            <w:tcW w:type="dxa" w:w="2484"/>
            <w:vAlign w:val="center"/>
            <w:shd w:fill="F4F7FA"/>
          </w:tcPr>
          <w:p>
            <w:pPr>
              <w:spacing w:before="20" w:after="20"/>
            </w:pPr>
            <w:r>
              <w:rPr>
                <w:b w:val="0"/>
                <w:sz w:val="16"/>
              </w:rPr>
              <w:t>통과</w:t>
            </w:r>
          </w:p>
        </w:tc>
      </w:tr>
      <w:tr>
        <w:tc>
          <w:tcPr>
            <w:tcW w:type="dxa" w:w="2484"/>
            <w:vAlign w:val="center"/>
            <w:shd w:fill="FFFFFF"/>
          </w:tcPr>
          <w:p>
            <w:pPr>
              <w:spacing w:before="20" w:after="20"/>
            </w:pPr>
            <w:r>
              <w:rPr>
                <w:b w:val="0"/>
                <w:sz w:val="16"/>
              </w:rPr>
              <w:t>rackCount 2→3 (server=8 고정)</w:t>
            </w:r>
          </w:p>
        </w:tc>
        <w:tc>
          <w:tcPr>
            <w:tcW w:type="dxa" w:w="2484"/>
            <w:vAlign w:val="center"/>
            <w:shd w:fill="FFFFFF"/>
          </w:tcPr>
          <w:p>
            <w:pPr>
              <w:spacing w:before="20" w:after="20"/>
            </w:pPr>
            <w:r>
              <w:rPr>
                <w:b w:val="0"/>
                <w:sz w:val="16"/>
              </w:rPr>
              <w:t>랙 3 / 서버 8</w:t>
            </w:r>
          </w:p>
        </w:tc>
        <w:tc>
          <w:tcPr>
            <w:tcW w:type="dxa" w:w="2484"/>
            <w:vAlign w:val="center"/>
            <w:shd w:fill="FFFFFF"/>
          </w:tcPr>
          <w:p>
            <w:pPr>
              <w:spacing w:before="20" w:after="20"/>
            </w:pPr>
            <w:r>
              <w:rPr>
                <w:b w:val="0"/>
                <w:sz w:val="16"/>
              </w:rPr>
              <w:t>랙 3 / 서버 8</w:t>
            </w:r>
          </w:p>
        </w:tc>
        <w:tc>
          <w:tcPr>
            <w:tcW w:type="dxa" w:w="2484"/>
            <w:vAlign w:val="center"/>
            <w:shd w:fill="FFFFFF"/>
          </w:tcPr>
          <w:p>
            <w:pPr>
              <w:spacing w:before="20" w:after="20"/>
            </w:pPr>
            <w:r>
              <w:rPr>
                <w:b w:val="0"/>
                <w:sz w:val="16"/>
              </w:rPr>
              <w:t>통과</w:t>
            </w:r>
          </w:p>
        </w:tc>
      </w:tr>
    </w:tbl>
    <w:p>
      <w:pPr>
        <w:pStyle w:val="BodyText"/>
        <w:keepLines/>
        <w:spacing w:after="120"/>
      </w:pPr>
      <w:r>
        <w:t>독립 검증 스크립트 validate_phase7_caseB.cjs의 총 19개 assertion이 모두 통과했다. 스키마 버전 거부 시험도 포함되었다. ‘단선 시 63링크’는 단선된 링크를 네트워크가 우회하여 성능을 유지한다는 뜻이 아니라, 이 엔진이 down=true인 링크를 광 링크 수량·길이 합산에서 제외한다는 의미다.</w:t>
      </w:r>
    </w:p>
    <w:p>
      <w:pPr>
        <w:pStyle w:val="BodyText"/>
        <w:keepLines/>
        <w:spacing w:after="120"/>
      </w:pPr>
      <w:r>
        <w:t>같은 검산을 반복하려면 Node.js 18 이상에서 ① phase7-bom-engine.js의 git hash-object SHA 확인, ② caseB_packet.json 입력 고정, ③ node validate_phase7_caseB.cjs 실행, ④ validation_result.json의 baseline/counts와 오류 시나리오를 비교한다. 코드 URL: https://github.com/kimheeseo/LSCNS/blob/main/DCI/DataCenter/phase7-bom-engine.js .</w:t>
      </w:r>
    </w:p>
    <w:p>
      <w:pPr>
        <w:pStyle w:val="Heading2"/>
        <w:keepLines/>
        <w:spacing w:after="120"/>
      </w:pPr>
      <w:r>
        <w:t>§94 통과/미검증 경계와 추가 개발 권고</w:t>
      </w:r>
    </w:p>
    <w:tbl>
      <w:tblPr>
        <w:tblW w:type="auto" w:w="0"/>
        <w:jc w:val="center"/>
        <w:tblLook w:firstColumn="1" w:firstRow="1" w:lastColumn="0" w:lastRow="0" w:noHBand="0" w:noVBand="1" w:val="04A0"/>
      </w:tblPr>
      <w:tblGrid>
        <w:gridCol w:w="2484"/>
        <w:gridCol w:w="2484"/>
        <w:gridCol w:w="2484"/>
        <w:gridCol w:w="2484"/>
      </w:tblGrid>
      <w:tr>
        <w:trPr>
          <w:tblHeader w:val="true"/>
        </w:trPr>
        <w:tc>
          <w:tcPr>
            <w:tcW w:type="dxa" w:w="2484"/>
            <w:vAlign w:val="center"/>
            <w:shd w:fill="DFEAF3"/>
          </w:tcPr>
          <w:p>
            <w:pPr>
              <w:spacing w:before="20" w:after="20"/>
            </w:pPr>
            <w:r>
              <w:rPr>
                <w:b/>
                <w:sz w:val="16"/>
              </w:rPr>
              <w:t>구분</w:t>
            </w:r>
          </w:p>
        </w:tc>
        <w:tc>
          <w:tcPr>
            <w:tcW w:type="dxa" w:w="2484"/>
            <w:vAlign w:val="center"/>
            <w:shd w:fill="DFEAF3"/>
          </w:tcPr>
          <w:p>
            <w:pPr>
              <w:spacing w:before="20" w:after="20"/>
            </w:pPr>
            <w:r>
              <w:rPr>
                <w:b/>
                <w:sz w:val="16"/>
              </w:rPr>
              <w:t>검증 항목</w:t>
            </w:r>
          </w:p>
        </w:tc>
        <w:tc>
          <w:tcPr>
            <w:tcW w:type="dxa" w:w="2484"/>
            <w:vAlign w:val="center"/>
            <w:shd w:fill="DFEAF3"/>
          </w:tcPr>
          <w:p>
            <w:pPr>
              <w:spacing w:before="20" w:after="20"/>
            </w:pPr>
            <w:r>
              <w:rPr>
                <w:b/>
                <w:sz w:val="16"/>
              </w:rPr>
              <w:t>v1.4 판정</w:t>
            </w:r>
          </w:p>
        </w:tc>
        <w:tc>
          <w:tcPr>
            <w:tcW w:type="dxa" w:w="2484"/>
            <w:vAlign w:val="center"/>
            <w:shd w:fill="DFEAF3"/>
          </w:tcPr>
          <w:p>
            <w:pPr>
              <w:spacing w:before="20" w:after="20"/>
            </w:pPr>
            <w:r>
              <w:rPr>
                <w:b/>
                <w:sz w:val="16"/>
              </w:rPr>
              <w:t>다음 업무</w:t>
            </w:r>
          </w:p>
        </w:tc>
      </w:tr>
      <w:tr>
        <w:tc>
          <w:tcPr>
            <w:tcW w:type="dxa" w:w="2484"/>
            <w:vAlign w:val="center"/>
            <w:shd w:fill="FFFFFF"/>
          </w:tcPr>
          <w:p>
            <w:pPr>
              <w:spacing w:before="20" w:after="20"/>
            </w:pPr>
            <w:r>
              <w:rPr>
                <w:b w:val="0"/>
                <w:sz w:val="16"/>
              </w:rPr>
              <w:t>소스 실행</w:t>
            </w:r>
          </w:p>
        </w:tc>
        <w:tc>
          <w:tcPr>
            <w:tcW w:type="dxa" w:w="2484"/>
            <w:vAlign w:val="center"/>
            <w:shd w:fill="FFFFFF"/>
          </w:tcPr>
          <w:p>
            <w:pPr>
              <w:spacing w:before="20" w:after="20"/>
            </w:pPr>
            <w:r>
              <w:rPr>
                <w:b w:val="0"/>
                <w:sz w:val="16"/>
              </w:rPr>
              <w:t>GPU·서버·랙·활성 링크·길이</w:t>
            </w:r>
          </w:p>
        </w:tc>
        <w:tc>
          <w:tcPr>
            <w:tcW w:type="dxa" w:w="2484"/>
            <w:vAlign w:val="center"/>
            <w:shd w:fill="FFFFFF"/>
          </w:tcPr>
          <w:p>
            <w:pPr>
              <w:spacing w:before="20" w:after="20"/>
            </w:pPr>
            <w:r>
              <w:rPr>
                <w:b w:val="0"/>
                <w:sz w:val="16"/>
              </w:rPr>
              <w:t>검산 통과(동일 fixture)</w:t>
            </w:r>
          </w:p>
        </w:tc>
        <w:tc>
          <w:tcPr>
            <w:tcW w:type="dxa" w:w="2484"/>
            <w:vAlign w:val="center"/>
            <w:shd w:fill="FFFFFF"/>
          </w:tcPr>
          <w:p>
            <w:pPr>
              <w:spacing w:before="20" w:after="20"/>
            </w:pPr>
            <w:r>
              <w:rPr>
                <w:b w:val="0"/>
                <w:sz w:val="16"/>
              </w:rPr>
              <w:t>브라우저 화면 결과와의 독립 대조</w:t>
            </w:r>
          </w:p>
        </w:tc>
      </w:tr>
      <w:tr>
        <w:tc>
          <w:tcPr>
            <w:tcW w:type="dxa" w:w="2484"/>
            <w:vAlign w:val="center"/>
            <w:shd w:fill="F4F7FA"/>
          </w:tcPr>
          <w:p>
            <w:pPr>
              <w:spacing w:before="20" w:after="20"/>
            </w:pPr>
            <w:r>
              <w:rPr>
                <w:b w:val="0"/>
                <w:sz w:val="16"/>
              </w:rPr>
              <w:t>백서 직접 산식</w:t>
            </w:r>
          </w:p>
        </w:tc>
        <w:tc>
          <w:tcPr>
            <w:tcW w:type="dxa" w:w="2484"/>
            <w:vAlign w:val="center"/>
            <w:shd w:fill="F4F7FA"/>
          </w:tcPr>
          <w:p>
            <w:pPr>
              <w:spacing w:before="20" w:after="20"/>
            </w:pPr>
            <w:r>
              <w:rPr>
                <w:b w:val="0"/>
                <w:sz w:val="16"/>
              </w:rPr>
              <w:t>RU 38U, 41.8kW/랙, 83.6kW IT</w:t>
            </w:r>
          </w:p>
        </w:tc>
        <w:tc>
          <w:tcPr>
            <w:tcW w:type="dxa" w:w="2484"/>
            <w:vAlign w:val="center"/>
            <w:shd w:fill="F4F7FA"/>
          </w:tcPr>
          <w:p>
            <w:pPr>
              <w:spacing w:before="20" w:after="20"/>
            </w:pPr>
            <w:r>
              <w:rPr>
                <w:b w:val="0"/>
                <w:sz w:val="16"/>
              </w:rPr>
              <w:t>수학적 산식만 독립 확인</w:t>
            </w:r>
          </w:p>
        </w:tc>
        <w:tc>
          <w:tcPr>
            <w:tcW w:type="dxa" w:w="2484"/>
            <w:vAlign w:val="center"/>
            <w:shd w:fill="F4F7FA"/>
          </w:tcPr>
          <w:p>
            <w:pPr>
              <w:spacing w:before="20" w:after="20"/>
            </w:pPr>
            <w:r>
              <w:rPr>
                <w:b w:val="0"/>
                <w:sz w:val="16"/>
              </w:rPr>
              <w:t>해당 출력 도구/엔진 연결</w:t>
            </w:r>
          </w:p>
        </w:tc>
      </w:tr>
      <w:tr>
        <w:tc>
          <w:tcPr>
            <w:tcW w:type="dxa" w:w="2484"/>
            <w:vAlign w:val="center"/>
            <w:shd w:fill="FFFFFF"/>
          </w:tcPr>
          <w:p>
            <w:pPr>
              <w:spacing w:before="20" w:after="20"/>
            </w:pPr>
            <w:r>
              <w:rPr>
                <w:b w:val="0"/>
                <w:sz w:val="16"/>
              </w:rPr>
              <w:t>백서 직접 산식</w:t>
            </w:r>
          </w:p>
        </w:tc>
        <w:tc>
          <w:tcPr>
            <w:tcW w:type="dxa" w:w="2484"/>
            <w:vAlign w:val="center"/>
            <w:shd w:fill="FFFFFF"/>
          </w:tcPr>
          <w:p>
            <w:pPr>
              <w:spacing w:before="20" w:after="20"/>
            </w:pPr>
            <w:r>
              <w:rPr>
                <w:b w:val="0"/>
                <w:sz w:val="16"/>
              </w:rPr>
              <w:t>64 Twin 모듈, 512 사용심, 768 내장심</w:t>
            </w:r>
          </w:p>
        </w:tc>
        <w:tc>
          <w:tcPr>
            <w:tcW w:type="dxa" w:w="2484"/>
            <w:vAlign w:val="center"/>
            <w:shd w:fill="FFFFFF"/>
          </w:tcPr>
          <w:p>
            <w:pPr>
              <w:spacing w:before="20" w:after="20"/>
            </w:pPr>
            <w:r>
              <w:rPr>
                <w:b w:val="0"/>
                <w:sz w:val="16"/>
              </w:rPr>
              <w:t>수학적 산식만 독립 확인</w:t>
            </w:r>
          </w:p>
        </w:tc>
        <w:tc>
          <w:tcPr>
            <w:tcW w:type="dxa" w:w="2484"/>
            <w:vAlign w:val="center"/>
            <w:shd w:fill="FFFFFF"/>
          </w:tcPr>
          <w:p>
            <w:pPr>
              <w:spacing w:before="20" w:after="20"/>
            </w:pPr>
            <w:r>
              <w:rPr>
                <w:b w:val="0"/>
                <w:sz w:val="16"/>
              </w:rPr>
              <w:t>SKU·극성·lane·케이지 모델과 연동</w:t>
            </w:r>
          </w:p>
        </w:tc>
      </w:tr>
      <w:tr>
        <w:tc>
          <w:tcPr>
            <w:tcW w:type="dxa" w:w="2484"/>
            <w:vAlign w:val="center"/>
            <w:shd w:fill="F4F7FA"/>
          </w:tcPr>
          <w:p>
            <w:pPr>
              <w:spacing w:before="20" w:after="20"/>
            </w:pPr>
            <w:r>
              <w:rPr>
                <w:b w:val="0"/>
                <w:sz w:val="16"/>
              </w:rPr>
              <w:t>백서 직접 산식</w:t>
            </w:r>
          </w:p>
        </w:tc>
        <w:tc>
          <w:tcPr>
            <w:tcW w:type="dxa" w:w="2484"/>
            <w:vAlign w:val="center"/>
            <w:shd w:fill="F4F7FA"/>
          </w:tcPr>
          <w:p>
            <w:pPr>
              <w:spacing w:before="20" w:after="20"/>
            </w:pPr>
            <w:r>
              <w:rPr>
                <w:b w:val="0"/>
                <w:sz w:val="16"/>
              </w:rPr>
              <w:t>시설 108.68kW, 연간 952,036.8kWh</w:t>
            </w:r>
          </w:p>
        </w:tc>
        <w:tc>
          <w:tcPr>
            <w:tcW w:type="dxa" w:w="2484"/>
            <w:vAlign w:val="center"/>
            <w:shd w:fill="F4F7FA"/>
          </w:tcPr>
          <w:p>
            <w:pPr>
              <w:spacing w:before="20" w:after="20"/>
            </w:pPr>
            <w:r>
              <w:rPr>
                <w:b w:val="0"/>
                <w:sz w:val="16"/>
              </w:rPr>
              <w:t>수학적 산식만 독립 확인</w:t>
            </w:r>
          </w:p>
        </w:tc>
        <w:tc>
          <w:tcPr>
            <w:tcW w:type="dxa" w:w="2484"/>
            <w:vAlign w:val="center"/>
            <w:shd w:fill="F4F7FA"/>
          </w:tcPr>
          <w:p>
            <w:pPr>
              <w:spacing w:before="20" w:after="20"/>
            </w:pPr>
            <w:r>
              <w:rPr>
                <w:b w:val="0"/>
                <w:sz w:val="16"/>
              </w:rPr>
              <w:t>PUE 시간 경계 및 시설 옵션 검사</w:t>
            </w:r>
          </w:p>
        </w:tc>
      </w:tr>
      <w:tr>
        <w:tc>
          <w:tcPr>
            <w:tcW w:type="dxa" w:w="2484"/>
            <w:vAlign w:val="center"/>
            <w:shd w:fill="FFFFFF"/>
          </w:tcPr>
          <w:p>
            <w:pPr>
              <w:spacing w:before="20" w:after="20"/>
            </w:pPr>
            <w:r>
              <w:rPr>
                <w:b w:val="0"/>
                <w:sz w:val="16"/>
              </w:rPr>
              <w:t>백서 직접 산식</w:t>
            </w:r>
          </w:p>
        </w:tc>
        <w:tc>
          <w:tcPr>
            <w:tcW w:type="dxa" w:w="2484"/>
            <w:vAlign w:val="center"/>
            <w:shd w:fill="FFFFFF"/>
          </w:tcPr>
          <w:p>
            <w:pPr>
              <w:spacing w:before="20" w:after="20"/>
            </w:pPr>
            <w:r>
              <w:rPr>
                <w:b w:val="0"/>
                <w:sz w:val="16"/>
              </w:rPr>
              <w:t>공기 유량 약 8,318.4m³/h/랙</w:t>
            </w:r>
          </w:p>
        </w:tc>
        <w:tc>
          <w:tcPr>
            <w:tcW w:type="dxa" w:w="2484"/>
            <w:vAlign w:val="center"/>
            <w:shd w:fill="FFFFFF"/>
          </w:tcPr>
          <w:p>
            <w:pPr>
              <w:spacing w:before="20" w:after="20"/>
            </w:pPr>
            <w:r>
              <w:rPr>
                <w:b w:val="0"/>
                <w:sz w:val="16"/>
              </w:rPr>
              <w:t>정적 모델, CFD·현장시험 아님</w:t>
            </w:r>
          </w:p>
        </w:tc>
        <w:tc>
          <w:tcPr>
            <w:tcW w:type="dxa" w:w="2484"/>
            <w:vAlign w:val="center"/>
            <w:shd w:fill="FFFFFF"/>
          </w:tcPr>
          <w:p>
            <w:pPr>
              <w:spacing w:before="20" w:after="20"/>
            </w:pPr>
            <w:r>
              <w:rPr>
                <w:b w:val="0"/>
                <w:sz w:val="16"/>
              </w:rPr>
              <w:t>풍량/핫스팟 실측과 비교</w:t>
            </w:r>
          </w:p>
        </w:tc>
      </w:tr>
      <w:tr>
        <w:tc>
          <w:tcPr>
            <w:tcW w:type="dxa" w:w="2484"/>
            <w:vAlign w:val="center"/>
            <w:shd w:fill="F4F7FA"/>
          </w:tcPr>
          <w:p>
            <w:pPr>
              <w:spacing w:before="20" w:after="20"/>
            </w:pPr>
            <w:r>
              <w:rPr>
                <w:b w:val="0"/>
                <w:sz w:val="16"/>
              </w:rPr>
              <w:t>실물·현장</w:t>
            </w:r>
          </w:p>
        </w:tc>
        <w:tc>
          <w:tcPr>
            <w:tcW w:type="dxa" w:w="2484"/>
            <w:vAlign w:val="center"/>
            <w:shd w:fill="F4F7FA"/>
          </w:tcPr>
          <w:p>
            <w:pPr>
              <w:spacing w:before="20" w:after="20"/>
            </w:pPr>
            <w:r>
              <w:rPr>
                <w:b w:val="0"/>
                <w:sz w:val="16"/>
              </w:rPr>
              <w:t>3 PSU 제한운전, PSU 3경로, BER/TDECQ</w:t>
            </w:r>
          </w:p>
        </w:tc>
        <w:tc>
          <w:tcPr>
            <w:tcW w:type="dxa" w:w="2484"/>
            <w:vAlign w:val="center"/>
            <w:shd w:fill="F4F7FA"/>
          </w:tcPr>
          <w:p>
            <w:pPr>
              <w:spacing w:before="20" w:after="20"/>
            </w:pPr>
            <w:r>
              <w:rPr>
                <w:b w:val="0"/>
                <w:sz w:val="16"/>
              </w:rPr>
              <w:t>계산으로 합격 판정 불가</w:t>
            </w:r>
          </w:p>
        </w:tc>
        <w:tc>
          <w:tcPr>
            <w:tcW w:type="dxa" w:w="2484"/>
            <w:vAlign w:val="center"/>
            <w:shd w:fill="F4F7FA"/>
          </w:tcPr>
          <w:p>
            <w:pPr>
              <w:spacing w:before="20" w:after="20"/>
            </w:pPr>
            <w:r>
              <w:rPr>
                <w:b w:val="0"/>
                <w:sz w:val="16"/>
              </w:rPr>
              <w:t>제조사 승인 및 현장 시험</w:t>
            </w:r>
          </w:p>
        </w:tc>
      </w:tr>
    </w:tbl>
    <w:p>
      <w:pPr>
        <w:pStyle w:val="BodyText"/>
        <w:keepLines/>
        <w:spacing w:after="120"/>
      </w:pPr>
      <w:r>
        <w:t>개발 우선순위는 (1) 3D/BOM 공유 JSON에 Case B용 서버 수와 랙별 장비 배치, PSU 경로를 명시, (2) RU·전력·냉각에 대한 공통 계산 엔진 별도 마련, (3) NIC/OSFP 케이지/2×400G Twin 모듈/MPO-12 실장·운용·예비 수량을 계층별 BOM으로 분리, (4) JSON 단일 입력으로 백서 reference fixture와 웹 결과를 자동 diff, (5) GitHub Actions에서 5개 직접 비교값 및 추가 항목 회귀시험 실시 순이다.</w:t>
      </w:r>
    </w:p>
    <w:p>
      <w:pPr>
        <w:pStyle w:val="BodyText"/>
        <w:keepLines/>
        <w:spacing w:after="120"/>
      </w:pPr>
      <w:r>
        <w:t>이상은 소스 레벨 계산 회귀시험이며, 사이트 배포 버전이 이번 GitHub 원본 blob과 정확히 일치하는지, 웹 UI를 통해 모든 입력이 반영되는지, 실제 장비가 안전하게 동작하는지는 검증하지 않았다. 기존 §94의 “웹 도구 실행 출력 미획득”은 이 한계 때문에 유지한다.</w:t>
      </w:r>
    </w:p>
    <w:p>
      <w:pPr>
        <w:pStyle w:val="Heading1"/>
        <w:keepNext/>
        <w:widowControl/>
      </w:pPr>
      <w:bookmarkStart w:id="95" w:name="topic_95"/>
      <w:r>
        <w:t xml:space="preserve">95 장애 시나리오를 발표에 활용하기</w:t>
      </w:r>
      <w:bookmarkEnd w:id="95"/>
    </w:p>
    <w:p>
      <w:pPr>
        <w:pStyle w:val="FirstParagraph"/>
        <w:widowControl/>
      </w:pPr>
      <w:r>
        <w:rPr>
          <w:bCs/>
          <w:b/>
        </w:rPr>
        <w:t xml:space="preserve">9부 제공 웹사이트를 활용한 교육과 검증</w:t>
      </w:r>
    </w:p>
    <w:p>
      <w:pPr>
        <w:pStyle w:val="BodyText"/>
        <w:widowControl/>
      </w:pPr>
      <w:r>
        <w:t xml:space="preserve">장애 시나리오는 원인과 영향의 연결을 설명하는 데 유용하다. 정전, 냉각 이상과 광케이블 단절을 차례로 보여주고 서버가 켜져 있는 상태와 서비스를 제공하는 상태가 어떻게 다른지 설명한다.</w:t>
      </w:r>
    </w:p>
    <w:p>
      <w:pPr>
        <w:pStyle w:val="BodyText"/>
        <w:widowControl/>
      </w:pPr>
      <w:r>
        <w:t xml:space="preserve">시나리오별로 한 장의 계산표를 준비한다. 정전에서는 UPS 시간과 잔여 전원 능력, 냉각에서는 열량과 유량, 광단절에서는 잔여 경로와 대역폭을 계산한다. 화면에서 변화한 숫자를 바로 이 표의 변수에 연결한다.</w:t>
      </w:r>
    </w:p>
    <w:p>
      <w:pPr>
        <w:pStyle w:val="BodyText"/>
        <w:widowControl/>
      </w:pPr>
      <w:r>
        <w:t xml:space="preserve">복구 시간이나 온도 임계값이 가정이라면 발표 중에도 그 사실을 말한다. 실제 제품의 보호 동작과 시설 인터록은 해당 매뉴얼과 현장 절차를 적용한다. 교육 시나리오를 실무 조작 절차로 사용하지 않는다.</w:t>
      </w:r>
    </w:p>
    <w:tbl>
      <w:tblPr>
        <w:tblStyle w:val="Table"/>
        <w:tblW w:type="dxa" w:w="986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096"/>
        <w:gridCol w:w="4392"/>
      </w:tblGrid>
      <w:tr>
        <w:trPr>
          <w:tblHeader w:val="true"/>
          <w:cantSplit/>
          <w:tblHeader/>
        </w:trPr>
        <w:tc>
          <w:tcPr>
            <w:tcW w:type="dxa" w:w="237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시나리오</w:t>
            </w:r>
          </w:p>
        </w:tc>
        <w:tc>
          <w:tcPr>
            <w:tcW w:type="dxa" w:w="309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관찰</w:t>
            </w:r>
          </w:p>
        </w:tc>
        <w:tc>
          <w:tcPr>
            <w:tcW w:type="dxa" w:w="4392"/>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검산</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전원 상실</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절체와 UPS 시간</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에너지와 부하</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냉각 저하</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유량과 온도</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잔여 열 제거</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광단절</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우회와 오류</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장애 후 대역폭</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GPU 부하 상승</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전력과 발열</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최대 수용 능력</w:t>
            </w:r>
          </w:p>
        </w:tc>
      </w:tr>
    </w:tbl>
    <w:bookmarkStart w:id="305" w:name="적용과-검증-90"/>
    <w:p>
      <w:pPr>
        <w:pStyle w:val="Heading2"/>
        <w:widowControl/>
      </w:pPr>
      <w:r>
        <w:t xml:space="preserve">적용과 검증</w:t>
      </w:r>
    </w:p>
    <w:p>
      <w:pPr>
        <w:pStyle w:val="FirstParagraph"/>
        <w:keepNext/>
        <w:widowControl/>
      </w:pPr>
      <w:r>
        <w:t xml:space="preserve">발표의 마지막에는 같은 GPU 64개라도 네트워크·전원·냉각 선택에 따라 케이블과 시설 요구가 달라진다는 점을 사례 B로 다시 확인한다. 결론은 장비 개수가 아니라 제약 검증으로 도출한다.</w:t>
      </w:r>
    </w:p>
    <w:p>
      <w:pPr>
        <w:pStyle w:val="BodyText"/>
        <w:widowControl/>
        <w:spacing w:before="160"/>
      </w:pPr>
      <w:r>
        <w:rPr>
          <w:sz w:val="17"/>
        </w:rPr>
        <w:t xml:space="preserve">근거 및 추가 읽기 [R28] [R29]</w:t>
      </w:r>
    </w:p>
    <w:bookmarkEnd w:id="305"/>
    <w:bookmarkEnd w:id="306"/>
    <w:bookmarkStart w:id="308" w:name="설계-계산의-변수와-단위-사전"/>
    <w:p>
      <w:pPr>
        <w:pStyle w:val="Heading1"/>
        <w:keepNext/>
        <w:widowControl/>
      </w:pPr>
      <w:bookmarkStart w:id="96" w:name="topic_96"/>
      <w:r>
        <w:t xml:space="preserve">96 설계 계산의 변수와 단위 사전</w:t>
      </w:r>
      <w:bookmarkEnd w:id="96"/>
    </w:p>
    <w:p>
      <w:pPr>
        <w:pStyle w:val="FirstParagraph"/>
        <w:widowControl/>
      </w:pPr>
      <w:r>
        <w:rPr>
          <w:bCs/>
          <w:b/>
        </w:rPr>
        <w:t xml:space="preserve">10부 실무 적용과 발표 부록</w:t>
      </w:r>
    </w:p>
    <w:p>
      <w:pPr>
        <w:pStyle w:val="BodyText"/>
        <w:widowControl/>
      </w:pPr>
      <w:r>
        <w:t xml:space="preserve">변수 이름은 같은 문서 안에서 한 가지 의미로 사용한다. P는 전력, E는 에너지, Q는 열전달률, B는 대역폭, F는 심수와 N은 개수를 나타낸다. 같은 기호가 다른 의미로 쓰이면 아래첨자로 범위를 구분한다.</w:t>
      </w:r>
    </w:p>
    <w:p>
      <w:pPr>
        <w:pStyle w:val="BodyText"/>
        <w:widowControl/>
      </w:pPr>
      <w:r>
        <w:t xml:space="preserve">밀도와 비열의 단위가 맞아야 열수지가 일치한다. Q를 kW로 넣을 때 비열을 kJ/kg·K로 사용하면 질량유량은 kg/s가 된다. 비열을 J 단위로 넣을 경우 Q도 W로 바꿔야 한다.</w:t>
      </w:r>
    </w:p>
    <w:p>
      <w:pPr>
        <w:pStyle w:val="BodyText"/>
        <w:widowControl/>
      </w:pPr>
      <w:r>
        <w:t xml:space="preserve">공학적 표기와 단위는 계산식 옆에 두고 입력표에도 반복한다. 특히 네트워크의 bit와 저장장치의 byte, 전력과 에너지의 차이는 문서의 모든 표에서 유지해야 한다.</w:t>
      </w:r>
    </w:p>
    <w:tbl>
      <w:tblPr>
        <w:tblStyle w:val="Table"/>
        <w:tblW w:type="dxa" w:w="986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096"/>
        <w:gridCol w:w="4392"/>
      </w:tblGrid>
      <w:tr>
        <w:trPr>
          <w:tblHeader w:val="true"/>
          <w:cantSplit/>
          <w:tblHeader/>
        </w:trPr>
        <w:tc>
          <w:tcPr>
            <w:tcW w:type="dxa" w:w="237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기호</w:t>
            </w:r>
          </w:p>
        </w:tc>
        <w:tc>
          <w:tcPr>
            <w:tcW w:type="dxa" w:w="309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의미</w:t>
            </w:r>
          </w:p>
        </w:tc>
        <w:tc>
          <w:tcPr>
            <w:tcW w:type="dxa" w:w="4392"/>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대표 단위</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P와 E</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전력과 에너지</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kW와 kWh</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Q</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열전달률</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kW열</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B</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링크 대역폭</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Gb/s와 Tb/s</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F와 L</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심수와 길이</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심과 m</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ρ와 c_p</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밀도와 비열</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kg/m³ kJ/kg K</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η와 PF</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효율과 역률</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무차원</w:t>
            </w:r>
          </w:p>
        </w:tc>
      </w:tr>
    </w:tbl>
    <w:bookmarkStart w:id="307" w:name="적용과-검증-91"/>
    <w:p>
      <w:pPr>
        <w:pStyle w:val="Heading2"/>
        <w:widowControl/>
      </w:pPr>
      <w:r>
        <w:t xml:space="preserve">적용과 검증</w:t>
      </w:r>
    </w:p>
    <w:p>
      <w:pPr>
        <w:pStyle w:val="FirstParagraph"/>
        <w:keepNext/>
        <w:widowControl/>
      </w:pPr>
      <w:r>
        <w:t xml:space="preserve">엑셀이나 코드 변수에는 단위를 포함하면 실수를 줄일 수 있다. 예를 들어 distance_m과 attenuation_db_per_km을 곱할 때 1000으로 나누는 변환이 필요하다는 사실이 드러난다.</w:t>
      </w:r>
    </w:p>
    <w:p>
      <w:pPr>
        <w:pStyle w:val="BodyText"/>
        <w:widowControl/>
        <w:spacing w:before="160"/>
      </w:pPr>
      <w:r>
        <w:rPr>
          <w:sz w:val="17"/>
        </w:rPr>
        <w:t xml:space="preserve">근거 및 추가 읽기 본 백서의 변수 정의</w:t>
      </w:r>
    </w:p>
    <w:bookmarkEnd w:id="307"/>
    <w:bookmarkEnd w:id="308"/>
    <w:bookmarkStart w:id="310" w:name="설계-결과표와-인수-기준"/>
    <w:p>
      <w:pPr>
        <w:pStyle w:val="Heading1"/>
        <w:keepNext/>
        <w:widowControl/>
      </w:pPr>
      <w:bookmarkStart w:id="97" w:name="topic_97"/>
      <w:r>
        <w:t xml:space="preserve">97 설계 결과표와 인수 기준</w:t>
      </w:r>
      <w:bookmarkEnd w:id="97"/>
    </w:p>
    <w:p>
      <w:pPr>
        <w:pStyle w:val="FirstParagraph"/>
        <w:widowControl/>
      </w:pPr>
      <w:r>
        <w:rPr>
          <w:bCs/>
          <w:b/>
        </w:rPr>
        <w:t xml:space="preserve">10부 실무 적용과 발표 부록</w:t>
      </w:r>
    </w:p>
    <w:p>
      <w:pPr>
        <w:pStyle w:val="BodyText"/>
        <w:widowControl/>
      </w:pPr>
      <w:r>
        <w:t xml:space="preserve">최종 결과표는 산출 수량만 나열하지 않고 요구조건과 가용 능력 및 판정 근거를 포함한다. 통과, 실패와 미확인을 구분하면 검토자가 남은 일을 알 수 있다. 미확인을 조건부 통과처럼 숨기지 않는다.</w:t>
      </w:r>
    </w:p>
    <w:p>
      <w:pPr>
        <w:pStyle w:val="BodyText"/>
        <w:widowControl/>
      </w:pPr>
      <w:r>
        <w:t xml:space="preserve">발주 전에는 부품 형명과 개정번호를 동결하고 대체품 승인 조건을 정한다. 같은 속도 제품이라도 소비전력, 커넥터와 지원 거리가 다를 수 있다. 대체 시 어떤 계산을 다시 해야 하는지 범위를 명시한다.</w:t>
      </w:r>
    </w:p>
    <w:p>
      <w:pPr>
        <w:pStyle w:val="BodyText"/>
        <w:widowControl/>
      </w:pPr>
      <w:r>
        <w:t xml:space="preserve">인수 기준은 설치 수량, 광배선 시험, 전력과 냉각 계측 및 네트워크 기능 시험으로 나눈다. 실제 계통 절체 시험은 서비스 영향과 복구 계획이 승인된 절차에서 수행한다.</w:t>
      </w:r>
    </w:p>
    <w:tbl>
      <w:tblPr>
        <w:tblStyle w:val="Table"/>
        <w:tblW w:type="dxa" w:w="986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096"/>
        <w:gridCol w:w="4392"/>
      </w:tblGrid>
      <w:tr>
        <w:trPr>
          <w:tblHeader w:val="true"/>
          <w:cantSplit/>
          <w:tblHeader/>
        </w:trPr>
        <w:tc>
          <w:tcPr>
            <w:tcW w:type="dxa" w:w="237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검토 항목</w:t>
            </w:r>
          </w:p>
        </w:tc>
        <w:tc>
          <w:tcPr>
            <w:tcW w:type="dxa" w:w="309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합격 기준의 형태</w:t>
            </w:r>
          </w:p>
        </w:tc>
        <w:tc>
          <w:tcPr>
            <w:tcW w:type="dxa" w:w="4392"/>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증빙</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수량</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BOM과 현물 일치</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자산 목록</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광배선</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계약 손실과 극성 충족</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OLTS와 접속표</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전력</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정상과 장애 정격 내</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계측과 결선도</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냉각</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지정 부하의 흡입 조건</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온도와 유량 로그</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통신</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지정 작업과 장애 기준</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성능 시험 보고</w:t>
            </w:r>
          </w:p>
        </w:tc>
      </w:tr>
    </w:tbl>
    <w:bookmarkStart w:id="309" w:name="적용과-검증-92"/>
    <w:p>
      <w:pPr>
        <w:pStyle w:val="Heading2"/>
        <w:widowControl/>
      </w:pPr>
      <w:r>
        <w:t xml:space="preserve">적용과 검증</w:t>
      </w:r>
    </w:p>
    <w:p>
      <w:pPr>
        <w:pStyle w:val="FirstParagraph"/>
        <w:keepNext/>
        <w:widowControl/>
      </w:pPr>
      <w:r>
        <w:t xml:space="preserve">사례 B의 중량 정격과 전원 장애 최대성능처럼 근거가 부족한 항목은 미확인으로 남긴다. 문서의 목적은 검토 가능한 결론을 제공하는 것이며 근거 없는 완공 승인이 아니다.</w:t>
      </w:r>
    </w:p>
    <w:p>
      <w:pPr>
        <w:pStyle w:val="BodyText"/>
        <w:widowControl/>
        <w:spacing w:before="160"/>
      </w:pPr>
      <w:r>
        <w:rPr>
          <w:sz w:val="17"/>
        </w:rPr>
        <w:t xml:space="preserve">근거 및 추가 읽기 [R23] [R27]</w:t>
      </w:r>
    </w:p>
    <w:bookmarkEnd w:id="309"/>
    <w:bookmarkEnd w:id="310"/>
    <w:bookmarkStart w:id="313" w:name="민감도-분석과-입력-오차의-영향"/>
    <w:p>
      <w:pPr>
        <w:pStyle w:val="Heading1"/>
        <w:keepNext/>
        <w:widowControl/>
      </w:pPr>
      <w:bookmarkStart w:id="98" w:name="topic_98"/>
      <w:r>
        <w:t xml:space="preserve">98 민감도 분석과 입력 오차의 영향</w:t>
      </w:r>
      <w:bookmarkEnd w:id="98"/>
    </w:p>
    <w:p>
      <w:pPr>
        <w:pStyle w:val="FirstParagraph"/>
        <w:widowControl/>
      </w:pPr>
      <w:r>
        <w:rPr>
          <w:bCs/>
          <w:b/>
        </w:rPr>
        <w:t xml:space="preserve">10부 실무 적용과 발표 부록</w:t>
      </w:r>
    </w:p>
    <w:p>
      <w:pPr>
        <w:pStyle w:val="BodyText"/>
        <w:widowControl/>
      </w:pPr>
      <w:r>
        <w:t xml:space="preserve">한 번의 계산값보다 입력이 바뀌었을 때 결과가 얼마나 달라지는지 이해하는 것이 중요하다. 서버 전력, 평균 부하, PUE, 링크 거리와 접속 손실을 바꾸어 민감도를 분석한다. 정수 장비는 임계점을 넘을 때 수량이 갑자기 증가한다.</w:t>
      </w:r>
    </w:p>
    <w:p>
      <w:pPr>
        <w:pStyle w:val="BodyText"/>
        <w:widowControl/>
      </w:pPr>
      <w:r>
        <w:t xml:space="preserve">연속 변수의 작은 변화는 미분 또는 두 조건의 차이로 확인한다. 그러나 랙 수나 케이블 본수처럼 올림이 있는 결과는 단순 비례하지 않는다. 경계값 양쪽을 계산해 필요한 추가 장비를 확인한다.</w:t>
      </w:r>
    </w:p>
    <w:p>
      <w:pPr>
        <w:pStyle w:val="BodyText"/>
        <w:widowControl/>
      </w:pPr>
      <w:r>
        <w:t xml:space="preserve">입력 오차와 설계 여유도 다르다. 실제 서버 전력을 모른다는 불확실성을 근거 없이 낮은 부하율로 덮지 않는다. 범위와 보수 조건을 명시하고 실측으로 줄인다.</w:t>
      </w:r>
    </w:p>
    <w:bookmarkStart w:id="311" w:name="계산식과-변수-58"/>
    <w:p>
      <w:pPr>
        <w:pStyle w:val="Heading2"/>
        <w:widowControl/>
      </w:pPr>
      <w:r>
        <w:t xml:space="preserve">계산식과 변수</w:t>
      </w:r>
    </w:p>
    <w:p>
      <w:pPr>
        <w:pStyle w:val="FirstParagraph"/>
        <w:widowControl/>
        <w:spacing w:line="252" w:lineRule="auto" w:before="100" w:after="180"/>
      </w:pPr>
      <m:oMathPara>
        <m:oMathParaPr>
          <m:jc m:val="center"/>
        </m:oMathParaPr>
        <m:oMath>
          <m:f>
            <m:fPr>
              <m:type m:val="bar"/>
            </m:fPr>
            <m:num>
              <m:r>
                <m:rPr>
                  <m:sty m:val="p"/>
                </m:rPr>
                <m:t>∂</m:t>
              </m:r>
              <m:sSub>
                <m:e>
                  <m:r>
                    <m:t>P</m:t>
                  </m:r>
                </m:e>
                <m:sub>
                  <m:r>
                    <m:t>f</m:t>
                  </m:r>
                  <m:r>
                    <m:t>a</m:t>
                  </m:r>
                  <m:r>
                    <m:t>c</m:t>
                  </m:r>
                  <m:r>
                    <m:t>i</m:t>
                  </m:r>
                  <m:r>
                    <m:t>l</m:t>
                  </m:r>
                  <m:r>
                    <m:t>i</m:t>
                  </m:r>
                  <m:r>
                    <m:t>t</m:t>
                  </m:r>
                  <m:r>
                    <m:t>y</m:t>
                  </m:r>
                </m:sub>
              </m:sSub>
            </m:num>
            <m:den>
              <m:r>
                <m:rPr>
                  <m:sty m:val="p"/>
                </m:rPr>
                <m:t>∂</m:t>
              </m:r>
              <m:r>
                <m:t>u</m:t>
              </m:r>
            </m:den>
          </m:f>
          <m:r>
            <m:rPr>
              <m:sty m:val="p"/>
            </m:rPr>
            <m:t>=</m:t>
          </m:r>
          <m:sSub>
            <m:e>
              <m:r>
                <m:t>P</m:t>
              </m:r>
            </m:e>
            <m:sub>
              <m:r>
                <m:t>I</m:t>
              </m:r>
              <m:r>
                <m:t>T</m:t>
              </m:r>
            </m:sub>
          </m:sSub>
        </m:oMath>
      </m:oMathPara>
    </w:p>
    <w:p>
      <w:pPr>
        <w:pStyle w:val="FirstParagraph"/>
        <w:widowControl/>
        <w:spacing w:line="252" w:lineRule="auto" w:before="100" w:after="180"/>
      </w:pPr>
      <m:oMathPara>
        <m:oMathParaPr>
          <m:jc m:val="center"/>
        </m:oMathParaPr>
        <m:oMath>
          <m:sSub>
            <m:e>
              <m:r>
                <m:t>N</m:t>
              </m:r>
            </m:e>
            <m:sub>
              <m:r>
                <m:t>c</m:t>
              </m:r>
              <m:r>
                <m:t>a</m:t>
              </m:r>
              <m:r>
                <m:t>b</m:t>
              </m:r>
              <m:r>
                <m:t>l</m:t>
              </m:r>
              <m:r>
                <m:t>e</m:t>
              </m:r>
            </m:sub>
          </m:sSub>
          <m:r>
            <m:rPr>
              <m:sty m:val="p"/>
            </m:rPr>
            <m:t>=</m:t>
          </m:r>
          <m:r>
            <m:rPr>
              <m:sty m:val="p"/>
            </m:rPr>
            <m:t>ceil</m:t>
          </m:r>
          <m:d>
            <m:dPr>
              <m:begChr m:val="("/>
              <m:endChr m:val=")"/>
              <m:sepChr m:val=""/>
              <m:grow/>
            </m:dPr>
            <m:e>
              <m:sSub>
                <m:e>
                  <m:r>
                    <m:t>F</m:t>
                  </m:r>
                </m:e>
                <m:sub>
                  <m:r>
                    <m:t>r</m:t>
                  </m:r>
                  <m:r>
                    <m:t>e</m:t>
                  </m:r>
                  <m:r>
                    <m:t>q</m:t>
                  </m:r>
                  <m:r>
                    <m:t>u</m:t>
                  </m:r>
                  <m:r>
                    <m:t>i</m:t>
                  </m:r>
                  <m:r>
                    <m:t>r</m:t>
                  </m:r>
                  <m:r>
                    <m:t>e</m:t>
                  </m:r>
                  <m:r>
                    <m:t>d</m:t>
                  </m:r>
                </m:sub>
              </m:sSub>
              <m:r>
                <m:rPr>
                  <m:sty m:val="p"/>
                </m:rPr>
                <m:t>/</m:t>
              </m:r>
              <m:sSub>
                <m:e>
                  <m:r>
                    <m:t>F</m:t>
                  </m:r>
                </m:e>
                <m:sub>
                  <m:r>
                    <m:t>c</m:t>
                  </m:r>
                  <m:r>
                    <m:t>a</m:t>
                  </m:r>
                  <m:r>
                    <m:t>b</m:t>
                  </m:r>
                  <m:r>
                    <m:t>l</m:t>
                  </m:r>
                  <m:r>
                    <m:t>e</m:t>
                  </m:r>
                </m:sub>
              </m:sSub>
            </m:e>
          </m:d>
        </m:oMath>
      </m:oMathPara>
    </w:p>
    <w:tbl>
      <w:tblPr>
        <w:tblStyle w:val="Table"/>
        <w:tblW w:type="dxa" w:w="986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096"/>
        <w:gridCol w:w="4392"/>
      </w:tblGrid>
      <w:tr>
        <w:trPr>
          <w:tblHeader w:val="true"/>
          <w:cantSplit/>
          <w:tblHeader/>
        </w:trPr>
        <w:tc>
          <w:tcPr>
            <w:tcW w:type="dxa" w:w="237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변화</w:t>
            </w:r>
          </w:p>
        </w:tc>
        <w:tc>
          <w:tcPr>
            <w:tcW w:type="dxa" w:w="309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예제</w:t>
            </w:r>
          </w:p>
        </w:tc>
        <w:tc>
          <w:tcPr>
            <w:tcW w:type="dxa" w:w="4392"/>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결과</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IT 1MW PUE 1.2에서 1.3</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비율 0.1 증가</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시설 전력 100kW 증가</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24심 경로 요구 24심</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1본</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여유 0심</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24심 경로 요구 25심</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2본</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정수 수량 급증</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ΔT 10K에서 5K</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열량 일정</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필요 유량 2배</w:t>
            </w:r>
          </w:p>
        </w:tc>
      </w:tr>
    </w:tbl>
    <w:bookmarkEnd w:id="311"/>
    <w:bookmarkStart w:id="312" w:name="적용과-검증-93"/>
    <w:p>
      <w:pPr>
        <w:pStyle w:val="Heading2"/>
        <w:widowControl/>
      </w:pPr>
      <w:r>
        <w:t xml:space="preserve">적용과 검증</w:t>
      </w:r>
    </w:p>
    <w:p>
      <w:pPr>
        <w:pStyle w:val="FirstParagraph"/>
        <w:keepNext/>
        <w:widowControl/>
      </w:pPr>
      <w:r>
        <w:t xml:space="preserve">보고서에는 기준, 낮은 요구와 높은 요구의 세 조건을 함께 제시한다. 모든 입력을 동시에 가장 낙관적으로 두는 방식은 실제 위험을 과소평가할 수 있다.</w:t>
      </w:r>
    </w:p>
    <w:p>
      <w:pPr>
        <w:pStyle w:val="BodyText"/>
        <w:widowControl/>
        <w:spacing w:before="160"/>
      </w:pPr>
      <w:r>
        <w:rPr>
          <w:sz w:val="17"/>
        </w:rPr>
        <w:t xml:space="preserve">근거 및 추가 읽기 본 백서의 직접 계산</w:t>
      </w:r>
    </w:p>
    <w:bookmarkEnd w:id="312"/>
    <w:bookmarkEnd w:id="313"/>
    <w:bookmarkStart w:id="315" w:name="데이터센터-개론-발표-구성"/>
    <w:p>
      <w:pPr>
        <w:pStyle w:val="Heading2"/>
        <w:keepNext/>
        <w:keepLines/>
        <w:spacing w:after="100"/>
      </w:pPr>
      <w:r>
        <w:t>사례 B 정량 민감도: PUE·서버 전력·풍량</w:t>
      </w:r>
    </w:p>
    <w:p>
      <w:pPr>
        <w:pStyle w:val="BodyText"/>
        <w:keepLines/>
        <w:spacing w:after="100"/>
      </w:pPr>
      <w:r>
        <w:t>기준점은 DGX H100 8대, 랙 2개, 랙당 서버 외 1kW, 서버 최대 10.2kW, 정상 IT 83.6kW, PUE=1.30 및 매년 8760h 일정 최대 부하다. PUE는 이 표의 전력 경계에서 일정 운전점 비율로 적용하며, 실제 시변 전력·PUE 곡선은 제외한다.</w:t>
      </w:r>
    </w:p>
    <w:p>
      <w:pPr>
        <w:pStyle w:val="BodyText"/>
        <w:keepLines/>
        <w:spacing w:after="100"/>
      </w:pPr>
      <w:r>
        <w:t>PUE를 1.20→1.30→1.40으로 바꾸면 IT 83.6kW에 대해 시설 전력은 각각 100.32→108.68→117.04kW가 된다. 연간 에너지는 각각 878,803.2→952,036.8→1,025,270.4kWh다. PUE 0.1 변화의 증분은 8.36kW 및 73,233.6kWh/년이다.</w:t>
      </w:r>
    </w:p>
    <w:p>
      <w:pPr>
        <w:pStyle w:val="BodyText"/>
        <w:keepLines/>
        <w:spacing w:after="100"/>
      </w:pPr>
      <w:r>
        <w:t>서버 전력이 10% 증가한 11.22kW이면 기존 랙 4대 구성은 4×11.22+1=45.88kW로 가용 45kW를 랙마다 0.88kW 초과한다. 각 랙당 서버 수를 3대로 제한하면 최소 ceil(8/3)=3랙 필요하다(하중·스위치·냉각의 재배치 추가 필요). 랙 4대 기준 임계 서버 전력은 (45−1)/4=11.0kW다.</w:t>
      </w:r>
    </w:p>
    <w:p>
      <w:pPr>
        <w:pStyle w:val="BodyText"/>
        <w:keepLines/>
        <w:spacing w:after="100"/>
      </w:pPr>
      <w:r>
        <w:t>공기 ΔT가 15K에서 10K로 하락하면 동일 41.8kW 랙 발열을 제거하는 이론 풍량은 8318→12478m³/h로 50% 증가한다. 실제 CRAH/팬의 운전점 및 통로 재순환이 동일하다는 가정이 없으므로 단순 비례는 요구량 변화 예제다.</w:t>
      </w:r>
    </w:p>
    <w:tbl>
      <w:tblPr>
        <w:tblW w:type="auto" w:w="0"/>
        <w:jc w:val="center"/>
        <w:tblLayout w:type="autofit"/>
        <w:tblLook w:firstColumn="1" w:firstRow="1" w:lastColumn="0" w:lastRow="0" w:noHBand="0" w:noVBand="1" w:val="04A0"/>
      </w:tblPr>
      <w:tblGrid>
        <w:gridCol w:w="1987"/>
        <w:gridCol w:w="1987"/>
        <w:gridCol w:w="1987"/>
        <w:gridCol w:w="1987"/>
        <w:gridCol w:w="1987"/>
      </w:tblGrid>
      <w:tr>
        <w:trPr>
          <w:tblHeader w:val="true"/>
        </w:trPr>
        <w:tc>
          <w:tcPr>
            <w:tcW w:type="dxa" w:w="1987"/>
            <w:vAlign w:val="center"/>
            <w:shd w:fill="DDEAF3"/>
          </w:tcPr>
          <w:p>
            <w:pPr>
              <w:spacing w:after="20" w:before="20"/>
            </w:pPr>
            <w:r>
              <w:rPr>
                <w:b/>
                <w:sz w:val="16"/>
              </w:rPr>
              <w:t>민감 변수</w:t>
            </w:r>
          </w:p>
        </w:tc>
        <w:tc>
          <w:tcPr>
            <w:tcW w:type="dxa" w:w="1987"/>
            <w:vAlign w:val="center"/>
            <w:shd w:fill="DDEAF3"/>
          </w:tcPr>
          <w:p>
            <w:pPr>
              <w:spacing w:after="20" w:before="20"/>
            </w:pPr>
            <w:r>
              <w:rPr>
                <w:b/>
                <w:sz w:val="16"/>
              </w:rPr>
              <w:t>낮은 조건</w:t>
            </w:r>
          </w:p>
        </w:tc>
        <w:tc>
          <w:tcPr>
            <w:tcW w:type="dxa" w:w="1987"/>
            <w:vAlign w:val="center"/>
            <w:shd w:fill="DDEAF3"/>
          </w:tcPr>
          <w:p>
            <w:pPr>
              <w:spacing w:after="20" w:before="20"/>
            </w:pPr>
            <w:r>
              <w:rPr>
                <w:b/>
                <w:sz w:val="16"/>
              </w:rPr>
              <w:t>기준</w:t>
            </w:r>
          </w:p>
        </w:tc>
        <w:tc>
          <w:tcPr>
            <w:tcW w:type="dxa" w:w="1987"/>
            <w:vAlign w:val="center"/>
            <w:shd w:fill="DDEAF3"/>
          </w:tcPr>
          <w:p>
            <w:pPr>
              <w:spacing w:after="20" w:before="20"/>
            </w:pPr>
            <w:r>
              <w:rPr>
                <w:b/>
                <w:sz w:val="16"/>
              </w:rPr>
              <w:t>높은 조건</w:t>
            </w:r>
          </w:p>
        </w:tc>
        <w:tc>
          <w:tcPr>
            <w:tcW w:type="dxa" w:w="1987"/>
            <w:vAlign w:val="center"/>
            <w:shd w:fill="DDEAF3"/>
          </w:tcPr>
          <w:p>
            <w:pPr>
              <w:spacing w:after="20" w:before="20"/>
            </w:pPr>
            <w:r>
              <w:rPr>
                <w:b/>
                <w:sz w:val="16"/>
              </w:rPr>
              <w:t>설계 영향</w:t>
            </w:r>
          </w:p>
        </w:tc>
      </w:tr>
      <w:tr>
        <w:tc>
          <w:tcPr>
            <w:tcW w:type="dxa" w:w="1987"/>
            <w:vAlign w:val="center"/>
          </w:tcPr>
          <w:p>
            <w:pPr>
              <w:spacing w:after="20" w:before="20"/>
            </w:pPr>
            <w:r>
              <w:rPr>
                <w:sz w:val="16"/>
              </w:rPr>
              <w:t>PUE</w:t>
            </w:r>
          </w:p>
        </w:tc>
        <w:tc>
          <w:tcPr>
            <w:tcW w:type="dxa" w:w="1987"/>
            <w:vAlign w:val="center"/>
          </w:tcPr>
          <w:p>
            <w:pPr>
              <w:spacing w:after="20" w:before="20"/>
            </w:pPr>
            <w:r>
              <w:rPr>
                <w:sz w:val="16"/>
              </w:rPr>
              <w:t>1.20: 100.32kW</w:t>
            </w:r>
          </w:p>
        </w:tc>
        <w:tc>
          <w:tcPr>
            <w:tcW w:type="dxa" w:w="1987"/>
            <w:vAlign w:val="center"/>
          </w:tcPr>
          <w:p>
            <w:pPr>
              <w:spacing w:after="20" w:before="20"/>
            </w:pPr>
            <w:r>
              <w:rPr>
                <w:sz w:val="16"/>
              </w:rPr>
              <w:t>1.30: 108.68kW</w:t>
            </w:r>
          </w:p>
        </w:tc>
        <w:tc>
          <w:tcPr>
            <w:tcW w:type="dxa" w:w="1987"/>
            <w:vAlign w:val="center"/>
          </w:tcPr>
          <w:p>
            <w:pPr>
              <w:spacing w:after="20" w:before="20"/>
            </w:pPr>
            <w:r>
              <w:rPr>
                <w:sz w:val="16"/>
              </w:rPr>
              <w:t>1.40: 117.04kW</w:t>
            </w:r>
          </w:p>
        </w:tc>
        <w:tc>
          <w:tcPr>
            <w:tcW w:type="dxa" w:w="1987"/>
            <w:vAlign w:val="center"/>
          </w:tcPr>
          <w:p>
            <w:pPr>
              <w:spacing w:after="20" w:before="20"/>
            </w:pPr>
            <w:r>
              <w:rPr>
                <w:sz w:val="16"/>
              </w:rPr>
              <w:t>변화량 ±8.36kW</w:t>
            </w:r>
          </w:p>
        </w:tc>
      </w:tr>
      <w:tr>
        <w:tc>
          <w:tcPr>
            <w:tcW w:type="dxa" w:w="1987"/>
            <w:vAlign w:val="center"/>
            <w:shd w:fill="F2F6FA"/>
          </w:tcPr>
          <w:p>
            <w:pPr>
              <w:spacing w:after="20" w:before="20"/>
            </w:pPr>
            <w:r>
              <w:rPr>
                <w:sz w:val="16"/>
              </w:rPr>
              <w:t>연간 시설 에너지</w:t>
            </w:r>
          </w:p>
        </w:tc>
        <w:tc>
          <w:tcPr>
            <w:tcW w:type="dxa" w:w="1987"/>
            <w:vAlign w:val="center"/>
            <w:shd w:fill="F2F6FA"/>
          </w:tcPr>
          <w:p>
            <w:pPr>
              <w:spacing w:after="20" w:before="20"/>
            </w:pPr>
            <w:r>
              <w:rPr>
                <w:sz w:val="16"/>
              </w:rPr>
              <w:t>878803.2kWh</w:t>
            </w:r>
          </w:p>
        </w:tc>
        <w:tc>
          <w:tcPr>
            <w:tcW w:type="dxa" w:w="1987"/>
            <w:vAlign w:val="center"/>
            <w:shd w:fill="F2F6FA"/>
          </w:tcPr>
          <w:p>
            <w:pPr>
              <w:spacing w:after="20" w:before="20"/>
            </w:pPr>
            <w:r>
              <w:rPr>
                <w:sz w:val="16"/>
              </w:rPr>
              <w:t>952036.8kWh</w:t>
            </w:r>
          </w:p>
        </w:tc>
        <w:tc>
          <w:tcPr>
            <w:tcW w:type="dxa" w:w="1987"/>
            <w:vAlign w:val="center"/>
            <w:shd w:fill="F2F6FA"/>
          </w:tcPr>
          <w:p>
            <w:pPr>
              <w:spacing w:after="20" w:before="20"/>
            </w:pPr>
            <w:r>
              <w:rPr>
                <w:sz w:val="16"/>
              </w:rPr>
              <w:t>1025270.4kWh</w:t>
            </w:r>
          </w:p>
        </w:tc>
        <w:tc>
          <w:tcPr>
            <w:tcW w:type="dxa" w:w="1987"/>
            <w:vAlign w:val="center"/>
            <w:shd w:fill="F2F6FA"/>
          </w:tcPr>
          <w:p>
            <w:pPr>
              <w:spacing w:after="20" w:before="20"/>
            </w:pPr>
            <w:r>
              <w:rPr>
                <w:sz w:val="16"/>
              </w:rPr>
              <w:t>±73233.6kWh/년</w:t>
            </w:r>
          </w:p>
        </w:tc>
      </w:tr>
      <w:tr>
        <w:tc>
          <w:tcPr>
            <w:tcW w:type="dxa" w:w="1987"/>
            <w:vAlign w:val="center"/>
          </w:tcPr>
          <w:p>
            <w:pPr>
              <w:spacing w:after="20" w:before="20"/>
            </w:pPr>
            <w:r>
              <w:rPr>
                <w:sz w:val="16"/>
              </w:rPr>
              <w:t>서버별 정격</w:t>
            </w:r>
          </w:p>
        </w:tc>
        <w:tc>
          <w:tcPr>
            <w:tcW w:type="dxa" w:w="1987"/>
            <w:vAlign w:val="center"/>
          </w:tcPr>
          <w:p>
            <w:pPr>
              <w:spacing w:after="20" w:before="20"/>
            </w:pPr>
            <w:r>
              <w:rPr>
                <w:sz w:val="16"/>
              </w:rPr>
              <w:t>9.18kW (−10%)</w:t>
            </w:r>
          </w:p>
        </w:tc>
        <w:tc>
          <w:tcPr>
            <w:tcW w:type="dxa" w:w="1987"/>
            <w:vAlign w:val="center"/>
          </w:tcPr>
          <w:p>
            <w:pPr>
              <w:spacing w:after="20" w:before="20"/>
            </w:pPr>
            <w:r>
              <w:rPr>
                <w:sz w:val="16"/>
              </w:rPr>
              <w:t>10.20kW</w:t>
            </w:r>
          </w:p>
        </w:tc>
        <w:tc>
          <w:tcPr>
            <w:tcW w:type="dxa" w:w="1987"/>
            <w:vAlign w:val="center"/>
          </w:tcPr>
          <w:p>
            <w:pPr>
              <w:spacing w:after="20" w:before="20"/>
            </w:pPr>
            <w:r>
              <w:rPr>
                <w:sz w:val="16"/>
              </w:rPr>
              <w:t>11.22kW (+10%)</w:t>
            </w:r>
          </w:p>
        </w:tc>
        <w:tc>
          <w:tcPr>
            <w:tcW w:type="dxa" w:w="1987"/>
            <w:vAlign w:val="center"/>
          </w:tcPr>
          <w:p>
            <w:pPr>
              <w:spacing w:after="20" w:before="20"/>
            </w:pPr>
            <w:r>
              <w:rPr>
                <w:sz w:val="16"/>
              </w:rPr>
              <w:t>+10% 때 2→3랙 필요</w:t>
            </w:r>
          </w:p>
        </w:tc>
      </w:tr>
      <w:tr>
        <w:tc>
          <w:tcPr>
            <w:tcW w:type="dxa" w:w="1987"/>
            <w:vAlign w:val="center"/>
            <w:shd w:fill="F2F6FA"/>
          </w:tcPr>
          <w:p>
            <w:pPr>
              <w:spacing w:after="20" w:before="20"/>
            </w:pPr>
            <w:r>
              <w:rPr>
                <w:sz w:val="16"/>
              </w:rPr>
              <w:t>랙당 IT 부하</w:t>
            </w:r>
          </w:p>
        </w:tc>
        <w:tc>
          <w:tcPr>
            <w:tcW w:type="dxa" w:w="1987"/>
            <w:vAlign w:val="center"/>
            <w:shd w:fill="F2F6FA"/>
          </w:tcPr>
          <w:p>
            <w:pPr>
              <w:spacing w:after="20" w:before="20"/>
            </w:pPr>
            <w:r>
              <w:rPr>
                <w:sz w:val="16"/>
              </w:rPr>
              <w:t>37.72kW</w:t>
            </w:r>
          </w:p>
        </w:tc>
        <w:tc>
          <w:tcPr>
            <w:tcW w:type="dxa" w:w="1987"/>
            <w:vAlign w:val="center"/>
            <w:shd w:fill="F2F6FA"/>
          </w:tcPr>
          <w:p>
            <w:pPr>
              <w:spacing w:after="20" w:before="20"/>
            </w:pPr>
            <w:r>
              <w:rPr>
                <w:sz w:val="16"/>
              </w:rPr>
              <w:t>41.80kW</w:t>
            </w:r>
          </w:p>
        </w:tc>
        <w:tc>
          <w:tcPr>
            <w:tcW w:type="dxa" w:w="1987"/>
            <w:vAlign w:val="center"/>
            <w:shd w:fill="F2F6FA"/>
          </w:tcPr>
          <w:p>
            <w:pPr>
              <w:spacing w:after="20" w:before="20"/>
            </w:pPr>
            <w:r>
              <w:rPr>
                <w:sz w:val="16"/>
              </w:rPr>
              <w:t>45.88kW</w:t>
            </w:r>
          </w:p>
        </w:tc>
        <w:tc>
          <w:tcPr>
            <w:tcW w:type="dxa" w:w="1987"/>
            <w:vAlign w:val="center"/>
            <w:shd w:fill="F2F6FA"/>
          </w:tcPr>
          <w:p>
            <w:pPr>
              <w:spacing w:after="20" w:before="20"/>
            </w:pPr>
            <w:r>
              <w:rPr>
                <w:sz w:val="16"/>
              </w:rPr>
              <w:t>45kW 한도: +10% 실패</w:t>
            </w:r>
          </w:p>
        </w:tc>
      </w:tr>
      <w:tr>
        <w:tc>
          <w:tcPr>
            <w:tcW w:type="dxa" w:w="1987"/>
            <w:vAlign w:val="center"/>
          </w:tcPr>
          <w:p>
            <w:pPr>
              <w:spacing w:after="20" w:before="20"/>
            </w:pPr>
            <w:r>
              <w:rPr>
                <w:sz w:val="16"/>
              </w:rPr>
              <w:t>공기 ΔT</w:t>
            </w:r>
          </w:p>
        </w:tc>
        <w:tc>
          <w:tcPr>
            <w:tcW w:type="dxa" w:w="1987"/>
            <w:vAlign w:val="center"/>
          </w:tcPr>
          <w:p>
            <w:pPr>
              <w:spacing w:after="20" w:before="20"/>
            </w:pPr>
            <w:r>
              <w:rPr>
                <w:sz w:val="16"/>
              </w:rPr>
              <w:t>10K: 12478m³/h</w:t>
            </w:r>
          </w:p>
        </w:tc>
        <w:tc>
          <w:tcPr>
            <w:tcW w:type="dxa" w:w="1987"/>
            <w:vAlign w:val="center"/>
          </w:tcPr>
          <w:p>
            <w:pPr>
              <w:spacing w:after="20" w:before="20"/>
            </w:pPr>
            <w:r>
              <w:rPr>
                <w:sz w:val="16"/>
              </w:rPr>
              <w:t>15K: 8318m³/h</w:t>
            </w:r>
          </w:p>
        </w:tc>
        <w:tc>
          <w:tcPr>
            <w:tcW w:type="dxa" w:w="1987"/>
            <w:vAlign w:val="center"/>
          </w:tcPr>
          <w:p>
            <w:pPr>
              <w:spacing w:after="20" w:before="20"/>
            </w:pPr>
            <w:r>
              <w:rPr>
                <w:sz w:val="16"/>
              </w:rPr>
              <w:t>20K: 6239m³/h</w:t>
            </w:r>
          </w:p>
        </w:tc>
        <w:tc>
          <w:tcPr>
            <w:tcW w:type="dxa" w:w="1987"/>
            <w:vAlign w:val="center"/>
          </w:tcPr>
          <w:p>
            <w:pPr>
              <w:spacing w:after="20" w:before="20"/>
            </w:pPr>
            <w:r>
              <w:rPr>
                <w:sz w:val="16"/>
              </w:rPr>
              <w:t>ΔT 감소 시 풍량 급증</w:t>
            </w:r>
          </w:p>
        </w:tc>
      </w:tr>
    </w:tbl>
    <w:p>
      <w:pPr>
        <w:pStyle w:val="BodyText"/>
        <w:keepLines/>
        <w:spacing w:after="100"/>
      </w:pPr>
      <w:r>
        <w:t>표 해석: 서버 전력과 PUE를 동시에 바꾸려면 랙 배치 결정 이후 합계 IT를 다시 산출해야 하며 각 행은 one-at-a-time 비교다.</w:t>
      </w:r>
    </w:p>
    <w:p>
      <w:pPr>
        <w:pStyle w:val="Heading2"/>
        <w:keepNext/>
        <w:keepLines/>
        <w:spacing w:after="100"/>
      </w:pPr>
      <w:r>
        <w:t>광배선 정량 민감도: 거리·결합 손실·접속점 수</w:t>
      </w:r>
    </w:p>
    <w:p>
      <w:pPr>
        <w:pStyle w:val="BodyText"/>
        <w:keepLines/>
        <w:spacing w:after="100"/>
      </w:pPr>
      <w:r>
        <w:t>기준은 사례 D의 SMF 길이 100m(0.1km), 감쇠 0.4dB/km, 결합쌍 4개×0.35dB, 융착 2개×0.10dB, 광학 유효 예산 3.1dB, 추가 설계 여유 0.5dB다. IL=0.4L_km+4c+2×0.10. 선택된 Rx 시험조건에 대입한 예약 후 잔여 여유는 M=3.1−IL−0.5이다.</w:t>
      </w:r>
    </w:p>
    <w:p>
      <w:pPr>
        <w:pStyle w:val="BodyText"/>
        <w:keepLines/>
        <w:spacing w:after="100"/>
      </w:pPr>
      <w:r>
        <w:t>거리 50m의 IL=1.62dB, 100m의 IL=1.64dB, 120m의 IL=1.648dB다. 120m는 계산 수치와 상관없이 사례에서 사용한 100m 제품의 거리 범위를 벗어나므로 PMD 거리 실패다. 연결쌍 손실이 0.35에서 0.45dB로 높아지면 전체 IL은 2.04dB, 잔여 여유는 0.56dB로 감소한다.</w:t>
      </w:r>
    </w:p>
    <w:p>
      <w:pPr>
        <w:pStyle w:val="BodyText"/>
        <w:keepLines/>
        <w:spacing w:after="100"/>
      </w:pPr>
      <w:r>
        <w:t>기준과 다른 조건을 동시에 최악으로 잡는 상호작용도 중요하다. 예컨대 100m, 결합 6쌍, 결합쌍당 0.45dB, 융착 2개면 IL=2.94dB, 잔여 여유 3.1−2.94−0.5=−0.34dB로 실패한다. 각각 단독으로 보수적이었던 여유가 동시에 사용될 때는 불합격으로 바뀐다.</w:t>
      </w:r>
    </w:p>
    <w:tbl>
      <w:tblPr>
        <w:tblW w:type="auto" w:w="0"/>
        <w:jc w:val="center"/>
        <w:tblLayout w:type="autofit"/>
        <w:tblLook w:firstColumn="1" w:firstRow="1" w:lastColumn="0" w:lastRow="0" w:noHBand="0" w:noVBand="1" w:val="04A0"/>
      </w:tblPr>
      <w:tblGrid>
        <w:gridCol w:w="1987"/>
        <w:gridCol w:w="1987"/>
        <w:gridCol w:w="1987"/>
        <w:gridCol w:w="1987"/>
        <w:gridCol w:w="1987"/>
      </w:tblGrid>
      <w:tr>
        <w:trPr>
          <w:tblHeader w:val="true"/>
        </w:trPr>
        <w:tc>
          <w:tcPr>
            <w:tcW w:type="dxa" w:w="1987"/>
            <w:vAlign w:val="center"/>
            <w:shd w:fill="DDEAF3"/>
          </w:tcPr>
          <w:p>
            <w:pPr>
              <w:spacing w:after="20" w:before="20"/>
            </w:pPr>
            <w:r>
              <w:rPr>
                <w:b/>
                <w:sz w:val="16"/>
              </w:rPr>
              <w:t>변경 축</w:t>
            </w:r>
          </w:p>
        </w:tc>
        <w:tc>
          <w:tcPr>
            <w:tcW w:type="dxa" w:w="1987"/>
            <w:vAlign w:val="center"/>
            <w:shd w:fill="DDEAF3"/>
          </w:tcPr>
          <w:p>
            <w:pPr>
              <w:spacing w:after="20" w:before="20"/>
            </w:pPr>
            <w:r>
              <w:rPr>
                <w:b/>
                <w:sz w:val="16"/>
              </w:rPr>
              <w:t>조건</w:t>
            </w:r>
          </w:p>
        </w:tc>
        <w:tc>
          <w:tcPr>
            <w:tcW w:type="dxa" w:w="1987"/>
            <w:vAlign w:val="center"/>
            <w:shd w:fill="DDEAF3"/>
          </w:tcPr>
          <w:p>
            <w:pPr>
              <w:spacing w:after="20" w:before="20"/>
            </w:pPr>
            <w:r>
              <w:rPr>
                <w:b/>
                <w:sz w:val="16"/>
              </w:rPr>
              <w:t>IL (dB)</w:t>
            </w:r>
          </w:p>
        </w:tc>
        <w:tc>
          <w:tcPr>
            <w:tcW w:type="dxa" w:w="1987"/>
            <w:vAlign w:val="center"/>
            <w:shd w:fill="DDEAF3"/>
          </w:tcPr>
          <w:p>
            <w:pPr>
              <w:spacing w:after="20" w:before="20"/>
            </w:pPr>
            <w:r>
              <w:rPr>
                <w:b/>
                <w:sz w:val="16"/>
              </w:rPr>
              <w:t>예약 0.5dB 후 잔여(dB)</w:t>
            </w:r>
          </w:p>
        </w:tc>
        <w:tc>
          <w:tcPr>
            <w:tcW w:type="dxa" w:w="1987"/>
            <w:vAlign w:val="center"/>
            <w:shd w:fill="DDEAF3"/>
          </w:tcPr>
          <w:p>
            <w:pPr>
              <w:spacing w:after="20" w:before="20"/>
            </w:pPr>
            <w:r>
              <w:rPr>
                <w:b/>
                <w:sz w:val="16"/>
              </w:rPr>
              <w:t>판정</w:t>
            </w:r>
          </w:p>
        </w:tc>
      </w:tr>
      <w:tr>
        <w:tc>
          <w:tcPr>
            <w:tcW w:type="dxa" w:w="1987"/>
            <w:vAlign w:val="center"/>
          </w:tcPr>
          <w:p>
            <w:pPr>
              <w:spacing w:after="20" w:before="20"/>
            </w:pPr>
            <w:r>
              <w:rPr>
                <w:sz w:val="16"/>
              </w:rPr>
              <w:t>길이</w:t>
            </w:r>
          </w:p>
        </w:tc>
        <w:tc>
          <w:tcPr>
            <w:tcW w:type="dxa" w:w="1987"/>
            <w:vAlign w:val="center"/>
          </w:tcPr>
          <w:p>
            <w:pPr>
              <w:spacing w:after="20" w:before="20"/>
            </w:pPr>
            <w:r>
              <w:rPr>
                <w:sz w:val="16"/>
              </w:rPr>
              <w:t>50m, 4쌍, 0.35</w:t>
            </w:r>
          </w:p>
        </w:tc>
        <w:tc>
          <w:tcPr>
            <w:tcW w:type="dxa" w:w="1987"/>
            <w:vAlign w:val="center"/>
          </w:tcPr>
          <w:p>
            <w:pPr>
              <w:spacing w:after="20" w:before="20"/>
            </w:pPr>
            <w:r>
              <w:rPr>
                <w:sz w:val="16"/>
              </w:rPr>
              <w:t>1.620</w:t>
            </w:r>
          </w:p>
        </w:tc>
        <w:tc>
          <w:tcPr>
            <w:tcW w:type="dxa" w:w="1987"/>
            <w:vAlign w:val="center"/>
          </w:tcPr>
          <w:p>
            <w:pPr>
              <w:spacing w:after="20" w:before="20"/>
            </w:pPr>
            <w:r>
              <w:rPr>
                <w:sz w:val="16"/>
              </w:rPr>
              <w:t>0.980</w:t>
            </w:r>
          </w:p>
        </w:tc>
        <w:tc>
          <w:tcPr>
            <w:tcW w:type="dxa" w:w="1987"/>
            <w:vAlign w:val="center"/>
          </w:tcPr>
          <w:p>
            <w:pPr>
              <w:spacing w:after="20" w:before="20"/>
            </w:pPr>
            <w:r>
              <w:rPr>
                <w:sz w:val="16"/>
              </w:rPr>
              <w:t>수치상 조건 충족</w:t>
            </w:r>
          </w:p>
        </w:tc>
      </w:tr>
      <w:tr>
        <w:tc>
          <w:tcPr>
            <w:tcW w:type="dxa" w:w="1987"/>
            <w:vAlign w:val="center"/>
            <w:shd w:fill="F2F6FA"/>
          </w:tcPr>
          <w:p>
            <w:pPr>
              <w:spacing w:after="20" w:before="20"/>
            </w:pPr>
            <w:r>
              <w:rPr>
                <w:sz w:val="16"/>
              </w:rPr>
              <w:t>길이</w:t>
            </w:r>
          </w:p>
        </w:tc>
        <w:tc>
          <w:tcPr>
            <w:tcW w:type="dxa" w:w="1987"/>
            <w:vAlign w:val="center"/>
            <w:shd w:fill="F2F6FA"/>
          </w:tcPr>
          <w:p>
            <w:pPr>
              <w:spacing w:after="20" w:before="20"/>
            </w:pPr>
            <w:r>
              <w:rPr>
                <w:sz w:val="16"/>
              </w:rPr>
              <w:t>100m 기준</w:t>
            </w:r>
          </w:p>
        </w:tc>
        <w:tc>
          <w:tcPr>
            <w:tcW w:type="dxa" w:w="1987"/>
            <w:vAlign w:val="center"/>
            <w:shd w:fill="F2F6FA"/>
          </w:tcPr>
          <w:p>
            <w:pPr>
              <w:spacing w:after="20" w:before="20"/>
            </w:pPr>
            <w:r>
              <w:rPr>
                <w:sz w:val="16"/>
              </w:rPr>
              <w:t>1.640</w:t>
            </w:r>
          </w:p>
        </w:tc>
        <w:tc>
          <w:tcPr>
            <w:tcW w:type="dxa" w:w="1987"/>
            <w:vAlign w:val="center"/>
            <w:shd w:fill="F2F6FA"/>
          </w:tcPr>
          <w:p>
            <w:pPr>
              <w:spacing w:after="20" w:before="20"/>
            </w:pPr>
            <w:r>
              <w:rPr>
                <w:sz w:val="16"/>
              </w:rPr>
              <w:t>0.960</w:t>
            </w:r>
          </w:p>
        </w:tc>
        <w:tc>
          <w:tcPr>
            <w:tcW w:type="dxa" w:w="1987"/>
            <w:vAlign w:val="center"/>
            <w:shd w:fill="F2F6FA"/>
          </w:tcPr>
          <w:p>
            <w:pPr>
              <w:spacing w:after="20" w:before="20"/>
            </w:pPr>
            <w:r>
              <w:rPr>
                <w:sz w:val="16"/>
              </w:rPr>
              <w:t>수치상 조건 충족</w:t>
            </w:r>
          </w:p>
        </w:tc>
      </w:tr>
      <w:tr>
        <w:tc>
          <w:tcPr>
            <w:tcW w:type="dxa" w:w="1987"/>
            <w:vAlign w:val="center"/>
          </w:tcPr>
          <w:p>
            <w:pPr>
              <w:spacing w:after="20" w:before="20"/>
            </w:pPr>
            <w:r>
              <w:rPr>
                <w:sz w:val="16"/>
              </w:rPr>
              <w:t>길이</w:t>
            </w:r>
          </w:p>
        </w:tc>
        <w:tc>
          <w:tcPr>
            <w:tcW w:type="dxa" w:w="1987"/>
            <w:vAlign w:val="center"/>
          </w:tcPr>
          <w:p>
            <w:pPr>
              <w:spacing w:after="20" w:before="20"/>
            </w:pPr>
            <w:r>
              <w:rPr>
                <w:sz w:val="16"/>
              </w:rPr>
              <w:t>120m, 4쌍, 0.35</w:t>
            </w:r>
          </w:p>
        </w:tc>
        <w:tc>
          <w:tcPr>
            <w:tcW w:type="dxa" w:w="1987"/>
            <w:vAlign w:val="center"/>
          </w:tcPr>
          <w:p>
            <w:pPr>
              <w:spacing w:after="20" w:before="20"/>
            </w:pPr>
            <w:r>
              <w:rPr>
                <w:sz w:val="16"/>
              </w:rPr>
              <w:t>1.648</w:t>
            </w:r>
          </w:p>
        </w:tc>
        <w:tc>
          <w:tcPr>
            <w:tcW w:type="dxa" w:w="1987"/>
            <w:vAlign w:val="center"/>
          </w:tcPr>
          <w:p>
            <w:pPr>
              <w:spacing w:after="20" w:before="20"/>
            </w:pPr>
            <w:r>
              <w:rPr>
                <w:sz w:val="16"/>
              </w:rPr>
              <w:t>0.952</w:t>
            </w:r>
          </w:p>
        </w:tc>
        <w:tc>
          <w:tcPr>
            <w:tcW w:type="dxa" w:w="1987"/>
            <w:vAlign w:val="center"/>
          </w:tcPr>
          <w:p>
            <w:pPr>
              <w:spacing w:after="20" w:before="20"/>
            </w:pPr>
            <w:r>
              <w:rPr>
                <w:sz w:val="16"/>
              </w:rPr>
              <w:t>100m 도달거리 초과: 실패</w:t>
            </w:r>
          </w:p>
        </w:tc>
      </w:tr>
      <w:tr>
        <w:tc>
          <w:tcPr>
            <w:tcW w:type="dxa" w:w="1987"/>
            <w:vAlign w:val="center"/>
            <w:shd w:fill="F2F6FA"/>
          </w:tcPr>
          <w:p>
            <w:pPr>
              <w:spacing w:after="20" w:before="20"/>
            </w:pPr>
            <w:r>
              <w:rPr>
                <w:sz w:val="16"/>
              </w:rPr>
              <w:t>접속 손실</w:t>
            </w:r>
          </w:p>
        </w:tc>
        <w:tc>
          <w:tcPr>
            <w:tcW w:type="dxa" w:w="1987"/>
            <w:vAlign w:val="center"/>
            <w:shd w:fill="F2F6FA"/>
          </w:tcPr>
          <w:p>
            <w:pPr>
              <w:spacing w:after="20" w:before="20"/>
            </w:pPr>
            <w:r>
              <w:rPr>
                <w:sz w:val="16"/>
              </w:rPr>
              <w:t>4쌍×0.25dB</w:t>
            </w:r>
          </w:p>
        </w:tc>
        <w:tc>
          <w:tcPr>
            <w:tcW w:type="dxa" w:w="1987"/>
            <w:vAlign w:val="center"/>
            <w:shd w:fill="F2F6FA"/>
          </w:tcPr>
          <w:p>
            <w:pPr>
              <w:spacing w:after="20" w:before="20"/>
            </w:pPr>
            <w:r>
              <w:rPr>
                <w:sz w:val="16"/>
              </w:rPr>
              <w:t>1.240</w:t>
            </w:r>
          </w:p>
        </w:tc>
        <w:tc>
          <w:tcPr>
            <w:tcW w:type="dxa" w:w="1987"/>
            <w:vAlign w:val="center"/>
            <w:shd w:fill="F2F6FA"/>
          </w:tcPr>
          <w:p>
            <w:pPr>
              <w:spacing w:after="20" w:before="20"/>
            </w:pPr>
            <w:r>
              <w:rPr>
                <w:sz w:val="16"/>
              </w:rPr>
              <w:t>1.360</w:t>
            </w:r>
          </w:p>
        </w:tc>
        <w:tc>
          <w:tcPr>
            <w:tcW w:type="dxa" w:w="1987"/>
            <w:vAlign w:val="center"/>
            <w:shd w:fill="F2F6FA"/>
          </w:tcPr>
          <w:p>
            <w:pPr>
              <w:spacing w:after="20" w:before="20"/>
            </w:pPr>
            <w:r>
              <w:rPr>
                <w:sz w:val="16"/>
              </w:rPr>
              <w:t>조건 충족</w:t>
            </w:r>
          </w:p>
        </w:tc>
      </w:tr>
      <w:tr>
        <w:tc>
          <w:tcPr>
            <w:tcW w:type="dxa" w:w="1987"/>
            <w:vAlign w:val="center"/>
          </w:tcPr>
          <w:p>
            <w:pPr>
              <w:spacing w:after="20" w:before="20"/>
            </w:pPr>
            <w:r>
              <w:rPr>
                <w:sz w:val="16"/>
              </w:rPr>
              <w:t>접속 손실</w:t>
            </w:r>
          </w:p>
        </w:tc>
        <w:tc>
          <w:tcPr>
            <w:tcW w:type="dxa" w:w="1987"/>
            <w:vAlign w:val="center"/>
          </w:tcPr>
          <w:p>
            <w:pPr>
              <w:spacing w:after="20" w:before="20"/>
            </w:pPr>
            <w:r>
              <w:rPr>
                <w:sz w:val="16"/>
              </w:rPr>
              <w:t>4쌍×0.45dB</w:t>
            </w:r>
          </w:p>
        </w:tc>
        <w:tc>
          <w:tcPr>
            <w:tcW w:type="dxa" w:w="1987"/>
            <w:vAlign w:val="center"/>
          </w:tcPr>
          <w:p>
            <w:pPr>
              <w:spacing w:after="20" w:before="20"/>
            </w:pPr>
            <w:r>
              <w:rPr>
                <w:sz w:val="16"/>
              </w:rPr>
              <w:t>2.040</w:t>
            </w:r>
          </w:p>
        </w:tc>
        <w:tc>
          <w:tcPr>
            <w:tcW w:type="dxa" w:w="1987"/>
            <w:vAlign w:val="center"/>
          </w:tcPr>
          <w:p>
            <w:pPr>
              <w:spacing w:after="20" w:before="20"/>
            </w:pPr>
            <w:r>
              <w:rPr>
                <w:sz w:val="16"/>
              </w:rPr>
              <w:t>0.560</w:t>
            </w:r>
          </w:p>
        </w:tc>
        <w:tc>
          <w:tcPr>
            <w:tcW w:type="dxa" w:w="1987"/>
            <w:vAlign w:val="center"/>
          </w:tcPr>
          <w:p>
            <w:pPr>
              <w:spacing w:after="20" w:before="20"/>
            </w:pPr>
            <w:r>
              <w:rPr>
                <w:sz w:val="16"/>
              </w:rPr>
              <w:t>조건 충족</w:t>
            </w:r>
          </w:p>
        </w:tc>
      </w:tr>
      <w:tr>
        <w:tc>
          <w:tcPr>
            <w:tcW w:type="dxa" w:w="1987"/>
            <w:vAlign w:val="center"/>
            <w:shd w:fill="F2F6FA"/>
          </w:tcPr>
          <w:p>
            <w:pPr>
              <w:spacing w:after="20" w:before="20"/>
            </w:pPr>
            <w:r>
              <w:rPr>
                <w:sz w:val="16"/>
              </w:rPr>
              <w:t>추가 접속</w:t>
            </w:r>
          </w:p>
        </w:tc>
        <w:tc>
          <w:tcPr>
            <w:tcW w:type="dxa" w:w="1987"/>
            <w:vAlign w:val="center"/>
            <w:shd w:fill="F2F6FA"/>
          </w:tcPr>
          <w:p>
            <w:pPr>
              <w:spacing w:after="20" w:before="20"/>
            </w:pPr>
            <w:r>
              <w:rPr>
                <w:sz w:val="16"/>
              </w:rPr>
              <w:t>6쌍×0.35dB</w:t>
            </w:r>
          </w:p>
        </w:tc>
        <w:tc>
          <w:tcPr>
            <w:tcW w:type="dxa" w:w="1987"/>
            <w:vAlign w:val="center"/>
            <w:shd w:fill="F2F6FA"/>
          </w:tcPr>
          <w:p>
            <w:pPr>
              <w:spacing w:after="20" w:before="20"/>
            </w:pPr>
            <w:r>
              <w:rPr>
                <w:sz w:val="16"/>
              </w:rPr>
              <w:t>2.340</w:t>
            </w:r>
          </w:p>
        </w:tc>
        <w:tc>
          <w:tcPr>
            <w:tcW w:type="dxa" w:w="1987"/>
            <w:vAlign w:val="center"/>
            <w:shd w:fill="F2F6FA"/>
          </w:tcPr>
          <w:p>
            <w:pPr>
              <w:spacing w:after="20" w:before="20"/>
            </w:pPr>
            <w:r>
              <w:rPr>
                <w:sz w:val="16"/>
              </w:rPr>
              <w:t>0.260</w:t>
            </w:r>
          </w:p>
        </w:tc>
        <w:tc>
          <w:tcPr>
            <w:tcW w:type="dxa" w:w="1987"/>
            <w:vAlign w:val="center"/>
            <w:shd w:fill="F2F6FA"/>
          </w:tcPr>
          <w:p>
            <w:pPr>
              <w:spacing w:after="20" w:before="20"/>
            </w:pPr>
            <w:r>
              <w:rPr>
                <w:sz w:val="16"/>
              </w:rPr>
              <w:t>조건부, 여유 축소</w:t>
            </w:r>
          </w:p>
        </w:tc>
      </w:tr>
      <w:tr>
        <w:tc>
          <w:tcPr>
            <w:tcW w:type="dxa" w:w="1987"/>
            <w:vAlign w:val="center"/>
          </w:tcPr>
          <w:p>
            <w:pPr>
              <w:spacing w:after="20" w:before="20"/>
            </w:pPr>
            <w:r>
              <w:rPr>
                <w:sz w:val="16"/>
              </w:rPr>
              <w:t>추가 접속</w:t>
            </w:r>
          </w:p>
        </w:tc>
        <w:tc>
          <w:tcPr>
            <w:tcW w:type="dxa" w:w="1987"/>
            <w:vAlign w:val="center"/>
          </w:tcPr>
          <w:p>
            <w:pPr>
              <w:spacing w:after="20" w:before="20"/>
            </w:pPr>
            <w:r>
              <w:rPr>
                <w:sz w:val="16"/>
              </w:rPr>
              <w:t>7쌍×0.35dB</w:t>
            </w:r>
          </w:p>
        </w:tc>
        <w:tc>
          <w:tcPr>
            <w:tcW w:type="dxa" w:w="1987"/>
            <w:vAlign w:val="center"/>
          </w:tcPr>
          <w:p>
            <w:pPr>
              <w:spacing w:after="20" w:before="20"/>
            </w:pPr>
            <w:r>
              <w:rPr>
                <w:sz w:val="16"/>
              </w:rPr>
              <w:t>2.690</w:t>
            </w:r>
          </w:p>
        </w:tc>
        <w:tc>
          <w:tcPr>
            <w:tcW w:type="dxa" w:w="1987"/>
            <w:vAlign w:val="center"/>
          </w:tcPr>
          <w:p>
            <w:pPr>
              <w:spacing w:after="20" w:before="20"/>
            </w:pPr>
            <w:r>
              <w:rPr>
                <w:sz w:val="16"/>
              </w:rPr>
              <w:t>−0.090</w:t>
            </w:r>
          </w:p>
        </w:tc>
        <w:tc>
          <w:tcPr>
            <w:tcW w:type="dxa" w:w="1987"/>
            <w:vAlign w:val="center"/>
          </w:tcPr>
          <w:p>
            <w:pPr>
              <w:spacing w:after="20" w:before="20"/>
            </w:pPr>
            <w:r>
              <w:rPr>
                <w:sz w:val="16"/>
              </w:rPr>
              <w:t>실패</w:t>
            </w:r>
          </w:p>
        </w:tc>
      </w:tr>
      <w:tr>
        <w:tc>
          <w:tcPr>
            <w:tcW w:type="dxa" w:w="1987"/>
            <w:vAlign w:val="center"/>
            <w:shd w:fill="F2F6FA"/>
          </w:tcPr>
          <w:p>
            <w:pPr>
              <w:spacing w:after="20" w:before="20"/>
            </w:pPr>
            <w:r>
              <w:rPr>
                <w:sz w:val="16"/>
              </w:rPr>
              <w:t>복합 worst</w:t>
            </w:r>
          </w:p>
        </w:tc>
        <w:tc>
          <w:tcPr>
            <w:tcW w:type="dxa" w:w="1987"/>
            <w:vAlign w:val="center"/>
            <w:shd w:fill="F2F6FA"/>
          </w:tcPr>
          <w:p>
            <w:pPr>
              <w:spacing w:after="20" w:before="20"/>
            </w:pPr>
            <w:r>
              <w:rPr>
                <w:sz w:val="16"/>
              </w:rPr>
              <w:t>6쌍×0.45dB</w:t>
            </w:r>
          </w:p>
        </w:tc>
        <w:tc>
          <w:tcPr>
            <w:tcW w:type="dxa" w:w="1987"/>
            <w:vAlign w:val="center"/>
            <w:shd w:fill="F2F6FA"/>
          </w:tcPr>
          <w:p>
            <w:pPr>
              <w:spacing w:after="20" w:before="20"/>
            </w:pPr>
            <w:r>
              <w:rPr>
                <w:sz w:val="16"/>
              </w:rPr>
              <w:t>2.940</w:t>
            </w:r>
          </w:p>
        </w:tc>
        <w:tc>
          <w:tcPr>
            <w:tcW w:type="dxa" w:w="1987"/>
            <w:vAlign w:val="center"/>
            <w:shd w:fill="F2F6FA"/>
          </w:tcPr>
          <w:p>
            <w:pPr>
              <w:spacing w:after="20" w:before="20"/>
            </w:pPr>
            <w:r>
              <w:rPr>
                <w:sz w:val="16"/>
              </w:rPr>
              <w:t>−0.340</w:t>
            </w:r>
          </w:p>
        </w:tc>
        <w:tc>
          <w:tcPr>
            <w:tcW w:type="dxa" w:w="1987"/>
            <w:vAlign w:val="center"/>
            <w:shd w:fill="F2F6FA"/>
          </w:tcPr>
          <w:p>
            <w:pPr>
              <w:spacing w:after="20" w:before="20"/>
            </w:pPr>
            <w:r>
              <w:rPr>
                <w:sz w:val="16"/>
              </w:rPr>
              <w:t>실패</w:t>
            </w:r>
          </w:p>
        </w:tc>
      </w:tr>
    </w:tbl>
    <w:p>
      <w:pPr>
        <w:pStyle w:val="BodyText"/>
        <w:keepLines/>
        <w:spacing w:after="100"/>
      </w:pPr>
      <w:r>
        <w:t>표 해석: OMA 수치 검증은 해당 송신점과 일치하는 수신 스트레스 시험을 전제로 한다. PMD 거리 인증과 반사·BER 인증은 별도다.</w:t>
      </w:r>
    </w:p>
    <w:p>
      <w:pPr>
        <w:pStyle w:val="Heading2"/>
        <w:keepLines/>
        <w:spacing w:after="100"/>
      </w:pPr>
      <w:r>
        <w:t>복합 민감도: 서버 정격과 PUE를 동시에 바꿀 때</w:t>
      </w:r>
    </w:p>
    <w:p>
      <w:pPr>
        <w:pStyle w:val="BodyText"/>
        <w:keepLines/>
        <w:spacing w:after="100"/>
      </w:pPr>
      <w:r>
        <w:t>각 셀은 동일 2랙 가정과 랙당 1kW의 서버 외 전력을 유지한 채 P_facility=(8×P_server+2)×PUE로 직접 산출한 시설 전력이다. 서버 전력을 +10%로 올린 시나리오에서는 두 랙이 45kW 정격을 초과하므로, 시설 총합 숫자가 계산된다고 설치를 승인해서는 안 된다.</w:t>
      </w:r>
    </w:p>
    <w:p>
      <w:pPr>
        <w:pStyle w:val="BodyText"/>
        <w:keepLines/>
        <w:spacing w:after="100"/>
      </w:pPr>
      <w:r>
        <w:t>서버 +10%일 때 4대/랙의 부하는 45.88kW로 실패하며, 3랙 재배치에 따라 랙당 서버 외 1kW가 각 랙에 필요하면 전체 IT 부하는 8×11.22+3=92.76kW로 상승한다. PUE 1.3 조건에서 시설 전력은 120.588kW다. 이는 같은 서버 정격의 2랙 가상 119.288kW와 달라 정수계획의 불연속성을 보여준다.</w:t>
      </w:r>
    </w:p>
    <w:tbl>
      <w:tblPr>
        <w:tblW w:type="auto" w:w="0"/>
        <w:jc w:val="center"/>
        <w:tblLayout w:type="autofit"/>
        <w:tblLook w:firstColumn="1" w:firstRow="1" w:lastColumn="0" w:lastRow="0" w:noHBand="0" w:noVBand="1" w:val="04A0"/>
      </w:tblPr>
      <w:tblGrid>
        <w:gridCol w:w="1656"/>
        <w:gridCol w:w="1656"/>
        <w:gridCol w:w="1656"/>
        <w:gridCol w:w="1656"/>
        <w:gridCol w:w="1656"/>
        <w:gridCol w:w="1656"/>
      </w:tblGrid>
      <w:tr>
        <w:trPr>
          <w:tblHeader w:val="true"/>
        </w:trPr>
        <w:tc>
          <w:tcPr>
            <w:tcW w:type="dxa" w:w="1656"/>
            <w:vAlign w:val="center"/>
            <w:shd w:fill="DFEAF3"/>
          </w:tcPr>
          <w:p>
            <w:pPr>
              <w:spacing w:after="20" w:before="20"/>
            </w:pPr>
            <w:r>
              <w:rPr>
                <w:b/>
                <w:sz w:val="16"/>
              </w:rPr>
              <w:t>서버 최대전력</w:t>
            </w:r>
          </w:p>
        </w:tc>
        <w:tc>
          <w:tcPr>
            <w:tcW w:type="dxa" w:w="1656"/>
            <w:vAlign w:val="center"/>
            <w:shd w:fill="DFEAF3"/>
          </w:tcPr>
          <w:p>
            <w:pPr>
              <w:spacing w:after="20" w:before="20"/>
            </w:pPr>
            <w:r>
              <w:rPr>
                <w:b/>
                <w:sz w:val="16"/>
              </w:rPr>
              <w:t>IT 2랙 가상</w:t>
            </w:r>
          </w:p>
        </w:tc>
        <w:tc>
          <w:tcPr>
            <w:tcW w:type="dxa" w:w="1656"/>
            <w:vAlign w:val="center"/>
            <w:shd w:fill="DFEAF3"/>
          </w:tcPr>
          <w:p>
            <w:pPr>
              <w:spacing w:after="20" w:before="20"/>
            </w:pPr>
            <w:r>
              <w:rPr>
                <w:b/>
                <w:sz w:val="16"/>
              </w:rPr>
              <w:t>PUE 1.20</w:t>
            </w:r>
          </w:p>
        </w:tc>
        <w:tc>
          <w:tcPr>
            <w:tcW w:type="dxa" w:w="1656"/>
            <w:vAlign w:val="center"/>
            <w:shd w:fill="DFEAF3"/>
          </w:tcPr>
          <w:p>
            <w:pPr>
              <w:spacing w:after="20" w:before="20"/>
            </w:pPr>
            <w:r>
              <w:rPr>
                <w:b/>
                <w:sz w:val="16"/>
              </w:rPr>
              <w:t>PUE 1.30</w:t>
            </w:r>
          </w:p>
        </w:tc>
        <w:tc>
          <w:tcPr>
            <w:tcW w:type="dxa" w:w="1656"/>
            <w:vAlign w:val="center"/>
            <w:shd w:fill="DFEAF3"/>
          </w:tcPr>
          <w:p>
            <w:pPr>
              <w:spacing w:after="20" w:before="20"/>
            </w:pPr>
            <w:r>
              <w:rPr>
                <w:b/>
                <w:sz w:val="16"/>
              </w:rPr>
              <w:t>PUE 1.40</w:t>
            </w:r>
          </w:p>
        </w:tc>
        <w:tc>
          <w:tcPr>
            <w:tcW w:type="dxa" w:w="1656"/>
            <w:vAlign w:val="center"/>
            <w:shd w:fill="DFEAF3"/>
          </w:tcPr>
          <w:p>
            <w:pPr>
              <w:spacing w:after="20" w:before="20"/>
            </w:pPr>
            <w:r>
              <w:rPr>
                <w:b/>
                <w:sz w:val="16"/>
              </w:rPr>
              <w:t>랙 적합</w:t>
            </w:r>
          </w:p>
        </w:tc>
      </w:tr>
      <w:tr>
        <w:tc>
          <w:tcPr>
            <w:tcW w:type="dxa" w:w="1656"/>
            <w:vAlign w:val="center"/>
            <w:shd w:fill="FFFFFF"/>
          </w:tcPr>
          <w:p>
            <w:pPr>
              <w:spacing w:after="20" w:before="20"/>
            </w:pPr>
            <w:r>
              <w:rPr>
                <w:b w:val="0"/>
                <w:sz w:val="16"/>
              </w:rPr>
              <w:t>9.18kW (−10%)</w:t>
            </w:r>
          </w:p>
        </w:tc>
        <w:tc>
          <w:tcPr>
            <w:tcW w:type="dxa" w:w="1656"/>
            <w:vAlign w:val="center"/>
            <w:shd w:fill="FFFFFF"/>
          </w:tcPr>
          <w:p>
            <w:pPr>
              <w:spacing w:after="20" w:before="20"/>
            </w:pPr>
            <w:r>
              <w:rPr>
                <w:b w:val="0"/>
                <w:sz w:val="16"/>
              </w:rPr>
              <w:t>75.44kW</w:t>
            </w:r>
          </w:p>
        </w:tc>
        <w:tc>
          <w:tcPr>
            <w:tcW w:type="dxa" w:w="1656"/>
            <w:vAlign w:val="center"/>
            <w:shd w:fill="FFFFFF"/>
          </w:tcPr>
          <w:p>
            <w:pPr>
              <w:spacing w:after="20" w:before="20"/>
            </w:pPr>
            <w:r>
              <w:rPr>
                <w:b w:val="0"/>
                <w:sz w:val="16"/>
              </w:rPr>
              <w:t>90.528kW</w:t>
            </w:r>
          </w:p>
        </w:tc>
        <w:tc>
          <w:tcPr>
            <w:tcW w:type="dxa" w:w="1656"/>
            <w:vAlign w:val="center"/>
            <w:shd w:fill="FFFFFF"/>
          </w:tcPr>
          <w:p>
            <w:pPr>
              <w:spacing w:after="20" w:before="20"/>
            </w:pPr>
            <w:r>
              <w:rPr>
                <w:b w:val="0"/>
                <w:sz w:val="16"/>
              </w:rPr>
              <w:t>98.072kW</w:t>
            </w:r>
          </w:p>
        </w:tc>
        <w:tc>
          <w:tcPr>
            <w:tcW w:type="dxa" w:w="1656"/>
            <w:vAlign w:val="center"/>
            <w:shd w:fill="FFFFFF"/>
          </w:tcPr>
          <w:p>
            <w:pPr>
              <w:spacing w:after="20" w:before="20"/>
            </w:pPr>
            <w:r>
              <w:rPr>
                <w:b w:val="0"/>
                <w:sz w:val="16"/>
              </w:rPr>
              <w:t>105.616kW</w:t>
            </w:r>
          </w:p>
        </w:tc>
        <w:tc>
          <w:tcPr>
            <w:tcW w:type="dxa" w:w="1656"/>
            <w:vAlign w:val="center"/>
            <w:shd w:fill="FFFFFF"/>
          </w:tcPr>
          <w:p>
            <w:pPr>
              <w:spacing w:after="20" w:before="20"/>
            </w:pPr>
            <w:r>
              <w:rPr>
                <w:b w:val="0"/>
                <w:sz w:val="16"/>
              </w:rPr>
              <w:t>통과</w:t>
            </w:r>
          </w:p>
        </w:tc>
      </w:tr>
      <w:tr>
        <w:tc>
          <w:tcPr>
            <w:tcW w:type="dxa" w:w="1656"/>
            <w:vAlign w:val="center"/>
            <w:shd w:fill="F4F7FA"/>
          </w:tcPr>
          <w:p>
            <w:pPr>
              <w:spacing w:after="20" w:before="20"/>
            </w:pPr>
            <w:r>
              <w:rPr>
                <w:b w:val="0"/>
                <w:sz w:val="16"/>
              </w:rPr>
              <w:t>10.20kW (기준)</w:t>
            </w:r>
          </w:p>
        </w:tc>
        <w:tc>
          <w:tcPr>
            <w:tcW w:type="dxa" w:w="1656"/>
            <w:vAlign w:val="center"/>
            <w:shd w:fill="F4F7FA"/>
          </w:tcPr>
          <w:p>
            <w:pPr>
              <w:spacing w:after="20" w:before="20"/>
            </w:pPr>
            <w:r>
              <w:rPr>
                <w:b w:val="0"/>
                <w:sz w:val="16"/>
              </w:rPr>
              <w:t>83.60kW</w:t>
            </w:r>
          </w:p>
        </w:tc>
        <w:tc>
          <w:tcPr>
            <w:tcW w:type="dxa" w:w="1656"/>
            <w:vAlign w:val="center"/>
            <w:shd w:fill="F4F7FA"/>
          </w:tcPr>
          <w:p>
            <w:pPr>
              <w:spacing w:after="20" w:before="20"/>
            </w:pPr>
            <w:r>
              <w:rPr>
                <w:b w:val="0"/>
                <w:sz w:val="16"/>
              </w:rPr>
              <w:t>100.320kW</w:t>
            </w:r>
          </w:p>
        </w:tc>
        <w:tc>
          <w:tcPr>
            <w:tcW w:type="dxa" w:w="1656"/>
            <w:vAlign w:val="center"/>
            <w:shd w:fill="F4F7FA"/>
          </w:tcPr>
          <w:p>
            <w:pPr>
              <w:spacing w:after="20" w:before="20"/>
            </w:pPr>
            <w:r>
              <w:rPr>
                <w:b w:val="0"/>
                <w:sz w:val="16"/>
              </w:rPr>
              <w:t>108.680kW</w:t>
            </w:r>
          </w:p>
        </w:tc>
        <w:tc>
          <w:tcPr>
            <w:tcW w:type="dxa" w:w="1656"/>
            <w:vAlign w:val="center"/>
            <w:shd w:fill="F4F7FA"/>
          </w:tcPr>
          <w:p>
            <w:pPr>
              <w:spacing w:after="20" w:before="20"/>
            </w:pPr>
            <w:r>
              <w:rPr>
                <w:b w:val="0"/>
                <w:sz w:val="16"/>
              </w:rPr>
              <w:t>117.040kW</w:t>
            </w:r>
          </w:p>
        </w:tc>
        <w:tc>
          <w:tcPr>
            <w:tcW w:type="dxa" w:w="1656"/>
            <w:vAlign w:val="center"/>
            <w:shd w:fill="F4F7FA"/>
          </w:tcPr>
          <w:p>
            <w:pPr>
              <w:spacing w:after="20" w:before="20"/>
            </w:pPr>
            <w:r>
              <w:rPr>
                <w:b w:val="0"/>
                <w:sz w:val="16"/>
              </w:rPr>
              <w:t>통과</w:t>
            </w:r>
          </w:p>
        </w:tc>
      </w:tr>
      <w:tr>
        <w:tc>
          <w:tcPr>
            <w:tcW w:type="dxa" w:w="1656"/>
            <w:vAlign w:val="center"/>
            <w:shd w:fill="FFFFFF"/>
          </w:tcPr>
          <w:p>
            <w:pPr>
              <w:spacing w:after="20" w:before="20"/>
            </w:pPr>
            <w:r>
              <w:rPr>
                <w:b w:val="0"/>
                <w:sz w:val="16"/>
              </w:rPr>
              <w:t>11.22kW (+10%)</w:t>
            </w:r>
          </w:p>
        </w:tc>
        <w:tc>
          <w:tcPr>
            <w:tcW w:type="dxa" w:w="1656"/>
            <w:vAlign w:val="center"/>
            <w:shd w:fill="FFFFFF"/>
          </w:tcPr>
          <w:p>
            <w:pPr>
              <w:spacing w:after="20" w:before="20"/>
            </w:pPr>
            <w:r>
              <w:rPr>
                <w:b w:val="0"/>
                <w:sz w:val="16"/>
              </w:rPr>
              <w:t>91.76kW</w:t>
            </w:r>
          </w:p>
        </w:tc>
        <w:tc>
          <w:tcPr>
            <w:tcW w:type="dxa" w:w="1656"/>
            <w:vAlign w:val="center"/>
            <w:shd w:fill="FFFFFF"/>
          </w:tcPr>
          <w:p>
            <w:pPr>
              <w:spacing w:after="20" w:before="20"/>
            </w:pPr>
            <w:r>
              <w:rPr>
                <w:b w:val="0"/>
                <w:sz w:val="16"/>
              </w:rPr>
              <w:t>110.112kW</w:t>
            </w:r>
          </w:p>
        </w:tc>
        <w:tc>
          <w:tcPr>
            <w:tcW w:type="dxa" w:w="1656"/>
            <w:vAlign w:val="center"/>
            <w:shd w:fill="FFFFFF"/>
          </w:tcPr>
          <w:p>
            <w:pPr>
              <w:spacing w:after="20" w:before="20"/>
            </w:pPr>
            <w:r>
              <w:rPr>
                <w:b w:val="0"/>
                <w:sz w:val="16"/>
              </w:rPr>
              <w:t>119.288kW</w:t>
            </w:r>
          </w:p>
        </w:tc>
        <w:tc>
          <w:tcPr>
            <w:tcW w:type="dxa" w:w="1656"/>
            <w:vAlign w:val="center"/>
            <w:shd w:fill="FFFFFF"/>
          </w:tcPr>
          <w:p>
            <w:pPr>
              <w:spacing w:after="20" w:before="20"/>
            </w:pPr>
            <w:r>
              <w:rPr>
                <w:b w:val="0"/>
                <w:sz w:val="16"/>
              </w:rPr>
              <w:t>128.464kW</w:t>
            </w:r>
          </w:p>
        </w:tc>
        <w:tc>
          <w:tcPr>
            <w:tcW w:type="dxa" w:w="1656"/>
            <w:vAlign w:val="center"/>
            <w:shd w:fill="FFFFFF"/>
          </w:tcPr>
          <w:p>
            <w:pPr>
              <w:spacing w:after="20" w:before="20"/>
            </w:pPr>
            <w:r>
              <w:rPr>
                <w:b w:val="0"/>
                <w:sz w:val="16"/>
              </w:rPr>
              <w:t>실패: 3랙 검토</w:t>
            </w:r>
          </w:p>
        </w:tc>
      </w:tr>
    </w:tbl>
    <w:p>
      <w:pPr>
        <w:pStyle w:val="BodyText"/>
        <w:keepLines/>
        <w:spacing w:after="100"/>
      </w:pPr>
      <w:r>
        <w:t>표 해석: PUE와 전력을 함께 변동시킨 수학적 응답이며 실측 동시변화 모델이 아니다.</w:t>
      </w:r>
    </w:p>
    <w:p>
      <w:pPr>
        <w:pStyle w:val="Heading1"/>
        <w:keepNext/>
        <w:widowControl/>
      </w:pPr>
      <w:bookmarkStart w:id="99" w:name="topic_99"/>
      <w:r>
        <w:t xml:space="preserve">99 데이터센터 개론 발표 구성</w:t>
      </w:r>
      <w:bookmarkEnd w:id="99"/>
    </w:p>
    <w:p>
      <w:pPr>
        <w:pStyle w:val="FirstParagraph"/>
        <w:widowControl/>
      </w:pPr>
      <w:r>
        <w:rPr>
          <w:bCs/>
          <w:b/>
        </w:rPr>
        <w:t xml:space="preserve">10부 실무 적용과 발표 부록</w:t>
      </w:r>
    </w:p>
    <w:p>
      <w:pPr>
        <w:pStyle w:val="BodyText"/>
        <w:widowControl/>
      </w:pPr>
      <w:r>
        <w:t xml:space="preserve">60분 발표를 기준으로 처음 10분에는 데이터센터 종류와 세 흐름을 설명한다. 다음 10분에는 Gray·White·MMR과 NOC의 역할을 소개한다. 시설과 IT가 서로 의존한다는 점을 실제 경로에 연결한다.</w:t>
      </w:r>
    </w:p>
    <w:p>
      <w:pPr>
        <w:pStyle w:val="BodyText"/>
        <w:widowControl/>
      </w:pPr>
      <w:r>
        <w:t xml:space="preserve">중간 20분에는 GPU 64개 사례를 따라 서버, 랙과 전력을 계산하고 NIC에서 링크와 광섬유로 전환한다. 물리 OSFP 32개와 논리 포트 64개의 차이, 사용 512심과 설치 심수의 차이를 강조하면 실무적인 오해를 줄일 수 있다.</w:t>
      </w:r>
    </w:p>
    <w:p>
      <w:pPr>
        <w:pStyle w:val="BodyText"/>
        <w:widowControl/>
      </w:pPr>
      <w:r>
        <w:t xml:space="preserve">마지막 15분에는 장애 시나리오와 PUE를 설명하고 5분 질의응답을 둔다. 시간에 따라 사례 A와 C를 보조자료로 활용한다. 본 백서는 발표 원고와 참고자료이며 그대로 모든 페이지를 슬라이드로 옮길 필요는 없다.</w:t>
      </w:r>
    </w:p>
    <w:tbl>
      <w:tblPr>
        <w:tblStyle w:val="Table"/>
        <w:tblW w:type="dxa" w:w="986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096"/>
        <w:gridCol w:w="4392"/>
      </w:tblGrid>
      <w:tr>
        <w:trPr>
          <w:tblHeader w:val="true"/>
          <w:cantSplit/>
          <w:tblHeader/>
        </w:trPr>
        <w:tc>
          <w:tcPr>
            <w:tcW w:type="dxa" w:w="237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구간</w:t>
            </w:r>
          </w:p>
        </w:tc>
        <w:tc>
          <w:tcPr>
            <w:tcW w:type="dxa" w:w="309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시간</w:t>
            </w:r>
          </w:p>
        </w:tc>
        <w:tc>
          <w:tcPr>
            <w:tcW w:type="dxa" w:w="4392"/>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주요 자료</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전체 개념</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10분</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1부와 전체 흐름</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구역과 역할</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10분</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2부와 3D 관찰</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계산 사례</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20분</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사례 B</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장애와 효율</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15분</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7부와 9부</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질의응답</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5분</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부록과 참고문헌</w:t>
            </w:r>
          </w:p>
        </w:tc>
      </w:tr>
    </w:tbl>
    <w:bookmarkStart w:id="314" w:name="적용과-검증-94"/>
    <w:p>
      <w:pPr>
        <w:pStyle w:val="Heading2"/>
        <w:widowControl/>
      </w:pPr>
      <w:r>
        <w:t xml:space="preserve">적용과 검증</w:t>
      </w:r>
    </w:p>
    <w:p>
      <w:pPr>
        <w:pStyle w:val="FirstParagraph"/>
        <w:keepNext/>
        <w:widowControl/>
      </w:pPr>
      <w:r>
        <w:t xml:space="preserve">발표자가 받을 질문은 GPU 수만으로 케이블을 못 정하는 이유, PUE가 낮아도 총전력이 클 수 있는 이유, A/B 전원과 서버 PSU 중복성의 차이, 링크 수와 케이블 본수의 차이 등이다. 각 질문은 본문 사례로 답할 수 있다.</w:t>
      </w:r>
    </w:p>
    <w:p>
      <w:pPr>
        <w:pStyle w:val="BodyText"/>
        <w:widowControl/>
        <w:spacing w:before="160"/>
      </w:pPr>
      <w:r>
        <w:rPr>
          <w:sz w:val="17"/>
        </w:rPr>
        <w:t xml:space="preserve">근거 및 추가 읽기 본 백서의 교육 구성</w:t>
      </w:r>
    </w:p>
    <w:bookmarkEnd w:id="314"/>
    <w:bookmarkEnd w:id="315"/>
    <w:bookmarkStart w:id="317" w:name="실무-질문과-답변"/>
    <w:p>
      <w:pPr>
        <w:pStyle w:val="Heading2"/>
        <w:keepLines/>
        <w:spacing w:after="100"/>
      </w:pPr>
      <w:r>
        <w:t>현장 검증용 계측 체크리스트와 권고 로그</w:t>
      </w:r>
    </w:p>
    <w:p>
      <w:pPr>
        <w:pStyle w:val="BodyText"/>
        <w:keepLines/>
        <w:spacing w:after="100"/>
      </w:pPr>
      <w:r>
        <w:t>본 백서의 독립 검산은 정적 정격 모형이다. 실제 시스템을 승인할 때에는 기준 시각, 샘플링 주기, 장비 ID, 교정상태를 동일하게 묶어 저장한다. 정격 기준 비교에서 계측 평균/최대 및 순간값은 서로 섞지 않는다.</w:t>
      </w:r>
    </w:p>
    <w:p>
      <w:pPr>
        <w:pStyle w:val="BodyText"/>
        <w:keepLines/>
        <w:spacing w:after="100"/>
      </w:pPr>
      <w:r>
        <w:t>시험은 정상·A/B 한 계통·rPDU 한 대·CDU 한 대·Spine 한 대·광접속 변경 조건을 분리한다. 고위험 시나리오는 시설 승인된 계획에 따라 시험하고 운영 서비스에 임의 장애를 가하지 않는다.</w:t>
      </w:r>
    </w:p>
    <w:p>
      <w:pPr>
        <w:pStyle w:val="BodyText"/>
        <w:keepLines/>
        <w:spacing w:after="100"/>
      </w:pPr>
      <w:r>
        <w:t>계측 기록 권고: 전력(UPS·rPDU·PSU의 kW/A/전압), 냉각(유량·수온차·차압), 네트워크(포트/FEC/BER), 광링크(IL·ORL·OMA/TDECQ), DCI(OSNR·CD·PMD)를 시험 기준면·시간·장비 ID와 함께 기록한다.</w:t>
      </w:r>
    </w:p>
    <w:p>
      <w:pPr>
        <w:pStyle w:val="Heading1"/>
        <w:keepNext/>
        <w:widowControl/>
      </w:pPr>
      <w:bookmarkStart w:id="100" w:name="topic_100"/>
      <w:r>
        <w:t xml:space="preserve">100 실무 질문과 답변</w:t>
      </w:r>
      <w:bookmarkEnd w:id="100"/>
    </w:p>
    <w:p>
      <w:pPr>
        <w:pStyle w:val="FirstParagraph"/>
        <w:widowControl/>
      </w:pPr>
      <w:r>
        <w:rPr>
          <w:bCs/>
          <w:b/>
        </w:rPr>
        <w:t xml:space="preserve">10부 실무 적용과 발표 부록</w:t>
      </w:r>
    </w:p>
    <w:p>
      <w:pPr>
        <w:pStyle w:val="BodyText"/>
        <w:widowControl/>
      </w:pPr>
      <w:r>
        <w:t xml:space="preserve">GPU 64개이면 광섬유 몇 심인가라는 질문에는 서버당 GPU와 NIC 구성, 전송 방식 및 토폴로지가 먼저 필요하다고 답한다. 사례 B의 512심은 특정 연산망과 DR4 조건에서만 성립하며 저장망과 관리망은 별도다.</w:t>
      </w:r>
    </w:p>
    <w:p>
      <w:pPr>
        <w:pStyle w:val="BodyText"/>
        <w:widowControl/>
      </w:pPr>
      <w:r>
        <w:t xml:space="preserve">PUE 1.3이면 냉각에 30%가 쓰이는가라는 질문에는 비 IT 전체가 IT 에너지의 30%라는 뜻이라고 설명한다. 냉각 외에 UPS와 배전 손실 및 기타 부하가 포함될 수 있다. 시설 전체에서 비 IT가 차지하는 비중은 약 23.08%다.</w:t>
      </w:r>
    </w:p>
    <w:p>
      <w:pPr>
        <w:pStyle w:val="BodyText"/>
        <w:widowControl/>
      </w:pPr>
      <w:r>
        <w:t xml:space="preserve">랙의 빈 RU가 많으면 더 넣어도 되는가라는 질문에는 전력·냉각·중량과 포트의 최소 제약으로 판단한다고 답한다. 두 회선을 쓰면 무조건 이중화인가라는 질문에는 인입과 관로 및 상위 장비의 공통 경로까지 확인해야 한다고 설명한다.</w:t>
      </w:r>
    </w:p>
    <w:tbl>
      <w:tblPr>
        <w:tblStyle w:val="Table"/>
        <w:tblW w:type="dxa" w:w="986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096"/>
        <w:gridCol w:w="4392"/>
      </w:tblGrid>
      <w:tr>
        <w:trPr>
          <w:tblHeader w:val="true"/>
          <w:cantSplit/>
          <w:tblHeader/>
        </w:trPr>
        <w:tc>
          <w:tcPr>
            <w:tcW w:type="dxa" w:w="237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질문</w:t>
            </w:r>
          </w:p>
        </w:tc>
        <w:tc>
          <w:tcPr>
            <w:tcW w:type="dxa" w:w="3096"/>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짧은 답</w:t>
            </w:r>
          </w:p>
        </w:tc>
        <w:tc>
          <w:tcPr>
            <w:tcW w:type="dxa" w:w="4392"/>
            <w:vAlign w:val="center"/>
            <w:tcBorders>
              <w:top w:val="single" w:sz="4" w:color="D9D9D9"/>
              <w:left w:val="single" w:sz="4" w:color="D9D9D9"/>
              <w:bottom w:val="single" w:sz="4" w:color="D9D9D9"/>
              <w:right w:val="single" w:sz="4" w:color="D9D9D9"/>
            </w:tcBorders>
            <w:shd w:fill="DBE5EF"/>
            <w:tcMar>
              <w:top w:w="90" w:type="dxa"/>
              <w:left w:w="90" w:type="dxa"/>
              <w:bottom w:w="90" w:type="dxa"/>
              <w:right w:w="90" w:type="dxa"/>
            </w:tcMar>
          </w:tcPr>
          <w:p>
            <w:pPr>
              <w:pStyle w:val="Compact"/>
              <w:spacing w:line="276" w:lineRule="auto" w:after="40" w:before="40"/>
              <w:jc w:val="left"/>
            </w:pPr>
            <w:r>
              <w:rPr>
                <w:b/>
                <w:sz w:val="18"/>
              </w:rPr>
              <w:t xml:space="preserve">확인할 장</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ToR는 꼭 맨 위인가</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배치 관행과 역할 구분</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4부</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MPO 12면 모두 사용하나</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사용 레인에 따라 다름</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5부</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액냉이면 공조가 필요 없나</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공기측 잔여 열 확인</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6부</w:t>
            </w:r>
          </w:p>
        </w:tc>
      </w:tr>
      <w:tr>
        <w:trPr>
          <w:cantSplit/>
        </w:trPr>
        <w:tc>
          <w:tcPr>
            <w:tcW w:type="dxa" w:w="23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N+1이면 Tier III인가</w:t>
            </w:r>
          </w:p>
        </w:tc>
        <w:tc>
          <w:tcPr>
            <w:tcW w:type="dxa" w:w="309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경로와 정비 조건 별도</w:t>
            </w:r>
          </w:p>
        </w:tc>
        <w:tc>
          <w:tcPr>
            <w:tcW w:type="dxa" w:w="439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pStyle w:val="Compact"/>
              <w:spacing w:line="276" w:lineRule="auto" w:after="40" w:before="40"/>
              <w:jc w:val="left"/>
            </w:pPr>
            <w:r>
              <w:rPr>
                <w:b w:val="0"/>
                <w:sz w:val="18"/>
              </w:rPr>
              <w:t xml:space="preserve">3부</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수식으로 성능 보증 가능한가</w:t>
            </w:r>
          </w:p>
        </w:tc>
        <w:tc>
          <w:tcPr>
            <w:tcW w:type="dxa" w:w="309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시험 범위와 구분</w:t>
            </w:r>
          </w:p>
        </w:tc>
        <w:tc>
          <w:tcPr>
            <w:tcW w:type="dxa" w:w="439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pStyle w:val="Compact"/>
              <w:spacing w:line="276" w:lineRule="auto" w:after="40" w:before="40"/>
              <w:jc w:val="left"/>
            </w:pPr>
            <w:r>
              <w:rPr>
                <w:b w:val="0"/>
                <w:sz w:val="18"/>
              </w:rPr>
              <w:t xml:space="preserve">1부와 사례</w:t>
            </w:r>
          </w:p>
        </w:tc>
      </w:tr>
    </w:tbl>
    <w:bookmarkStart w:id="316" w:name="적용과-검증-95"/>
    <w:p>
      <w:pPr>
        <w:pStyle w:val="Heading2"/>
        <w:widowControl/>
      </w:pPr>
      <w:r>
        <w:t xml:space="preserve">적용과 검증</w:t>
      </w:r>
    </w:p>
    <w:p>
      <w:pPr>
        <w:pStyle w:val="FirstParagraph"/>
        <w:keepNext/>
        <w:widowControl/>
      </w:pPr>
      <w:r>
        <w:t xml:space="preserve">백서의 결론은 요구량을 명확히 하고 자원별 제약을 계산한 뒤 제품 사양과 현장 시험으로 확인하는 것이다. 근거가 바뀌면 입력표와 연결표를 갱신해 같은 계산을 재현한다.</w:t>
      </w:r>
    </w:p>
    <w:p>
      <w:pPr>
        <w:pStyle w:val="BodyText"/>
        <w:widowControl/>
        <w:spacing w:before="160"/>
      </w:pPr>
      <w:r>
        <w:rPr>
          <w:sz w:val="17"/>
        </w:rPr>
        <w:t xml:space="preserve">근거 및 추가 읽기 [R01] [R13] [R27]</w:t>
      </w:r>
    </w:p>
    <w:bookmarkEnd w:id="316"/>
    <w:bookmarkEnd w:id="317"/>
    <w:bookmarkStart w:id="318" w:name="참고문헌과-자료-확인-기록"/>
    <w:p>
      <w:pPr>
        <w:pStyle w:val="Heading2"/>
        <w:keepNext/>
        <w:keepLines/>
        <w:spacing w:after="100"/>
      </w:pPr>
      <w:r>
        <w:t>판정 기본값 및 미확인 시 의사결정 표</w:t>
      </w:r>
    </w:p>
    <w:p>
      <w:pPr>
        <w:pStyle w:val="BodyText"/>
        <w:keepLines/>
        <w:spacing w:after="100"/>
      </w:pPr>
      <w:r>
        <w:t>아래 값은 표준에서 강제하는 보편값이 아니라 본 백서의 설계 검토를 재현하기 위한 프로젝트 초기 기본값이다. 제조사 인증·현장 정격·발주 계약이 우선하며 기본값으로 제품 호환성을 보증하지 않는다.</w:t>
      </w:r>
    </w:p>
    <w:p>
      <w:pPr>
        <w:pStyle w:val="BodyText"/>
        <w:keepLines/>
        <w:spacing w:after="100"/>
      </w:pPr>
      <w:r>
        <w:t>수치와 정책이 충돌하면 위험 기반으로 판정한다. 수치가 부족하면 ‘실패’, 필요한 제조사/시험 근거가 없으면 ‘설계 미승인’이며, 미승인을 합격처럼 표시하지 않는다. 단일 계통 장애 시 연산 최대 성능이 필수인 업무는 사례 B의 3+3 직결을 채택하지 않는다.</w:t>
      </w:r>
    </w:p>
    <w:p>
      <w:pPr>
        <w:pStyle w:val="BodyText"/>
        <w:keepLines/>
        <w:spacing w:after="100"/>
      </w:pPr>
      <w:r>
        <w:t>발주 전 Gate 1 입력 출처 확정, Gate 2 독립 산식 재현, Gate 3 장비 호환·시제품/현장 시험, Gate 4 변경 이력 보존의 순서로 검토한다. IEEE P802.3dj 초안은 채택 시 최종 규격 재검증 조항과 대체 제품 정책을 발주서에 넣는다.</w:t>
      </w:r>
    </w:p>
    <w:tbl>
      <w:tblPr>
        <w:tblW w:type="auto" w:w="0"/>
        <w:jc w:val="center"/>
        <w:tblLayout w:type="autofit"/>
        <w:tblLook w:firstColumn="1" w:firstRow="1" w:lastColumn="0" w:lastRow="0" w:noHBand="0" w:noVBand="1" w:val="04A0"/>
      </w:tblPr>
      <w:tblGrid>
        <w:gridCol w:w="2484"/>
        <w:gridCol w:w="2484"/>
        <w:gridCol w:w="2484"/>
        <w:gridCol w:w="2484"/>
      </w:tblGrid>
      <w:tr>
        <w:trPr>
          <w:tblHeader w:val="true"/>
        </w:trPr>
        <w:tc>
          <w:tcPr>
            <w:tcW w:type="dxa" w:w="2484"/>
            <w:vAlign w:val="center"/>
            <w:shd w:fill="DDEAF3"/>
          </w:tcPr>
          <w:p>
            <w:pPr>
              <w:spacing w:after="20" w:before="20"/>
            </w:pPr>
            <w:r>
              <w:rPr>
                <w:b/>
                <w:sz w:val="16"/>
              </w:rPr>
              <w:t>결정 변수</w:t>
            </w:r>
          </w:p>
        </w:tc>
        <w:tc>
          <w:tcPr>
            <w:tcW w:type="dxa" w:w="2484"/>
            <w:vAlign w:val="center"/>
            <w:shd w:fill="DDEAF3"/>
          </w:tcPr>
          <w:p>
            <w:pPr>
              <w:spacing w:after="20" w:before="20"/>
            </w:pPr>
            <w:r>
              <w:rPr>
                <w:b/>
                <w:sz w:val="16"/>
              </w:rPr>
              <w:t>기본값(이 백서)</w:t>
            </w:r>
          </w:p>
        </w:tc>
        <w:tc>
          <w:tcPr>
            <w:tcW w:type="dxa" w:w="2484"/>
            <w:vAlign w:val="center"/>
            <w:shd w:fill="DDEAF3"/>
          </w:tcPr>
          <w:p>
            <w:pPr>
              <w:spacing w:after="20" w:before="20"/>
            </w:pPr>
            <w:r>
              <w:rPr>
                <w:b/>
                <w:sz w:val="16"/>
              </w:rPr>
              <w:t>의미</w:t>
            </w:r>
          </w:p>
        </w:tc>
        <w:tc>
          <w:tcPr>
            <w:tcW w:type="dxa" w:w="2484"/>
            <w:vAlign w:val="center"/>
            <w:shd w:fill="DDEAF3"/>
          </w:tcPr>
          <w:p>
            <w:pPr>
              <w:spacing w:after="20" w:before="20"/>
            </w:pPr>
            <w:r>
              <w:rPr>
                <w:b/>
                <w:sz w:val="16"/>
              </w:rPr>
              <w:t>최종 확정 근거</w:t>
            </w:r>
          </w:p>
        </w:tc>
      </w:tr>
      <w:tr>
        <w:tc>
          <w:tcPr>
            <w:tcW w:type="dxa" w:w="2484"/>
            <w:vAlign w:val="center"/>
          </w:tcPr>
          <w:p>
            <w:pPr>
              <w:spacing w:after="20" w:before="20"/>
            </w:pPr>
            <w:r>
              <w:rPr>
                <w:sz w:val="16"/>
              </w:rPr>
              <w:t>공식 서버 단위 전력</w:t>
            </w:r>
          </w:p>
        </w:tc>
        <w:tc>
          <w:tcPr>
            <w:tcW w:type="dxa" w:w="2484"/>
            <w:vAlign w:val="center"/>
          </w:tcPr>
          <w:p>
            <w:pPr>
              <w:spacing w:after="20" w:before="20"/>
            </w:pPr>
            <w:r>
              <w:rPr>
                <w:sz w:val="16"/>
              </w:rPr>
              <w:t>DGX H100 10.2kW 최대</w:t>
            </w:r>
          </w:p>
        </w:tc>
        <w:tc>
          <w:tcPr>
            <w:tcW w:type="dxa" w:w="2484"/>
            <w:vAlign w:val="center"/>
          </w:tcPr>
          <w:p>
            <w:pPr>
              <w:spacing w:after="20" w:before="20"/>
            </w:pPr>
            <w:r>
              <w:rPr>
                <w:sz w:val="16"/>
              </w:rPr>
              <w:t>사례 B 정격 합산</w:t>
            </w:r>
          </w:p>
        </w:tc>
        <w:tc>
          <w:tcPr>
            <w:tcW w:type="dxa" w:w="2484"/>
            <w:vAlign w:val="center"/>
          </w:tcPr>
          <w:p>
            <w:pPr>
              <w:spacing w:after="20" w:before="20"/>
            </w:pPr>
            <w:r>
              <w:rPr>
                <w:sz w:val="16"/>
              </w:rPr>
              <w:t>모델별 가이드/계측</w:t>
            </w:r>
          </w:p>
        </w:tc>
      </w:tr>
      <w:tr>
        <w:tc>
          <w:tcPr>
            <w:tcW w:type="dxa" w:w="2484"/>
            <w:vAlign w:val="center"/>
            <w:shd w:fill="F2F6FA"/>
          </w:tcPr>
          <w:p>
            <w:pPr>
              <w:spacing w:after="20" w:before="20"/>
            </w:pPr>
            <w:r>
              <w:rPr>
                <w:sz w:val="16"/>
              </w:rPr>
              <w:t>랙 예약 RU</w:t>
            </w:r>
          </w:p>
        </w:tc>
        <w:tc>
          <w:tcPr>
            <w:tcW w:type="dxa" w:w="2484"/>
            <w:vAlign w:val="center"/>
            <w:shd w:fill="F2F6FA"/>
          </w:tcPr>
          <w:p>
            <w:pPr>
              <w:spacing w:after="20" w:before="20"/>
            </w:pPr>
            <w:r>
              <w:rPr>
                <w:sz w:val="16"/>
              </w:rPr>
              <w:t>42U 중 6U 예약</w:t>
            </w:r>
          </w:p>
        </w:tc>
        <w:tc>
          <w:tcPr>
            <w:tcW w:type="dxa" w:w="2484"/>
            <w:vAlign w:val="center"/>
            <w:shd w:fill="F2F6FA"/>
          </w:tcPr>
          <w:p>
            <w:pPr>
              <w:spacing w:after="20" w:before="20"/>
            </w:pPr>
            <w:r>
              <w:rPr>
                <w:sz w:val="16"/>
              </w:rPr>
              <w:t>서버 외 구성 가정</w:t>
            </w:r>
          </w:p>
        </w:tc>
        <w:tc>
          <w:tcPr>
            <w:tcW w:type="dxa" w:w="2484"/>
            <w:vAlign w:val="center"/>
            <w:shd w:fill="F2F6FA"/>
          </w:tcPr>
          <w:p>
            <w:pPr>
              <w:spacing w:after="20" w:before="20"/>
            </w:pPr>
            <w:r>
              <w:rPr>
                <w:sz w:val="16"/>
              </w:rPr>
              <w:t>랙 도면/BOM</w:t>
            </w:r>
          </w:p>
        </w:tc>
      </w:tr>
      <w:tr>
        <w:tc>
          <w:tcPr>
            <w:tcW w:type="dxa" w:w="2484"/>
            <w:vAlign w:val="center"/>
          </w:tcPr>
          <w:p>
            <w:pPr>
              <w:spacing w:after="20" w:before="20"/>
            </w:pPr>
            <w:r>
              <w:rPr>
                <w:sz w:val="16"/>
              </w:rPr>
              <w:t>랙 전력/냉각 한도</w:t>
            </w:r>
          </w:p>
        </w:tc>
        <w:tc>
          <w:tcPr>
            <w:tcW w:type="dxa" w:w="2484"/>
            <w:vAlign w:val="center"/>
          </w:tcPr>
          <w:p>
            <w:pPr>
              <w:spacing w:after="20" w:before="20"/>
            </w:pPr>
            <w:r>
              <w:rPr>
                <w:sz w:val="16"/>
              </w:rPr>
              <w:t>각 45kW</w:t>
            </w:r>
          </w:p>
        </w:tc>
        <w:tc>
          <w:tcPr>
            <w:tcW w:type="dxa" w:w="2484"/>
            <w:vAlign w:val="center"/>
          </w:tcPr>
          <w:p>
            <w:pPr>
              <w:spacing w:after="20" w:before="20"/>
            </w:pPr>
            <w:r>
              <w:rPr>
                <w:sz w:val="16"/>
              </w:rPr>
              <w:t>사례 B 시설 가정</w:t>
            </w:r>
          </w:p>
        </w:tc>
        <w:tc>
          <w:tcPr>
            <w:tcW w:type="dxa" w:w="2484"/>
            <w:vAlign w:val="center"/>
          </w:tcPr>
          <w:p>
            <w:pPr>
              <w:spacing w:after="20" w:before="20"/>
            </w:pPr>
            <w:r>
              <w:rPr>
                <w:sz w:val="16"/>
              </w:rPr>
              <w:t>PDU 단선도/열성능</w:t>
            </w:r>
          </w:p>
        </w:tc>
      </w:tr>
      <w:tr>
        <w:tc>
          <w:tcPr>
            <w:tcW w:type="dxa" w:w="2484"/>
            <w:vAlign w:val="center"/>
            <w:shd w:fill="F2F6FA"/>
          </w:tcPr>
          <w:p>
            <w:pPr>
              <w:spacing w:after="20" w:before="20"/>
            </w:pPr>
            <w:r>
              <w:rPr>
                <w:sz w:val="16"/>
              </w:rPr>
              <w:t>설계 시설 전력비</w:t>
            </w:r>
          </w:p>
        </w:tc>
        <w:tc>
          <w:tcPr>
            <w:tcW w:type="dxa" w:w="2484"/>
            <w:vAlign w:val="center"/>
            <w:shd w:fill="F2F6FA"/>
          </w:tcPr>
          <w:p>
            <w:pPr>
              <w:spacing w:after="20" w:before="20"/>
            </w:pPr>
            <w:r>
              <w:rPr>
                <w:sz w:val="16"/>
              </w:rPr>
              <w:t>PUE 1.30</w:t>
            </w:r>
          </w:p>
        </w:tc>
        <w:tc>
          <w:tcPr>
            <w:tcW w:type="dxa" w:w="2484"/>
            <w:vAlign w:val="center"/>
            <w:shd w:fill="F2F6FA"/>
          </w:tcPr>
          <w:p>
            <w:pPr>
              <w:spacing w:after="20" w:before="20"/>
            </w:pPr>
            <w:r>
              <w:rPr>
                <w:sz w:val="16"/>
              </w:rPr>
              <w:t>연간 정격 예제</w:t>
            </w:r>
          </w:p>
        </w:tc>
        <w:tc>
          <w:tcPr>
            <w:tcW w:type="dxa" w:w="2484"/>
            <w:vAlign w:val="center"/>
            <w:shd w:fill="F2F6FA"/>
          </w:tcPr>
          <w:p>
            <w:pPr>
              <w:spacing w:after="20" w:before="20"/>
            </w:pPr>
            <w:r>
              <w:rPr>
                <w:sz w:val="16"/>
              </w:rPr>
              <w:t>계측 경계·시간별 로그</w:t>
            </w:r>
          </w:p>
        </w:tc>
      </w:tr>
      <w:tr>
        <w:tc>
          <w:tcPr>
            <w:tcW w:type="dxa" w:w="2484"/>
            <w:vAlign w:val="center"/>
          </w:tcPr>
          <w:p>
            <w:pPr>
              <w:spacing w:after="20" w:before="20"/>
            </w:pPr>
            <w:r>
              <w:rPr>
                <w:sz w:val="16"/>
              </w:rPr>
              <w:t>광연결 1쌍 IL</w:t>
            </w:r>
          </w:p>
        </w:tc>
        <w:tc>
          <w:tcPr>
            <w:tcW w:type="dxa" w:w="2484"/>
            <w:vAlign w:val="center"/>
          </w:tcPr>
          <w:p>
            <w:pPr>
              <w:spacing w:after="20" w:before="20"/>
            </w:pPr>
            <w:r>
              <w:rPr>
                <w:sz w:val="16"/>
              </w:rPr>
              <w:t>0.35dB/쌍</w:t>
            </w:r>
          </w:p>
        </w:tc>
        <w:tc>
          <w:tcPr>
            <w:tcW w:type="dxa" w:w="2484"/>
            <w:vAlign w:val="center"/>
          </w:tcPr>
          <w:p>
            <w:pPr>
              <w:spacing w:after="20" w:before="20"/>
            </w:pPr>
            <w:r>
              <w:rPr>
                <w:sz w:val="16"/>
              </w:rPr>
              <w:t>사례 D 설명용 최악 아님</w:t>
            </w:r>
          </w:p>
        </w:tc>
        <w:tc>
          <w:tcPr>
            <w:tcW w:type="dxa" w:w="2484"/>
            <w:vAlign w:val="center"/>
          </w:tcPr>
          <w:p>
            <w:pPr>
              <w:spacing w:after="20" w:before="20"/>
            </w:pPr>
            <w:r>
              <w:rPr>
                <w:sz w:val="16"/>
              </w:rPr>
              <w:t>커넥터 사양·시험</w:t>
            </w:r>
          </w:p>
        </w:tc>
      </w:tr>
      <w:tr>
        <w:tc>
          <w:tcPr>
            <w:tcW w:type="dxa" w:w="2484"/>
            <w:vAlign w:val="center"/>
            <w:shd w:fill="F2F6FA"/>
          </w:tcPr>
          <w:p>
            <w:pPr>
              <w:spacing w:after="20" w:before="20"/>
            </w:pPr>
            <w:r>
              <w:rPr>
                <w:sz w:val="16"/>
              </w:rPr>
              <w:t>광섬유 감쇠</w:t>
            </w:r>
          </w:p>
        </w:tc>
        <w:tc>
          <w:tcPr>
            <w:tcW w:type="dxa" w:w="2484"/>
            <w:vAlign w:val="center"/>
            <w:shd w:fill="F2F6FA"/>
          </w:tcPr>
          <w:p>
            <w:pPr>
              <w:spacing w:after="20" w:before="20"/>
            </w:pPr>
            <w:r>
              <w:rPr>
                <w:sz w:val="16"/>
              </w:rPr>
              <w:t>0.4dB/km (O 대역 예)</w:t>
            </w:r>
          </w:p>
        </w:tc>
        <w:tc>
          <w:tcPr>
            <w:tcW w:type="dxa" w:w="2484"/>
            <w:vAlign w:val="center"/>
            <w:shd w:fill="F2F6FA"/>
          </w:tcPr>
          <w:p>
            <w:pPr>
              <w:spacing w:after="20" w:before="20"/>
            </w:pPr>
            <w:r>
              <w:rPr>
                <w:sz w:val="16"/>
              </w:rPr>
              <w:t>사례 D 설명용</w:t>
            </w:r>
          </w:p>
        </w:tc>
        <w:tc>
          <w:tcPr>
            <w:tcW w:type="dxa" w:w="2484"/>
            <w:vAlign w:val="center"/>
            <w:shd w:fill="F2F6FA"/>
          </w:tcPr>
          <w:p>
            <w:pPr>
              <w:spacing w:after="20" w:before="20"/>
            </w:pPr>
            <w:r>
              <w:rPr>
                <w:sz w:val="16"/>
              </w:rPr>
              <w:t>파장·케이블 사양</w:t>
            </w:r>
          </w:p>
        </w:tc>
      </w:tr>
      <w:tr>
        <w:tc>
          <w:tcPr>
            <w:tcW w:type="dxa" w:w="2484"/>
            <w:vAlign w:val="center"/>
          </w:tcPr>
          <w:p>
            <w:pPr>
              <w:spacing w:after="20" w:before="20"/>
            </w:pPr>
            <w:r>
              <w:rPr>
                <w:sz w:val="16"/>
              </w:rPr>
              <w:t>광융착 손실</w:t>
            </w:r>
          </w:p>
        </w:tc>
        <w:tc>
          <w:tcPr>
            <w:tcW w:type="dxa" w:w="2484"/>
            <w:vAlign w:val="center"/>
          </w:tcPr>
          <w:p>
            <w:pPr>
              <w:spacing w:after="20" w:before="20"/>
            </w:pPr>
            <w:r>
              <w:rPr>
                <w:sz w:val="16"/>
              </w:rPr>
              <w:t>0.1dB/점</w:t>
            </w:r>
          </w:p>
        </w:tc>
        <w:tc>
          <w:tcPr>
            <w:tcW w:type="dxa" w:w="2484"/>
            <w:vAlign w:val="center"/>
          </w:tcPr>
          <w:p>
            <w:pPr>
              <w:spacing w:after="20" w:before="20"/>
            </w:pPr>
            <w:r>
              <w:rPr>
                <w:sz w:val="16"/>
              </w:rPr>
              <w:t>설계 가정</w:t>
            </w:r>
          </w:p>
        </w:tc>
        <w:tc>
          <w:tcPr>
            <w:tcW w:type="dxa" w:w="2484"/>
            <w:vAlign w:val="center"/>
          </w:tcPr>
          <w:p>
            <w:pPr>
              <w:spacing w:after="20" w:before="20"/>
            </w:pPr>
            <w:r>
              <w:rPr>
                <w:sz w:val="16"/>
              </w:rPr>
              <w:t>양방향 OTDR</w:t>
            </w:r>
          </w:p>
        </w:tc>
      </w:tr>
      <w:tr>
        <w:tc>
          <w:tcPr>
            <w:tcW w:type="dxa" w:w="2484"/>
            <w:vAlign w:val="center"/>
            <w:shd w:fill="F2F6FA"/>
          </w:tcPr>
          <w:p>
            <w:pPr>
              <w:spacing w:after="20" w:before="20"/>
            </w:pPr>
            <w:r>
              <w:rPr>
                <w:sz w:val="16"/>
              </w:rPr>
              <w:t>예약 광학 여유</w:t>
            </w:r>
          </w:p>
        </w:tc>
        <w:tc>
          <w:tcPr>
            <w:tcW w:type="dxa" w:w="2484"/>
            <w:vAlign w:val="center"/>
            <w:shd w:fill="F2F6FA"/>
          </w:tcPr>
          <w:p>
            <w:pPr>
              <w:spacing w:after="20" w:before="20"/>
            </w:pPr>
            <w:r>
              <w:rPr>
                <w:sz w:val="16"/>
              </w:rPr>
              <w:t>0.5dB</w:t>
            </w:r>
          </w:p>
        </w:tc>
        <w:tc>
          <w:tcPr>
            <w:tcW w:type="dxa" w:w="2484"/>
            <w:vAlign w:val="center"/>
            <w:shd w:fill="F2F6FA"/>
          </w:tcPr>
          <w:p>
            <w:pPr>
              <w:spacing w:after="20" w:before="20"/>
            </w:pPr>
            <w:r>
              <w:rPr>
                <w:sz w:val="16"/>
              </w:rPr>
              <w:t>사례 D 프로젝트 예제</w:t>
            </w:r>
          </w:p>
        </w:tc>
        <w:tc>
          <w:tcPr>
            <w:tcW w:type="dxa" w:w="2484"/>
            <w:vAlign w:val="center"/>
            <w:shd w:fill="F2F6FA"/>
          </w:tcPr>
          <w:p>
            <w:pPr>
              <w:spacing w:after="20" w:before="20"/>
            </w:pPr>
            <w:r>
              <w:rPr>
                <w:sz w:val="16"/>
              </w:rPr>
              <w:t>목표 BER/FEC + 호환성</w:t>
            </w:r>
          </w:p>
        </w:tc>
      </w:tr>
      <w:tr>
        <w:tc>
          <w:tcPr>
            <w:tcW w:type="dxa" w:w="2484"/>
            <w:vAlign w:val="center"/>
          </w:tcPr>
          <w:p>
            <w:pPr>
              <w:spacing w:after="20" w:before="20"/>
            </w:pPr>
            <w:r>
              <w:rPr>
                <w:sz w:val="16"/>
              </w:rPr>
              <w:t>구매 예비</w:t>
            </w:r>
          </w:p>
        </w:tc>
        <w:tc>
          <w:tcPr>
            <w:tcW w:type="dxa" w:w="2484"/>
            <w:vAlign w:val="center"/>
          </w:tcPr>
          <w:p>
            <w:pPr>
              <w:spacing w:after="20" w:before="20"/>
            </w:pPr>
            <w:r>
              <w:rPr>
                <w:sz w:val="16"/>
              </w:rPr>
              <w:t>운용 케이블의 +10%</w:t>
            </w:r>
          </w:p>
        </w:tc>
        <w:tc>
          <w:tcPr>
            <w:tcW w:type="dxa" w:w="2484"/>
            <w:vAlign w:val="center"/>
          </w:tcPr>
          <w:p>
            <w:pPr>
              <w:spacing w:after="20" w:before="20"/>
            </w:pPr>
            <w:r>
              <w:rPr>
                <w:sz w:val="16"/>
              </w:rPr>
              <w:t>재고 예비 정책</w:t>
            </w:r>
          </w:p>
        </w:tc>
        <w:tc>
          <w:tcPr>
            <w:tcW w:type="dxa" w:w="2484"/>
            <w:vAlign w:val="center"/>
          </w:tcPr>
          <w:p>
            <w:pPr>
              <w:spacing w:after="20" w:before="20"/>
            </w:pPr>
            <w:r>
              <w:rPr>
                <w:sz w:val="16"/>
              </w:rPr>
              <w:t>현장 운영 요구</w:t>
            </w:r>
          </w:p>
        </w:tc>
      </w:tr>
      <w:tr>
        <w:tc>
          <w:tcPr>
            <w:tcW w:type="dxa" w:w="2484"/>
            <w:vAlign w:val="center"/>
            <w:shd w:fill="F2F6FA"/>
          </w:tcPr>
          <w:p>
            <w:pPr>
              <w:spacing w:after="20" w:before="20"/>
            </w:pPr>
            <w:r>
              <w:rPr>
                <w:sz w:val="16"/>
              </w:rPr>
              <w:t>장애시 랙 PSU</w:t>
            </w:r>
          </w:p>
        </w:tc>
        <w:tc>
          <w:tcPr>
            <w:tcW w:type="dxa" w:w="2484"/>
            <w:vAlign w:val="center"/>
            <w:shd w:fill="F2F6FA"/>
          </w:tcPr>
          <w:p>
            <w:pPr>
              <w:spacing w:after="20" w:before="20"/>
            </w:pPr>
            <w:r>
              <w:rPr>
                <w:sz w:val="16"/>
              </w:rPr>
              <w:t>최소 4 PSU 활성 목표</w:t>
            </w:r>
          </w:p>
        </w:tc>
        <w:tc>
          <w:tcPr>
            <w:tcW w:type="dxa" w:w="2484"/>
            <w:vAlign w:val="center"/>
            <w:shd w:fill="F2F6FA"/>
          </w:tcPr>
          <w:p>
            <w:pPr>
              <w:spacing w:after="20" w:before="20"/>
            </w:pPr>
            <w:r>
              <w:rPr>
                <w:sz w:val="16"/>
              </w:rPr>
              <w:t>DGX 최대성능 증명 전제</w:t>
            </w:r>
          </w:p>
        </w:tc>
        <w:tc>
          <w:tcPr>
            <w:tcW w:type="dxa" w:w="2484"/>
            <w:vAlign w:val="center"/>
            <w:shd w:fill="F2F6FA"/>
          </w:tcPr>
          <w:p>
            <w:pPr>
              <w:spacing w:after="20" w:before="20"/>
            </w:pPr>
            <w:r>
              <w:rPr>
                <w:sz w:val="16"/>
              </w:rPr>
              <w:t>장비 가이드/시험</w:t>
            </w:r>
          </w:p>
        </w:tc>
      </w:tr>
      <w:tr>
        <w:tc>
          <w:tcPr>
            <w:tcW w:type="dxa" w:w="2484"/>
            <w:vAlign w:val="center"/>
          </w:tcPr>
          <w:p>
            <w:pPr>
              <w:spacing w:after="20" w:before="20"/>
            </w:pPr>
            <w:r>
              <w:rPr>
                <w:sz w:val="16"/>
              </w:rPr>
              <w:t>서버 성능 cap</w:t>
            </w:r>
          </w:p>
        </w:tc>
        <w:tc>
          <w:tcPr>
            <w:tcW w:type="dxa" w:w="2484"/>
            <w:vAlign w:val="center"/>
          </w:tcPr>
          <w:p>
            <w:pPr>
              <w:spacing w:after="20" w:before="20"/>
            </w:pPr>
            <w:r>
              <w:rPr>
                <w:sz w:val="16"/>
              </w:rPr>
              <w:t>60% 전력 목표 *가설*</w:t>
            </w:r>
          </w:p>
        </w:tc>
        <w:tc>
          <w:tcPr>
            <w:tcW w:type="dxa" w:w="2484"/>
            <w:vAlign w:val="center"/>
          </w:tcPr>
          <w:p>
            <w:pPr>
              <w:spacing w:after="20" w:before="20"/>
            </w:pPr>
            <w:r>
              <w:rPr>
                <w:sz w:val="16"/>
              </w:rPr>
              <w:t>장애 B안 시산값</w:t>
            </w:r>
          </w:p>
        </w:tc>
        <w:tc>
          <w:tcPr>
            <w:tcW w:type="dxa" w:w="2484"/>
            <w:vAlign w:val="center"/>
          </w:tcPr>
          <w:p>
            <w:pPr>
              <w:spacing w:after="20" w:before="20"/>
            </w:pPr>
            <w:r>
              <w:rPr>
                <w:sz w:val="16"/>
              </w:rPr>
              <w:t>3 PSU 시험으로 조정</w:t>
            </w:r>
          </w:p>
        </w:tc>
      </w:tr>
      <w:tr>
        <w:tc>
          <w:tcPr>
            <w:tcW w:type="dxa" w:w="2484"/>
            <w:vAlign w:val="center"/>
            <w:shd w:fill="F2F6FA"/>
          </w:tcPr>
          <w:p>
            <w:pPr>
              <w:spacing w:after="20" w:before="20"/>
            </w:pPr>
            <w:r>
              <w:rPr>
                <w:sz w:val="16"/>
              </w:rPr>
              <w:t>N−1 냉각</w:t>
            </w:r>
          </w:p>
        </w:tc>
        <w:tc>
          <w:tcPr>
            <w:tcW w:type="dxa" w:w="2484"/>
            <w:vAlign w:val="center"/>
            <w:shd w:fill="F2F6FA"/>
          </w:tcPr>
          <w:p>
            <w:pPr>
              <w:spacing w:after="20" w:before="20"/>
            </w:pPr>
            <w:r>
              <w:rPr>
                <w:sz w:val="16"/>
              </w:rPr>
              <w:t>가용 CDU 중 1대 제외</w:t>
            </w:r>
          </w:p>
        </w:tc>
        <w:tc>
          <w:tcPr>
            <w:tcW w:type="dxa" w:w="2484"/>
            <w:vAlign w:val="center"/>
            <w:shd w:fill="F2F6FA"/>
          </w:tcPr>
          <w:p>
            <w:pPr>
              <w:spacing w:after="20" w:before="20"/>
            </w:pPr>
            <w:r>
              <w:rPr>
                <w:sz w:val="16"/>
              </w:rPr>
              <w:t>열량 기반 필요조건</w:t>
            </w:r>
          </w:p>
        </w:tc>
        <w:tc>
          <w:tcPr>
            <w:tcW w:type="dxa" w:w="2484"/>
            <w:vAlign w:val="center"/>
            <w:shd w:fill="F2F6FA"/>
          </w:tcPr>
          <w:p>
            <w:pPr>
              <w:spacing w:after="20" w:before="20"/>
            </w:pPr>
            <w:r>
              <w:rPr>
                <w:sz w:val="16"/>
              </w:rPr>
              <w:t>유량/전원/밸브 시험</w:t>
            </w:r>
          </w:p>
        </w:tc>
      </w:tr>
      <w:tr>
        <w:tc>
          <w:tcPr>
            <w:tcW w:type="dxa" w:w="2484"/>
            <w:vAlign w:val="center"/>
          </w:tcPr>
          <w:p>
            <w:pPr>
              <w:spacing w:after="20" w:before="20"/>
            </w:pPr>
            <w:r>
              <w:rPr>
                <w:sz w:val="16"/>
              </w:rPr>
              <w:t>광링크 규격 선택</w:t>
            </w:r>
          </w:p>
        </w:tc>
        <w:tc>
          <w:tcPr>
            <w:tcW w:type="dxa" w:w="2484"/>
            <w:vAlign w:val="center"/>
          </w:tcPr>
          <w:p>
            <w:pPr>
              <w:spacing w:after="20" w:before="20"/>
            </w:pPr>
            <w:r>
              <w:rPr>
                <w:sz w:val="16"/>
              </w:rPr>
              <w:t>PMD별 도달거리 우선</w:t>
            </w:r>
          </w:p>
        </w:tc>
        <w:tc>
          <w:tcPr>
            <w:tcW w:type="dxa" w:w="2484"/>
            <w:vAlign w:val="center"/>
          </w:tcPr>
          <w:p>
            <w:pPr>
              <w:spacing w:after="20" w:before="20"/>
            </w:pPr>
            <w:r>
              <w:rPr>
                <w:sz w:val="16"/>
              </w:rPr>
              <w:t>거리 넘으면 즉시 FAIL</w:t>
            </w:r>
          </w:p>
        </w:tc>
        <w:tc>
          <w:tcPr>
            <w:tcW w:type="dxa" w:w="2484"/>
            <w:vAlign w:val="center"/>
          </w:tcPr>
          <w:p>
            <w:pPr>
              <w:spacing w:after="20" w:before="20"/>
            </w:pPr>
            <w:r>
              <w:rPr>
                <w:sz w:val="16"/>
              </w:rPr>
              <w:t>IEEE/OIF 제조사 규격</w:t>
            </w:r>
          </w:p>
        </w:tc>
      </w:tr>
      <w:tr>
        <w:tc>
          <w:tcPr>
            <w:tcW w:type="dxa" w:w="2484"/>
            <w:vAlign w:val="center"/>
            <w:shd w:fill="F2F6FA"/>
          </w:tcPr>
          <w:p>
            <w:pPr>
              <w:spacing w:after="20" w:before="20"/>
            </w:pPr>
            <w:r>
              <w:rPr>
                <w:sz w:val="16"/>
              </w:rPr>
              <w:t>웹 계산 비교 허용차</w:t>
            </w:r>
          </w:p>
        </w:tc>
        <w:tc>
          <w:tcPr>
            <w:tcW w:type="dxa" w:w="2484"/>
            <w:vAlign w:val="center"/>
            <w:shd w:fill="F2F6FA"/>
          </w:tcPr>
          <w:p>
            <w:pPr>
              <w:spacing w:after="20" w:before="20"/>
            </w:pPr>
            <w:r>
              <w:rPr>
                <w:sz w:val="16"/>
              </w:rPr>
              <w:t>수량 0; 전력 0.01kW</w:t>
            </w:r>
          </w:p>
        </w:tc>
        <w:tc>
          <w:tcPr>
            <w:tcW w:type="dxa" w:w="2484"/>
            <w:vAlign w:val="center"/>
            <w:shd w:fill="F2F6FA"/>
          </w:tcPr>
          <w:p>
            <w:pPr>
              <w:spacing w:after="20" w:before="20"/>
            </w:pPr>
            <w:r>
              <w:rPr>
                <w:sz w:val="16"/>
              </w:rPr>
              <w:t>프로젝트 회귀 기준</w:t>
            </w:r>
          </w:p>
        </w:tc>
        <w:tc>
          <w:tcPr>
            <w:tcW w:type="dxa" w:w="2484"/>
            <w:vAlign w:val="center"/>
            <w:shd w:fill="F2F6FA"/>
          </w:tcPr>
          <w:p>
            <w:pPr>
              <w:spacing w:after="20" w:before="20"/>
            </w:pPr>
            <w:r>
              <w:rPr>
                <w:sz w:val="16"/>
              </w:rPr>
              <w:t>도구 출력 JSON</w:t>
            </w:r>
          </w:p>
        </w:tc>
      </w:tr>
    </w:tbl>
    <w:p>
      <w:pPr>
        <w:pStyle w:val="BodyText"/>
        <w:keepLines/>
        <w:spacing w:after="100"/>
      </w:pPr>
      <w:r>
        <w:t>표 해석: 미실측 또는 공식 호환성이 없는 항목은 반드시 승인 대기/실패로 표시하고, 실행 화면의 색상만으로 통과 판정하지 않는다.</w:t>
      </w:r>
    </w:p>
    <w:p>
      <w:pPr>
        <w:pStyle w:val="Heading1"/>
        <w:keepNext/>
        <w:widowControl/>
      </w:pPr>
      <w:r>
        <w:t xml:space="preserve">참고문헌과 자료 확인 기록</w:t>
      </w:r>
    </w:p>
    <w:p>
      <w:pPr>
        <w:pStyle w:val="FirstParagraph"/>
        <w:widowControl/>
      </w:pPr>
      <w:r>
        <w:t xml:space="preserve">URL 확인 기준일은 2026년 10월 16일이다. 웹 문서는 개정될 수 있으므로 실제 설계에서는 제품 형명과 문서 개정번호를 다시 확인한다. 각 자료의 요약은 공개된 범위에 한정했다.</w:t>
      </w:r>
    </w:p>
    <w:p>
      <w:pPr>
        <w:pStyle w:val="BodyText"/>
        <w:keepNext/>
        <w:widowControl/>
      </w:pPr>
      <w:r>
        <w:rPr>
          <w:bCs/>
          <w:b/>
        </w:rPr>
        <w:t xml:space="preserve">[R01] ISO ISO IEC 30134 2 2026</w:t>
      </w:r>
    </w:p>
    <w:p>
      <w:pPr>
        <w:pStyle w:val="BodyText"/>
        <w:keepNext/>
        <w:widowControl/>
      </w:pPr>
      <w:r>
        <w:t xml:space="preserve">PUE 표준 제2판의 공식 소개. 측정 경계와 보고의 중요성 및 2026판 발행을 확인했다. 세부 유료 조항은 재현하지 않았다.</w:t>
      </w:r>
    </w:p>
    <w:p>
      <w:pPr>
        <w:pStyle w:val="BodyText"/>
        <w:widowControl/>
      </w:pPr>
      <w:r>
        <w:t xml:space="preserve">https://www.iso.org/standard/30134-2</w:t>
      </w:r>
    </w:p>
    <w:p>
      <w:pPr>
        <w:pStyle w:val="BodyText"/>
        <w:keepNext/>
        <w:widowControl/>
      </w:pPr>
      <w:r>
        <w:rPr>
          <w:bCs/>
          <w:b/>
        </w:rPr>
        <w:t xml:space="preserve">[R02] The Green Grid Power Usage Effectiveness</w:t>
      </w:r>
    </w:p>
    <w:p>
      <w:pPr>
        <w:pStyle w:val="BodyText"/>
        <w:keepNext/>
        <w:widowControl/>
      </w:pPr>
      <w:r>
        <w:t xml:space="preserve">시설 전체 에너지와 IT 에너지의 비율이라는 PUE 정의의 근거.</w:t>
      </w:r>
    </w:p>
    <w:p>
      <w:pPr>
        <w:pStyle w:val="BodyText"/>
        <w:widowControl/>
      </w:pPr>
      <w:r>
        <w:t xml:space="preserve">https://www.thegreengrid.org/node/372</w:t>
      </w:r>
    </w:p>
    <w:p>
      <w:pPr>
        <w:pStyle w:val="BodyText"/>
        <w:keepNext/>
        <w:widowControl/>
      </w:pPr>
      <w:r>
        <w:rPr>
          <w:bCs/>
          <w:b/>
        </w:rPr>
        <w:t xml:space="preserve">[R03] TIA ANSI TIA 942 Standard</w:t>
      </w:r>
    </w:p>
    <w:p>
      <w:pPr>
        <w:pStyle w:val="BodyText"/>
        <w:keepNext/>
        <w:widowControl/>
      </w:pPr>
      <w:r>
        <w:t xml:space="preserve">통신뿐 아니라 건축 전기 기계 보안 소방을 포함하는 데이터센터 인프라 표준의 범위를 확인했다.</w:t>
      </w:r>
    </w:p>
    <w:p>
      <w:pPr>
        <w:pStyle w:val="BodyText"/>
        <w:widowControl/>
      </w:pPr>
      <w:r>
        <w:t xml:space="preserve">https://tiaonline.org/products-and-services/tia942certification/ansi-tia-942-standard/</w:t>
      </w:r>
    </w:p>
    <w:p>
      <w:pPr>
        <w:pStyle w:val="BodyText"/>
        <w:keepNext/>
        <w:widowControl/>
      </w:pPr>
      <w:r>
        <w:rPr>
          <w:bCs/>
          <w:b/>
        </w:rPr>
        <w:t xml:space="preserve">[R04] TIA Revision C announcement</w:t>
      </w:r>
    </w:p>
    <w:p>
      <w:pPr>
        <w:pStyle w:val="BodyText"/>
        <w:keepNext/>
        <w:widowControl/>
      </w:pPr>
      <w:r>
        <w:t xml:space="preserve">TIA-942-C 개정 및 적용 분야의 공식 설명. 백서는 인증 여부를 판정하지 않는다.</w:t>
      </w:r>
    </w:p>
    <w:p>
      <w:pPr>
        <w:pStyle w:val="BodyText"/>
        <w:widowControl/>
      </w:pPr>
      <w:r>
        <w:t xml:space="preserve">https://tiaonline.org/press-release/tia-unveils-revision-c-of-the-global-data-center-infrastructure-standard/</w:t>
      </w:r>
    </w:p>
    <w:p>
      <w:pPr>
        <w:pStyle w:val="BodyText"/>
        <w:keepNext/>
        <w:widowControl/>
      </w:pPr>
      <w:r>
        <w:rPr>
          <w:bCs/>
          <w:b/>
        </w:rPr>
        <w:t xml:space="preserve">[R05] NIST SP 800 145 The NIST Definition of Cloud Computing</w:t>
      </w:r>
    </w:p>
    <w:p>
      <w:pPr>
        <w:pStyle w:val="BodyText"/>
        <w:keepNext/>
        <w:widowControl/>
      </w:pPr>
      <w:r>
        <w:t xml:space="preserve">클라우드의 서비스 및 배치 모델을 구분하는 정의 자료. 온프레미스라는 위치만으로 클라우드 여부를 결정하지 않는다.</w:t>
      </w:r>
    </w:p>
    <w:p>
      <w:pPr>
        <w:pStyle w:val="BodyText"/>
        <w:widowControl/>
      </w:pPr>
      <w:r>
        <w:t xml:space="preserve">https://www.nist.gov/publications/nist-definition-cloud-computing-0</w:t>
      </w:r>
    </w:p>
    <w:p>
      <w:pPr>
        <w:pStyle w:val="BodyText"/>
        <w:keepNext/>
        <w:widowControl/>
      </w:pPr>
      <w:r>
        <w:rPr>
          <w:bCs/>
          <w:b/>
        </w:rPr>
        <w:t xml:space="preserve">[R06] Equinix Colocation documentation</w:t>
      </w:r>
    </w:p>
    <w:p>
      <w:pPr>
        <w:pStyle w:val="BodyText"/>
        <w:keepNext/>
        <w:widowControl/>
      </w:pPr>
      <w:r>
        <w:t xml:space="preserve">고객 소유 서버를 사업자 데이터센터 공간에 설치하는 코로케이션 서비스의 설명.</w:t>
      </w:r>
    </w:p>
    <w:p>
      <w:pPr>
        <w:pStyle w:val="BodyText"/>
        <w:widowControl/>
      </w:pPr>
      <w:r>
        <w:t xml:space="preserve">https://docs.equinix.com/colocation/</w:t>
      </w:r>
    </w:p>
    <w:p>
      <w:pPr>
        <w:pStyle w:val="BodyText"/>
        <w:keepNext/>
        <w:widowControl/>
      </w:pPr>
      <w:r>
        <w:rPr>
          <w:bCs/>
          <w:b/>
        </w:rPr>
        <w:t xml:space="preserve">[R07] Equinix Cross Connect documentation</w:t>
      </w:r>
    </w:p>
    <w:p>
      <w:pPr>
        <w:pStyle w:val="BodyText"/>
        <w:keepNext/>
        <w:widowControl/>
      </w:pPr>
      <w:r>
        <w:t xml:space="preserve">교차 연결 서비스와 건물 MMR 연결의 설명. 사업자 서비스 범위를 일반 표준으로 확대하지 않는다.</w:t>
      </w:r>
    </w:p>
    <w:p>
      <w:pPr>
        <w:pStyle w:val="BodyText"/>
        <w:widowControl/>
      </w:pPr>
      <w:r>
        <w:t xml:space="preserve">https://docs.equinix.com/cross-connect/</w:t>
      </w:r>
    </w:p>
    <w:p>
      <w:pPr>
        <w:pStyle w:val="BodyText"/>
        <w:keepNext/>
        <w:widowControl/>
      </w:pPr>
      <w:r>
        <w:rPr>
          <w:bCs/>
          <w:b/>
        </w:rPr>
        <w:t xml:space="preserve">[R08] Equinix Customer Managed Pre Cabling</w:t>
      </w:r>
    </w:p>
    <w:p>
      <w:pPr>
        <w:pStyle w:val="BodyText"/>
        <w:keepNext/>
        <w:widowControl/>
      </w:pPr>
      <w:r>
        <w:t xml:space="preserve">고객 케이지와 MMR 사이 패널 및 선행 배선의 연결 구조를 확인했다.</w:t>
      </w:r>
    </w:p>
    <w:p>
      <w:pPr>
        <w:pStyle w:val="BodyText"/>
        <w:widowControl/>
      </w:pPr>
      <w:r>
        <w:t xml:space="preserve">https://docs.equinix.com/cross-connect/installation/xc-customer-managed-precabling/</w:t>
      </w:r>
    </w:p>
    <w:p>
      <w:pPr>
        <w:pStyle w:val="BodyText"/>
        <w:keepNext/>
        <w:widowControl/>
      </w:pPr>
      <w:r>
        <w:rPr>
          <w:bCs/>
          <w:b/>
        </w:rPr>
        <w:t xml:space="preserve">[R09] ASHRAE Handbook Data Centers and Telecommunication Facilities</w:t>
      </w:r>
    </w:p>
    <w:p>
      <w:pPr>
        <w:pStyle w:val="BodyText"/>
        <w:keepNext/>
        <w:widowControl/>
      </w:pPr>
      <w:r>
        <w:t xml:space="preserve">열환경 공기흐름과 액체냉각 계통의 개념을 참고했다. 본문의 열수지는 직접 유도한 설명용 계산이다.</w:t>
      </w:r>
    </w:p>
    <w:p>
      <w:pPr>
        <w:pStyle w:val="BodyText"/>
        <w:widowControl/>
      </w:pPr>
      <w:r>
        <w:t xml:space="preserve">https://handbook.ashrae.org/Handbooks/A23/SI/A23_Ch20/a23_ch20_si.aspx</w:t>
      </w:r>
    </w:p>
    <w:p>
      <w:pPr>
        <w:pStyle w:val="BodyText"/>
        <w:keepNext/>
        <w:widowControl/>
      </w:pPr>
      <w:r>
        <w:rPr>
          <w:bCs/>
          <w:b/>
        </w:rPr>
        <w:t xml:space="preserve">[R10] ASHRAE Emergence and Expansion of Liquid Cooling</w:t>
      </w:r>
    </w:p>
    <w:p>
      <w:pPr>
        <w:pStyle w:val="BodyText"/>
        <w:keepNext/>
        <w:widowControl/>
      </w:pPr>
      <w:r>
        <w:t xml:space="preserve">액체냉각 구성과 기술 동향의 공식 백서. 수온 등은 적용 장비의 요구조건과 함께 검토해야 한다.</w:t>
      </w:r>
    </w:p>
    <w:p>
      <w:pPr>
        <w:pStyle w:val="BodyText"/>
        <w:widowControl/>
      </w:pPr>
      <w:r>
        <w:t xml:space="preserve">https://www.ashrae.org/file%20library/technical%20resources/bookstore/emergence-and-expansion-of-liquid-cooling-in-mainstream-data-centers_wp.pdf</w:t>
      </w:r>
    </w:p>
    <w:p>
      <w:pPr>
        <w:pStyle w:val="BodyText"/>
        <w:keepNext/>
        <w:widowControl/>
      </w:pPr>
      <w:r>
        <w:rPr>
          <w:bCs/>
          <w:b/>
        </w:rPr>
        <w:t xml:space="preserve">[R11] ASHRAE Water Cooled Servers Common Designs Water Quality</w:t>
      </w:r>
    </w:p>
    <w:p>
      <w:pPr>
        <w:pStyle w:val="BodyText"/>
        <w:keepNext/>
        <w:widowControl/>
      </w:pPr>
      <w:r>
        <w:t xml:space="preserve">시설측 FWS와 IT측 TCS의 구분 및 수질 검토 배경 자료.</w:t>
      </w:r>
    </w:p>
    <w:p>
      <w:pPr>
        <w:pStyle w:val="BodyText"/>
        <w:widowControl/>
      </w:pPr>
      <w:r>
        <w:t xml:space="preserve">https://www.ashrae.org/file%20library/technical%20resources/bookstore/whitepaper_tc099-watercooledservers.pdf</w:t>
      </w:r>
    </w:p>
    <w:p>
      <w:pPr>
        <w:pStyle w:val="BodyText"/>
        <w:keepNext/>
        <w:widowControl/>
      </w:pPr>
      <w:r>
        <w:rPr>
          <w:bCs/>
          <w:b/>
        </w:rPr>
        <w:t xml:space="preserve">[R12] US DOE Best Practices Guide for Energy Efficient Data Center Design 2024</w:t>
      </w:r>
    </w:p>
    <w:p>
      <w:pPr>
        <w:pStyle w:val="BodyText"/>
        <w:keepNext/>
        <w:widowControl/>
      </w:pPr>
      <w:r>
        <w:t xml:space="preserve">IT 냉각 전력 회수열을 통합해서 검토하는 설계 안내서. 본문은 특정 절감률을 인용하지 않는다.</w:t>
      </w:r>
    </w:p>
    <w:p>
      <w:pPr>
        <w:pStyle w:val="BodyText"/>
        <w:widowControl/>
      </w:pPr>
      <w:r>
        <w:t xml:space="preserve">https://www.energy.gov/sites/default/files/2024-07/best-practice-guide-data-center-design_0.pdf</w:t>
      </w:r>
    </w:p>
    <w:p>
      <w:pPr>
        <w:pStyle w:val="BodyText"/>
        <w:keepNext/>
        <w:widowControl/>
      </w:pPr>
      <w:r>
        <w:rPr>
          <w:bCs/>
          <w:b/>
        </w:rPr>
        <w:t xml:space="preserve">[R13] NVIDIA DGX H100 H200 Introduction and specifications</w:t>
      </w:r>
    </w:p>
    <w:p>
      <w:pPr>
        <w:pStyle w:val="BodyText"/>
        <w:keepNext/>
        <w:widowControl/>
      </w:pPr>
      <w:r>
        <w:t xml:space="preserve">H100 8 GPU 8U 최대 10.2kW 최대 130.45kg 연산망 8개 400G 인터페이스와 전원 공급장치 구성을 확인한 핵심 사양 출처.</w:t>
      </w:r>
    </w:p>
    <w:p>
      <w:pPr>
        <w:pStyle w:val="BodyText"/>
        <w:widowControl/>
      </w:pPr>
      <w:r>
        <w:t xml:space="preserve">https://docs.nvidia.com/dgx/dgxh100-user-guide/introduction-to-dgxh100.html</w:t>
      </w:r>
    </w:p>
    <w:p>
      <w:pPr>
        <w:pStyle w:val="BodyText"/>
        <w:keepNext/>
        <w:widowControl/>
      </w:pPr>
      <w:r>
        <w:rPr>
          <w:bCs/>
          <w:b/>
        </w:rPr>
        <w:t xml:space="preserve">[R14] NVIDIA DGX H100 Datasheet</w:t>
      </w:r>
    </w:p>
    <w:p>
      <w:pPr>
        <w:pStyle w:val="BodyText"/>
        <w:keepNext/>
        <w:widowControl/>
      </w:pPr>
      <w:r>
        <w:t xml:space="preserve">H100 시스템의 GPU 메모리와 최대 소비전력을 대조했다. 네트워크 지원 속도는 현행 사용자 가이드를 우선한다.</w:t>
      </w:r>
    </w:p>
    <w:p>
      <w:pPr>
        <w:pStyle w:val="BodyText"/>
        <w:widowControl/>
      </w:pPr>
      <w:r>
        <w:t xml:space="preserve">https://www.nvidia.com/content/dam/en-zz/Solutions/Data-Center/nvidia-dgx-h100-datasheet.pdf</w:t>
      </w:r>
    </w:p>
    <w:p>
      <w:pPr>
        <w:pStyle w:val="BodyText"/>
        <w:keepNext/>
        <w:widowControl/>
      </w:pPr>
      <w:r>
        <w:rPr>
          <w:bCs/>
          <w:b/>
        </w:rPr>
        <w:t xml:space="preserve">[R15] NVIDIA Quantum 2 InfiniBand Platform</w:t>
      </w:r>
    </w:p>
    <w:p>
      <w:pPr>
        <w:pStyle w:val="BodyText"/>
        <w:keepNext/>
        <w:widowControl/>
      </w:pPr>
      <w:r>
        <w:t xml:space="preserve">물리 OSFP 케이지 32개와 논리 400G 포트 64개의 관계를 확인했다.</w:t>
      </w:r>
    </w:p>
    <w:p>
      <w:pPr>
        <w:pStyle w:val="BodyText"/>
        <w:widowControl/>
      </w:pPr>
      <w:r>
        <w:t xml:space="preserve">https://www.nvidia.com/en-us/networking/quantum2/</w:t>
      </w:r>
    </w:p>
    <w:p>
      <w:pPr>
        <w:pStyle w:val="BodyText"/>
        <w:keepNext/>
        <w:widowControl/>
      </w:pPr>
      <w:r>
        <w:rPr>
          <w:bCs/>
          <w:b/>
        </w:rPr>
        <w:t xml:space="preserve">[R16] NVIDIA MMS4X00 NS Twin Port 2xDR4 Overview</w:t>
      </w:r>
    </w:p>
    <w:p>
      <w:pPr>
        <w:pStyle w:val="BodyText"/>
        <w:keepNext/>
        <w:widowControl/>
      </w:pPr>
      <w:r>
        <w:t xml:space="preserve">스위치용 Twin-port 광모듈의 MPO-12 APC 두 인터페이스와 100m 제품의 구성 확인. DGX측 모듈은 별도로 호환 형명 검증이 필요하다.</w:t>
      </w:r>
    </w:p>
    <w:p>
      <w:pPr>
        <w:pStyle w:val="BodyText"/>
        <w:widowControl/>
      </w:pPr>
      <w:r>
        <w:t xml:space="preserve">https://networking-docs.nvidia.com/800gmms4x00ns/overview</w:t>
      </w:r>
    </w:p>
    <w:p>
      <w:pPr>
        <w:pStyle w:val="BodyText"/>
        <w:keepNext/>
        <w:widowControl/>
      </w:pPr>
      <w:r>
        <w:rPr>
          <w:bCs/>
          <w:b/>
        </w:rPr>
        <w:t xml:space="preserve">[R17] Cisco Massively Scalable Data Center Fabric Design</w:t>
      </w:r>
    </w:p>
    <w:p>
      <w:pPr>
        <w:pStyle w:val="BodyText"/>
        <w:keepNext/>
        <w:widowControl/>
      </w:pPr>
      <w:r>
        <w:t xml:space="preserve">Leaf Spine 네트워크와 포트 대역폭 및 초과가입을 검토하는 공식 설계 자료.</w:t>
      </w:r>
    </w:p>
    <w:p>
      <w:pPr>
        <w:pStyle w:val="BodyText"/>
        <w:widowControl/>
      </w:pPr>
      <w:r>
        <w:t xml:space="preserve">https://www.cisco.com/c/en/us/products/collateral/switches/nexus-9000-series-switches/white-paper-c11-743245.html</w:t>
      </w:r>
    </w:p>
    <w:p>
      <w:pPr>
        <w:pStyle w:val="BodyText"/>
        <w:keepNext/>
        <w:widowControl/>
      </w:pPr>
      <w:r>
        <w:rPr>
          <w:bCs/>
          <w:b/>
        </w:rPr>
        <w:t xml:space="preserve">[R18] Cisco Validated Design AI ML Networking Blueprint</w:t>
      </w:r>
    </w:p>
    <w:p>
      <w:pPr>
        <w:pStyle w:val="BodyText"/>
        <w:keepNext/>
        <w:widowControl/>
      </w:pPr>
      <w:r>
        <w:t xml:space="preserve">GPU 클러스터 연결과 Leaf Spine 설계 사례의 공식 설명. 본문 사례는 이를 복제한 인증 구성은 아니다.</w:t>
      </w:r>
    </w:p>
    <w:p>
      <w:pPr>
        <w:pStyle w:val="BodyText"/>
        <w:widowControl/>
      </w:pPr>
      <w:r>
        <w:t xml:space="preserve">https://www.cisco.com/c/en/us/td/docs/dcn/whitepapers/cvd-for-data-center-networking-blueprint-for-ai.html</w:t>
      </w:r>
    </w:p>
    <w:p>
      <w:pPr>
        <w:pStyle w:val="BodyText"/>
        <w:keepNext/>
        <w:widowControl/>
      </w:pPr>
      <w:r>
        <w:rPr>
          <w:bCs/>
          <w:b/>
        </w:rPr>
        <w:t xml:space="preserve">[R19] Corning Network Performance LAN 3235</w:t>
      </w:r>
    </w:p>
    <w:p>
      <w:pPr>
        <w:pStyle w:val="BodyText"/>
        <w:keepNext/>
        <w:widowControl/>
      </w:pPr>
      <w:r>
        <w:t xml:space="preserve">400G FR4의 듀플렉스 광섬유와 DR4의 병렬 광배선 비교를 확인했다.</w:t>
      </w:r>
    </w:p>
    <w:p>
      <w:pPr>
        <w:pStyle w:val="BodyText"/>
        <w:widowControl/>
      </w:pPr>
      <w:r>
        <w:t xml:space="preserve">https://www.corning.com/catalog/coc/documents/brochures/LAN-3235-AEN.pdf</w:t>
      </w:r>
    </w:p>
    <w:p>
      <w:pPr>
        <w:pStyle w:val="BodyText"/>
        <w:keepNext/>
        <w:widowControl/>
      </w:pPr>
      <w:r>
        <w:rPr>
          <w:bCs/>
          <w:b/>
        </w:rPr>
        <w:t xml:space="preserve">[R20] Corning EDGE8 Solutions</w:t>
      </w:r>
    </w:p>
    <w:p>
      <w:pPr>
        <w:pStyle w:val="BodyText"/>
        <w:keepNext/>
        <w:widowControl/>
      </w:pPr>
      <w:r>
        <w:t xml:space="preserve">Base-8 모듈과 병렬 광링크의 연결 및 마이그레이션 개념을 참고했다.</w:t>
      </w:r>
    </w:p>
    <w:p>
      <w:pPr>
        <w:pStyle w:val="BodyText"/>
        <w:widowControl/>
      </w:pPr>
      <w:r>
        <w:t xml:space="preserve">https://www.corning.com/data-center/worldwide/en/home/solutions/edge8.html</w:t>
      </w:r>
    </w:p>
    <w:p>
      <w:pPr>
        <w:pStyle w:val="BodyText"/>
        <w:keepNext/>
        <w:widowControl/>
      </w:pPr>
      <w:r>
        <w:rPr>
          <w:bCs/>
          <w:b/>
        </w:rPr>
        <w:t xml:space="preserve">[R21] Fluke Networks Cable Testing Loss Budget</w:t>
      </w:r>
    </w:p>
    <w:p>
      <w:pPr>
        <w:pStyle w:val="BodyText"/>
        <w:keepNext/>
        <w:widowControl/>
      </w:pPr>
      <w:r>
        <w:t xml:space="preserve">케이블과 연결부 손실을 함께 예산화하는 방법. 예제의 개별 계수는 별도 가정이다.</w:t>
      </w:r>
    </w:p>
    <w:p>
      <w:pPr>
        <w:pStyle w:val="BodyText"/>
        <w:widowControl/>
      </w:pPr>
      <w:r>
        <w:t xml:space="preserve">https://www.flukenetworks.com/blog/cabling-chronicles/cable-testing-101-what-s-my-loss-budget</w:t>
      </w:r>
    </w:p>
    <w:p>
      <w:pPr>
        <w:pStyle w:val="BodyText"/>
        <w:keepNext/>
        <w:widowControl/>
      </w:pPr>
      <w:r>
        <w:rPr>
          <w:bCs/>
          <w:b/>
        </w:rPr>
        <w:t xml:space="preserve">[R22] Fluke Networks Designing to Application Limits</w:t>
      </w:r>
    </w:p>
    <w:p>
      <w:pPr>
        <w:pStyle w:val="BodyText"/>
        <w:keepNext/>
        <w:widowControl/>
      </w:pPr>
      <w:r>
        <w:t xml:space="preserve">전송 애플리케이션의 허용 손실과 배선 기준을 함께 검토해야 한다는 설명.</w:t>
      </w:r>
    </w:p>
    <w:p>
      <w:pPr>
        <w:pStyle w:val="BodyText"/>
        <w:widowControl/>
      </w:pPr>
      <w:r>
        <w:t xml:space="preserve">https://www.flukenetworks.com/blog/cabling-chronicles/designing-application-limits</w:t>
      </w:r>
    </w:p>
    <w:p>
      <w:pPr>
        <w:pStyle w:val="BodyText"/>
        <w:keepNext/>
        <w:widowControl/>
      </w:pPr>
      <w:r>
        <w:rPr>
          <w:bCs/>
          <w:b/>
        </w:rPr>
        <w:t xml:space="preserve">[R23] Fluke Networks OLTS and OTDR Complete Testing Strategy</w:t>
      </w:r>
    </w:p>
    <w:p>
      <w:pPr>
        <w:pStyle w:val="BodyText"/>
        <w:keepNext/>
        <w:widowControl/>
      </w:pPr>
      <w:r>
        <w:t xml:space="preserve">전체 손실 인증과 사건 위치 진단의 상호 보완적 역할을 확인했다.</w:t>
      </w:r>
    </w:p>
    <w:p>
      <w:pPr>
        <w:pStyle w:val="BodyText"/>
        <w:widowControl/>
      </w:pPr>
      <w:r>
        <w:t xml:space="preserve">https://www.flukenetworks.com/edocs/olts-otdr-complete-testing-strategy</w:t>
      </w:r>
    </w:p>
    <w:p>
      <w:pPr>
        <w:pStyle w:val="BodyText"/>
        <w:keepNext/>
        <w:widowControl/>
      </w:pPr>
      <w:r>
        <w:rPr>
          <w:bCs/>
          <w:b/>
        </w:rPr>
        <w:t xml:space="preserve">[R24] Fluke Networks MPO Connectors</w:t>
      </w:r>
    </w:p>
    <w:p>
      <w:pPr>
        <w:pStyle w:val="BodyText"/>
        <w:keepNext/>
        <w:widowControl/>
      </w:pPr>
      <w:r>
        <w:t xml:space="preserve">다심 커넥터의 사용과 손실 시험에 관한 공식 교육 자료.</w:t>
      </w:r>
    </w:p>
    <w:p>
      <w:pPr>
        <w:pStyle w:val="BodyText"/>
        <w:widowControl/>
      </w:pPr>
      <w:r>
        <w:t xml:space="preserve">https://www.flukenetworks.com/expertise/learn-about/multi-fiber-push-mpo-connectors</w:t>
      </w:r>
    </w:p>
    <w:p>
      <w:pPr>
        <w:pStyle w:val="BodyText"/>
        <w:keepNext/>
        <w:widowControl/>
      </w:pPr>
      <w:r>
        <w:rPr>
          <w:bCs/>
          <w:b/>
        </w:rPr>
        <w:t xml:space="preserve">[R25] Schneider Electric UPS Unity Output Power Factor</w:t>
      </w:r>
    </w:p>
    <w:p>
      <w:pPr>
        <w:pStyle w:val="BodyText"/>
        <w:keepNext/>
        <w:widowControl/>
      </w:pPr>
      <w:r>
        <w:t xml:space="preserve">UPS의 kW 정격과 kVA 정격을 구분하는 제조사 설명.</w:t>
      </w:r>
    </w:p>
    <w:p>
      <w:pPr>
        <w:pStyle w:val="BodyText"/>
        <w:widowControl/>
      </w:pPr>
      <w:r>
        <w:t xml:space="preserve">https://www.se.com/ng/en/faqs/FA157434/</w:t>
      </w:r>
    </w:p>
    <w:p>
      <w:pPr>
        <w:pStyle w:val="BodyText"/>
        <w:keepNext/>
        <w:widowControl/>
      </w:pPr>
      <w:r>
        <w:rPr>
          <w:bCs/>
          <w:b/>
        </w:rPr>
        <w:t xml:space="preserve">[R26] Schneider Electric UPS Design Considerations</w:t>
      </w:r>
    </w:p>
    <w:p>
      <w:pPr>
        <w:pStyle w:val="BodyText"/>
        <w:keepNext/>
        <w:widowControl/>
      </w:pPr>
      <w:r>
        <w:t xml:space="preserve">UPS 배치와 확장 및 중복성에 대한 공식 설명.</w:t>
      </w:r>
    </w:p>
    <w:p>
      <w:pPr>
        <w:pStyle w:val="BodyText"/>
        <w:widowControl/>
      </w:pPr>
      <w:r>
        <w:t xml:space="preserve">https://blog.se.com/datacenter/2020/07/20/design-considerations-deployment-ups-systems-in-data-centers/</w:t>
      </w:r>
    </w:p>
    <w:p>
      <w:pPr>
        <w:pStyle w:val="BodyText"/>
        <w:keepNext/>
        <w:widowControl/>
      </w:pPr>
      <w:r>
        <w:rPr>
          <w:bCs/>
          <w:b/>
        </w:rPr>
        <w:t xml:space="preserve">[R27] Uptime Institute Tier Classification System</w:t>
      </w:r>
    </w:p>
    <w:p>
      <w:pPr>
        <w:pStyle w:val="BodyText"/>
        <w:keepNext/>
        <w:widowControl/>
      </w:pPr>
      <w:r>
        <w:t xml:space="preserve">Tier III의 동시 유지보수 가능성과 등급 개념을 확인했다. N+1이라는 표기만으로 인증을 부여하지 않는다.</w:t>
      </w:r>
    </w:p>
    <w:p>
      <w:pPr>
        <w:pStyle w:val="BodyText"/>
        <w:widowControl/>
      </w:pPr>
      <w:r>
        <w:t xml:space="preserve">https://uptimeinstitute.com/tiers</w:t>
      </w:r>
    </w:p>
    <w:p>
      <w:pPr>
        <w:pStyle w:val="BodyText"/>
        <w:keepNext/>
        <w:widowControl/>
      </w:pPr>
      <w:r>
        <w:rPr>
          <w:bCs/>
          <w:b/>
        </w:rPr>
        <w:t xml:space="preserve">[R28] LS Datacenter Campus 3D Digital Twin</w:t>
      </w:r>
    </w:p>
    <w:p>
      <w:pPr>
        <w:pStyle w:val="BodyText"/>
        <w:keepNext/>
        <w:widowControl/>
      </w:pPr>
      <w:r>
        <w:t>사용자 제공 페이지의 공개 HTML을 직접 확인했다. 당시 표시 판본 v4.8.1 (역사적 관찰값) 공간 구분 장애 시나리오와 계산식 가정 경계를 검토했다. 브라우저의 모든 상호작용이나 외부 스크립트를 실행 검증한 것은 아니다.</w:t>
      </w:r>
    </w:p>
    <w:p>
      <w:pPr>
        <w:pStyle w:val="BodyText"/>
        <w:widowControl/>
      </w:pPr>
      <w:r>
        <w:t xml:space="preserve">https://kimheeseo.github.io/LSCNS/DCI/DataCenter/LS_Datacenter_3D.html</w:t>
      </w:r>
    </w:p>
    <w:p>
      <w:pPr>
        <w:pStyle w:val="BodyText"/>
        <w:keepNext/>
        <w:widowControl/>
      </w:pPr>
      <w:r>
        <w:rPr>
          <w:bCs/>
          <w:b/>
        </w:rPr>
        <w:t xml:space="preserve">[R29] DC BOM Design Tool</w:t>
      </w:r>
    </w:p>
    <w:p>
      <w:pPr>
        <w:pStyle w:val="BodyText"/>
        <w:keepNext/>
        <w:widowControl/>
      </w:pPr>
      <w:r>
        <w:t>사용자 제공 홈페이지의 공개 HTML을 확인했다. 당시 표시 판본 v8.2.0 (역사적 관찰값) 최종 업데이트 2026.10.14. GPU 랙 전력 냉각 거리 트렁크 심수 등의 입력 항목을 검토했다. 전체 계산 엔진의 감사를 의미하지 않는다.</w:t>
      </w:r>
    </w:p>
    <w:p>
      <w:pPr>
        <w:pStyle w:val="BodyText"/>
        <w:widowControl/>
      </w:pPr>
      <w:r>
        <w:t xml:space="preserve">https://kimheeseo.github.io/LSCNS/DCI/DataCenter/</w:t>
      </w:r>
    </w:p>
    <w:p>
      <w:pPr>
        <w:pStyle w:val="BodyText"/>
        <w:keepNext/>
        <w:widowControl/>
      </w:pPr>
      <w:r>
        <w:rPr>
          <w:bCs/>
          <w:b/>
        </w:rPr>
        <w:t xml:space="preserve">[R30] NVIDIA MMS4X00 NS Optical Specifications</w:t>
      </w:r>
    </w:p>
    <w:p>
      <w:pPr>
        <w:pStyle w:val="BodyText"/>
        <w:keepNext/>
        <w:widowControl/>
      </w:pPr>
      <w:r>
        <w:t xml:space="preserve">해당 2×400G 100m 제품군의 레인당 평균·OMA·OMA minus TDECQ·스트레스 수신 조건을 확인했다. 표의 독립된 극값을 임의 조합하거나 다른 PMD에 적용하지 않는다.</w:t>
      </w:r>
    </w:p>
    <w:p>
      <w:pPr>
        <w:pStyle w:val="BodyText"/>
        <w:widowControl/>
      </w:pPr>
      <w:r>
        <w:t xml:space="preserve">https://networking-docs.nvidia.com/800gmms4x00ns/specifications</w:t>
      </w:r>
    </w:p>
    <w:p>
      <w:pPr>
        <w:pStyle w:val="BodyText"/>
        <w:keepNext/>
        <w:widowControl/>
      </w:pPr>
      <w:r>
        <w:rPr>
          <w:bCs/>
          <w:b/>
        </w:rPr>
        <w:t xml:space="preserve">[R31] Keysight FlexDCA TDECQ Measurement</w:t>
      </w:r>
    </w:p>
    <w:p>
      <w:pPr>
        <w:pStyle w:val="BodyText"/>
        <w:keepNext/>
        <w:widowControl/>
      </w:pPr>
      <w:r>
        <w:t xml:space="preserve">참조 파형·필터·등화기에 따른 TDECQ 평가와 시스템 시험과의 차이를 참고했다. OMA가 선형 감쇠되어도 TDECQ가 같은 dB만큼 증가하는 것은 아니다.</w:t>
      </w:r>
    </w:p>
    <w:p>
      <w:pPr>
        <w:pStyle w:val="BodyText"/>
        <w:widowControl/>
      </w:pPr>
      <w:r>
        <w:t xml:space="preserve">https://helpfiles.keysight.com/scopes/FlexDCA-UG/Content/Topics/Eye-Mask-Mode/PAM-Measurements/pam_tdecq.htm</w:t>
      </w:r>
    </w:p>
    <w:p>
      <w:pPr>
        <w:pStyle w:val="BodyText"/>
        <w:keepNext/>
        <w:widowControl/>
      </w:pPr>
      <w:r>
        <w:rPr>
          <w:bCs/>
          <w:b/>
        </w:rPr>
        <w:t xml:space="preserve">[R32] ITU T G652 August 2024</w:t>
      </w:r>
    </w:p>
    <w:p>
      <w:pPr>
        <w:pStyle w:val="BodyText"/>
        <w:keepNext/>
        <w:widowControl/>
      </w:pPr>
      <w:r>
        <w:t>공개 원문 6.10절과 표 2 및 부록 I의 O 대역 분산 식과 파라미터 범위를 확인했다. 본문의 곡선과 시간 확산 수치는 명시한 입력으로 직접 계산했다.</w:t>
      </w:r>
    </w:p>
    <w:p>
      <w:pPr>
        <w:pStyle w:val="BodyText"/>
        <w:widowControl/>
      </w:pPr>
      <w:r>
        <w:t xml:space="preserve">https://www.itu.int/rec/dologin_pub.asp?id=T-REC-G.652-202408-I!!PDF-E&amp;lang=e&amp;type=items</w:t>
      </w:r>
    </w:p>
    <w:p>
      <w:pPr>
        <w:pStyle w:val="BodyText"/>
        <w:keepNext/>
        <w:widowControl/>
      </w:pPr>
      <w:r>
        <w:rPr>
          <w:bCs/>
          <w:b/>
        </w:rPr>
        <w:t xml:space="preserve">[R33] Corning Where Does Optical Return Loss Matter</w:t>
      </w:r>
    </w:p>
    <w:p>
      <w:pPr>
        <w:pStyle w:val="BodyText"/>
        <w:keepNext/>
        <w:widowControl/>
      </w:pPr>
      <w:r>
        <w:t xml:space="preserve">2021년 기고의 제조사 공개 재판본. 사건 반사와 전체 ORL의 구분 및 접속 쌍 수에 따른 반사 기준의 해설을 참고했다. 해당 설명을 현재 모든 PMD의 보편 한계로 사용하지 않는다.</w:t>
      </w:r>
    </w:p>
    <w:p>
      <w:pPr>
        <w:pStyle w:val="BodyText"/>
        <w:widowControl/>
      </w:pPr>
      <w:r>
        <w:t xml:space="preserve">https://www.corning.com/content/dam/corning/catalog/coc/documents/white-papers/OpticalReturnLoss_Whitepaper.pdf</w:t>
      </w:r>
    </w:p>
    <w:p>
      <w:pPr>
        <w:pStyle w:val="BodyText"/>
        <w:keepNext/>
        <w:widowControl/>
      </w:pPr>
      <w:r>
        <w:rPr>
          <w:bCs/>
          <w:b/>
        </w:rPr>
        <w:t xml:space="preserve">[R34] IEEE 802 3bs MPI Penalties for 400G FR LR8 Links</w:t>
      </w:r>
    </w:p>
    <w:p>
      <w:pPr>
        <w:pStyle w:val="BodyText"/>
        <w:keepNext/>
        <w:widowControl/>
      </w:pPr>
      <w:r>
        <w:t xml:space="preserve">Winston Way와 Trevor Chan의 2015년 공개 기고. 조건별 MPI 실험 및 반사 조합 논의를 참고했다. 최종 표준의 규정값으로 인용하지 않았고 본문의 단일 에코 기하 모델은 별도 직접 유도다.</w:t>
      </w:r>
    </w:p>
    <w:p>
      <w:pPr>
        <w:pStyle w:val="BodyText"/>
        <w:widowControl/>
      </w:pPr>
      <w:r>
        <w:t xml:space="preserve">https://www.ieee802.org/3/bs/public/15_09/way_3bs_01_0915.pdf</w:t>
      </w:r>
    </w:p>
    <w:p>
      <w:pPr>
        <w:pStyle w:val="BodyText"/>
        <w:keepNext/>
        <w:widowControl/>
      </w:pPr>
      <w:r>
        <w:rPr>
          <w:bCs/>
          <w:b/>
        </w:rPr>
        <w:t xml:space="preserve">[R35] Ansys TDECQ Simulation and Analysis</w:t>
      </w:r>
    </w:p>
    <w:p>
      <w:pPr>
        <w:pStyle w:val="BodyText"/>
        <w:keepNext/>
        <w:widowControl/>
      </w:pPr>
      <w:r>
        <w:t xml:space="preserve">참조 신호와 잡음 여유 및 수신 조건을 갖춘 TDECQ 시뮬레이션 구성의 공식 문서. 단순 분산 시간 확산을 TDECQ로 치환하지 않는 근거 자료다.</w:t>
      </w:r>
    </w:p>
    <w:p>
      <w:pPr>
        <w:pStyle w:val="BodyText"/>
        <w:widowControl/>
      </w:pPr>
      <w:r>
        <w:t xml:space="preserve">https://optics.ansys.com/hc/en-us/articles/1500007399922-TDECQ-simulation-and-analysis-with-Lumerical-INTERCONNECT</w:t>
      </w:r>
    </w:p>
    <w:p>
      <w:pPr>
        <w:pStyle w:val="BodyText"/>
        <w:keepNext/>
        <w:widowControl/>
      </w:pPr>
      <w:r>
        <w:rPr>
          <w:bCs/>
          <w:b/>
        </w:rPr>
        <w:t xml:space="preserve">[R36] Keysight PAM Outer Extinction Ratio</w:t>
      </w:r>
    </w:p>
    <w:p>
      <w:pPr>
        <w:pStyle w:val="BodyText"/>
        <w:keepNext/>
        <w:widowControl/>
      </w:pPr>
      <w:r>
        <w:t xml:space="preserve">PAM4 최고·최저 레벨에 대한 외측 소광비 정의를 확인했다. 등간격·등확률의 평균 전력 대 OMA 변환식은 본문에서 직접 유도했다.</w:t>
      </w:r>
    </w:p>
    <w:p>
      <w:pPr>
        <w:pStyle w:val="BodyText"/>
        <w:widowControl/>
      </w:pPr>
      <w:r>
        <w:t xml:space="preserve">https://helpfiles.keysight.com/scopes/FlexDCA-UG/Content/Topics/Eye-Mask-Mode/PAM-Measurements/pam_outer_er.htm</w:t>
      </w:r>
    </w:p>
    <w:bookmarkEnd w:id="318"/>
    <w:p>
      <w:pPr>
        <w:pStyle w:val="BodyText"/>
      </w:pPr>
      <w:r>
        <w:t>[R37] IEEE Std 802.3df-2024, Amendment 9, Clauses 169–173 (published 2024-03-15)</w:t>
      </w:r>
    </w:p>
    <w:p>
      <w:pPr>
        <w:pStyle w:val="BodyText"/>
      </w:pPr>
      <w:r>
        <w:t>공식 IEEE 802.3df 태스크포스의 승인·작업 완료 공지를 확인했다. 800G PMD 선정은 표준 최종 원문과 장비 제품표를 일치시킬 것.</w:t>
      </w:r>
    </w:p>
    <w:p>
      <w:pPr>
        <w:pStyle w:val="BodyText"/>
      </w:pPr>
      <w:r>
        <w:t>https://www.ieee802.org/3/df/index.html</w:t>
      </w:r>
    </w:p>
    <w:p>
      <w:pPr>
        <w:pStyle w:val="BodyText"/>
      </w:pPr>
      <w:r>
        <w:rPr>
          <w:b/>
        </w:rPr>
        <w:t>[R38] IEEE P802.3dj project; 3rd SA recirculation ballot ended 2026-10-10</w:t>
      </w:r>
    </w:p>
    <w:p>
      <w:pPr>
        <w:pStyle w:val="BodyText"/>
      </w:pPr>
      <w:r>
        <w:t>2026-10-16 기준 작업 중인 초안이며, 최종 확정/승인으로 기재하지 않는다. Clause 180/183 등 초안 번호는 최종 조항으로 단정하지 않는다.</w:t>
      </w:r>
    </w:p>
    <w:p>
      <w:pPr>
        <w:pStyle w:val="BodyText"/>
      </w:pPr>
      <w:r>
        <w:t>https://www.ieee802.org/3/email_dialog/msg01881.html</w:t>
      </w:r>
    </w:p>
    <w:p>
      <w:pPr>
        <w:pStyle w:val="BodyText"/>
      </w:pPr>
      <w:r>
        <w:rPr>
          <w:b/>
        </w:rPr>
        <w:t>[R39] LPO MSA 100G-DR-LPO specification, announcement 2025-03-25</w:t>
      </w:r>
    </w:p>
    <w:p>
      <w:pPr>
        <w:pStyle w:val="BodyText"/>
      </w:pPr>
      <w:r>
        <w:t>MSA의 최대 800G 지원 100G/lane LPO 공개와 상호운용 범위를 확인한다. IEEE 의무 요건과 MSA 추가 인터페이스 요구를 구분한다.</w:t>
      </w:r>
    </w:p>
    <w:p>
      <w:pPr>
        <w:pStyle w:val="BodyText"/>
      </w:pPr>
      <w:r>
        <w:t>https://www.lpo-msa.org/news/lpo-msa-announces-release-of-specification-for-linear-pluggable-optica</w:t>
      </w:r>
    </w:p>
    <w:p>
      <w:pPr>
        <w:pStyle w:val="BodyText"/>
      </w:pPr>
      <w:r>
        <w:rPr>
          <w:b/>
        </w:rPr>
        <w:t>[R40] OIF-800ZR-01.0 Implementation Agreement, 2024-10-08</w:t>
      </w:r>
    </w:p>
    <w:p>
      <w:pPr>
        <w:pStyle w:val="BodyText"/>
      </w:pPr>
      <w:r>
        <w:t>§6.1.330 27dB OSNR/12.5GHz, §6.1.341 2400ps/nm CD, §6.1.350 10ps PMD 범위가 명시된다. 정의된 테스트 조건과 OSNR 필터 대역폭이 필요하다.</w:t>
      </w:r>
    </w:p>
    <w:p>
      <w:pPr>
        <w:pStyle w:val="BodyText"/>
      </w:pPr>
      <w:r>
        <w:t>https://www.oiforum.com/wp-content/uploads/OIF-800ZR-01.0.pdf</w:t>
      </w:r>
    </w:p>
    <w:p>
      <w:pPr>
        <w:pStyle w:val="BodyText"/>
      </w:pPr>
      <w:r>
        <w:rPr>
          <w:b/>
        </w:rPr>
        <w:t>[R41] ISO/IEC 11801-5:2017 Generic Cabling for Data Centres</w:t>
      </w:r>
    </w:p>
    <w:p>
      <w:pPr>
        <w:pStyle w:val="BodyText"/>
      </w:pPr>
      <w:r>
        <w:t>§5.6.2, §6.3.3, §7.3, §8.3, §10.3 조항 제목을 공개된 ISO/IEC 표준 목차 자료와 교차 확인했다. 유료 본문 요구치를 본 백서가 복사하거나 판정하지 않는다.</w:t>
      </w:r>
    </w:p>
    <w:p>
      <w:pPr>
        <w:pStyle w:val="BodyText"/>
      </w:pPr>
      <w:r>
        <w:t>https://www.iso.org/standard/62247.html</w:t>
      </w:r>
    </w:p>
    <w:p>
      <w:pPr>
        <w:pStyle w:val="BodyText"/>
      </w:pPr>
      <w:r>
        <w:rPr>
          <w:b/>
        </w:rPr>
        <w:t>[R42] ISO/IEC 14763-3:2024 Testing of Optical Fibre Cabling</w:t>
      </w:r>
    </w:p>
    <w:p>
      <w:pPr>
        <w:pStyle w:val="BodyText"/>
      </w:pPr>
      <w:r>
        <w:t>현장 광배선 검사와 시험의 판본·적용 범위 확인. 개별 시험 조항은 최종 정본을 열람하여 반영한다.</w:t>
      </w:r>
    </w:p>
    <w:p>
      <w:pPr>
        <w:pStyle w:val="BodyText"/>
      </w:pPr>
      <w:r>
        <w:t>https://www.iso.org/standard/89632.html</w:t>
      </w:r>
    </w:p>
    <w:p>
      <w:pPr>
        <w:pStyle w:val="BodyText"/>
      </w:pPr>
      <w:r>
        <w:rPr>
          <w:b/>
        </w:rPr>
        <w:t>[R43] ANSI/TIA-568.3-E:2022 TIA official announcement</w:t>
      </w:r>
    </w:p>
    <w:p>
      <w:pPr>
        <w:pStyle w:val="BodyText"/>
      </w:pPr>
      <w:r>
        <w:t>광케이블, 연결 하드웨어, 패치코드, 극성, 성능 및 시험 요구사항을 다룸. 미확인 조항번호를 임의로 표시하지 않는다.</w:t>
      </w:r>
    </w:p>
    <w:p>
      <w:pPr>
        <w:pStyle w:val="BodyText"/>
      </w:pPr>
      <w:r>
        <w:t>https://tiaonline.org/standardannouncement/tia-issues-updated-optical-fiber-cabling-component-standard-ansi-tia-568-3-e/</w:t>
      </w:r>
    </w:p>
    <w:p>
      <w:pPr>
        <w:pStyle w:val="BodyText"/>
      </w:pPr>
      <w:r>
        <w:rPr>
          <w:b/>
        </w:rPr>
        <w:t>[R44] ITU-T G.654 (08/2024), Optical Fibre and Cable</w:t>
      </w:r>
    </w:p>
    <w:p>
      <w:pPr>
        <w:pStyle w:val="BodyText"/>
      </w:pPr>
      <w:r>
        <w:t>광섬유 특성과 케이블 감쇠·PMD 항목 및 G.654.E 설계 비교의 1차 근거. §6/§7/§8의 발췌 범위에서만 언급한다.</w:t>
      </w:r>
    </w:p>
    <w:p>
      <w:pPr>
        <w:pStyle w:val="BodyText"/>
      </w:pPr>
      <w:r>
        <w:t>https://www.itu.int/ITU-T/recommendations/rec.aspx?rec=16061</w:t>
      </w:r>
    </w:p>
    <w:p>
      <w:pPr>
        <w:pStyle w:val="BodyText"/>
      </w:pPr>
      <w:r>
        <w:rPr>
          <w:b/>
        </w:rPr>
        <w:t>[R45] ANSI/TIA-942-C:2024 TIA standard official listing</w:t>
      </w:r>
    </w:p>
    <w:p>
      <w:pPr>
        <w:pStyle w:val="BodyText"/>
      </w:pPr>
      <w:r>
        <w:t>데이터센터 통신 인프라와 시설 범위를 제시한다. 일부 시행 상세의 유료 조항번호는 확인 전이므로 텍스트에 임의 기재하지 않는다.</w:t>
      </w:r>
    </w:p>
    <w:p>
      <w:pPr>
        <w:pStyle w:val="BodyText"/>
      </w:pPr>
      <w:r>
        <w:t>https://tiaonline.org/standard/tia-942/</w:t>
      </w:r>
    </w:p>
    <w:p>
      <w:pPr>
        <w:pStyle w:val="BodyText"/>
      </w:pPr>
      <w:r>
        <w:rPr>
          <w:b/>
        </w:rPr>
        <w:t>[R46] OIF-Co-Packaging-3.2T-Module-01.0 Implementation Agreement (2023-03-29)</w:t>
      </w:r>
    </w:p>
    <w:p>
      <w:pPr>
        <w:pStyle w:val="BodyText"/>
      </w:pPr>
      <w:r>
        <w:t>CPO 패키지 모듈 및 광/전기/기계적 연결의 상호운용 기술을 기술한 OIF 1차 기술자료.</w:t>
      </w:r>
    </w:p>
    <w:p>
      <w:pPr>
        <w:pStyle w:val="BodyText"/>
      </w:pPr>
      <w:r>
        <w:t>https://www.oiforum.com/wp-content/uploads/OIF-Co-Packaging-3.2T-Module-01.0.pdf</w:t>
      </w:r>
    </w:p>
    <w:p>
      <w:pPr>
        <w:pStyle w:val="BodyText"/>
      </w:pPr>
      <w:r>
        <w:rPr>
          <w:b/>
        </w:rPr>
        <w:t>[R47] OIF-ELSFP-01.0 Implementation Agreement</w:t>
      </w:r>
    </w:p>
    <w:p>
      <w:pPr>
        <w:pStyle w:val="BodyText"/>
      </w:pPr>
      <w:r>
        <w:t>외부 레이저 소스 플러그와 검사·청소를 포함하는 인터페이스/정비 고려사항을 제공한다.</w:t>
      </w:r>
    </w:p>
    <w:p>
      <w:pPr>
        <w:pStyle w:val="BodyText"/>
      </w:pPr>
      <w:r>
        <w:t>https://www.oiforum.com/wp-content/uploads/OIF-ELSFP-01.0.pdf</w:t>
      </w:r>
    </w:p>
    <w:p>
      <w:pPr>
        <w:pStyle w:val="Heading2"/>
      </w:pPr>
      <w:r>
        <w:t>개정 이력 및 검증 범위 (v1.3, 2026-10-16)</w:t>
      </w:r>
    </w:p>
    <w:p>
      <w:pPr>
        <w:pStyle w:val="BodyText"/>
      </w:pPr>
      <w:r>
        <w:t>v1.1 → v1.3: 기존 100개 절을 유지하고 절 29, 35, 44, 47–55, 60, 65, 83, 89–91, 94, 98, 100을 확장했다. 1차 자료 재검증 및 2026년 9월 OIF 1600ZR, NVIDIA 3경로 전원 권고, 복합 민감도 결과를 반영했다.</w:t>
      </w:r>
    </w:p>
    <w:p>
      <w:pPr>
        <w:pStyle w:val="BodyText"/>
      </w:pPr>
      <w:r>
        <w:t>원본 목차의 페이지 참조 필드를 유지했다. 최신 페이지 번호는 Word/LibreOffice 필드 갱신으로 확인하고, 탐색 창의 Heading 1(원 절)과 Heading 2(심화절)를 사용할 수 있다.</w:t>
      </w:r>
    </w:p>
    <w:p>
      <w:pPr>
        <w:pStyle w:val="BodyText"/>
      </w:pPr>
      <w:r>
        <w:t>산술 판정은 독립 계산 결과이며 실물 시험·표준 인증/설비 인수를 대체하지 않는다. 웹 도구 live 계산값은 이 작업 환경에서 미획득이다.</w:t>
      </w:r>
    </w:p>
    <w:p>
      <w:pPr>
        <w:pStyle w:val="BodyText"/>
      </w:pPr>
      <w:r>
        <w:t>참고 자료를 확인한 시점은 2026-10-16이다. TIA 유료 원문 미열람 조항은 인용하지 않았고, 1.6T 표준은 초안으로 표시하였다.</w:t>
      </w:r>
    </w:p>
    <w:p>
      <w:pPr>
        <w:pStyle w:val="BodyText"/>
      </w:pPr>
      <w:r>
        <w:rPr>
          <w:b/>
        </w:rPr>
        <w:t>[R48] NVIDIA DGX SuperPOD, Data Center Design Featuring NVIDIA DGX H100, Electrical Specifications, Power Redundancy</w:t>
      </w:r>
    </w:p>
    <w:p>
      <w:pPr>
        <w:pStyle w:val="BodyText"/>
      </w:pPr>
      <w:r>
        <w:t>3 rPDU per DGX rack, server PSU 2+2+2, N+1 vs enhanced N+1, traditional A/B limitations and upstream UPS failure domain. Read on 2026-10-16.</w:t>
      </w:r>
    </w:p>
    <w:p>
      <w:pPr>
        <w:pStyle w:val="BodyText"/>
      </w:pPr>
      <w:r>
        <w:t>https://docs.nvidia.com/dgx-superpod/design-guides/dgx-superpod-data-center-design-h100/latest/electrical.html</w:t>
      </w:r>
    </w:p>
    <w:p>
      <w:pPr>
        <w:pStyle w:val="BodyText"/>
      </w:pPr>
      <w:r>
        <w:rPr>
          <w:b/>
        </w:rPr>
        <w:t>[R49] OIF-1600ZR-01.0 – Implementation Agreement 1600ZR (September 2026)</w:t>
      </w:r>
    </w:p>
    <w:p>
      <w:pPr>
        <w:pStyle w:val="BodyText"/>
      </w:pPr>
      <w:r>
        <w:t>OIF official IA index lists 1600ZR publication; detailed system compliance/parameters must follow the original IA and product profile, not inferred from 800ZR.</w:t>
      </w:r>
    </w:p>
    <w:p>
      <w:pPr>
        <w:pStyle w:val="BodyText"/>
      </w:pPr>
      <w:r>
        <w:t>https://www.oiforum.com/technical-work/implementation-agreements-ias/</w:t>
      </w:r>
    </w:p>
    <w:p>
      <w:pPr>
        <w:pStyle w:val="BodyText"/>
      </w:pPr>
      <w:r>
        <w:rPr>
          <w:b/>
        </w:rPr>
        <w:t>[R50] IEEE SA IEEE 802.3df-2024 normative scope (169–173, Annex 172A, 173A)</w:t>
      </w:r>
    </w:p>
    <w:p>
      <w:pPr>
        <w:pStyle w:val="BodyText"/>
      </w:pPr>
      <w:r>
        <w:t>Official IEEE standards listing confirms publication and covered clauses; each specific PMD should be checked against its own clause.</w:t>
      </w:r>
    </w:p>
    <w:p>
      <w:pPr>
        <w:pStyle w:val="BodyText"/>
      </w:pPr>
      <w:r>
        <w:t>https://standards.ieee.org/ieee/802.3/11107/</w:t>
      </w:r>
    </w:p>
    <w:p>
      <w:pPr>
        <w:pStyle w:val="BodyText"/>
      </w:pPr>
      <w:r>
        <w:rPr>
          <w:b/>
        </w:rPr>
        <w:t>[R51] ITU-T G.652 (08/2024) official edition and contents</w:t>
      </w:r>
    </w:p>
    <w:p>
      <w:pPr>
        <w:pStyle w:val="BodyText"/>
      </w:pPr>
      <w:r>
        <w:t>Clause 6.10 chromatic dispersion; 7.1 cable attenuation; 7.2 PMD; clause 8 tables; Appendix I link characteristics.</w:t>
      </w:r>
    </w:p>
    <w:p>
      <w:pPr>
        <w:pStyle w:val="BodyText"/>
      </w:pPr>
      <w:r>
        <w:t>https://www.itu.int/epublications/publication/itu-t-g-652-2024-08-characteristics-of-a-single-mode-optical-fibre-and-cable</w:t>
      </w:r>
    </w:p>
    <w:p>
      <w:pPr>
        <w:pStyle w:val="Heading2"/>
      </w:pPr>
      <w:r>
        <w:t>검증 주의사항: 원전·가정·실행값 세 범주</w:t>
      </w:r>
    </w:p>
    <w:p>
      <w:pPr>
        <w:pStyle w:val="BodyText"/>
      </w:pPr>
      <w:r>
        <w:t>규격에 직접 기재된 값: IEEE 802.3df 출판 상태와 조항 범위, OIF-800ZR 6.1.330/6.1.341/6.1.350, ITU G.652 6.10, NVIDIA PSU 배치. 제조회사의 공개 문서는 해당 모델 및 출판 시점에 한정한다.</w:t>
      </w:r>
    </w:p>
    <w:p>
      <w:pPr>
        <w:pStyle w:val="BodyText"/>
      </w:pPr>
      <w:r>
        <w:t>본 백서 가정: 랙당 45kW, 서버 외 1kW/랙, PUE=1.30, 접속당 0.35dB, 광학 예비 0.50dB, 3개 PSU 상태에서의 60% 전력 캡 후보, CPO 전력 18W/9W 예제. 회사 제품 인증값과 무관하다.</w:t>
      </w:r>
    </w:p>
    <w:p>
      <w:pPr>
        <w:pStyle w:val="BodyText"/>
      </w:pPr>
      <w:r>
        <w:t>실행하지 않은 영역: 실물 고장 전환, 호환 모듈 통합 BER, 광반사/MPI 현장 검증, 웹 도구 live 결과. 실제 결과와 대조 전에는 미검증으로 기록한다.</w:t>
      </w:r>
    </w:p>
    <w:p>
      <w:pPr>
        <w:pStyle w:val="Heading2"/>
      </w:pPr>
      <w:r>
        <w:t>v1.4 추가 개정 이력 및 재현 파일 (2026-10-16)</w:t>
      </w:r>
    </w:p>
    <w:p>
      <w:pPr>
        <w:pStyle w:val="BodyText"/>
      </w:pPr>
      <w:r>
        <w:t>§94에 GitHub 코드 실제 실행값 9개 counts 및 Case B의 백서 직접 비교 가능한 5개 항목을 구분해 표시했다. Node.js 회귀검사 19/19 통과(단선/구리 변경/거리 누락/랙 값 변경/스키마 거부 포함).</w:t>
      </w:r>
    </w:p>
    <w:p>
      <w:pPr>
        <w:pStyle w:val="BodyText"/>
      </w:pPr>
      <w:r>
        <w:t>재현 패키지: datacenter_v14_validation/phase7-bom-engine.js (원본 SHA 검증), caseB_packet.json, caseB_reference.json, make_fixture.py, validate_phase7_caseB.cjs, validate_reference.py, validation_result.json, caseB_comparison.json.</w:t>
      </w:r>
    </w:p>
    <w:p>
      <w:pPr>
        <w:pStyle w:val="BodyText"/>
      </w:pPr>
      <w:r>
        <w:t>v1.3에서 인용한 참고문헌 [R01]~[R51] 및 실제 표준 원문 열람 범위는 바꾸지 않았다. 2026-10-16 GitHub phase7-bom-engine.js 원본 SHA를 재현 식별자로 추가한다. 사이트 배포/브라우저 UI 결과는 미검증 상태다.</w:t>
      </w:r>
    </w:p>
    <w:sectPr>
      <w:headerReference w:type="default" r:id="rId9"/>
      <w:footerReference w:type="default" r:id="rId10"/>
      <w:pgSz w:w="12240" w:h="15840"/>
      <w:pgMar w:top="1008" w:bottom="936" w:left="1152" w:right="1152" w:header="360" w:footer="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2026년 10월 16일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i w:val="0"/>
        <w:sz w:val="16"/>
      </w:rPr>
      <w:t>데이터센터 구성과 설계 계산 백서</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ko-KR"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10" w:lineRule="exact" w:after="120"/>
    </w:pPr>
    <w:rPr>
      <w:rFonts w:ascii="Noto Sans CJK KR" w:hAnsi="Noto Sans CJK KR" w:eastAsia="Noto Sans CJK KR"/>
      <w:color w:val="000000"/>
      <w:sz w:val="21"/>
    </w:rPr>
  </w:style>
  <w:style w:styleId="BodyText" w:type="paragraph">
    <w:name w:val="Body Text"/>
    <w:basedOn w:val="Normal"/>
    <w:link w:val="BodyTextChar"/>
    <w:pPr>
      <w:spacing w:after="120" w:before="180" w:line="310" w:lineRule="exact"/>
    </w:pPr>
    <w:qFormat/>
    <w:rPr>
      <w:rFonts w:ascii="Noto Sans CJK KR" w:hAnsi="Noto Sans CJK KR" w:eastAsia="Noto Sans CJK KR"/>
      <w:color w:val="000000"/>
      <w:sz w:val="21"/>
    </w:rPr>
  </w:style>
  <w:style w:customStyle="1" w:styleId="FirstParagraph" w:type="paragraph">
    <w:name w:val="First Paragraph"/>
    <w:basedOn w:val="BodyText"/>
    <w:next w:val="BodyText"/>
    <w:qFormat/>
    <w:pPr>
      <w:spacing w:line="310" w:lineRule="exact" w:after="120"/>
    </w:pPr>
    <w:rPr>
      <w:rFonts w:ascii="Noto Sans CJK KR" w:hAnsi="Noto Sans CJK KR" w:eastAsia="Noto Sans CJK KR"/>
      <w:color w:val="000000"/>
      <w:sz w:val="21"/>
    </w:rPr>
  </w:style>
  <w:style w:customStyle="1" w:styleId="Compact" w:type="paragraph">
    <w:name w:val="Compact"/>
    <w:basedOn w:val="BodyText"/>
    <w:qFormat/>
    <w:pPr>
      <w:spacing w:after="120" w:before="36" w:line="310" w:lineRule="exact"/>
    </w:pPr>
    <w:rPr>
      <w:rFonts w:ascii="Noto Sans CJK KR" w:hAnsi="Noto Sans CJK KR" w:eastAsia="Noto Sans CJK KR"/>
      <w:color w:val="000000"/>
      <w:sz w:val="21"/>
    </w:rPr>
  </w:style>
  <w:style w:styleId="Title" w:type="paragraph">
    <w:name w:val="Title"/>
    <w:basedOn w:val="Normal"/>
    <w:next w:val="BodyText"/>
    <w:qFormat/>
    <w:pPr>
      <w:keepNext/>
      <w:keepLines/>
      <w:spacing w:after="520" w:before="1300" w:line="310" w:lineRule="exact"/>
      <w:jc w:val="center"/>
    </w:pPr>
    <w:rPr>
      <w:rFonts w:asciiTheme="majorHAnsi" w:cstheme="majorBidi" w:eastAsiaTheme="majorEastAsia" w:hAnsiTheme="majorHAnsi" w:ascii="Noto Sans CJK KR" w:hAnsi="Noto Sans CJK KR" w:eastAsia="Noto Sans CJK KR"/>
      <w:b/>
      <w:bCs/>
      <w:color w:val="000000"/>
      <w:sz w:val="54"/>
      <w:szCs w:val="36"/>
    </w:rPr>
  </w:style>
  <w:style w:styleId="Subtitle" w:type="paragraph">
    <w:name w:val="Subtitle"/>
    <w:basedOn w:val="Title"/>
    <w:next w:val="BodyText"/>
    <w:qFormat/>
    <w:pPr>
      <w:keepNext/>
      <w:keepLines/>
      <w:spacing w:after="120" w:before="240" w:line="310" w:lineRule="exact"/>
      <w:jc w:val="center"/>
    </w:pPr>
    <w:rPr>
      <w:rFonts w:ascii="Noto Sans CJK KR" w:hAnsi="Noto Sans CJK KR" w:eastAsia="Noto Sans CJK KR"/>
      <w:color w:val="000000"/>
      <w:sz w:val="21"/>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spacing w:after="240" w:before="0" w:line="480" w:lineRule="exact"/>
      <w:outlineLvl w:val="0"/>
    </w:pPr>
    <w:rPr>
      <w:rFonts w:asciiTheme="majorHAnsi" w:cstheme="majorBidi" w:eastAsiaTheme="majorEastAsia" w:hAnsiTheme="majorHAnsi" w:ascii="Noto Sans CJK KR" w:hAnsi="Noto Sans CJK KR" w:eastAsia="Noto Sans CJK KR"/>
      <w:b/>
      <w:bCs/>
      <w:color w:val="000000"/>
      <w:sz w:val="34"/>
      <w:szCs w:val="32"/>
    </w:rPr>
  </w:style>
  <w:style w:styleId="Heading2" w:type="paragraph">
    <w:name w:val="Heading 2"/>
    <w:basedOn w:val="Normal"/>
    <w:next w:val="BodyText"/>
    <w:uiPriority w:val="9"/>
    <w:unhideWhenUsed/>
    <w:qFormat/>
    <w:pPr>
      <w:keepNext/>
      <w:keepLines/>
      <w:spacing w:after="100" w:before="200" w:line="340" w:lineRule="exact"/>
      <w:outlineLvl w:val="1"/>
    </w:pPr>
    <w:rPr>
      <w:rFonts w:asciiTheme="majorHAnsi" w:cstheme="majorBidi" w:eastAsiaTheme="majorEastAsia" w:hAnsiTheme="majorHAnsi" w:ascii="Noto Sans CJK KR" w:hAnsi="Noto Sans CJK KR" w:eastAsia="Noto Sans CJK KR"/>
      <w:b/>
      <w:bCs/>
      <w:color w:val="000000"/>
      <w:sz w:val="23"/>
      <w:szCs w:val="28"/>
    </w:rPr>
  </w:style>
  <w:style w:styleId="Heading3" w:type="paragraph">
    <w:name w:val="Heading 3"/>
    <w:basedOn w:val="Normal"/>
    <w:next w:val="BodyText"/>
    <w:uiPriority w:val="9"/>
    <w:unhideWhenUsed/>
    <w:qFormat/>
    <w:pPr>
      <w:keepNext/>
      <w:keepLines/>
      <w:spacing w:after="120" w:before="200" w:line="310" w:lineRule="exact"/>
      <w:outlineLvl w:val="2"/>
    </w:pPr>
    <w:rPr>
      <w:rFonts w:asciiTheme="majorHAnsi" w:cstheme="majorBidi" w:eastAsiaTheme="majorEastAsia" w:hAnsiTheme="majorHAnsi" w:ascii="Noto Sans CJK KR" w:hAnsi="Noto Sans CJK KR" w:eastAsia="Noto Sans CJK KR"/>
      <w:b/>
      <w:bCs/>
      <w:color w:val="000000"/>
      <w:sz w:val="21"/>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line="310" w:lineRule="exact"/>
    </w:pPr>
    <w:rPr>
      <w:rFonts w:ascii="Noto Sans CJK KR" w:hAnsi="Noto Sans CJK KR" w:eastAsia="Noto Sans CJK KR"/>
      <w:i/>
      <w:color w:val="000000"/>
      <w:sz w:val="21"/>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99" Type="http://schemas.openxmlformats.org/officeDocument/2006/relationships/image" Target="media/rId199.png"/><Relationship Id="rId112" Type="http://schemas.openxmlformats.org/officeDocument/2006/relationships/image" Target="media/rId112.png"/><Relationship Id="rId145" Type="http://schemas.openxmlformats.org/officeDocument/2006/relationships/image" Target="media/rId145.png"/><Relationship Id="rId35" Type="http://schemas.openxmlformats.org/officeDocument/2006/relationships/image" Target="media/rId35.png"/><Relationship Id="rId219" Type="http://schemas.openxmlformats.org/officeDocument/2006/relationships/image" Target="media/rId219.png"/><Relationship Id="rId259" Type="http://schemas.openxmlformats.org/officeDocument/2006/relationships/image" Target="media/rId259.png"/><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데이터센터 구성과 설계 계산 백서 v1.4 — GitHub 소스 실행 교차검산</dc:title>
  <dc:creator/>
  <dc:language>ko-KR</dc:language>
  <cp:keywords>Datacenter 800G 1.6T LPO CPO DCI PSU optical budget sensitivity</cp:keywords>
  <dcterms:created xsi:type="dcterms:W3CDTF">2026-10-15T22:28:55Z</dcterms:created>
  <dcterms:modified xsi:type="dcterms:W3CDTF">2026-10-15T22:28:55Z</dcterms:modified>
  <dc:subject>Case B source-level verification; original 100 chapters; 19 Node.js regression checks; browser UI unverified</dc:subject>
</cp:coreProperties>
</file>

<file path=docProps/custom.xml><?xml version="1.0" encoding="utf-8"?>
<Properties xmlns="http://schemas.openxmlformats.org/officeDocument/2006/custom-properties" xmlns:vt="http://schemas.openxmlformats.org/officeDocument/2006/docPropsVTypes"/>
</file>