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2D 전벡터 도파관 모드 해석 결과보고서</w:t>
      </w:r>
    </w:p>
    <w:p>
      <w:pPr>
        <w:pStyle w:val="Subtitle"/>
      </w:pPr>
      <w:r>
        <w:rPr>
          <w:b w:val="0"/>
        </w:rPr>
        <w:t>파이썬 기반 Wave Optics 해석 툴 M2 개발 및 검증</w:t>
      </w:r>
    </w:p>
    <w:p>
      <w:r>
        <w:rPr>
          <w:b w:val="0"/>
        </w:rPr>
        <w:t>작성일 2026년 10월 11일   |   수치 검증 2026년 10월 11일 03시 08분 KST</w:t>
      </w:r>
    </w:p>
    <w:p>
      <w:pPr>
        <w:pStyle w:val="Heading1"/>
      </w:pPr>
      <w:r>
        <w:rPr>
          <w:b w:val="0"/>
        </w:rPr>
        <w:t>1 수행 결과</w:t>
      </w:r>
    </w:p>
    <w:p>
      <w:r>
        <w:rPr>
          <w:b w:val="0"/>
        </w:rPr>
        <w:t>Nédélec 엣지 요소와 P1 Lagrange 혼합 FEM으로 2D 전벡터 모드 솔버를 구현하였다. 실제 Python 3.11.17 실행에서 M2 24개 및 M1 회귀 32개를 합한 56개 테스트가 통과하였다. 실패 0개, pytest 실행 시간 46.529 s이며 기존 M1 경계 감쇠 경고 8건은 그대로 보존하였다.</w:t>
      </w:r>
    </w:p>
    <w:p>
      <w:r>
        <w:rPr>
          <w:b w:val="0"/>
        </w:rPr>
        <w:t>지정된 벤치마크의 고유치, 벡터 전기장, 유효 면적 및 재료 흡수 손실의 검증 기준을 충족하였다. 일반 임의 형상의 정확도와 방사 손실까지 검증한 것은 아니다. M3는 진행하지 않았다.</w:t>
      </w:r>
    </w:p>
    <w:p>
      <w:pPr>
        <w:pStyle w:val="Heading1"/>
      </w:pPr>
      <w:r>
        <w:rPr>
          <w:b w:val="0"/>
        </w:rPr>
        <w:t>2 벤치마크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288"/>
        <w:gridCol w:w="379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직사각형 PEC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Step index 광섬유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굴절률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코어 1.5 / 클래딩 1.0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파장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1.55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형상 μm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폭 1.2 / 높이 0.9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코어 반경 0.3 / 외곽 3.0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대상과 탐색 창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1.4 / (0.85, 1.5)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1.25 / (1.0001, 1.4999)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외곽 조건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물리적 PEC 벽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먼 외곽 PEC 영역 절단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Heading1"/>
      </w:pPr>
      <w:r>
        <w:rPr>
          <w:b w:val="0"/>
        </w:rPr>
        <w:t>3 최세분 메시 고유치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38"/>
        <w:gridCol w:w="2438"/>
        <w:gridCol w:w="221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해석 n_eff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FEM n_eff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절대 오차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TE10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1.353846115907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1.353852714923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6.599016e-06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TE01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1.228205053857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1.228228040094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2.298624e-05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A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1.044694673039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1.044669460698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2.521234e-05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B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1.044694673039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1.044405439676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2.892334e-04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HE11 편광 1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1.188600809262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1.188473416697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1.273926e-04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HE11 편광 2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1.188600809262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1.188472962492</w:t>
            </w:r>
          </w:p>
        </w:tc>
        <w:tc>
          <w:tcPr>
            <w:tcW w:type="dxa" w:w="221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1.278468e-04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Caption"/>
      </w:pPr>
      <w:r>
        <w:rPr>
          <w:b w:val="0"/>
        </w:rPr>
        <w:t>11 분기 A/B는 TE11/TM11의 동일 해석 고유치로 수렴하는 두 수치 분기이다. A/B를 독립적인 TE/TM 장 분류로 해석하지 않는다.</w:t>
      </w:r>
    </w:p>
    <w:p>
      <w:pPr>
        <w:pStyle w:val="Caption"/>
      </w:pPr>
      <w:r>
        <w:rPr>
          <w:b w:val="0"/>
        </w:rPr>
        <w:t>수치 근거는 패키지의 validation_m2.json, convergence_m2.csv, pytest_final.xml, 초기 실패 로그 및 독립 해석 기준 코드이다. 원본 FEM 장은 NPZ, 전체 세부 수식은 Markdown 보고서에 포함하였다.</w:t>
      </w:r>
    </w:p>
    <w:p>
      <w:pPr>
        <w:pStyle w:val="Heading1"/>
        <w:pageBreakBefore/>
      </w:pPr>
      <w:r>
        <w:rPr>
          <w:b w:val="0"/>
        </w:rPr>
        <w:t>4 지배방정식과 경계조건</w:t>
      </w:r>
    </w:p>
    <w:p>
      <w:r>
        <w:rPr>
          <w:b w:val="0"/>
        </w:rPr>
        <w:t>비자성·등방성이고 전파 방향 z에 대해 불변인 매질을 대상으로 한다. M1과 같은 시간 및 전파 convention을 사용한다.</w:t>
      </w:r>
    </w:p>
    <w:p>
      <w:pPr>
        <w:spacing w:after="100" w:before="60"/>
        <w:jc w:val="center"/>
      </w:pPr>
      <m:oMath>
        <m:sSup>
          <m:e>
            <m:r>
              <m:t>e</m:t>
            </m:r>
          </m:e>
          <m:sup>
            <m:r>
              <m:t>iβz − iωt</m:t>
            </m:r>
          </m:sup>
        </m:sSup>
        <m:r>
          <m:t>,  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 = 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,  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t> = </m:t>
        </m:r>
        <m:f>
          <m:num>
            <m:r>
              <m:t>2π</m:t>
            </m:r>
          </m:num>
          <m:den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spacing w:after="100" w:before="60"/>
        <w:jc w:val="center"/>
      </w:pPr>
      <m:oMath>
        <m:sSub>
          <m:e>
            <m:r>
              <m:t>∇</m:t>
            </m:r>
          </m:e>
          <m:sub>
            <m:r>
              <m:t>β</m:t>
            </m:r>
          </m:sub>
        </m:sSub>
        <m:r>
          <m:t> × </m:t>
        </m:r>
        <m:sSub>
          <m:e>
            <m:r>
              <m:t>∇</m:t>
            </m:r>
          </m:e>
          <m:sub>
            <m:r>
              <m:t>β</m:t>
            </m:r>
          </m:sub>
        </m:sSub>
        <m:r>
          <m:t> × E − </m:t>
        </m:r>
        <m:sSup>
          <m:e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  <m:sup>
            <m:r>
              <m:t>2</m:t>
            </m:r>
          </m:sup>
        </m:sSup>
        <m:sSub>
          <m:e>
            <m:r>
              <m:t>ε</m:t>
            </m:r>
          </m:e>
          <m:sub>
            <m:r>
              <m:t>r</m:t>
            </m:r>
          </m:sub>
        </m:sSub>
        <m:r>
          <m:t> E = 0</m:t>
        </m:r>
      </m:oMath>
    </w:p>
    <w:p>
      <w:pPr>
        <w:spacing w:after="100" w:before="60"/>
        <w:jc w:val="center"/>
      </w:pPr>
      <m:oMath>
        <m:sSub>
          <m:e>
            <m:r>
              <m:t>∇</m:t>
            </m:r>
          </m:e>
          <m:sub>
            <m:r>
              <m:t>β</m:t>
            </m:r>
          </m:sub>
        </m:sSub>
        <m:r>
          <m:t> · (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 E) = 0,     </m:t>
        </m:r>
        <m:sSub>
          <m:e>
            <m:r>
              <m:t>∇</m:t>
            </m:r>
          </m:e>
          <m:sub>
            <m:r>
              <m:t>β</m:t>
            </m:r>
          </m:sub>
        </m:sSub>
        <m:r>
          <m:t> = (∂x, ∂y, iβ)</m:t>
        </m:r>
      </m:oMath>
    </w:p>
    <w:p>
      <w:r>
        <w:rPr>
          <w:b w:val="0"/>
        </w:rPr>
        <w:t>외곽 PEC는 접선 전기장 및 종방향 전기장을 0으로 둔다. 광섬유에서는 충분히 먼 외곽에서 적용하는 영역 절단이며, 실제 방사 경계조건과 다르다.</w:t>
      </w:r>
    </w:p>
    <w:p>
      <w:pPr>
        <w:spacing w:after="100" w:before="60"/>
        <w:jc w:val="center"/>
      </w:pPr>
      <m:oMath>
        <m:sSub>
          <m:e>
            <m:r>
              <m:t>e</m:t>
            </m:r>
          </m:e>
          <m:sub>
            <m:r>
              <m:t>t</m:t>
            </m:r>
          </m:sub>
        </m:sSub>
        <m:r>
          <m:t> · t = 0,    φ = 0    on Γ</m:t>
        </m:r>
      </m:oMath>
    </w:p>
    <w:p>
      <w:r>
        <w:rPr>
          <w:b w:val="0"/>
        </w:rPr>
        <w:t>내부 재료 경계에서 접선 E와 Ez의 연속성은 요소 공간으로 유지한다. 법선 D의 연속성은 Gauss 약형식으로 근사하며, 유한 메시에서 점별로 정확하게 강제한 것은 아니다.</w:t>
      </w:r>
    </w:p>
    <w:p>
      <w:pPr>
        <w:pStyle w:val="Heading1"/>
      </w:pPr>
      <w:r>
        <w:rPr>
          <w:b w:val="0"/>
        </w:rPr>
        <w:t>5 혼합 약형식</w:t>
      </w:r>
    </w:p>
    <w:p>
      <w:pPr>
        <w:spacing w:after="100" w:before="60"/>
        <w:jc w:val="center"/>
      </w:pPr>
      <m:oMath>
        <m:r>
          <m:t>E = (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t>, −iβφ),    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t> ∈ H₀(curl, Ω),    φ ∈ </m:t>
        </m:r>
        <m:sSup>
          <m:e>
            <m:r>
              <m:t>H</m:t>
            </m:r>
          </m:e>
          <m:sup>
            <m:r>
              <m:t>1</m:t>
            </m:r>
          </m:sup>
        </m:sSup>
        <m:r>
          <m:t>₀(Ω)</m:t>
        </m:r>
      </m:oMath>
    </w:p>
    <w:p>
      <w:pPr>
        <w:spacing w:after="100" w:before="60"/>
        <w:jc w:val="center"/>
      </w:pPr>
      <m:oMath>
        <m:r>
          <m:t>a = </m:t>
        </m:r>
        <m:sSub>
          <m:e>
            <m:r>
              <m:t>∫</m:t>
            </m:r>
          </m:e>
          <m:sub>
            <m:r>
              <m:t>Ω</m:t>
            </m:r>
          </m:sub>
        </m:sSub>
        <m:r>
          <m:t> [curl 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t> </m:t>
        </m:r>
        <m:acc>
          <m:accPr>
            <m:chr m:val="̅"/>
          </m:accPr>
          <m:e>
            <m:r>
              <m:t>curl vₜ</m:t>
            </m:r>
          </m:e>
        </m:acc>
        <m:r>
          <m:t> − </m:t>
        </m:r>
        <m:sSup>
          <m:e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  <m:sup>
            <m:r>
              <m:t>2</m:t>
            </m:r>
          </m:sup>
        </m:sSup>
        <m:sSub>
          <m:e>
            <m:r>
              <m:t>ε</m:t>
            </m:r>
          </m:e>
          <m:sub>
            <m:r>
              <m:t>r</m:t>
            </m:r>
          </m:sub>
        </m:sSub>
        <m:r>
          <m:t> 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t> · </m:t>
        </m:r>
        <m:acc>
          <m:accPr>
            <m:chr m:val="̅"/>
          </m:accPr>
          <m:e>
            <m:r>
              <m:t>vₜ</m:t>
            </m:r>
          </m:e>
        </m:acc>
        <m:r>
          <m:t>] dA</m:t>
        </m:r>
      </m:oMath>
    </w:p>
    <w:p>
      <w:pPr>
        <w:spacing w:after="100" w:before="60"/>
        <w:jc w:val="center"/>
      </w:pPr>
      <m:oMath>
        <m:r>
          <m:t>b = </m:t>
        </m:r>
        <m:sSub>
          <m:e>
            <m:r>
              <m:t>∫</m:t>
            </m:r>
          </m:e>
          <m:sub>
            <m:r>
              <m:t>Ω</m:t>
            </m:r>
          </m:sub>
        </m:sSub>
        <m:r>
          <m:t> [(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t> + ∇φ) · (</m:t>
        </m:r>
        <m:acc>
          <m:accPr>
            <m:chr m:val="̅"/>
          </m:accPr>
          <m:e>
            <m:r>
              <m:t>vₜ</m:t>
            </m:r>
          </m:e>
        </m:acc>
        <m:r>
          <m:t> + ∇</m:t>
        </m:r>
        <m:acc>
          <m:accPr>
            <m:chr m:val="̅"/>
          </m:accPr>
          <m:e>
            <m:r>
              <m:t>ψ</m:t>
            </m:r>
          </m:e>
        </m:acc>
        <m:r>
          <m:t>) − </m:t>
        </m:r>
        <m:sSup>
          <m:e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  <m:sup>
            <m:r>
              <m:t>2</m:t>
            </m:r>
          </m:sup>
        </m:sSup>
        <m:sSub>
          <m:e>
            <m:r>
              <m:t>ε</m:t>
            </m:r>
          </m:e>
          <m:sub>
            <m:r>
              <m:t>r</m:t>
            </m:r>
          </m:sub>
        </m:sSub>
        <m:r>
          <m:t> φ</m:t>
        </m:r>
        <m:acc>
          <m:accPr>
            <m:chr m:val="̅"/>
          </m:accPr>
          <m:e>
            <m:r>
              <m:t>ψ</m:t>
            </m:r>
          </m:e>
        </m:acc>
        <m:r>
          <m:t>] dA</m:t>
        </m:r>
      </m:oMath>
    </w:p>
    <w:p>
      <w:pPr>
        <w:spacing w:after="100" w:before="60"/>
        <w:jc w:val="center"/>
      </w:pPr>
      <m:oMath>
        <m:r>
          <m:t>a = 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 b</m:t>
        </m:r>
      </m:oMath>
    </w:p>
    <w:p>
      <w:r>
        <w:rPr>
          <w:b w:val="0"/>
        </w:rPr>
        <w:t>위 약형식은 Maxwell 방정식을 전파 상수 고유치 문제로 변환한 것이다. 공식 FEniCS 모드 예제와 동일 계열의 혼합 정식화를 scikit-fem으로 조립하였다. 복소 매질에서도 재료 계수는 켤레로 바꾸지 않는다.</w:t>
      </w:r>
    </w:p>
    <w:p>
      <w:pPr>
        <w:pStyle w:val="Heading1"/>
      </w:pPr>
      <w:r>
        <w:rPr>
          <w:b w:val="0"/>
        </w:rPr>
        <w:t>6 이산화와 고유치 풀이</w:t>
      </w:r>
    </w:p>
    <w:p>
      <w:r>
        <w:rPr>
          <w:b w:val="0"/>
        </w:rPr>
        <w:t>gmsh 정합 삼각형, 최저차 Nédélec 첫 번째 계열 ElementTriN1 및 P1 Lagrange ElementTriP1을 사용한다. 공통 6차 구적을 적용하며, 불연속 재료는 CAD 영역 라벨로 지정한다.</w:t>
      </w:r>
    </w:p>
    <w:p>
      <w:pPr>
        <w:spacing w:after="100" w:before="60"/>
        <w:jc w:val="center"/>
      </w:pPr>
      <m:oMath>
        <m:r>
          <m:t>A = </m:t>
        </m:r>
        <m:d>
          <m:dPr>
            <m:begChr m:val="["/>
            <m:endChr m:val="]"/>
          </m:dPr>
          <m:e>
            <m:m>
              <m:mr>
                <m:e>
                  <m:r>
                    <m:t>Kcurl − k₀²Mε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t>,    B = </m:t>
        </m:r>
        <m:d>
          <m:dPr>
            <m:begChr m:val="["/>
            <m:endChr m:val="]"/>
          </m:dPr>
          <m:e>
            <m:m>
              <m:mr>
                <m:e>
                  <m:r>
                    <m:t>M</m:t>
                  </m:r>
                </m:e>
                <m:e>
                  <m:r>
                    <m:t>G</m:t>
                  </m:r>
                </m:e>
              </m:mr>
              <m:mr>
                <m:e>
                  <m:r>
                    <m:t>Gᵀ</m:t>
                  </m:r>
                </m:e>
                <m:e>
                  <m:r>
                    <m:t>S − k₀²Qε</m:t>
                  </m:r>
                </m:e>
              </m:mr>
            </m:m>
          </m:e>
        </m:d>
      </m:oMath>
    </w:p>
    <w:p>
      <w:pPr>
        <w:spacing w:after="100" w:before="60"/>
        <w:jc w:val="center"/>
      </w:pPr>
      <m:oMath>
        <m:r>
          <m:t>Au = 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 Bu,    σ = −</m:t>
        </m:r>
        <m:sSup>
          <m:e>
            <m:r>
              <m:t>(k₀ n_target)</m:t>
            </m:r>
          </m:e>
          <m:sup>
            <m:r>
              <m:t>2</m:t>
            </m:r>
          </m:sup>
        </m:sSup>
      </m:oMath>
    </w:p>
    <w:p>
      <w:r>
        <w:rPr>
          <w:b w:val="0"/>
        </w:rPr>
        <w:t>특이 블록 A와 부정정 B를 양정정 질량 문제로 취급하지 않는다. LU 기반 (A−σB)⁻¹B의 일반 ARPACK eigs를 풀고 λ=σ+1/θ, β=√(−λ)로 복원한다. 대상 주변의 유한 후보만 탐색하므로 창 전체의 모드 완전성을 보장하지 않는다.</w:t>
      </w:r>
    </w:p>
    <w:p>
      <w:pPr>
        <w:pStyle w:val="Heading1"/>
        <w:pageBreakBefore/>
      </w:pPr>
      <w:r>
        <w:rPr>
          <w:b w:val="0"/>
        </w:rPr>
        <w:t>7 독립 해석 기준</w:t>
      </w:r>
    </w:p>
    <w:p>
      <w:r>
        <w:rPr>
          <w:b w:val="0"/>
        </w:rPr>
        <w:t>기준 코드는 FEM 솔버를 import하지 않는다. 초기 M2 pytest를 솔버 전에 작성하고 실행하여 2개 통과 및 모듈 미존재에 의한 18개 실패를 기록하였다. 초기 두 테스트 파일의 SHA256과 허용오차를 고정하였다.</w:t>
      </w:r>
    </w:p>
    <w:p>
      <w:r>
        <w:rPr>
          <w:b w:val="0"/>
        </w:rPr>
        <w:t>직사각형 PEC의 TE/TM 해석식은 다음과 같다. 아래 m, l은 모드 번호이고 n은 굴절률이다. TE는 두 번호가 동시에 0일 수 없고, TM은 두 번호 모두 1 이상이다.</w:t>
      </w:r>
    </w:p>
    <w:p>
      <w:pPr>
        <w:spacing w:after="100" w:before="60"/>
        <w:jc w:val="center"/>
      </w:pPr>
      <m:oMath>
        <m:sSub>
          <m:e>
            <m:r>
              <m:t>n</m:t>
            </m:r>
          </m:e>
          <m:sub>
            <m:r>
              <m:t>eff,ml</m:t>
            </m:r>
          </m:sub>
        </m:sSub>
        <m:r>
          <m:t> = </m:t>
        </m:r>
        <m:rad>
          <m:radPr>
            <m:degHide m:val="1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r>
                  <m:t>(λ₀/2)</m:t>
                </m:r>
              </m:e>
              <m:sup>
                <m:r>
                  <m:t>2</m:t>
                </m:r>
              </m:sup>
            </m:sSup>
            <m:r>
              <m:t> [</m:t>
            </m:r>
            <m:sSup>
              <m:e>
                <m:r>
                  <m:t>(m/a)</m:t>
                </m:r>
              </m:e>
              <m:sup>
                <m:r>
                  <m:t>2</m:t>
                </m:r>
              </m:sup>
            </m:sSup>
            <m:r>
              <m:t> + </m:t>
            </m:r>
            <m:sSup>
              <m:e>
                <m:r>
                  <m:t>(l/b)</m:t>
                </m:r>
              </m:e>
              <m:sup>
                <m:r>
                  <m:t>2</m:t>
                </m:r>
              </m:sup>
            </m:sSup>
            <m:r>
              <m:t>]</m:t>
            </m:r>
          </m:e>
        </m:rad>
      </m:oMath>
    </w:p>
    <w:p>
      <w:pPr>
        <w:spacing w:after="100" w:before="60"/>
        <w:jc w:val="center"/>
      </w:pPr>
      <m:oMath>
        <m:sSub>
          <m:e>
            <m:r>
              <m:t>E</m:t>
            </m:r>
          </m:e>
          <m:sub>
            <m:r>
              <m:t>y</m:t>
            </m:r>
          </m:sub>
        </m:sSub>
        <m:r>
          <m:t> ∝ sin(πx/a)    for TE10,    </m:t>
        </m:r>
        <m:sSub>
          <m:e>
            <m:r>
              <m:t>A</m:t>
            </m:r>
          </m:e>
          <m:sub>
            <m:r>
              <m:t>eff</m:t>
            </m:r>
          </m:sub>
        </m:sSub>
        <m:r>
          <m:t> = 2ab/3 = 0.72 μm²</m:t>
        </m:r>
      </m:oMath>
    </w:p>
    <w:p>
      <w:r>
        <w:rPr>
          <w:b w:val="0"/>
        </w:rPr>
        <w:t>원형 광섬유에는 스칼라 LP 근사를 사용하지 않았다. J1 및 K1의 완전 벡터 혼성 특성방정식으로 HE11 근을 구한다. 도함수는 해당 Bessel 함수 인자에 대한 도함수이다.</w:t>
      </w:r>
    </w:p>
    <w:p>
      <w:pPr>
        <w:spacing w:after="100" w:before="60"/>
        <w:jc w:val="center"/>
      </w:pPr>
      <m:oMath>
        <m:r>
          <m:t>U = a</m:t>
        </m:r>
        <m:sSub>
          <m:e>
            <m:r>
              <m:t>k</m:t>
            </m:r>
          </m:e>
          <m:sub>
            <m:r>
              <m:t>0</m:t>
            </m:r>
          </m:sub>
        </m:sSub>
        <m:rad>
          <m:radPr>
            <m:degHide m:val="1"/>
          </m:radPr>
          <m:deg/>
          <m:e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eff</m:t>
                    </m:r>
                  </m:sub>
                </m:sSub>
              </m:e>
              <m:sup>
                <m:r>
                  <m:t>2</m:t>
                </m:r>
              </m:sup>
            </m:sSup>
          </m:e>
        </m:rad>
        <m:r>
          <m:t>,    W = a</m:t>
        </m:r>
        <m:sSub>
          <m:e>
            <m:r>
              <m:t>k</m:t>
            </m:r>
          </m:e>
          <m:sub>
            <m:r>
              <m:t>0</m:t>
            </m:r>
          </m:sub>
        </m:sSub>
        <m:rad>
          <m:radPr>
            <m:degHide m:val="1"/>
          </m:radPr>
          <m:deg/>
          <m:e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eff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 − </m:t>
            </m:r>
            <m:sSup>
              <m:e>
                <m:sSub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</m:e>
              <m:sup>
                <m:r>
                  <m:t>2</m:t>
                </m:r>
              </m:sup>
            </m:sSup>
          </m:e>
        </m:rad>
      </m:oMath>
    </w:p>
    <w:p>
      <w:pPr>
        <w:spacing w:after="100" w:before="60"/>
        <w:jc w:val="center"/>
      </w:pPr>
      <m:oMath>
        <m:r>
          <m:t>P = </m:t>
        </m:r>
        <m:f>
          <m:num>
            <m:r>
              <m:t>J′₁(U)</m:t>
            </m:r>
          </m:num>
          <m:den>
            <m:r>
              <m:t>U J₁(U)</m:t>
            </m:r>
          </m:den>
        </m:f>
        <m:r>
          <m:t>,    Q = </m:t>
        </m:r>
        <m:f>
          <m:num>
            <m:r>
              <m:t>K′₁(W)</m:t>
            </m:r>
          </m:num>
          <m:den>
            <m:r>
              <m:t>W K₁(W)</m:t>
            </m:r>
          </m:den>
        </m:f>
      </m:oMath>
    </w:p>
    <w:p>
      <w:pPr>
        <w:spacing w:after="100" w:before="60"/>
        <w:jc w:val="center"/>
      </w:pPr>
      <m:oMath>
        <m:r>
          <m:t>(P+Q)(</m:t>
        </m:r>
        <m:sSup>
          <m:e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e>
          <m:sup>
            <m:r>
              <m:t>2</m:t>
            </m:r>
          </m:sup>
        </m:sSup>
        <m:r>
          <m:t>P+</m:t>
        </m:r>
        <m:sSup>
          <m:e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e>
          <m:sup>
            <m:r>
              <m:t>2</m:t>
            </m:r>
          </m:sup>
        </m:sSup>
        <m:r>
          <m:t>Q) = </m:t>
        </m:r>
        <m:sSup>
          <m:e>
            <m:sSub>
              <m:e>
                <m:r>
                  <m:t>n</m:t>
                </m:r>
              </m:e>
              <m:sub>
                <m:r>
                  <m:t>eff</m:t>
                </m:r>
              </m:sub>
            </m:sSub>
          </m:e>
          <m:sup>
            <m:r>
              <m:t>2</m:t>
            </m:r>
          </m:sup>
        </m:sSup>
        <m:sSup>
          <m:e>
            <m:r>
              <m:t>(1/U²+1/W²)</m:t>
            </m:r>
          </m:e>
          <m:sup>
            <m:r>
              <m:t>2</m:t>
            </m:r>
          </m:sup>
        </m:sSup>
      </m:oMath>
    </w:p>
    <w:p>
      <w:r>
        <w:rPr>
          <w:b w:val="0"/>
        </w:rPr>
        <w:t>무한 클래딩 해석근은 n_eff=1.188600809261684, 해석장 적분 면적은 0.578879527256633 μm²이다. 무손실 근은 Brent법, 흡수 매질의 복소 근은 독립 특성방정식의 실수·허수 연립방정식으로 계산하였다.</w:t>
      </w:r>
    </w:p>
    <w:p>
      <w:r>
        <w:rPr>
          <w:b w:val="0"/>
        </w:rPr>
        <w:t>해석 전기장은 Ez/Hz의 J1·K1 표현과 Maxwell 관계식으로 구성하고, 접선 E, Ez 및 법선 D 연속성도 검사하였다. 면적은 해석장의 반경 적분과 각도 적분으로 구했다. FEM 출력에서 기준값을 만들지 않았다.</w:t>
      </w:r>
    </w:p>
    <w:p>
      <w:pPr>
        <w:pStyle w:val="Heading1"/>
      </w:pPr>
      <w:r>
        <w:rPr>
          <w:b w:val="0"/>
        </w:rPr>
        <w:t>8 출력의 정의</w:t>
      </w:r>
    </w:p>
    <w:p>
      <w:pPr>
        <w:spacing w:after="100" w:before="60"/>
        <w:jc w:val="center"/>
      </w:pPr>
      <m:oMath>
        <m:sSub>
          <m:e>
            <m:r>
              <m:t>n</m:t>
            </m:r>
          </m:e>
          <m:sub>
            <m:r>
              <m:t>eff</m:t>
            </m:r>
          </m:sub>
        </m:sSub>
        <m:r>
          <m:t> = β/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t>,    </m:t>
        </m:r>
        <m:sSub>
          <m:e>
            <m:r>
              <m:t>A</m:t>
            </m:r>
          </m:e>
          <m:sub>
            <m:r>
              <m:t>eff</m:t>
            </m:r>
          </m:sub>
        </m:sSub>
        <m:r>
          <m:t> = </m:t>
        </m:r>
        <m:f>
          <m:num>
            <m:sSup>
              <m:e>
                <m:r>
                  <m:t>(∫ |E|² dA)</m:t>
                </m:r>
              </m:e>
              <m:sup>
                <m:r>
                  <m:t>2</m:t>
                </m:r>
              </m:sup>
            </m:sSup>
          </m:num>
          <m:den>
            <m:r>
              <m:t>∫ |E|⁴ dA</m:t>
            </m:r>
          </m:den>
        </m:f>
      </m:oMath>
    </w:p>
    <w:p>
      <w:pPr>
        <w:spacing w:after="100" w:before="60"/>
        <w:jc w:val="center"/>
      </w:pPr>
      <m:oMath>
        <m:sSub>
          <m:e>
            <m:r>
              <m:t>L</m:t>
            </m:r>
          </m:e>
          <m:sub>
            <m:r>
              <m:t>dB/m</m:t>
            </m:r>
          </m:sub>
        </m:sSub>
        <m:r>
          <m:t> = </m:t>
        </m:r>
        <m:f>
          <m:num>
            <m:r>
              <m:t>20</m:t>
            </m:r>
          </m:num>
          <m:den>
            <m:r>
              <m:t>ln 10</m:t>
            </m:r>
          </m:den>
        </m:f>
        <m:r>
          <m:t> Im(</m:t>
        </m:r>
        <m:sSub>
          <m:e>
            <m:r>
              <m:t>β</m:t>
            </m:r>
          </m:e>
          <m:sub>
            <m:r>
              <m:t>μm⁻¹</m:t>
            </m:r>
          </m:sub>
        </m:sSub>
        <m:r>
          <m:t>) × </m:t>
        </m:r>
        <m:sSup>
          <m:e>
            <m:r>
              <m:t>10</m:t>
            </m:r>
          </m:e>
          <m:sup>
            <m:r>
              <m:t>6</m:t>
            </m:r>
          </m:sup>
        </m:sSup>
      </m:oMath>
    </w:p>
    <w:p>
      <w:r>
        <w:rPr>
          <w:b w:val="0"/>
        </w:rPr>
        <w:t>모든 길이 입력은 μm이다. 장은 ∫|E|²dA=1로 정규화하며 1 W 또는 절대 V/m가 아니다. 자기장은 Z0H=curlβ(E)/(ik0)로 반환한다. 면적은 전기장 기준이며 다른 에너지·포인팅·Kerr 가중 정의와 동일하다고 가정하지 않는다.</w:t>
      </w:r>
    </w:p>
    <w:p>
      <w:pPr>
        <w:pStyle w:val="Heading1"/>
      </w:pPr>
      <w:r>
        <w:rPr>
          <w:b w:val="0"/>
        </w:rPr>
        <w:t>9 잔차와 스퓨리어스 모드 검사</w:t>
      </w:r>
    </w:p>
    <w:p>
      <w:r>
        <w:rPr>
          <w:b w:val="0"/>
        </w:rPr>
        <w:t>고유치 잔차는 ||Au−λBu||/(||Au||+|λ|||Bu||)이다. 이산 Gauss 제약 Gεᵀe_t=β²Qεφ의 차는 k0²||Mεe_t||+|β|²||Qεφ||로 나눈다. 이는 이산 행렬 규모 정규화이며 점별 발산 오차가 아니다. 호환 gradient의 curl-free 성질, 지정 창의 해석적 모드 수·중복도 및 두 잔차를 함께 검사하였다.</w:t>
      </w:r>
    </w:p>
    <w:p>
      <w:pPr>
        <w:pStyle w:val="Heading1"/>
        <w:pageBreakBefore/>
      </w:pPr>
      <w:r>
        <w:rPr>
          <w:b w:val="0"/>
        </w:rPr>
        <w:t>10 직사각형 메시 수렴</w:t>
      </w:r>
    </w:p>
    <w:p>
      <w:r>
        <w:rPr>
          <w:b w:val="0"/>
        </w:rPr>
        <w:t>p=log(e_coarse/e_fine)/log(h_coarse/h_fine). 아래 실제 h_max는 최대 삼각형 엣지 길이이다. 목표 h는 지름 상한이며 좌표 간격을 h/2 이하로 두어 실제 지름은 더 작다.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268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목표 h μm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실제 h_max μm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삼각형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자유 DOF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0.084852814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1131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0.042426407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2400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4661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0.021213203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9600</w:t>
            </w:r>
          </w:p>
        </w:tc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18921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531"/>
        <w:gridCol w:w="2608"/>
        <w:gridCol w:w="2324"/>
        <w:gridCol w:w="1361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목표 h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FEM n_eff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절대 오차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TE10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1.353951774113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1.056582e-04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TE01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1.228572276356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3.672225e-04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A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1.044296011094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3.986619e-04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B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1.040050439009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4.644234e-03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TE10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1.353872515672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2.639976e-05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2.000808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TE01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1.228296970700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9.191684e-05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1.998253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A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1.044594059809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1.006132e-04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1.986346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B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1.043536918609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1.157754e-03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2.004111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TE10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1.353852714923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6.599016e-06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2.000202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TE01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1.228228040094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2.298624e-05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1.999559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A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1.044669460698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2.521234e-05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1.996618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B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1.044405439676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2.892334e-04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2.001023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전체 4개 분기의 관측 기울기는 1.986346~2.004111이다. 고유치 오차는 약 2차로 감소하였다. 특히 11 분기 B의 최종 오차는 2.892334e−4로 고정 기준 3e−4를 충족한다.</w:t>
      </w:r>
    </w:p>
    <w:p>
      <w:pPr>
        <w:pStyle w:val="Heading1"/>
      </w:pPr>
      <w:r>
        <w:rPr>
          <w:b w:val="0"/>
        </w:rPr>
        <w:t>11 기본 모드 장과 면적 수렴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438"/>
        <w:gridCol w:w="1928"/>
        <w:gridCol w:w="1928"/>
        <w:gridCol w:w="1531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목표 h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A_eff μm²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면적 상대 오차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장 상대 L2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장 p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0.12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0.720986439392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0.137005%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4.534127%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0.720246708406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0.034265%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2.267203%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0.999911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0.720061683059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0.008567%</w:t>
            </w:r>
          </w:p>
        </w:tc>
        <w:tc>
          <w:tcPr>
            <w:tcW w:type="dxa" w:w="192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1.133619%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0.999978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최저차 엣지 요소의 장 L2 오차는 약 1차로 감소하며, 고유치의 2차 수렴과 구별된다. 면적은 독립 해석값 0.72 μm²와 비교하였다.</w:t>
      </w:r>
    </w:p>
    <w:p>
      <w:pPr>
        <w:pStyle w:val="Heading1"/>
        <w:pageBreakBefore/>
      </w:pPr>
      <w:r>
        <w:rPr>
          <w:b w:val="0"/>
        </w:rPr>
        <w:t>12 벡터 광섬유 메시 수렴</w:t>
      </w:r>
    </w:p>
    <w:p>
      <w:r>
        <w:rPr>
          <w:b w:val="0"/>
        </w:rPr>
        <w:t>gmsh 목표 h와 실제 코어 h_max가 다르므로 두 기준을 함께 보고한다. 외곽 클래딩은 목표 크기의 최대 5배로 성장시킨다. 수렴 오차에는 요소 오차와 원 경계의 다각형 근사 오차가 포함된다.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041"/>
        <w:gridCol w:w="2041"/>
        <w:gridCol w:w="1701"/>
        <w:gridCol w:w="1701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목표 h μm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실제 코어 h_max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전체 h_max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삼각형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자유 DOF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0.09650130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0.38174194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1518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2973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0.05380094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0.20067229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5878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11629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0.015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0.02859546</w:t>
            </w:r>
          </w:p>
        </w:tc>
        <w:tc>
          <w:tcPr>
            <w:tcW w:type="dxa" w:w="204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0.10329615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22880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45509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134"/>
        <w:gridCol w:w="3118"/>
        <w:gridCol w:w="3288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목표 h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편광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FEM n_eff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절대 오차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1.186622347462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1.978462e-03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1.186579696385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2.021113e-03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1.188099545930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5.012633e-04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1.188092128300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5.086810e-04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0.015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1.188473416697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1.273926e-04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0.015</w:t>
            </w:r>
          </w:p>
        </w:tc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1.188472962492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1.278468e-04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이전 단계 → 다음 단계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p 목표 h 기준</w:t>
            </w:r>
          </w:p>
        </w:tc>
        <w:tc>
          <w:tcPr>
            <w:tcW w:type="dxa" w:w="283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p 실제 코어 h_max 기준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0.06 → 0.03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1.990317</w:t>
            </w:r>
          </w:p>
        </w:tc>
        <w:tc>
          <w:tcPr>
            <w:tcW w:type="dxa" w:w="283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2.361225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0.03 → 0.015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1.992345</w:t>
            </w:r>
          </w:p>
        </w:tc>
        <w:tc>
          <w:tcPr>
            <w:tcW w:type="dxa" w:w="283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2.184960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Caption"/>
      </w:pPr>
      <w:r>
        <w:rPr>
          <w:b w:val="0"/>
        </w:rPr>
        <w:t>기울기는 두 편광 중 최대 절대 고유치 오차로 계산한다. 실제 최대 요소 크기가 정확히 절반으로 줄지 않으므로 두 기울기가 다르다.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23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m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그림 1  독립 해석근 대비 고유치 오차의 log–log 수렴. 광섬유 x축은 실제 코어 최대 엣지 길이이며 점선은 2차 가이드이다.</w:t>
      </w:r>
    </w:p>
    <w:p>
      <w:pPr>
        <w:pStyle w:val="Heading1"/>
        <w:pageBreakBefore/>
      </w:pPr>
      <w:r>
        <w:rPr>
          <w:b w:val="0"/>
        </w:rPr>
        <w:t>13 벡터 필드 및 유효 면적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41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_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그림 2  최세분 광섬유 HE11 첫 수치 편광의 Ex, Ey, Ez 및 전체 세기. 구적점으로부터 계산한 셀 평균이며 청색 원은 코어 경계이다. 원본 장 계수는 NPZ에 보존하였다.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편광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A_eff μm²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면적 상대 오차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장 상대 L2 오차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0.579334610033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0.078614%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1.695821%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0.579330458496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0.077897%</w:t>
            </w:r>
          </w:p>
        </w:tc>
        <w:tc>
          <w:tcPr>
            <w:tcW w:type="dxa" w:w="255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1.695002%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HE11은 퇴화 편광 쌍이므로 독립 해석 편광 둘이 생성하는 부분공간과 비교하였다. 수치 편광 1·2의 방향을 고정된 물리 축으로 해석하지 않는다.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171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7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그림 3  직사각형 TE10 전기장 선 프로파일. 전체 복소 위상을 정렬해 독립 해석장과 비교하였다. 표시된 절단선의 좌표는 y=0.44999 μm이다.</w:t>
      </w:r>
    </w:p>
    <w:p>
      <w:pPr>
        <w:pStyle w:val="Heading1"/>
        <w:pageBreakBefore/>
      </w:pPr>
      <w:r>
        <w:rPr>
          <w:b w:val="0"/>
        </w:rPr>
        <w:t>14 복소 유효 굴절률과 흡수 손실</w:t>
      </w:r>
    </w:p>
    <w:p>
      <w:r>
        <w:rPr>
          <w:b w:val="0"/>
        </w:rPr>
        <w:t>직사각형은 n=1.5+0.001i, 광섬유는 코어 n=1.5+0.001i 및 클래딩 n=1+0.0002i를 사용하였다. 검증용 입력값이며 실제 실리카 물성값을 의미하지 않는다. Im(n)&gt;0 및 Im(β)&gt;0은 e^(iβz−iωt)에서 감쇠에 해당한다.</w:t>
      </w:r>
    </w:p>
    <w:p>
      <w:r>
        <w:rPr>
          <w:b w:val="0"/>
        </w:rPr>
        <w:t>직사각형은 복소 굴절률을 폐형식에 대입하고, 광섬유는 복소 Bessel 특성방정식의 독립 근과 비교하였다. 손실 기준값을 FEM 장이나 FEM 고유치에서 만들지 않았다.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231"/>
        <w:gridCol w:w="328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type="dxa" w:w="32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Re FEM n_eff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Im FEM n_eff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TE10</w:t>
            </w:r>
          </w:p>
        </w:tc>
        <w:tc>
          <w:tcPr>
            <w:tcW w:type="dxa" w:w="32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1.353852798961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0.001107949107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TE01</w:t>
            </w:r>
          </w:p>
        </w:tc>
        <w:tc>
          <w:tcPr>
            <w:tcW w:type="dxa" w:w="32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1.228228240181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0.001221271382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A</w:t>
            </w:r>
          </w:p>
        </w:tc>
        <w:tc>
          <w:tcPr>
            <w:tcW w:type="dxa" w:w="32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1.044669968847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0.001435860171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B</w:t>
            </w:r>
          </w:p>
        </w:tc>
        <w:tc>
          <w:tcPr>
            <w:tcW w:type="dxa" w:w="323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1.044405948452</w:t>
            </w:r>
          </w:p>
        </w:tc>
        <w:tc>
          <w:tcPr>
            <w:tcW w:type="dxa" w:w="328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0.001436223149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Caption"/>
      </w:pPr>
      <w:r>
        <w:rPr>
          <w:b w:val="0"/>
        </w:rPr>
        <w:t>표 1  흡수 직사각형의 복소 유효 굴절률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608"/>
        <w:gridCol w:w="175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해석 손실 dB/m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FEM 손실 dB/m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상대 오차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TE10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39010.759522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39010.569374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0.000487%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TE01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43001.418831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43000.614062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0.001871%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A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50555.003498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50556.223602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0.002413%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11 분기 B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50555.003498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50569.003953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0.027694%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Caption"/>
      </w:pPr>
      <w:r>
        <w:rPr>
          <w:b w:val="0"/>
        </w:rPr>
        <w:t>표 2  흡수 직사각형의 손실 검증</w:t>
      </w:r>
    </w:p>
    <w:p>
      <w:r>
        <w:rPr>
          <w:b w:val="0"/>
        </w:rPr>
        <w:t>흡수 광섬유의 독립 해석근은 1.188600387978+0.000878304557i이며, 해석 손실은 47933.518786 dB/m이다.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324"/>
        <w:gridCol w:w="2324"/>
        <w:gridCol w:w="1984"/>
        <w:gridCol w:w="1361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7"/>
              </w:rPr>
              <w:t>편광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7"/>
              </w:rPr>
              <w:t>Re FEM n_eff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7"/>
              </w:rPr>
              <w:t>Im FEM n_eff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7"/>
              </w:rPr>
              <w:t>손실 dB/m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7"/>
              </w:rPr>
              <w:t>손실 상대 오차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1.188472995312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0.000877974388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47915.499787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0.037592%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1.188472541108</w:t>
            </w:r>
          </w:p>
        </w:tc>
        <w:tc>
          <w:tcPr>
            <w:tcW w:type="dxa" w:w="232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0.000877971395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47915.336452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7"/>
              </w:rPr>
              <w:t>0.037932%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Caption"/>
      </w:pPr>
      <w:r>
        <w:rPr>
          <w:b w:val="0"/>
        </w:rPr>
        <w:t>표 3  흡수 광섬유의 복소 고유치와 손실</w:t>
      </w:r>
    </w:p>
    <w:p>
      <w:r>
        <w:rPr>
          <w:b w:val="0"/>
        </w:rPr>
        <w:t>이 결과는 재료 흡수 감쇠를 검증한다. PEC 외곽은 외부로 방사되는 에너지를 표현하지 못하므로 방사·누설·굽힘 손실을 검증한 결과로 사용할 수 없다.</w:t>
      </w:r>
    </w:p>
    <w:p>
      <w:pPr>
        <w:pStyle w:val="Heading1"/>
      </w:pPr>
      <w:r>
        <w:rPr>
          <w:b w:val="0"/>
        </w:rPr>
        <w:t>15 계산 잔차</w:t>
      </w:r>
    </w:p>
    <w:p>
      <w:r>
        <w:rPr>
          <w:b w:val="0"/>
        </w:rPr>
        <w:t>보고서에 수록한 수렴 및 흡수 계산의 최대 고유치 잔차는 1.301507e-12, 최대 이산 Gauss 잔차는 8.702646e-14로 고정 기준 1e−8을 충족하였다. 작은 대수적 잔차는 독립 해석해 대비 이산화 오차가 작다는 보증은 아니다.</w:t>
      </w:r>
    </w:p>
    <w:p>
      <w:pPr>
        <w:pStyle w:val="Heading1"/>
        <w:pageBreakBefore/>
      </w:pPr>
      <w:r>
        <w:rPr>
          <w:b w:val="0"/>
        </w:rPr>
        <w:t>16 외곽 경계 검증</w:t>
      </w:r>
    </w:p>
    <w:p>
      <w:r>
        <w:rPr>
          <w:b w:val="0"/>
        </w:rPr>
        <w:t>목표 h=0.02 μm를 유지하고 외곽 R=2, 2.5, 3 μm를 재메싱하였다. FEM 평균 n_eff의 변화는 외곽 효과와 재메싱 효과를 함께 포함하므로 순수 경계 오차로 해석하지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608"/>
        <w:gridCol w:w="2608"/>
        <w:gridCol w:w="2438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R μm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FEM 평균 n_eff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유한 PEC 해석 n_eff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이전 R 대비 FEM 차이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1.188375261411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1.188600798636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1.188375468086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1.188600809140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2.066747e-07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1.188374997502</w:t>
            </w:r>
          </w:p>
        </w:tc>
        <w:tc>
          <w:tcPr>
            <w:tcW w:type="dxa" w:w="260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1.188600809260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4.705839e-07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순수 절단 영향은 독립적인 유한 원형 클래딩의 Maxwell 해석해로 계산하였다. 클래딩 Ez에는 K1−cD I1, Hz에는 K1−cN I1을 사용하며, cD=K1(κR)/I1(κR), cN=K1′(κR)/I1′(κR)로 PEC를 만족한다. 접선 E/H 연속성의 2×2 행렬식 근을 구하고 무한 클래딩 근과 비교하였다.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85"/>
        <w:gridCol w:w="3969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R μm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유한 PEC 해석 n_eff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무한 클래딩 대비 절대 차이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1.188501955486391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9.885378e-05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1.188599839536414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9.697253e-07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1.188600798636417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1.062527e-08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1.188600809139625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1.220581e-10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1.188600809260273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1.410871e-12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pPr>
        <w:pStyle w:val="Caption"/>
      </w:pPr>
      <w:r>
        <w:rPr>
          <w:b w:val="0"/>
        </w:rPr>
        <w:t>해석 경계 차이는 R=3 μm에서 약 1.41e−12이다. FEM의 다각형 원 경계 오차는 이 해석 차이에 포함되지 않는다. 매우 작은 차이는 부동소수점 근 찾기의 한계도 포함한다.</w:t>
      </w:r>
    </w:p>
    <w:p>
      <w:pPr>
        <w:pStyle w:val="Heading1"/>
      </w:pPr>
      <w:r>
        <w:rPr>
          <w:b w:val="0"/>
        </w:rPr>
        <w:t>17 실패 분석과 수정</w:t>
      </w:r>
    </w:p>
    <w:p>
      <w:r>
        <w:rPr>
          <w:b w:val="0"/>
        </w:rPr>
        <w:t>첫 직사각형 구현에서는 h를 좌표 간격으로 처리해 삼각형 지름이 입력값을 초과했다. 11 분기의 오차 1.157754e−3 및 첫 TE10 수렴 기울기 1.716234가 고정 기준을 만족하지 못했다. 메시 크기 계약을 지름 상한으로 정리하고 좌표 간격≤h/2로 생성하여 이산화 오차를 줄였다. 정식화가 변경된 것은 아니며 테스트 및 허용오차는 유지하였다.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38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실행 단계</w:t>
            </w:r>
          </w:p>
        </w:tc>
        <w:tc>
          <w:tcPr>
            <w:tcW w:type="dxa" w:w="5386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실제 결과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솔버 코드 작성 전</w:t>
            </w:r>
          </w:p>
        </w:tc>
        <w:tc>
          <w:tcPr>
            <w:tcW w:type="dxa" w:w="5386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M2 2 통과 / 18 모듈 미존재 실패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첫 직사각형 구현</w:t>
            </w:r>
          </w:p>
        </w:tc>
        <w:tc>
          <w:tcPr>
            <w:tcW w:type="dxa" w:w="5386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12 통과 / 3 실패 / 광섬유 5 제외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첫 광섬유 구현</w:t>
            </w:r>
          </w:p>
        </w:tc>
        <w:tc>
          <w:tcPr>
            <w:tcW w:type="dxa" w:w="5386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 통과 / 나머지 15 제외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직사각형 메시 수정</w:t>
            </w:r>
          </w:p>
        </w:tc>
        <w:tc>
          <w:tcPr>
            <w:tcW w:type="dxa" w:w="5386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15 통과 / 광섬유 5 제외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최종 M1 및 M2</w:t>
            </w:r>
          </w:p>
        </w:tc>
        <w:tc>
          <w:tcPr>
            <w:tcW w:type="dxa" w:w="5386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56 통과 / 실패 0 / 경고 8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초기 테스트 파일 두 개의 SHA256 일치를 확인하였다. 초기 실패 및 수정 후 기록, 원시 수치와 최종 JUnit 결과는 패키지에 포함하였다.</w:t>
      </w:r>
    </w:p>
    <w:p>
      <w:pPr>
        <w:pStyle w:val="Heading1"/>
        <w:pageBreakBefore/>
      </w:pPr>
      <w:r>
        <w:rPr>
          <w:b w:val="0"/>
        </w:rPr>
        <w:t>18 완료 판정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685"/>
        <w:gridCol w:w="1587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고정 허용 기준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1"/>
          </w:tcPr>
          <w:p>
            <w:pPr>
              <w:spacing w:before="20" w:after="20" w:line="247" w:lineRule="auto"/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직사각형 고유치 절대 오차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3e−4 미만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광섬유 고유치 절대 오차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2e−4 미만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기본 모드 장 및 면적 상대 오차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장 3% / 면적 2% 미만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고유치 및 이산 Gauss 잔차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각 1e−8 미만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흡수 감쇠 상대 오차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0.2% 미만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통과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3단계 수렴 및 해석 모드 수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해석 기준·고정 기울기 범위</w:t>
            </w:r>
          </w:p>
        </w:tc>
        <w:tc>
          <w:tcPr>
            <w:tcW w:type="dxa" w:w="1587"/>
            <w:vAlign w:val="center"/>
            <w:tcMar>
              <w:top w:w="55" w:type="dxa"/>
              <w:bottom w:w="55" w:type="dxa"/>
              <w:left w:w="65" w:type="dxa"/>
              <w:right w:w="6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20" w:after="20" w:line="247" w:lineRule="auto"/>
              <w:jc w:val="center"/>
            </w:pPr>
            <w:r>
              <w:rPr>
                <w:b w:val="0"/>
                <w:sz w:val="18"/>
              </w:rPr>
              <w:t>통과</w:t>
            </w:r>
          </w:p>
        </w:tc>
      </w:tr>
    </w:tbl>
    <w:p>
      <w:pPr>
        <w:spacing w:after="20" w:before="0" w:line="120" w:lineRule="auto"/>
      </w:pPr>
      <w:r>
        <w:rPr>
          <w:sz w:val="4"/>
        </w:rPr>
      </w:r>
    </w:p>
    <w:p>
      <w:r>
        <w:rPr>
          <w:b w:val="0"/>
        </w:rPr>
        <w:t>M2의 설정된 벤치마크 완료 기준을 충족하였다. 추가 4개 M2 검증은 흡수 광섬유 복소 근, gradient 호환성, 보간/NPZ 출력 및 유한 경계 해석근을 검사하였다. 아래 적용 범위를 벗어나는 문제의 정확성은 별도로 확인해야 한다.</w:t>
      </w:r>
    </w:p>
    <w:p>
      <w:pPr>
        <w:pStyle w:val="Heading1"/>
      </w:pPr>
      <w:r>
        <w:rPr>
          <w:b w:val="0"/>
        </w:rPr>
        <w:t>19 검증된 범위</w:t>
      </w:r>
    </w:p>
    <w:p>
      <w:r>
        <w:rPr>
          <w:b w:val="0"/>
        </w:rPr>
        <w:t>등방성·비자성 직사각형 PEC의 지정 창 내 4개 전파 고유치와 중복도, TE10 전기장·자기장 관계·면적, 고대비 단일 모드 원형 step-index의 HE11 편광 쌍 고유치·벡터 전기장·면적, 두 형상의 3단계 고유치 수렴, 균질 및 step-index 복소 매질의 흡수 감쇠를 검증하였다. 이산 gradient/Gauss 조건, 외곽 변화, 상수 callable/배열 일치 및 잘못된 입력 거부를 검사했다. M1의 32개 테스트도 회귀 통과하였다.</w:t>
      </w:r>
    </w:p>
    <w:p>
      <w:pPr>
        <w:pStyle w:val="Heading1"/>
      </w:pPr>
      <w:r>
        <w:rPr>
          <w:b w:val="0"/>
        </w:rPr>
        <w:t>20 검증되지 않은 범위</w:t>
      </w:r>
    </w:p>
    <w:p>
      <w:r>
        <w:rPr>
          <w:b w:val="0"/>
        </w:rPr>
        <w:t>일반 임의 형상·연속 또는 미정합 불연속 분포의 정량 정확도, 표준 저대비 통신 광섬유 및 다중모드 광섬유, 11 분기의 독립 TE/TM 전체장 분류, 광섬유 자기장 자체의 전체장 일치, 컷오프와 β=0, 이방성·이득·자성, PML·방사·누설·굽힘 손실, 포트·S-파라미터·3D 및 COMSOL 직접 비교는 검증하지 않았다.</w:t>
      </w:r>
    </w:p>
    <w:p>
      <w:pPr>
        <w:pStyle w:val="Heading1"/>
      </w:pPr>
      <w:r>
        <w:rPr>
          <w:b w:val="0"/>
        </w:rPr>
        <w:t>21 알려진 한계</w:t>
      </w:r>
    </w:p>
    <w:p>
      <w:r>
        <w:rPr>
          <w:b w:val="0"/>
        </w:rPr>
        <w:t>최저차 엣지 요소 장은 L2에서 대체로 1차 수렴한다. 원형 경계는 다각형으로 근사한다. 퇴화 모드는 수치 분할 및 임의 편광 방향을 갖는다. 대상 주변 부분 스펙트럼만 반환해 임의 창의 모드 완전성을 보증하지 않는다. PEC 외곽으로 방사 손실을 계산할 수 없다. 단일 프로세스 LU 및 ARPACK이므로 큰 메시에서는 메모리 비용이 증가한다. 임의 굴절률 입력 기능과 그 모든 입력에 대한 검증을 구분해야 한다.</w:t>
      </w:r>
    </w:p>
    <w:p>
      <w:pPr>
        <w:pStyle w:val="Heading1"/>
      </w:pPr>
      <w:r>
        <w:rPr>
          <w:b w:val="0"/>
        </w:rPr>
        <w:t>22 실행 환경과 근거</w:t>
      </w:r>
    </w:p>
    <w:p>
      <w:r>
        <w:rPr>
          <w:b w:val="0"/>
        </w:rPr>
        <w:t>Python 3.11.17 / numpy 2.2.6, scipy 1.15.3, scikit-fem 12.0.2, gmsh 4.14.1, matplotlib 3.10.3, pytest 8.4.2. 보고서용 수치 계산 36.336 s, 전체 pytest 46.529 s는 별도 실행이다.</w:t>
      </w:r>
    </w:p>
    <w:p>
      <w:r>
        <w:rPr>
          <w:b/>
        </w:rPr>
        <w:t>해석 및 정식화 참고 자료</w:t>
      </w:r>
    </w:p>
    <w:p>
      <w:r>
        <w:rPr>
          <w:b w:val="0"/>
        </w:rPr>
        <w:t>FEniCS/DOLFINx 공식 모드 예제</w:t>
        <w:br/>
        <w:t>https://docs.fenicsproject.org/dolfinx/v0.9.0/python/demos/demo_half_loaded_waveguide.html</w:t>
      </w:r>
    </w:p>
    <w:p>
      <w:r>
        <w:rPr>
          <w:b w:val="0"/>
        </w:rPr>
        <w:t>Computing Optical Fiber Modes 벡터 특성방정식</w:t>
        <w:br/>
        <w:t>https://jayggg.github.io/fibermode/1_4_stepindex_vector.html</w:t>
      </w:r>
    </w:p>
    <w:sectPr w:rsidR="00FC693F" w:rsidRPr="0006063C" w:rsidSect="00034616">
      <w:footerReference w:type="default" r:id="rId12"/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M2 결과보고서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NanumGothic" w:hAnsi="NanumGothic" w:eastAsia="NanumGothic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anumGothic" w:hAnsi="NanumGothic" w:eastAsia="NanumGothi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 전벡터 도파관 모드 해석 결과보고서</dc:title>
  <dc:subject>M2 Nedelec Lagrange mixed FEM verification</dc:subject>
  <dc:creator/>
  <cp:keywords>FEM Maxwell M2 vector modes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