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snapToGrid w:val="0"/>
        <w:jc w:val="center"/>
        <w:spacing w:line="360" w:lineRule="auto"/>
        <w:rPr>
          <w:rFonts w:ascii="맑은 고딕" w:eastAsia="맑은 고딕" w:hAnsi="맑은 고딕" w:cs="굴림"/>
          <w:b/>
          <w:sz w:val="28"/>
          <w:szCs w:val="28"/>
        </w:rPr>
      </w:pPr>
      <w:r>
        <w:rPr>
          <w:rFonts w:ascii="맑은 고딕" w:eastAsia="맑은 고딕" w:hAnsi="맑은 고딕" w:cs="굴림" w:hint="eastAsia"/>
          <w:b/>
          <w:sz w:val="28"/>
          <w:szCs w:val="28"/>
        </w:rPr>
        <w:t>[연구계획서 작성 가이드]</w:t>
      </w:r>
    </w:p>
    <w:p>
      <w:pPr>
        <w:wordWrap/>
        <w:snapToGrid w:val="0"/>
        <w:jc w:val="center"/>
        <w:spacing w:line="360" w:lineRule="auto"/>
        <w:rPr>
          <w:rFonts w:ascii="맑은 고딕" w:eastAsia="맑은 고딕" w:hAnsi="맑은 고딕" w:cs="굴림"/>
          <w:b/>
          <w:sz w:val="22"/>
        </w:rPr>
      </w:pPr>
    </w:p>
    <w:p>
      <w:pPr>
        <w:pStyle w:val="a9"/>
        <w:ind w:left="357" w:hanging="357"/>
        <w:wordWrap/>
        <w:snapToGrid w:val="0"/>
        <w:numPr>
          <w:ilvl w:val="0"/>
          <w:numId w:val="1"/>
        </w:numPr>
        <w:tabs>
          <w:tab w:val="clear" w:pos="800"/>
          <w:tab w:val="left" w:pos="851"/>
          <w:tab w:val="clear" w:pos="1600"/>
          <w:tab w:val="left" w:pos="1702"/>
          <w:tab w:val="clear" w:pos="2400"/>
          <w:tab w:val="left" w:pos="2553"/>
          <w:tab w:val="clear" w:pos="3200"/>
          <w:tab w:val="left" w:pos="3404"/>
          <w:tab w:val="clear" w:pos="4000"/>
          <w:tab w:val="left" w:pos="4256"/>
          <w:tab w:val="clear" w:pos="4800"/>
          <w:tab w:val="left" w:pos="5107"/>
          <w:tab w:val="clear" w:pos="5600"/>
          <w:tab w:val="left" w:pos="5958"/>
          <w:tab w:val="clear" w:pos="6400"/>
          <w:tab w:val="left" w:pos="6809"/>
          <w:tab w:val="clear" w:pos="7200"/>
          <w:tab w:val="left" w:pos="7660"/>
          <w:tab w:val="clear" w:pos="8000"/>
          <w:tab w:val="left" w:pos="8512"/>
          <w:tab w:val="clear" w:pos="8800"/>
          <w:tab w:val="left" w:pos="9363"/>
          <w:tab w:val="clear" w:pos="9600"/>
          <w:tab w:val="left" w:pos="10214"/>
          <w:tab w:val="clear" w:pos="10400"/>
          <w:tab w:val="left" w:pos="11065"/>
          <w:tab w:val="clear" w:pos="11200"/>
          <w:tab w:val="left" w:pos="11916"/>
          <w:tab w:val="clear" w:pos="12000"/>
          <w:tab w:val="left" w:pos="12768"/>
          <w:tab w:val="clear" w:pos="12800"/>
          <w:tab w:val="clear" w:pos="14400"/>
          <w:tab w:val="left" w:pos="14470"/>
          <w:tab w:val="clear" w:pos="15200"/>
          <w:tab w:val="left" w:pos="15321"/>
          <w:tab w:val="clear" w:pos="16000"/>
          <w:tab w:val="left" w:pos="16172"/>
          <w:tab w:val="clear" w:pos="16800"/>
          <w:tab w:val="left" w:pos="17024"/>
          <w:tab w:val="clear" w:pos="17600"/>
          <w:tab w:val="left" w:pos="17875"/>
          <w:tab w:val="clear" w:pos="18400"/>
          <w:tab w:val="left" w:pos="18726"/>
          <w:tab w:val="clear" w:pos="19200"/>
          <w:tab w:val="left" w:pos="19577"/>
          <w:tab w:val="clear" w:pos="20000"/>
          <w:tab w:val="left" w:pos="20428"/>
          <w:tab w:val="clear" w:pos="20800"/>
          <w:tab w:val="left" w:pos="21280"/>
          <w:tab w:val="clear" w:pos="21600"/>
          <w:tab w:val="left" w:pos="22131"/>
          <w:tab w:val="clear" w:pos="22400"/>
          <w:tab w:val="left" w:pos="22982"/>
          <w:tab w:val="clear" w:pos="23200"/>
          <w:tab w:val="left" w:pos="23833"/>
          <w:tab w:val="clear" w:pos="24000"/>
          <w:tab w:val="left" w:pos="24684"/>
          <w:tab w:val="clear" w:pos="24800"/>
          <w:tab w:val="left" w:pos="25536"/>
          <w:tab w:val="left" w:pos="26387"/>
          <w:tab w:val="left" w:pos="27238"/>
          <w:tab w:val="left" w:pos="28089"/>
          <w:tab w:val="left" w:pos="28940"/>
          <w:tab w:val="left" w:pos="29792"/>
          <w:tab w:val="left" w:pos="30643"/>
          <w:tab w:val="left" w:pos="31494"/>
        </w:tabs>
        <w:spacing w:line="360" w:lineRule="auto"/>
        <w:rPr>
          <w:rFonts w:ascii="맑은 고딕" w:eastAsia="맑은 고딕" w:hAnsi="맑은 고딕"/>
          <w:bCs/>
          <w:color w:val="auto"/>
          <w:sz w:val="24"/>
          <w:szCs w:val="24"/>
        </w:rPr>
      </w:pPr>
      <w:r>
        <w:rPr>
          <w:rFonts w:ascii="맑은 고딕" w:eastAsia="맑은 고딕" w:hAnsi="맑은 고딕" w:cs="굴림" w:hint="eastAsia"/>
          <w:color w:val="auto"/>
          <w:sz w:val="24"/>
          <w:szCs w:val="24"/>
        </w:rPr>
        <w:t xml:space="preserve">「생명윤리 및 안전에 관한 법률」에 따라 연구 관련 문서는 </w:t>
      </w:r>
      <w:r>
        <w:rPr>
          <w:rFonts w:ascii="맑은 고딕" w:eastAsia="맑은 고딕" w:hAnsi="맑은 고딕" w:cs="굴림" w:hint="eastAsia"/>
          <w:b/>
          <w:color w:val="auto"/>
          <w:sz w:val="24"/>
          <w:szCs w:val="24"/>
        </w:rPr>
        <w:t>연구종료일로부터 최소 3년간</w:t>
      </w:r>
      <w:r>
        <w:rPr>
          <w:rFonts w:ascii="맑은 고딕" w:eastAsia="맑은 고딕" w:hAnsi="맑은 고딕" w:cs="굴림" w:hint="eastAsia"/>
          <w:color w:val="auto"/>
          <w:sz w:val="24"/>
          <w:szCs w:val="24"/>
        </w:rPr>
        <w:t xml:space="preserve"> 보관해야 합니다. 그러므로 이를 참고하여 자료 보관 기간을 수립하시고, 연구자 자체 보관 또는 연구종료 후 문서보관 담당자(</w:t>
      </w:r>
      <w:r>
        <w:rPr>
          <w:rFonts w:ascii="맑은 고딕" w:eastAsia="맑은 고딕" w:hAnsi="맑은 고딕" w:cs="굴림" w:hint="eastAsia"/>
          <w:color w:val="auto"/>
          <w:sz w:val="24"/>
          <w:szCs w:val="24"/>
        </w:rPr>
        <w:t>T.8845</w:t>
      </w:r>
      <w:r>
        <w:rPr>
          <w:rFonts w:ascii="맑은 고딕" w:eastAsia="맑은 고딕" w:hAnsi="맑은 고딕" w:cs="굴림" w:hint="eastAsia"/>
          <w:color w:val="auto"/>
          <w:sz w:val="24"/>
          <w:szCs w:val="24"/>
        </w:rPr>
        <w:t xml:space="preserve">)에게 관련 문서를 이관하여 보관하시기 바랍니다. </w:t>
      </w:r>
    </w:p>
    <w:p>
      <w:pPr>
        <w:pStyle w:val="a9"/>
        <w:ind w:left="357" w:hanging="357"/>
        <w:wordWrap/>
        <w:snapToGrid w:val="0"/>
        <w:numPr>
          <w:ilvl w:val="0"/>
          <w:numId w:val="1"/>
        </w:numPr>
        <w:tabs>
          <w:tab w:val="clear" w:pos="800"/>
          <w:tab w:val="left" w:pos="851"/>
          <w:tab w:val="clear" w:pos="1600"/>
          <w:tab w:val="left" w:pos="1702"/>
          <w:tab w:val="clear" w:pos="2400"/>
          <w:tab w:val="left" w:pos="2553"/>
          <w:tab w:val="clear" w:pos="3200"/>
          <w:tab w:val="left" w:pos="3404"/>
          <w:tab w:val="clear" w:pos="4000"/>
          <w:tab w:val="left" w:pos="4256"/>
          <w:tab w:val="clear" w:pos="4800"/>
          <w:tab w:val="left" w:pos="5107"/>
          <w:tab w:val="clear" w:pos="5600"/>
          <w:tab w:val="left" w:pos="5958"/>
          <w:tab w:val="clear" w:pos="6400"/>
          <w:tab w:val="left" w:pos="6809"/>
          <w:tab w:val="clear" w:pos="7200"/>
          <w:tab w:val="left" w:pos="7660"/>
          <w:tab w:val="clear" w:pos="8000"/>
          <w:tab w:val="left" w:pos="8512"/>
          <w:tab w:val="clear" w:pos="8800"/>
          <w:tab w:val="left" w:pos="9363"/>
          <w:tab w:val="clear" w:pos="9600"/>
          <w:tab w:val="left" w:pos="10214"/>
          <w:tab w:val="clear" w:pos="10400"/>
          <w:tab w:val="left" w:pos="11065"/>
          <w:tab w:val="clear" w:pos="11200"/>
          <w:tab w:val="left" w:pos="11916"/>
          <w:tab w:val="clear" w:pos="12000"/>
          <w:tab w:val="left" w:pos="12768"/>
          <w:tab w:val="clear" w:pos="12800"/>
          <w:tab w:val="clear" w:pos="14400"/>
          <w:tab w:val="left" w:pos="14470"/>
          <w:tab w:val="clear" w:pos="15200"/>
          <w:tab w:val="left" w:pos="15321"/>
          <w:tab w:val="clear" w:pos="16000"/>
          <w:tab w:val="left" w:pos="16172"/>
          <w:tab w:val="clear" w:pos="16800"/>
          <w:tab w:val="left" w:pos="17024"/>
          <w:tab w:val="clear" w:pos="17600"/>
          <w:tab w:val="left" w:pos="17875"/>
          <w:tab w:val="clear" w:pos="18400"/>
          <w:tab w:val="left" w:pos="18726"/>
          <w:tab w:val="clear" w:pos="19200"/>
          <w:tab w:val="left" w:pos="19577"/>
          <w:tab w:val="clear" w:pos="20000"/>
          <w:tab w:val="left" w:pos="20428"/>
          <w:tab w:val="clear" w:pos="20800"/>
          <w:tab w:val="left" w:pos="21280"/>
          <w:tab w:val="clear" w:pos="21600"/>
          <w:tab w:val="left" w:pos="22131"/>
          <w:tab w:val="clear" w:pos="22400"/>
          <w:tab w:val="left" w:pos="22982"/>
          <w:tab w:val="clear" w:pos="23200"/>
          <w:tab w:val="left" w:pos="23833"/>
          <w:tab w:val="clear" w:pos="24000"/>
          <w:tab w:val="left" w:pos="24684"/>
          <w:tab w:val="clear" w:pos="24800"/>
          <w:tab w:val="left" w:pos="25536"/>
          <w:tab w:val="left" w:pos="26387"/>
          <w:tab w:val="left" w:pos="27238"/>
          <w:tab w:val="left" w:pos="28089"/>
          <w:tab w:val="left" w:pos="28940"/>
          <w:tab w:val="left" w:pos="29792"/>
          <w:tab w:val="left" w:pos="30643"/>
          <w:tab w:val="left" w:pos="31494"/>
        </w:tabs>
        <w:spacing w:line="360" w:lineRule="auto"/>
        <w:rPr>
          <w:rFonts w:ascii="맑은 고딕" w:eastAsia="맑은 고딕" w:hAnsi="맑은 고딕"/>
          <w:bCs/>
          <w:color w:val="auto"/>
          <w:sz w:val="24"/>
          <w:szCs w:val="24"/>
        </w:rPr>
      </w:pPr>
      <w:r>
        <w:rPr>
          <w:rFonts w:ascii="맑은 고딕" w:eastAsia="맑은 고딕" w:hAnsi="맑은 고딕" w:hint="eastAsia"/>
          <w:bCs/>
          <w:color w:val="auto"/>
          <w:sz w:val="24"/>
          <w:szCs w:val="24"/>
        </w:rPr>
        <w:t xml:space="preserve">본 페이지 가이드 글과 </w:t>
      </w:r>
      <w:r>
        <w:rPr>
          <w:rFonts w:ascii="맑은 고딕" w:eastAsia="맑은 고딕" w:hAnsi="맑은 고딕" w:hint="eastAsia"/>
          <w:bCs/>
          <w:color w:val="auto"/>
          <w:sz w:val="24"/>
          <w:szCs w:val="24"/>
        </w:rPr>
        <w:t xml:space="preserve">참고사항으로 넣어 놓은 </w:t>
      </w:r>
      <w:r>
        <w:rPr>
          <w:rFonts w:ascii="맑은 고딕" w:eastAsia="맑은 고딕" w:hAnsi="맑은 고딕" w:hint="eastAsia"/>
          <w:bCs/>
          <w:color w:val="00B0F0"/>
          <w:sz w:val="24"/>
          <w:szCs w:val="24"/>
        </w:rPr>
        <w:t>파란글씨</w:t>
      </w:r>
      <w:r>
        <w:rPr>
          <w:rFonts w:ascii="맑은 고딕" w:eastAsia="맑은 고딕" w:hAnsi="맑은 고딕"/>
          <w:bCs/>
          <w:color w:val="auto"/>
          <w:sz w:val="24"/>
          <w:szCs w:val="24"/>
        </w:rPr>
        <w:t>는</w:t>
      </w:r>
      <w:r>
        <w:rPr>
          <w:rFonts w:ascii="맑은 고딕" w:eastAsia="맑은 고딕" w:hAnsi="맑은 고딕" w:hint="eastAsia"/>
          <w:bCs/>
          <w:color w:val="auto"/>
          <w:sz w:val="24"/>
          <w:szCs w:val="24"/>
        </w:rPr>
        <w:t xml:space="preserve"> </w:t>
      </w:r>
      <w:r>
        <w:rPr>
          <w:rFonts w:ascii="맑은 고딕" w:eastAsia="맑은 고딕" w:hAnsi="맑은 고딕" w:hint="eastAsia"/>
          <w:bCs/>
          <w:color w:val="auto"/>
          <w:sz w:val="24"/>
          <w:szCs w:val="24"/>
        </w:rPr>
        <w:t>최종 본 제출 시</w:t>
      </w:r>
      <w:r>
        <w:rPr>
          <w:rFonts w:ascii="맑은 고딕" w:eastAsia="맑은 고딕" w:hAnsi="맑은 고딕" w:hint="eastAsia"/>
          <w:bCs/>
          <w:color w:val="auto"/>
          <w:sz w:val="24"/>
          <w:szCs w:val="24"/>
        </w:rPr>
        <w:t xml:space="preserve"> </w:t>
      </w:r>
      <w:r>
        <w:rPr>
          <w:rFonts w:ascii="맑은 고딕" w:eastAsia="맑은 고딕" w:hAnsi="맑은 고딕" w:hint="eastAsia"/>
          <w:b/>
          <w:bCs/>
          <w:color w:val="auto"/>
          <w:sz w:val="24"/>
          <w:szCs w:val="24"/>
        </w:rPr>
        <w:t>삭제</w:t>
      </w:r>
      <w:r>
        <w:rPr>
          <w:rFonts w:ascii="맑은 고딕" w:eastAsia="맑은 고딕" w:hAnsi="맑은 고딕" w:hint="eastAsia"/>
          <w:bCs/>
          <w:color w:val="auto"/>
          <w:sz w:val="24"/>
          <w:szCs w:val="24"/>
        </w:rPr>
        <w:t>하여 주</w:t>
      </w:r>
      <w:r>
        <w:rPr>
          <w:rFonts w:ascii="맑은 고딕" w:eastAsia="맑은 고딕" w:hAnsi="맑은 고딕"/>
          <w:bCs/>
          <w:color w:val="auto"/>
          <w:sz w:val="24"/>
          <w:szCs w:val="24"/>
        </w:rPr>
        <w:t>시기</w:t>
      </w:r>
      <w:r>
        <w:rPr>
          <w:rFonts w:ascii="맑은 고딕" w:eastAsia="맑은 고딕" w:hAnsi="맑은 고딕" w:hint="eastAsia"/>
          <w:bCs/>
          <w:color w:val="auto"/>
          <w:sz w:val="24"/>
          <w:szCs w:val="24"/>
        </w:rPr>
        <w:t xml:space="preserve"> 바랍니다. </w:t>
      </w:r>
    </w:p>
    <w:p>
      <w:pPr>
        <w:pStyle w:val="a9"/>
        <w:ind w:left="357" w:hanging="357"/>
        <w:wordWrap/>
        <w:snapToGrid w:val="0"/>
        <w:numPr>
          <w:ilvl w:val="0"/>
          <w:numId w:val="1"/>
        </w:numPr>
        <w:tabs>
          <w:tab w:val="clear" w:pos="800"/>
          <w:tab w:val="left" w:pos="851"/>
          <w:tab w:val="clear" w:pos="1600"/>
          <w:tab w:val="left" w:pos="1702"/>
          <w:tab w:val="clear" w:pos="2400"/>
          <w:tab w:val="left" w:pos="2553"/>
          <w:tab w:val="clear" w:pos="3200"/>
          <w:tab w:val="left" w:pos="3404"/>
          <w:tab w:val="clear" w:pos="4000"/>
          <w:tab w:val="left" w:pos="4256"/>
          <w:tab w:val="clear" w:pos="4800"/>
          <w:tab w:val="left" w:pos="5107"/>
          <w:tab w:val="clear" w:pos="5600"/>
          <w:tab w:val="left" w:pos="5958"/>
          <w:tab w:val="clear" w:pos="6400"/>
          <w:tab w:val="left" w:pos="6809"/>
          <w:tab w:val="clear" w:pos="7200"/>
          <w:tab w:val="left" w:pos="7660"/>
          <w:tab w:val="clear" w:pos="8000"/>
          <w:tab w:val="left" w:pos="8512"/>
          <w:tab w:val="clear" w:pos="8800"/>
          <w:tab w:val="left" w:pos="9363"/>
          <w:tab w:val="clear" w:pos="9600"/>
          <w:tab w:val="left" w:pos="10214"/>
          <w:tab w:val="clear" w:pos="10400"/>
          <w:tab w:val="left" w:pos="11065"/>
          <w:tab w:val="clear" w:pos="11200"/>
          <w:tab w:val="left" w:pos="11916"/>
          <w:tab w:val="clear" w:pos="12000"/>
          <w:tab w:val="left" w:pos="12768"/>
          <w:tab w:val="clear" w:pos="12800"/>
          <w:tab w:val="clear" w:pos="14400"/>
          <w:tab w:val="left" w:pos="14470"/>
          <w:tab w:val="clear" w:pos="15200"/>
          <w:tab w:val="left" w:pos="15321"/>
          <w:tab w:val="clear" w:pos="16000"/>
          <w:tab w:val="left" w:pos="16172"/>
          <w:tab w:val="clear" w:pos="16800"/>
          <w:tab w:val="left" w:pos="17024"/>
          <w:tab w:val="clear" w:pos="17600"/>
          <w:tab w:val="left" w:pos="17875"/>
          <w:tab w:val="clear" w:pos="18400"/>
          <w:tab w:val="left" w:pos="18726"/>
          <w:tab w:val="clear" w:pos="19200"/>
          <w:tab w:val="left" w:pos="19577"/>
          <w:tab w:val="clear" w:pos="20000"/>
          <w:tab w:val="left" w:pos="20428"/>
          <w:tab w:val="clear" w:pos="20800"/>
          <w:tab w:val="left" w:pos="21280"/>
          <w:tab w:val="clear" w:pos="21600"/>
          <w:tab w:val="left" w:pos="22131"/>
          <w:tab w:val="clear" w:pos="22400"/>
          <w:tab w:val="left" w:pos="22982"/>
          <w:tab w:val="clear" w:pos="23200"/>
          <w:tab w:val="left" w:pos="23833"/>
          <w:tab w:val="clear" w:pos="24000"/>
          <w:tab w:val="left" w:pos="24684"/>
          <w:tab w:val="clear" w:pos="24800"/>
          <w:tab w:val="left" w:pos="25536"/>
          <w:tab w:val="left" w:pos="26387"/>
          <w:tab w:val="left" w:pos="27238"/>
          <w:tab w:val="left" w:pos="28089"/>
          <w:tab w:val="left" w:pos="28940"/>
          <w:tab w:val="left" w:pos="29792"/>
          <w:tab w:val="left" w:pos="30643"/>
          <w:tab w:val="left" w:pos="31494"/>
        </w:tabs>
        <w:spacing w:line="360" w:lineRule="auto"/>
        <w:rPr>
          <w:rFonts w:ascii="맑은 고딕" w:eastAsia="맑은 고딕" w:hAnsi="맑은 고딕"/>
          <w:bCs/>
          <w:color w:val="auto"/>
          <w:sz w:val="24"/>
          <w:szCs w:val="24"/>
        </w:rPr>
      </w:pPr>
      <w:r>
        <w:rPr>
          <w:rFonts w:ascii="맑은 고딕" w:eastAsia="맑은 고딕" w:hAnsi="맑은 고딕" w:hint="eastAsia"/>
          <w:bCs/>
          <w:color w:val="auto"/>
          <w:sz w:val="24"/>
          <w:szCs w:val="24"/>
        </w:rPr>
        <w:t xml:space="preserve">바닥글의 버전 및 날짜는 연구자께서 관리하셔야 하고 계획서 변경 시 </w:t>
      </w:r>
      <w:r>
        <w:rPr>
          <w:rFonts w:ascii="맑은 고딕" w:eastAsia="맑은 고딕" w:hAnsi="맑은 고딕" w:hint="eastAsia"/>
          <w:b/>
          <w:bCs/>
          <w:color w:val="auto"/>
          <w:sz w:val="24"/>
          <w:szCs w:val="24"/>
        </w:rPr>
        <w:t>반드시</w:t>
      </w:r>
      <w:r>
        <w:rPr>
          <w:rFonts w:ascii="맑은 고딕" w:eastAsia="맑은 고딕" w:hAnsi="맑은 고딕" w:hint="eastAsia"/>
          <w:bCs/>
          <w:color w:val="auto"/>
          <w:sz w:val="24"/>
          <w:szCs w:val="24"/>
        </w:rPr>
        <w:t xml:space="preserve"> 반영 및 수정하셔서 제출하시기 바랍니다.</w:t>
      </w:r>
    </w:p>
    <w:p>
      <w:pPr>
        <w:pStyle w:val="a9"/>
        <w:ind w:left="357" w:hanging="357"/>
        <w:wordWrap/>
        <w:snapToGrid w:val="0"/>
        <w:numPr>
          <w:ilvl w:val="0"/>
          <w:numId w:val="1"/>
        </w:numPr>
        <w:tabs>
          <w:tab w:val="clear" w:pos="800"/>
          <w:tab w:val="left" w:pos="851"/>
          <w:tab w:val="clear" w:pos="1600"/>
          <w:tab w:val="left" w:pos="1702"/>
          <w:tab w:val="clear" w:pos="2400"/>
          <w:tab w:val="left" w:pos="2553"/>
          <w:tab w:val="clear" w:pos="3200"/>
          <w:tab w:val="left" w:pos="3404"/>
          <w:tab w:val="clear" w:pos="4000"/>
          <w:tab w:val="left" w:pos="4256"/>
          <w:tab w:val="clear" w:pos="4800"/>
          <w:tab w:val="left" w:pos="5107"/>
          <w:tab w:val="clear" w:pos="5600"/>
          <w:tab w:val="left" w:pos="5958"/>
          <w:tab w:val="clear" w:pos="6400"/>
          <w:tab w:val="left" w:pos="6809"/>
          <w:tab w:val="clear" w:pos="7200"/>
          <w:tab w:val="left" w:pos="7660"/>
          <w:tab w:val="clear" w:pos="8000"/>
          <w:tab w:val="left" w:pos="8512"/>
          <w:tab w:val="clear" w:pos="8800"/>
          <w:tab w:val="left" w:pos="9363"/>
          <w:tab w:val="clear" w:pos="9600"/>
          <w:tab w:val="left" w:pos="10214"/>
          <w:tab w:val="clear" w:pos="10400"/>
          <w:tab w:val="left" w:pos="11065"/>
          <w:tab w:val="clear" w:pos="11200"/>
          <w:tab w:val="left" w:pos="11916"/>
          <w:tab w:val="clear" w:pos="12000"/>
          <w:tab w:val="left" w:pos="12768"/>
          <w:tab w:val="clear" w:pos="12800"/>
          <w:tab w:val="clear" w:pos="14400"/>
          <w:tab w:val="left" w:pos="14470"/>
          <w:tab w:val="clear" w:pos="15200"/>
          <w:tab w:val="left" w:pos="15321"/>
          <w:tab w:val="clear" w:pos="16000"/>
          <w:tab w:val="left" w:pos="16172"/>
          <w:tab w:val="clear" w:pos="16800"/>
          <w:tab w:val="left" w:pos="17024"/>
          <w:tab w:val="clear" w:pos="17600"/>
          <w:tab w:val="left" w:pos="17875"/>
          <w:tab w:val="clear" w:pos="18400"/>
          <w:tab w:val="left" w:pos="18726"/>
          <w:tab w:val="clear" w:pos="19200"/>
          <w:tab w:val="left" w:pos="19577"/>
          <w:tab w:val="clear" w:pos="20000"/>
          <w:tab w:val="left" w:pos="20428"/>
          <w:tab w:val="clear" w:pos="20800"/>
          <w:tab w:val="left" w:pos="21280"/>
          <w:tab w:val="clear" w:pos="21600"/>
          <w:tab w:val="left" w:pos="22131"/>
          <w:tab w:val="clear" w:pos="22400"/>
          <w:tab w:val="left" w:pos="22982"/>
          <w:tab w:val="clear" w:pos="23200"/>
          <w:tab w:val="left" w:pos="23833"/>
          <w:tab w:val="clear" w:pos="24000"/>
          <w:tab w:val="left" w:pos="24684"/>
          <w:tab w:val="clear" w:pos="24800"/>
          <w:tab w:val="left" w:pos="25536"/>
          <w:tab w:val="left" w:pos="26387"/>
          <w:tab w:val="left" w:pos="27238"/>
          <w:tab w:val="left" w:pos="28089"/>
          <w:tab w:val="left" w:pos="28940"/>
          <w:tab w:val="left" w:pos="29792"/>
          <w:tab w:val="left" w:pos="30643"/>
          <w:tab w:val="left" w:pos="31494"/>
        </w:tabs>
        <w:spacing w:line="360" w:lineRule="auto"/>
        <w:rPr>
          <w:rFonts w:ascii="맑은 고딕" w:eastAsia="맑은 고딕" w:hAnsi="맑은 고딕"/>
          <w:bCs/>
          <w:color w:val="auto"/>
          <w:sz w:val="24"/>
          <w:szCs w:val="24"/>
        </w:rPr>
      </w:pPr>
      <w:r>
        <w:rPr>
          <w:rFonts w:ascii="맑은 고딕" w:eastAsia="맑은 고딕" w:hAnsi="맑은 고딕" w:hint="eastAsia"/>
          <w:bCs/>
          <w:color w:val="auto"/>
          <w:sz w:val="24"/>
          <w:szCs w:val="24"/>
        </w:rPr>
        <w:t xml:space="preserve">추가 내용이 있는 경우 </w:t>
      </w:r>
      <w:r>
        <w:rPr>
          <w:rFonts w:ascii="맑은 고딕" w:eastAsia="맑은 고딕" w:hAnsi="맑은 고딕" w:hint="eastAsia"/>
          <w:b/>
          <w:bCs/>
          <w:color w:val="auto"/>
          <w:sz w:val="24"/>
          <w:szCs w:val="24"/>
        </w:rPr>
        <w:t>14.참고문헌</w:t>
      </w:r>
      <w:r>
        <w:rPr>
          <w:rFonts w:ascii="맑은 고딕" w:eastAsia="맑은 고딕" w:hAnsi="맑은 고딕" w:cs="Arial" w:hint="eastAsia"/>
          <w:sz w:val="24"/>
          <w:szCs w:val="24"/>
        </w:rPr>
        <w:t xml:space="preserve"> 항목 상단에 관련 내용을 추가하여 기재하시기 바랍니다.</w:t>
      </w:r>
    </w:p>
    <w:p>
      <w:pPr>
        <w:autoSpaceDE/>
        <w:autoSpaceDN/>
        <w:widowControl/>
        <w:wordWrap/>
        <w:jc w:val="left"/>
        <w:rPr>
          <w:sz w:val="52"/>
          <w:szCs w:val="52"/>
        </w:rPr>
      </w:pPr>
    </w:p>
    <w:p>
      <w:pPr>
        <w:autoSpaceDE/>
        <w:autoSpaceDN/>
        <w:widowControl/>
        <w:wordWrap/>
        <w:jc w:val="left"/>
        <w:rPr>
          <w:sz w:val="52"/>
          <w:szCs w:val="52"/>
        </w:rPr>
      </w:pPr>
    </w:p>
    <w:p>
      <w:pPr>
        <w:autoSpaceDE/>
        <w:autoSpaceDN/>
        <w:widowControl/>
        <w:wordWrap/>
        <w:jc w:val="left"/>
        <w:rPr>
          <w:sz w:val="52"/>
          <w:szCs w:val="52"/>
        </w:rPr>
      </w:pPr>
    </w:p>
    <w:p>
      <w:pPr>
        <w:autoSpaceDE/>
        <w:autoSpaceDN/>
        <w:widowControl/>
        <w:wordWrap/>
        <w:jc w:val="left"/>
        <w:rPr>
          <w:sz w:val="52"/>
          <w:szCs w:val="52"/>
        </w:rPr>
      </w:pPr>
    </w:p>
    <w:p>
      <w:pPr>
        <w:autoSpaceDE/>
        <w:autoSpaceDN/>
        <w:widowControl/>
        <w:wordWrap/>
        <w:jc w:val="left"/>
        <w:rPr>
          <w:sz w:val="52"/>
          <w:szCs w:val="52"/>
        </w:rPr>
      </w:pPr>
    </w:p>
    <w:p>
      <w:pPr>
        <w:autoSpaceDE/>
        <w:autoSpaceDN/>
        <w:widowControl/>
        <w:wordWrap/>
        <w:jc w:val="left"/>
        <w:rPr>
          <w:sz w:val="52"/>
          <w:szCs w:val="52"/>
        </w:rPr>
      </w:pPr>
    </w:p>
    <w:p>
      <w:pPr>
        <w:jc w:val="center"/>
        <w:rPr>
          <w:sz w:val="52"/>
          <w:szCs w:val="52"/>
        </w:rPr>
      </w:pPr>
    </w:p>
    <w:p>
      <w:pPr>
        <w:jc w:val="center"/>
        <w:rPr>
          <w:sz w:val="52"/>
          <w:szCs w:val="52"/>
        </w:rPr>
      </w:pPr>
      <w:r>
        <w:rPr>
          <w:rFonts w:hint="eastAsia"/>
          <w:sz w:val="52"/>
          <w:szCs w:val="52"/>
        </w:rPr>
        <w:t>연구계획서</w:t>
      </w:r>
    </w:p>
    <w:p/>
    <w:p/>
    <w:p/>
    <w:p/>
    <w:p>
      <w:pPr>
        <w:ind w:firstLine="0"/>
        <w:shd w:val="clear" w:color="auto" w:fill="auto"/>
        <w:rPr>
          <w:caps w:val="off"/>
          <w:rFonts w:ascii="Mona Sans VF" w:eastAsia="Mona Sans VF" w:hAnsi="Mona Sans VF" w:cs="Mona Sans VF"/>
          <w:b w:val="0"/>
          <w:i w:val="0"/>
          <w:sz w:val="24"/>
        </w:rPr>
      </w:pPr>
      <w:r>
        <w:rPr>
          <w:rFonts w:hint="eastAsia"/>
          <w:sz w:val="36"/>
          <w:szCs w:val="36"/>
        </w:rPr>
        <w:t>연구제목 :</w:t>
      </w:r>
      <w:r>
        <w:rPr>
          <w:rFonts w:hint="eastAsia"/>
          <w:sz w:val="36"/>
          <w:szCs w:val="36"/>
        </w:rPr>
        <w:t xml:space="preserve"> </w:t>
      </w:r>
      <w:r>
        <w:rPr>
          <w:caps w:val="off"/>
          <w:rFonts w:ascii="Mona Sans VF" w:eastAsia="Mona Sans VF" w:hAnsi="Mona Sans VF" w:cs="Mona Sans VF"/>
          <w:b w:val="0"/>
          <w:i w:val="0"/>
          <w:sz w:val="24"/>
        </w:rPr>
        <w:t>B-mode 복부 초음파에서 HCC 유사도를 정량화하는 이중 출력 영상표지자의 개발</w:t>
      </w:r>
    </w:p>
    <w:p/>
    <w:p/>
    <w:p>
      <w:pPr>
        <w:rPr>
          <w:sz w:val="28"/>
          <w:szCs w:val="28"/>
        </w:rPr>
      </w:pPr>
      <w:r>
        <w:rPr>
          <w:rFonts w:hint="eastAsia"/>
          <w:sz w:val="28"/>
          <w:szCs w:val="28"/>
        </w:rPr>
        <w:t>단계 :</w:t>
      </w:r>
      <w:r>
        <w:rPr>
          <w:rFonts w:hint="eastAsia"/>
          <w:sz w:val="28"/>
          <w:szCs w:val="28"/>
        </w:rPr>
        <w:t xml:space="preserve"> 학술용/연구자 주</w:t>
      </w:r>
      <w:r>
        <w:rPr>
          <w:rFonts w:hint="eastAsia"/>
          <w:sz w:val="28"/>
          <w:szCs w:val="28"/>
        </w:rPr>
        <w:t>도</w:t>
      </w:r>
      <w:r>
        <w:rPr>
          <w:rFonts w:hint="eastAsia"/>
          <w:sz w:val="28"/>
          <w:szCs w:val="28"/>
        </w:rPr>
        <w:t xml:space="preserve"> 임상연구</w:t>
      </w:r>
      <w:r>
        <w:rPr>
          <w:rFonts w:hint="eastAsia"/>
          <w:sz w:val="28"/>
          <w:szCs w:val="28"/>
        </w:rPr>
        <w:t>(</w:t>
      </w:r>
      <w:r>
        <w:rPr>
          <w:rFonts w:hint="eastAsia"/>
          <w:sz w:val="28"/>
          <w:szCs w:val="28"/>
        </w:rPr>
        <w:t>후향적</w:t>
      </w:r>
      <w:r>
        <w:rPr>
          <w:rFonts w:hint="eastAsia"/>
          <w:sz w:val="28"/>
          <w:szCs w:val="28"/>
        </w:rPr>
        <w:t xml:space="preserve"> 연구)</w:t>
      </w:r>
    </w:p>
    <w:p/>
    <w:p/>
    <w:p/>
    <w:p/>
    <w:p/>
    <w:p/>
    <w:p/>
    <w:p/>
    <w:p/>
    <w:p/>
    <w:p>
      <w:pPr>
        <w:rPr>
          <w:sz w:val="28"/>
          <w:szCs w:val="28"/>
        </w:rPr>
      </w:pPr>
      <w:r>
        <w:rPr>
          <w:rFonts w:hint="eastAsia"/>
          <w:sz w:val="28"/>
          <w:szCs w:val="28"/>
        </w:rPr>
        <w:t>실시기관 :</w:t>
      </w:r>
      <w:r>
        <w:rPr>
          <w:lang w:eastAsia="ko-KR"/>
          <w:rFonts w:hint="eastAsia"/>
          <w:sz w:val="28"/>
          <w:szCs w:val="28"/>
          <w:rtl w:val="off"/>
        </w:rPr>
        <w:t xml:space="preserve"> 예수병원</w:t>
      </w:r>
    </w:p>
    <w:p>
      <w:pPr>
        <w:rPr>
          <w:sz w:val="28"/>
          <w:szCs w:val="28"/>
        </w:rPr>
      </w:pPr>
      <w:r>
        <w:rPr>
          <w:rFonts w:hint="eastAsia"/>
          <w:sz w:val="28"/>
          <w:szCs w:val="28"/>
        </w:rPr>
        <w:t>연구책임자(소속/직위/성명</w:t>
      </w:r>
      <w:r>
        <w:rPr>
          <w:rFonts w:hint="eastAsia"/>
          <w:sz w:val="28"/>
          <w:szCs w:val="28"/>
        </w:rPr>
        <w:t>) :</w:t>
      </w:r>
      <w:r>
        <w:rPr>
          <w:rFonts w:hint="eastAsia"/>
          <w:sz w:val="28"/>
          <w:szCs w:val="28"/>
        </w:rPr>
        <w:t xml:space="preserve"> </w:t>
      </w:r>
      <w:r>
        <w:rPr>
          <w:lang w:eastAsia="ko-KR"/>
          <w:rFonts w:hint="eastAsia"/>
          <w:sz w:val="28"/>
          <w:szCs w:val="28"/>
          <w:rtl w:val="off"/>
        </w:rPr>
        <w:t>가정의학과/전공의/김현수</w:t>
      </w:r>
    </w:p>
    <w:p>
      <w:pPr>
        <w:rPr>
          <w:lang w:eastAsia="ko-KR"/>
          <w:rFonts w:hint="eastAsia"/>
          <w:rtl w:val="off"/>
        </w:rPr>
      </w:pPr>
    </w:p>
    <w:p/>
    <w:p/>
    <w:p/>
    <w:p/>
    <w:p/>
    <w:p/>
    <w:p/>
    <w:p/>
    <w:p/>
    <w:p>
      <w:pPr>
        <w:pStyle w:val="a5"/>
        <w:ind w:leftChars="0"/>
        <w:numPr>
          <w:ilvl w:val="0"/>
          <w:numId w:val="2"/>
        </w:numPr>
        <w:rPr>
          <w:b/>
          <w:sz w:val="22"/>
        </w:rPr>
      </w:pPr>
      <w:r>
        <w:rPr>
          <w:rFonts w:hint="eastAsia"/>
          <w:b/>
          <w:sz w:val="22"/>
        </w:rPr>
        <w:t>연구계획서 요약</w:t>
      </w:r>
    </w:p>
    <w:p>
      <w:pPr>
        <w:rPr>
          <w:sz w:val="22"/>
        </w:rPr>
      </w:pPr>
    </w:p>
    <w:tbl>
      <w:tblPr>
        <w:tblStyle w:val="a7"/>
        <w:tblW w:w="0" w:type="auto"/>
        <w:tblLook w:val="04A0" w:firstRow="1" w:lastRow="0" w:firstColumn="1" w:lastColumn="0" w:noHBand="0" w:noVBand="1"/>
      </w:tblPr>
      <w:tblGrid>
        <w:gridCol w:w="1775"/>
        <w:gridCol w:w="7241"/>
      </w:tblGrid>
      <w:tr>
        <w:trPr>
          <w:trHeight w:val="856" w:hRule="atLeast"/>
        </w:trPr>
        <w:tc>
          <w:tcPr>
            <w:tcW w:w="1809" w:type="dxa"/>
            <w:vAlign w:val="center"/>
          </w:tcPr>
          <w:p>
            <w:pPr>
              <w:jc w:val="center"/>
              <w:rPr>
                <w:b/>
                <w:sz w:val="22"/>
              </w:rPr>
            </w:pPr>
            <w:r>
              <w:rPr>
                <w:rFonts w:hint="eastAsia"/>
                <w:b/>
                <w:sz w:val="22"/>
              </w:rPr>
              <w:t>제목</w:t>
            </w:r>
          </w:p>
        </w:tc>
        <w:tc>
          <w:tcPr>
            <w:tcW w:w="7415" w:type="dxa"/>
          </w:tcPr>
          <w:p>
            <w:pPr>
              <w:ind w:firstLine="0"/>
              <w:shd w:val="clear" w:color="auto" w:fill="auto"/>
              <w:rPr>
                <w:caps w:val="off"/>
                <w:rFonts w:ascii="Mona Sans VF" w:eastAsia="Mona Sans VF" w:hAnsi="Mona Sans VF" w:cs="Mona Sans VF"/>
                <w:b w:val="0"/>
                <w:i w:val="0"/>
                <w:sz w:val="24"/>
              </w:rPr>
            </w:pPr>
            <w:r>
              <w:rPr>
                <w:caps w:val="off"/>
                <w:rFonts w:ascii="Mona Sans VF" w:eastAsia="Mona Sans VF" w:hAnsi="Mona Sans VF" w:cs="Mona Sans VF"/>
                <w:b w:val="0"/>
                <w:i w:val="0"/>
                <w:sz w:val="24"/>
              </w:rPr>
              <w:t>B-mode 복부 초음파에서 HCC 유사도를 정량화하는 이중 출력 영상표지자의 개발</w:t>
            </w:r>
          </w:p>
          <w:p>
            <w:pPr>
              <w:rPr>
                <w:sz w:val="22"/>
              </w:rPr>
            </w:pPr>
          </w:p>
        </w:tc>
      </w:tr>
      <w:tr>
        <w:trPr>
          <w:trHeight w:val="711" w:hRule="atLeast"/>
        </w:trPr>
        <w:tc>
          <w:tcPr>
            <w:tcW w:w="1809" w:type="dxa"/>
            <w:vAlign w:val="center"/>
          </w:tcPr>
          <w:p>
            <w:pPr>
              <w:jc w:val="center"/>
              <w:rPr>
                <w:b/>
                <w:sz w:val="22"/>
              </w:rPr>
            </w:pPr>
            <w:r>
              <w:rPr>
                <w:rFonts w:hint="eastAsia"/>
                <w:b/>
                <w:sz w:val="22"/>
              </w:rPr>
              <w:t>책임</w:t>
            </w:r>
            <w:r>
              <w:rPr>
                <w:rFonts w:hint="eastAsia"/>
                <w:b/>
                <w:sz w:val="22"/>
              </w:rPr>
              <w:t>연구자</w:t>
            </w:r>
          </w:p>
        </w:tc>
        <w:tc>
          <w:tcPr>
            <w:tcW w:w="7415" w:type="dxa"/>
          </w:tcPr>
          <w:p>
            <w:pPr>
              <w:rPr>
                <w:sz w:val="22"/>
              </w:rPr>
            </w:pPr>
            <w:r>
              <w:rPr>
                <w:lang w:eastAsia="ko-KR"/>
                <w:sz w:val="22"/>
                <w:rtl w:val="off"/>
              </w:rPr>
              <w:t>김현수</w:t>
            </w:r>
          </w:p>
        </w:tc>
      </w:tr>
      <w:tr>
        <w:trPr>
          <w:trHeight w:val="711" w:hRule="atLeast"/>
        </w:trPr>
        <w:tc>
          <w:tcPr>
            <w:tcW w:w="1809" w:type="dxa"/>
            <w:vAlign w:val="center"/>
          </w:tcPr>
          <w:p>
            <w:pPr>
              <w:jc w:val="center"/>
              <w:rPr>
                <w:b/>
                <w:sz w:val="22"/>
              </w:rPr>
            </w:pPr>
            <w:r>
              <w:rPr>
                <w:rFonts w:hint="eastAsia"/>
                <w:b/>
                <w:sz w:val="22"/>
              </w:rPr>
              <w:t>공동연구자</w:t>
            </w:r>
          </w:p>
        </w:tc>
        <w:tc>
          <w:tcPr>
            <w:tcW w:w="7415" w:type="dxa"/>
          </w:tcPr>
          <w:p>
            <w:pPr>
              <w:rPr>
                <w:sz w:val="22"/>
              </w:rPr>
            </w:pPr>
            <w:r>
              <w:rPr>
                <w:lang w:eastAsia="ko-KR"/>
                <w:sz w:val="22"/>
                <w:rtl w:val="off"/>
              </w:rPr>
              <w:t>이진희</w:t>
            </w:r>
          </w:p>
        </w:tc>
      </w:tr>
      <w:tr>
        <w:trPr>
          <w:trHeight w:val="552" w:hRule="atLeast"/>
        </w:trPr>
        <w:tc>
          <w:tcPr>
            <w:tcW w:w="1809" w:type="dxa"/>
            <w:vAlign w:val="center"/>
          </w:tcPr>
          <w:p>
            <w:pPr>
              <w:jc w:val="center"/>
              <w:rPr>
                <w:b/>
                <w:sz w:val="22"/>
              </w:rPr>
            </w:pPr>
            <w:r>
              <w:rPr>
                <w:rFonts w:hint="eastAsia"/>
                <w:b/>
                <w:sz w:val="22"/>
              </w:rPr>
              <w:t>연구</w:t>
            </w:r>
            <w:r>
              <w:rPr>
                <w:rFonts w:hint="eastAsia"/>
                <w:b/>
                <w:sz w:val="22"/>
              </w:rPr>
              <w:t xml:space="preserve"> </w:t>
            </w:r>
            <w:r>
              <w:rPr>
                <w:rFonts w:hint="eastAsia"/>
                <w:b/>
                <w:sz w:val="22"/>
              </w:rPr>
              <w:t>대상</w:t>
            </w:r>
          </w:p>
        </w:tc>
        <w:tc>
          <w:tcPr>
            <w:tcW w:w="7415" w:type="dxa"/>
          </w:tcPr>
          <w:p>
            <w:pPr>
              <w:rPr>
                <w:lang w:eastAsia="ko-KR"/>
                <w:rFonts w:hint="eastAsia"/>
                <w:sz w:val="22"/>
                <w:rtl w:val="off"/>
              </w:rPr>
            </w:pPr>
            <w:r>
              <w:rPr>
                <w:lang w:eastAsia="ko-KR"/>
                <w:sz w:val="22"/>
                <w:rtl w:val="off"/>
              </w:rPr>
              <w:t>검진을 위해 복부 초음파 검사를 받은 수진자:</w:t>
            </w:r>
          </w:p>
          <w:p>
            <w:pPr>
              <w:rPr>
                <w:sz w:val="22"/>
              </w:rPr>
            </w:pPr>
            <w:r>
              <w:rPr>
                <w:rFonts w:ascii="맑은 고딕" w:eastAsia="맑은 고딕" w:hAnsi="맑은 고딕" w:hint="default"/>
                <w:sz w:val="22"/>
                <w:szCs w:val="22"/>
              </w:rPr>
              <w:t>SMC-LUD(삼성서울병원 간 초음파 데이터셋) 공개 데이터에 포함된, 병리학적으로 확인된 간세포암(HCC) 및 영상학적으로 진단된 간혈관종(hemangioma) 환자의 B-mode 복부 초음파 영상</w:t>
            </w:r>
          </w:p>
        </w:tc>
      </w:tr>
      <w:tr>
        <w:trPr>
          <w:trHeight w:val="546" w:hRule="atLeast"/>
        </w:trPr>
        <w:tc>
          <w:tcPr>
            <w:tcW w:w="1809" w:type="dxa"/>
            <w:vAlign w:val="center"/>
          </w:tcPr>
          <w:p>
            <w:pPr>
              <w:jc w:val="center"/>
              <w:rPr>
                <w:b/>
                <w:sz w:val="22"/>
              </w:rPr>
            </w:pPr>
            <w:r>
              <w:rPr>
                <w:rFonts w:hint="eastAsia"/>
                <w:b/>
                <w:sz w:val="22"/>
              </w:rPr>
              <w:t>연구 단계</w:t>
            </w:r>
          </w:p>
        </w:tc>
        <w:tc>
          <w:tcPr>
            <w:tcW w:w="7415" w:type="dxa"/>
            <w:vAlign w:val="center"/>
          </w:tcPr>
          <w:p>
            <w:pPr>
              <w:jc w:val="left"/>
              <w:rPr>
                <w:sz w:val="22"/>
              </w:rPr>
            </w:pPr>
            <w:r>
              <w:rPr>
                <w:rFonts w:hint="eastAsia"/>
                <w:sz w:val="22"/>
              </w:rPr>
              <w:t>학술용(</w:t>
            </w:r>
            <w:r>
              <w:rPr>
                <w:rFonts w:hint="eastAsia"/>
                <w:sz w:val="22"/>
              </w:rPr>
              <w:t>후향</w:t>
            </w:r>
            <w:r>
              <w:rPr>
                <w:rFonts w:hint="eastAsia"/>
                <w:sz w:val="22"/>
              </w:rPr>
              <w:t>적</w:t>
            </w:r>
            <w:r>
              <w:rPr>
                <w:rFonts w:hint="eastAsia"/>
                <w:sz w:val="22"/>
              </w:rPr>
              <w:t xml:space="preserve"> 관찰연구)</w:t>
            </w:r>
          </w:p>
        </w:tc>
      </w:tr>
      <w:tr>
        <w:trPr>
          <w:trHeight w:val="1134" w:hRule="atLeast"/>
        </w:trPr>
        <w:tc>
          <w:tcPr>
            <w:tcW w:w="1809" w:type="dxa"/>
            <w:vAlign w:val="center"/>
          </w:tcPr>
          <w:p>
            <w:pPr>
              <w:jc w:val="center"/>
              <w:rPr>
                <w:b/>
                <w:sz w:val="22"/>
              </w:rPr>
            </w:pPr>
            <w:r>
              <w:rPr>
                <w:rFonts w:hint="eastAsia"/>
                <w:b/>
                <w:sz w:val="22"/>
              </w:rPr>
              <w:t>연구 목적</w:t>
            </w:r>
          </w:p>
        </w:tc>
        <w:tc>
          <w:tcPr>
            <w:tcW w:w="7415" w:type="dxa"/>
          </w:tcPr>
          <w:p>
            <w:pPr>
              <w:rPr>
                <w:sz w:val="22"/>
              </w:rPr>
            </w:pPr>
            <w:r>
              <w:rPr>
                <w:rFonts w:ascii="맑은 고딕" w:eastAsia="맑은 고딕" w:hAnsi="맑은 고딕" w:hint="default"/>
                <w:sz w:val="22"/>
                <w:szCs w:val="22"/>
              </w:rPr>
              <w:t xml:space="preserve">B-mode 복부 초음파 영상에서 HCC와 hemangioma를 감별하는 딥러닝 모델을 개발하고, </w:t>
            </w:r>
            <w:r>
              <w:rPr>
                <w:lang w:eastAsia="ko-KR"/>
                <w:rFonts w:ascii="맑은 고딕" w:eastAsia="맑은 고딕" w:hAnsi="맑은 고딕" w:hint="default"/>
                <w:sz w:val="22"/>
                <w:szCs w:val="22"/>
                <w:rtl w:val="off"/>
              </w:rPr>
              <w:t xml:space="preserve">HCC 감별에 도움을 주는 </w:t>
            </w:r>
            <w:r>
              <w:rPr>
                <w:rFonts w:ascii="맑은 고딕" w:eastAsia="맑은 고딕" w:hAnsi="맑은 고딕" w:hint="default"/>
                <w:sz w:val="22"/>
                <w:szCs w:val="22"/>
              </w:rPr>
              <w:t>연속형 영상표지자(HCC cosine score, Δscore)를 제안·검증한다.</w:t>
            </w:r>
          </w:p>
        </w:tc>
      </w:tr>
      <w:tr>
        <w:trPr>
          <w:trHeight w:val="1973" w:hRule="atLeast"/>
        </w:trPr>
        <w:tc>
          <w:tcPr>
            <w:tcW w:w="1809" w:type="dxa"/>
            <w:vAlign w:val="center"/>
          </w:tcPr>
          <w:p>
            <w:pPr>
              <w:jc w:val="center"/>
              <w:rPr>
                <w:b/>
                <w:sz w:val="22"/>
              </w:rPr>
            </w:pPr>
            <w:r>
              <w:rPr>
                <w:rFonts w:hint="eastAsia"/>
                <w:b/>
                <w:sz w:val="22"/>
              </w:rPr>
              <w:t>연구 방법</w:t>
            </w:r>
          </w:p>
        </w:tc>
        <w:tc>
          <w:tcPr>
            <w:tcW w:w="7415" w:type="dxa"/>
          </w:tcPr>
          <w:p>
            <w:pPr>
              <w:rPr>
                <w:sz w:val="22"/>
              </w:rPr>
            </w:pPr>
            <w:r>
              <w:rPr>
                <w:rFonts w:ascii="맑은 고딕" w:eastAsia="맑은 고딕" w:hAnsi="맑은 고딕" w:hint="default"/>
                <w:sz w:val="22"/>
                <w:szCs w:val="22"/>
              </w:rPr>
              <w:t>공개 데이터셋(SMC-LUD)을 이용한 단일 기관 후향적 2차 분석 연구. EfficientNetV2B0 기반 hybrid vision transformer를 교차엔트로피(CE) 및 supervised contrastive learning(SupCon)으로 학습하고, ROC/DeLong 검정 등 통계 분석을 수행한다.</w:t>
            </w:r>
          </w:p>
        </w:tc>
      </w:tr>
      <w:tr>
        <w:trPr>
          <w:trHeight w:val="555" w:hRule="atLeast"/>
        </w:trPr>
        <w:tc>
          <w:tcPr>
            <w:tcW w:w="1809" w:type="dxa"/>
            <w:vAlign w:val="center"/>
          </w:tcPr>
          <w:p>
            <w:pPr>
              <w:jc w:val="center"/>
              <w:rPr>
                <w:b/>
                <w:sz w:val="22"/>
              </w:rPr>
            </w:pPr>
            <w:r>
              <w:rPr>
                <w:rFonts w:hint="eastAsia"/>
                <w:b/>
                <w:sz w:val="22"/>
              </w:rPr>
              <w:t>대상자 수</w:t>
            </w:r>
          </w:p>
        </w:tc>
        <w:tc>
          <w:tcPr>
            <w:tcW w:w="7415" w:type="dxa"/>
          </w:tcPr>
          <w:p>
            <w:pPr>
              <w:rPr>
                <w:sz w:val="22"/>
              </w:rPr>
            </w:pPr>
            <w:r>
              <w:rPr>
                <w:rFonts w:ascii="맑은 고딕" w:eastAsia="맑은 고딕" w:hAnsi="맑은 고딕" w:hint="default"/>
                <w:sz w:val="22"/>
                <w:szCs w:val="22"/>
              </w:rPr>
              <w:t xml:space="preserve">총 1,021명, 5,385장(모델 학습·평가용 clean subset 744명, 2,656장) </w:t>
            </w:r>
            <w:r>
              <w:rPr>
                <w:lang w:eastAsia="ko-KR"/>
                <w:rFonts w:ascii="맑은 고딕" w:eastAsia="맑은 고딕" w:hAnsi="맑은 고딕" w:hint="default"/>
                <w:sz w:val="22"/>
                <w:szCs w:val="22"/>
                <w:rtl w:val="off"/>
              </w:rPr>
              <w:t>:</w:t>
            </w:r>
            <w:r>
              <w:rPr>
                <w:rFonts w:ascii="맑은 고딕" w:eastAsia="맑은 고딕" w:hAnsi="맑은 고딕" w:hint="default"/>
                <w:sz w:val="22"/>
                <w:szCs w:val="22"/>
              </w:rPr>
              <w:t xml:space="preserve"> 기존 공개 데이터셋(SMC-LUD) 전수 활용</w:t>
            </w:r>
          </w:p>
        </w:tc>
      </w:tr>
      <w:tr>
        <w:trPr>
          <w:trHeight w:val="1325" w:hRule="atLeast"/>
        </w:trPr>
        <w:tc>
          <w:tcPr>
            <w:tcW w:w="1809" w:type="dxa"/>
            <w:vAlign w:val="center"/>
          </w:tcPr>
          <w:p>
            <w:pPr>
              <w:jc w:val="center"/>
              <w:rPr>
                <w:b/>
                <w:sz w:val="22"/>
              </w:rPr>
            </w:pPr>
            <w:r>
              <w:rPr>
                <w:rFonts w:hint="eastAsia"/>
                <w:b/>
                <w:sz w:val="22"/>
              </w:rPr>
              <w:t>선정 기준</w:t>
            </w:r>
          </w:p>
        </w:tc>
        <w:tc>
          <w:tcPr>
            <w:tcW w:w="7415" w:type="dxa"/>
          </w:tcPr>
          <w:p>
            <w:pPr>
              <w:rPr>
                <w:sz w:val="22"/>
              </w:rPr>
            </w:pPr>
            <w:r>
              <w:rPr>
                <w:rFonts w:ascii="맑은 고딕" w:eastAsia="맑은 고딕" w:hAnsi="맑은 고딕" w:hint="default"/>
                <w:sz w:val="22"/>
                <w:szCs w:val="22"/>
              </w:rPr>
              <w:t>1. SMC-LUD 공개 데이터셋에 포함되어 있으며 병리학적으로 HCC로 확인되었거나 영상학적으로 hemangioma로 진단된 환자</w:t>
            </w:r>
            <w:r>
              <w:rPr>
                <w:rFonts w:ascii="맑은 고딕" w:eastAsia="맑은 고딕" w:hAnsi="맑은 고딕" w:hint="default"/>
                <w:sz w:val="22"/>
                <w:szCs w:val="22"/>
              </w:rPr>
              <w:br/>
            </w:r>
            <w:r>
              <w:rPr>
                <w:rFonts w:ascii="맑은 고딕" w:eastAsia="맑은 고딕" w:hAnsi="맑은 고딕" w:hint="default"/>
                <w:sz w:val="22"/>
                <w:szCs w:val="22"/>
              </w:rPr>
              <w:t>2. B-mode 복부 초음파 영상이 판독 가능한 품질로 확보된 경우</w:t>
            </w:r>
            <w:r>
              <w:rPr>
                <w:rFonts w:ascii="맑은 고딕" w:eastAsia="맑은 고딕" w:hAnsi="맑은 고딕" w:hint="default"/>
                <w:sz w:val="22"/>
                <w:szCs w:val="22"/>
              </w:rPr>
              <w:br/>
            </w:r>
            <w:r>
              <w:rPr>
                <w:rFonts w:ascii="맑은 고딕" w:eastAsia="맑은 고딕" w:hAnsi="맑은 고딕" w:hint="default"/>
                <w:sz w:val="22"/>
                <w:szCs w:val="22"/>
              </w:rPr>
              <w:t>3. 환자 단위(patient-level) 분할이 가능하도록 개인식별정보가 비식별화된 자료</w:t>
            </w:r>
          </w:p>
        </w:tc>
      </w:tr>
      <w:tr>
        <w:trPr>
          <w:trHeight w:val="1118" w:hRule="atLeast"/>
        </w:trPr>
        <w:tc>
          <w:tcPr>
            <w:tcW w:w="1809" w:type="dxa"/>
            <w:vAlign w:val="center"/>
          </w:tcPr>
          <w:p>
            <w:pPr>
              <w:jc w:val="center"/>
              <w:rPr>
                <w:b/>
                <w:sz w:val="22"/>
              </w:rPr>
            </w:pPr>
            <w:r>
              <w:rPr>
                <w:rFonts w:hint="eastAsia"/>
                <w:b/>
                <w:sz w:val="22"/>
              </w:rPr>
              <w:t>제외 기준</w:t>
            </w:r>
          </w:p>
        </w:tc>
        <w:tc>
          <w:tcPr>
            <w:tcW w:w="7415" w:type="dxa"/>
          </w:tcPr>
          <w:p>
            <w:pPr>
              <w:rPr>
                <w:sz w:val="22"/>
              </w:rPr>
            </w:pPr>
            <w:r>
              <w:rPr>
                <w:rFonts w:ascii="맑은 고딕" w:eastAsia="맑은 고딕" w:hAnsi="맑은 고딕" w:hint="default"/>
                <w:sz w:val="22"/>
                <w:szCs w:val="22"/>
              </w:rPr>
              <w:t>1. 일부 영상 자료 또는 임상정보가 누락되어 있는 경우</w:t>
            </w:r>
            <w:r>
              <w:rPr>
                <w:rFonts w:ascii="맑은 고딕" w:eastAsia="맑은 고딕" w:hAnsi="맑은 고딕" w:hint="default"/>
                <w:sz w:val="22"/>
                <w:szCs w:val="22"/>
              </w:rPr>
              <w:br/>
            </w:r>
            <w:r>
              <w:rPr>
                <w:rFonts w:ascii="맑은 고딕" w:eastAsia="맑은 고딕" w:hAnsi="맑은 고딕" w:hint="default"/>
                <w:sz w:val="22"/>
                <w:szCs w:val="22"/>
              </w:rPr>
              <w:t>2. Caliper(측정선) 등 판독을 방해하는 인공물이 포함되어 자동 분석이 부적절한 영상</w:t>
            </w:r>
            <w:r>
              <w:rPr>
                <w:rFonts w:ascii="맑은 고딕" w:eastAsia="맑은 고딕" w:hAnsi="맑은 고딕" w:hint="default"/>
                <w:sz w:val="22"/>
                <w:szCs w:val="22"/>
              </w:rPr>
              <w:br/>
            </w:r>
            <w:r>
              <w:rPr>
                <w:rFonts w:ascii="맑은 고딕" w:eastAsia="맑은 고딕" w:hAnsi="맑은 고딕" w:hint="default"/>
                <w:sz w:val="22"/>
                <w:szCs w:val="22"/>
              </w:rPr>
              <w:t>3. 영상 품질이 불량하여 병변 경계 판별이 불가능한 경우</w:t>
            </w:r>
          </w:p>
        </w:tc>
      </w:tr>
      <w:tr>
        <w:trPr>
          <w:trHeight w:val="2388" w:hRule="atLeast"/>
        </w:trPr>
        <w:tc>
          <w:tcPr>
            <w:tcW w:w="1809" w:type="dxa"/>
            <w:vAlign w:val="center"/>
          </w:tcPr>
          <w:p>
            <w:pPr>
              <w:jc w:val="center"/>
              <w:rPr>
                <w:b/>
                <w:sz w:val="22"/>
              </w:rPr>
            </w:pPr>
            <w:r>
              <w:rPr>
                <w:rFonts w:hint="eastAsia"/>
                <w:b/>
                <w:sz w:val="22"/>
              </w:rPr>
              <w:t xml:space="preserve">기대효과 및 </w:t>
            </w:r>
          </w:p>
          <w:p>
            <w:pPr>
              <w:jc w:val="center"/>
              <w:rPr>
                <w:b/>
                <w:sz w:val="22"/>
              </w:rPr>
            </w:pPr>
            <w:r>
              <w:rPr>
                <w:rFonts w:hint="eastAsia"/>
                <w:b/>
                <w:sz w:val="22"/>
              </w:rPr>
              <w:t>예상결과</w:t>
            </w:r>
          </w:p>
        </w:tc>
        <w:tc>
          <w:tcPr>
            <w:tcW w:w="7415" w:type="dxa"/>
          </w:tcPr>
          <w:p>
            <w:pPr>
              <w:rPr>
                <w:sz w:val="22"/>
              </w:rPr>
            </w:pPr>
            <w:r>
              <w:rPr>
                <w:rFonts w:hint="eastAsia"/>
                <w:sz w:val="22"/>
              </w:rPr>
              <w:t xml:space="preserve"> </w:t>
            </w:r>
            <w:r>
              <w:rPr>
                <w:rFonts w:ascii="맑은 고딕" w:eastAsia="맑은 고딕" w:hAnsi="맑은 고딕" w:hint="default"/>
                <w:sz w:val="22"/>
                <w:szCs w:val="22"/>
              </w:rPr>
              <w:t>본 연구를 통해 B-mode 초음파 판독 시 임상의의 유사성 기반 추론(similarity-based reasoning)에 대응하는 새로운 연속형 영상표지자(HCC cosine score, Δscore)를 제시함으로써, 기존 단일 softmax 출력의 한계(과잉 확신, 클래스 내 이질성 미반영)를 보완하고 애매한 확신도 구간에서의 오분류를 구제할 수 있는 보조적 진단 도구로 활용될 것으로 기대한다.</w:t>
            </w:r>
          </w:p>
        </w:tc>
      </w:tr>
    </w:tbl>
    <w:p>
      <w:pPr>
        <w:rPr>
          <w:sz w:val="22"/>
        </w:rPr>
      </w:pPr>
    </w:p>
    <w:p>
      <w:pPr>
        <w:rPr>
          <w:sz w:val="22"/>
        </w:rPr>
      </w:pPr>
    </w:p>
    <w:p>
      <w:pPr>
        <w:rPr>
          <w:sz w:val="22"/>
        </w:rPr>
      </w:pPr>
      <w:r>
        <w:rPr>
          <w:rFonts w:hint="eastAsia"/>
          <w:sz w:val="22"/>
        </w:rPr>
        <w:t>목차</w:t>
      </w:r>
    </w:p>
    <w:p>
      <w:pPr>
        <w:rPr>
          <w:sz w:val="22"/>
        </w:rPr>
      </w:pPr>
    </w:p>
    <w:p>
      <w:pPr>
        <w:rPr>
          <w:sz w:val="22"/>
        </w:rPr>
      </w:pPr>
      <w:r>
        <w:rPr>
          <w:rFonts w:hint="eastAsia"/>
          <w:sz w:val="22"/>
        </w:rPr>
        <w:t>1. 연구의 명칭 및 단</w:t>
      </w:r>
      <w:r>
        <w:rPr>
          <w:rFonts w:hint="eastAsia"/>
          <w:sz w:val="22"/>
        </w:rPr>
        <w:t>계</w:t>
      </w:r>
    </w:p>
    <w:p>
      <w:pPr>
        <w:rPr>
          <w:sz w:val="22"/>
        </w:rPr>
      </w:pPr>
      <w:r>
        <w:rPr>
          <w:rFonts w:hint="eastAsia"/>
          <w:sz w:val="22"/>
        </w:rPr>
        <w:t xml:space="preserve">2. 연구의 </w:t>
      </w:r>
      <w:r>
        <w:rPr>
          <w:rFonts w:hint="eastAsia"/>
          <w:sz w:val="22"/>
        </w:rPr>
        <w:t>실시기관명</w:t>
      </w:r>
      <w:r>
        <w:rPr>
          <w:rFonts w:hint="eastAsia"/>
          <w:sz w:val="22"/>
        </w:rPr>
        <w:t xml:space="preserve"> 및 주소</w:t>
      </w:r>
    </w:p>
    <w:p>
      <w:pPr>
        <w:rPr>
          <w:sz w:val="22"/>
        </w:rPr>
      </w:pPr>
      <w:r>
        <w:rPr>
          <w:rFonts w:hint="eastAsia"/>
          <w:sz w:val="22"/>
        </w:rPr>
        <w:t>3. 연구의 책임자, 담당자, 공동연구자의 성명 및 직명</w:t>
      </w:r>
    </w:p>
    <w:p>
      <w:pPr>
        <w:rPr>
          <w:sz w:val="22"/>
        </w:rPr>
      </w:pPr>
      <w:r>
        <w:rPr>
          <w:rFonts w:hint="eastAsia"/>
          <w:sz w:val="22"/>
        </w:rPr>
        <w:t>4. 연구의 배경</w:t>
      </w:r>
    </w:p>
    <w:p>
      <w:pPr>
        <w:rPr>
          <w:sz w:val="22"/>
        </w:rPr>
      </w:pPr>
      <w:r>
        <w:rPr>
          <w:rFonts w:hint="eastAsia"/>
          <w:sz w:val="22"/>
        </w:rPr>
        <w:t>5. 연구의 목적</w:t>
      </w:r>
    </w:p>
    <w:p>
      <w:pPr>
        <w:rPr>
          <w:sz w:val="22"/>
        </w:rPr>
      </w:pPr>
      <w:r>
        <w:rPr>
          <w:rFonts w:hint="eastAsia"/>
          <w:sz w:val="22"/>
        </w:rPr>
        <w:t>6. 대상자 선정기준/제외기준</w:t>
      </w:r>
    </w:p>
    <w:p>
      <w:pPr>
        <w:rPr>
          <w:sz w:val="22"/>
        </w:rPr>
      </w:pPr>
      <w:r>
        <w:rPr>
          <w:rFonts w:hint="eastAsia"/>
          <w:sz w:val="22"/>
        </w:rPr>
        <w:t xml:space="preserve"> 6-1 선정기준</w:t>
      </w:r>
    </w:p>
    <w:p>
      <w:pPr>
        <w:rPr>
          <w:sz w:val="22"/>
        </w:rPr>
      </w:pPr>
      <w:r>
        <w:rPr>
          <w:rFonts w:hint="eastAsia"/>
          <w:sz w:val="22"/>
        </w:rPr>
        <w:t xml:space="preserve"> 6-2 제외기준</w:t>
      </w:r>
    </w:p>
    <w:p>
      <w:pPr>
        <w:rPr>
          <w:sz w:val="22"/>
        </w:rPr>
      </w:pPr>
      <w:r>
        <w:rPr>
          <w:rFonts w:hint="eastAsia"/>
          <w:sz w:val="22"/>
        </w:rPr>
        <w:t>7. 목표대상자 수 및 근거</w:t>
      </w:r>
    </w:p>
    <w:p>
      <w:pPr>
        <w:ind w:firstLineChars="64" w:firstLine="141"/>
        <w:rPr>
          <w:sz w:val="22"/>
        </w:rPr>
      </w:pPr>
      <w:r>
        <w:rPr>
          <w:rFonts w:hint="eastAsia"/>
          <w:sz w:val="22"/>
        </w:rPr>
        <w:t>7-</w:t>
      </w:r>
      <w:r>
        <w:rPr>
          <w:rFonts w:hint="eastAsia"/>
          <w:sz w:val="22"/>
        </w:rPr>
        <w:t>1 연구대상자 수</w:t>
      </w:r>
    </w:p>
    <w:p>
      <w:pPr>
        <w:ind w:firstLineChars="64" w:firstLine="141"/>
        <w:rPr>
          <w:sz w:val="22"/>
        </w:rPr>
      </w:pPr>
      <w:r>
        <w:rPr>
          <w:rFonts w:hint="eastAsia"/>
          <w:sz w:val="22"/>
        </w:rPr>
        <w:t>7-</w:t>
      </w:r>
      <w:r>
        <w:rPr>
          <w:rFonts w:hint="eastAsia"/>
          <w:sz w:val="22"/>
        </w:rPr>
        <w:t>2 산출 근거</w:t>
      </w:r>
    </w:p>
    <w:p>
      <w:pPr>
        <w:rPr>
          <w:sz w:val="22"/>
        </w:rPr>
      </w:pPr>
      <w:r>
        <w:rPr>
          <w:rFonts w:hint="eastAsia"/>
          <w:sz w:val="22"/>
        </w:rPr>
        <w:t xml:space="preserve">8. </w:t>
      </w:r>
      <w:r>
        <w:rPr>
          <w:rFonts w:hint="eastAsia"/>
          <w:sz w:val="22"/>
        </w:rPr>
        <w:t>연구</w:t>
      </w:r>
      <w:r>
        <w:rPr>
          <w:rFonts w:hint="eastAsia"/>
          <w:sz w:val="22"/>
        </w:rPr>
        <w:t>의 기간</w:t>
      </w:r>
    </w:p>
    <w:p>
      <w:pPr>
        <w:ind w:firstLine="142"/>
        <w:rPr>
          <w:sz w:val="22"/>
        </w:rPr>
      </w:pPr>
      <w:r>
        <w:rPr>
          <w:rFonts w:hint="eastAsia"/>
          <w:sz w:val="22"/>
        </w:rPr>
        <w:t>8-1. 전체 연구 기간</w:t>
      </w:r>
    </w:p>
    <w:p>
      <w:pPr>
        <w:ind w:firstLine="142"/>
        <w:rPr>
          <w:sz w:val="22"/>
        </w:rPr>
      </w:pPr>
      <w:r>
        <w:rPr>
          <w:rFonts w:hint="eastAsia"/>
          <w:sz w:val="22"/>
        </w:rPr>
        <w:t xml:space="preserve">8-2. 자료수집 대상 기간 </w:t>
      </w:r>
    </w:p>
    <w:p>
      <w:pPr>
        <w:rPr>
          <w:sz w:val="22"/>
        </w:rPr>
      </w:pPr>
      <w:r>
        <w:rPr>
          <w:rFonts w:hint="eastAsia"/>
          <w:sz w:val="22"/>
        </w:rPr>
        <w:t xml:space="preserve">9. </w:t>
      </w:r>
      <w:r>
        <w:rPr>
          <w:rFonts w:hint="eastAsia"/>
          <w:sz w:val="22"/>
        </w:rPr>
        <w:t>연구</w:t>
      </w:r>
      <w:r>
        <w:rPr>
          <w:rFonts w:hint="eastAsia"/>
          <w:sz w:val="22"/>
        </w:rPr>
        <w:t xml:space="preserve"> 방법</w:t>
      </w:r>
      <w:r>
        <w:rPr>
          <w:rFonts w:hint="eastAsia"/>
          <w:sz w:val="22"/>
        </w:rPr>
        <w:t xml:space="preserve"> 및 절차</w:t>
      </w:r>
    </w:p>
    <w:p>
      <w:pPr>
        <w:rPr>
          <w:sz w:val="22"/>
        </w:rPr>
      </w:pPr>
      <w:r>
        <w:rPr>
          <w:rFonts w:hint="eastAsia"/>
          <w:sz w:val="22"/>
        </w:rPr>
        <w:t>1</w:t>
      </w:r>
      <w:r>
        <w:rPr>
          <w:rFonts w:hint="eastAsia"/>
          <w:sz w:val="22"/>
        </w:rPr>
        <w:t>0</w:t>
      </w:r>
      <w:r>
        <w:rPr>
          <w:rFonts w:hint="eastAsia"/>
          <w:sz w:val="22"/>
        </w:rPr>
        <w:t xml:space="preserve">. </w:t>
      </w:r>
      <w:r>
        <w:rPr>
          <w:rFonts w:hint="eastAsia"/>
          <w:sz w:val="22"/>
        </w:rPr>
        <w:t>수집정보 및 관찰항목</w:t>
      </w:r>
    </w:p>
    <w:p>
      <w:pPr>
        <w:rPr>
          <w:sz w:val="22"/>
        </w:rPr>
      </w:pPr>
      <w:r>
        <w:rPr>
          <w:rFonts w:hint="eastAsia"/>
          <w:sz w:val="22"/>
        </w:rPr>
        <w:t>1</w:t>
      </w:r>
      <w:r>
        <w:rPr>
          <w:rFonts w:hint="eastAsia"/>
          <w:sz w:val="22"/>
        </w:rPr>
        <w:t>1</w:t>
      </w:r>
      <w:r>
        <w:rPr>
          <w:rFonts w:hint="eastAsia"/>
          <w:sz w:val="22"/>
        </w:rPr>
        <w:t xml:space="preserve">. </w:t>
      </w:r>
      <w:r>
        <w:rPr>
          <w:rFonts w:hint="eastAsia"/>
          <w:sz w:val="22"/>
        </w:rPr>
        <w:t>자료 분석과</w:t>
      </w:r>
      <w:r>
        <w:rPr>
          <w:rFonts w:hint="eastAsia"/>
          <w:sz w:val="22"/>
        </w:rPr>
        <w:t xml:space="preserve"> 통계</w:t>
      </w:r>
      <w:r>
        <w:rPr>
          <w:rFonts w:hint="eastAsia"/>
          <w:sz w:val="22"/>
        </w:rPr>
        <w:t xml:space="preserve">적 </w:t>
      </w:r>
      <w:r>
        <w:rPr>
          <w:rFonts w:hint="eastAsia"/>
          <w:sz w:val="22"/>
        </w:rPr>
        <w:t>방법</w:t>
      </w:r>
    </w:p>
    <w:p>
      <w:pPr>
        <w:rPr>
          <w:sz w:val="22"/>
        </w:rPr>
      </w:pPr>
      <w:r>
        <w:rPr>
          <w:rFonts w:hint="eastAsia"/>
          <w:sz w:val="22"/>
        </w:rPr>
        <w:t xml:space="preserve"> 1</w:t>
      </w:r>
      <w:r>
        <w:rPr>
          <w:rFonts w:hint="eastAsia"/>
          <w:sz w:val="22"/>
        </w:rPr>
        <w:t>1</w:t>
      </w:r>
      <w:r>
        <w:rPr>
          <w:rFonts w:hint="eastAsia"/>
          <w:sz w:val="22"/>
        </w:rPr>
        <w:t xml:space="preserve">-1 </w:t>
      </w:r>
      <w:r>
        <w:rPr>
          <w:rFonts w:hint="eastAsia"/>
          <w:sz w:val="22"/>
        </w:rPr>
        <w:t>연구 및 분석 방법</w:t>
      </w:r>
    </w:p>
    <w:p>
      <w:pPr>
        <w:rPr>
          <w:sz w:val="22"/>
        </w:rPr>
      </w:pPr>
      <w:r>
        <w:rPr>
          <w:rFonts w:hint="eastAsia"/>
          <w:sz w:val="22"/>
        </w:rPr>
        <w:t xml:space="preserve"> 1</w:t>
      </w:r>
      <w:r>
        <w:rPr>
          <w:rFonts w:hint="eastAsia"/>
          <w:sz w:val="22"/>
        </w:rPr>
        <w:t>1</w:t>
      </w:r>
      <w:r>
        <w:rPr>
          <w:rFonts w:hint="eastAsia"/>
          <w:sz w:val="22"/>
        </w:rPr>
        <w:t xml:space="preserve">-2 </w:t>
      </w:r>
      <w:r>
        <w:rPr>
          <w:rFonts w:hint="eastAsia"/>
          <w:sz w:val="22"/>
        </w:rPr>
        <w:t>통계 분석 방법</w:t>
      </w:r>
    </w:p>
    <w:p>
      <w:pPr>
        <w:rPr>
          <w:sz w:val="22"/>
        </w:rPr>
      </w:pPr>
      <w:r>
        <w:rPr>
          <w:rFonts w:hint="eastAsia"/>
          <w:sz w:val="22"/>
        </w:rPr>
        <w:t>1</w:t>
      </w:r>
      <w:r>
        <w:rPr>
          <w:rFonts w:hint="eastAsia"/>
          <w:sz w:val="22"/>
        </w:rPr>
        <w:t>2</w:t>
      </w:r>
      <w:r>
        <w:rPr>
          <w:rFonts w:hint="eastAsia"/>
          <w:sz w:val="22"/>
        </w:rPr>
        <w:t>. 개인정보 보호 대책</w:t>
      </w:r>
    </w:p>
    <w:p>
      <w:pPr>
        <w:rPr>
          <w:sz w:val="22"/>
        </w:rPr>
      </w:pPr>
      <w:r>
        <w:rPr>
          <w:rFonts w:hint="eastAsia"/>
          <w:sz w:val="22"/>
        </w:rPr>
        <w:t xml:space="preserve"> 1</w:t>
      </w:r>
      <w:r>
        <w:rPr>
          <w:rFonts w:hint="eastAsia"/>
          <w:sz w:val="22"/>
        </w:rPr>
        <w:t>2</w:t>
      </w:r>
      <w:r>
        <w:rPr>
          <w:rFonts w:hint="eastAsia"/>
          <w:sz w:val="22"/>
        </w:rPr>
        <w:t>-1 적합한 대상자의 선정</w:t>
      </w:r>
    </w:p>
    <w:p>
      <w:pPr>
        <w:rPr>
          <w:sz w:val="22"/>
        </w:rPr>
      </w:pPr>
      <w:r>
        <w:rPr>
          <w:rFonts w:hint="eastAsia"/>
          <w:sz w:val="22"/>
        </w:rPr>
        <w:t xml:space="preserve"> 12</w:t>
      </w:r>
      <w:r>
        <w:rPr>
          <w:rFonts w:hint="eastAsia"/>
          <w:sz w:val="22"/>
        </w:rPr>
        <w:t xml:space="preserve">-2 대상자의 </w:t>
      </w:r>
      <w:r>
        <w:rPr>
          <w:rFonts w:hint="eastAsia"/>
          <w:sz w:val="22"/>
        </w:rPr>
        <w:t>동의과정</w:t>
      </w:r>
    </w:p>
    <w:p>
      <w:pPr>
        <w:rPr>
          <w:sz w:val="22"/>
        </w:rPr>
      </w:pPr>
      <w:r>
        <w:rPr>
          <w:rFonts w:hint="eastAsia"/>
          <w:sz w:val="22"/>
        </w:rPr>
        <w:t xml:space="preserve"> 12-3</w:t>
      </w:r>
      <w:r>
        <w:rPr>
          <w:rFonts w:hint="eastAsia"/>
          <w:sz w:val="22"/>
        </w:rPr>
        <w:t xml:space="preserve"> </w:t>
      </w:r>
      <w:r>
        <w:rPr>
          <w:rFonts w:hint="eastAsia"/>
          <w:sz w:val="22"/>
        </w:rPr>
        <w:t xml:space="preserve">대상자 비밀유지 및 </w:t>
      </w:r>
      <w:r>
        <w:rPr>
          <w:rFonts w:hint="eastAsia"/>
          <w:sz w:val="22"/>
        </w:rPr>
        <w:t>개인정보 보호</w:t>
      </w:r>
    </w:p>
    <w:p>
      <w:pPr>
        <w:rPr>
          <w:sz w:val="22"/>
        </w:rPr>
      </w:pPr>
      <w:r>
        <w:rPr>
          <w:rFonts w:hint="eastAsia"/>
          <w:sz w:val="22"/>
        </w:rPr>
        <w:t>13</w:t>
      </w:r>
      <w:r>
        <w:rPr>
          <w:rFonts w:hint="eastAsia"/>
          <w:sz w:val="22"/>
        </w:rPr>
        <w:t>. 자료의 보관</w:t>
      </w:r>
      <w:r>
        <w:rPr>
          <w:rFonts w:hint="eastAsia"/>
          <w:sz w:val="22"/>
        </w:rPr>
        <w:t xml:space="preserve"> 및 폐기</w:t>
      </w:r>
    </w:p>
    <w:p>
      <w:pPr>
        <w:rPr>
          <w:sz w:val="22"/>
        </w:rPr>
      </w:pPr>
      <w:r>
        <w:rPr>
          <w:rFonts w:hint="eastAsia"/>
          <w:sz w:val="22"/>
        </w:rPr>
        <w:t>1</w:t>
      </w:r>
      <w:r>
        <w:rPr>
          <w:rFonts w:hint="eastAsia"/>
          <w:sz w:val="22"/>
        </w:rPr>
        <w:t>4</w:t>
      </w:r>
      <w:r>
        <w:rPr>
          <w:rFonts w:hint="eastAsia"/>
          <w:sz w:val="22"/>
        </w:rPr>
        <w:t xml:space="preserve">. </w:t>
      </w:r>
      <w:r>
        <w:rPr>
          <w:rFonts w:hint="eastAsia"/>
          <w:sz w:val="22"/>
        </w:rPr>
        <w:t>참고문헌</w:t>
      </w:r>
    </w:p>
    <w:p>
      <w:pPr>
        <w:rPr>
          <w:sz w:val="22"/>
        </w:rPr>
      </w:pPr>
    </w:p>
    <w:p>
      <w:pPr>
        <w:rPr>
          <w:sz w:val="22"/>
        </w:rPr>
      </w:pPr>
    </w:p>
    <w:p>
      <w:pPr>
        <w:rPr>
          <w:sz w:val="22"/>
        </w:rPr>
      </w:pPr>
    </w:p>
    <w:p>
      <w:pPr>
        <w:rPr>
          <w:sz w:val="22"/>
        </w:rPr>
      </w:pPr>
    </w:p>
    <w:p>
      <w:pPr>
        <w:rPr>
          <w:sz w:val="22"/>
        </w:rPr>
      </w:pPr>
    </w:p>
    <w:p>
      <w:pPr>
        <w:rPr>
          <w:sz w:val="22"/>
        </w:rPr>
      </w:pPr>
    </w:p>
    <w:p>
      <w:pPr>
        <w:rPr>
          <w:sz w:val="22"/>
        </w:rPr>
      </w:pPr>
    </w:p>
    <w:p>
      <w:pPr>
        <w:rPr>
          <w:rFonts w:ascii="맑은 고딕" w:eastAsia="맑은 고딕" w:hAnsi="맑은 고딕" w:hint="default"/>
          <w:sz w:val="22"/>
          <w:szCs w:val="22"/>
        </w:rPr>
      </w:pPr>
      <w:r>
        <w:rPr>
          <w:rFonts w:ascii="맑은 고딕" w:eastAsia="맑은 고딕" w:hAnsi="맑은 고딕" w:hint="default"/>
          <w:b/>
          <w:sz w:val="22"/>
          <w:szCs w:val="22"/>
        </w:rPr>
        <w:t>1. 연구의 명칭 및 단계</w:t>
      </w:r>
    </w:p>
    <w:p>
      <w:pPr>
        <w:rPr>
          <w:rFonts w:ascii="맑은 고딕" w:eastAsia="맑은 고딕" w:hAnsi="맑은 고딕" w:hint="default"/>
          <w:sz w:val="22"/>
          <w:szCs w:val="22"/>
        </w:rPr>
      </w:pPr>
      <w:r>
        <w:rPr>
          <w:rFonts w:ascii="맑은 고딕" w:eastAsia="맑은 고딕" w:hAnsi="맑은 고딕" w:hint="default"/>
          <w:sz w:val="22"/>
          <w:szCs w:val="22"/>
        </w:rPr>
        <w:t>한글 : B-mode 복부 초음파에서 HCC 유사도를 정량화하는 이중 출력 영상표지자의 개발</w:t>
      </w:r>
    </w:p>
    <w:p>
      <w:pPr>
        <w:rPr>
          <w:rFonts w:ascii="맑은 고딕" w:eastAsia="맑은 고딕" w:hAnsi="맑은 고딕" w:hint="default"/>
          <w:sz w:val="22"/>
          <w:szCs w:val="22"/>
        </w:rPr>
      </w:pPr>
      <w:r>
        <w:rPr>
          <w:rFonts w:ascii="맑은 고딕" w:eastAsia="맑은 고딕" w:hAnsi="맑은 고딕" w:hint="default"/>
          <w:sz w:val="22"/>
          <w:szCs w:val="22"/>
        </w:rPr>
        <w:t>영문 : Development of a Dual-Output Imaging Biomarker Quantifying HCC Similarity on B-mode Abdominal Ultrasound</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연구 단계 : 연구자 주도 학술연구(후향적 관찰연구, 공개 데이터셋 2차 분석 연구)</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2. 연구의 실시기관명 및 주소</w:t>
      </w:r>
    </w:p>
    <w:p>
      <w:pPr>
        <w:rPr>
          <w:rFonts w:ascii="맑은 고딕" w:eastAsia="맑은 고딕" w:hAnsi="맑은 고딕" w:hint="default"/>
          <w:sz w:val="22"/>
          <w:szCs w:val="22"/>
        </w:rPr>
      </w:pPr>
      <w:r>
        <w:rPr>
          <w:rFonts w:ascii="맑은 고딕" w:eastAsia="맑은 고딕" w:hAnsi="맑은 고딕" w:hint="default"/>
          <w:sz w:val="22"/>
          <w:szCs w:val="22"/>
        </w:rPr>
        <w:t>전주시 완산구 서원로 365 예수병원</w:t>
      </w:r>
    </w:p>
    <w:p>
      <w:pPr>
        <w:rPr>
          <w:rFonts w:ascii="맑은 고딕" w:eastAsia="맑은 고딕" w:hAnsi="맑은 고딕" w:hint="default"/>
          <w:sz w:val="22"/>
          <w:szCs w:val="22"/>
        </w:rPr>
      </w:pPr>
      <w:r>
        <w:rPr>
          <w:rFonts w:ascii="맑은 고딕" w:eastAsia="맑은 고딕" w:hAnsi="맑은 고딕" w:hint="default"/>
          <w:b/>
          <w:sz w:val="22"/>
          <w:szCs w:val="22"/>
        </w:rPr>
        <w:t>3. 연구의 책임자, 담당자, 공동연구자의 성명 및 직명</w:t>
      </w:r>
    </w:p>
    <w:p>
      <w:pPr>
        <w:rPr>
          <w:rFonts w:ascii="맑은 고딕" w:eastAsia="맑은 고딕" w:hAnsi="맑은 고딕" w:hint="default"/>
          <w:sz w:val="22"/>
          <w:szCs w:val="22"/>
        </w:rPr>
      </w:pPr>
      <w:r>
        <w:rPr>
          <w:rFonts w:ascii="맑은 고딕" w:eastAsia="맑은 고딕" w:hAnsi="맑은 고딕" w:hint="default"/>
          <w:sz w:val="22"/>
          <w:szCs w:val="22"/>
        </w:rPr>
        <w:t>책임연구자/소속/직위 : 김현수 / 예수병원 가정의학과 / 전공의</w:t>
      </w:r>
    </w:p>
    <w:p>
      <w:pPr>
        <w:rPr>
          <w:rFonts w:ascii="맑은 고딕" w:eastAsia="맑은 고딕" w:hAnsi="맑은 고딕" w:hint="default"/>
          <w:sz w:val="22"/>
          <w:szCs w:val="22"/>
        </w:rPr>
      </w:pPr>
      <w:r>
        <w:rPr>
          <w:rFonts w:ascii="맑은 고딕" w:eastAsia="맑은 고딕" w:hAnsi="맑은 고딕" w:hint="default"/>
          <w:sz w:val="22"/>
          <w:szCs w:val="22"/>
        </w:rPr>
        <w:t xml:space="preserve">공동연구자/소속/직위 : 이진희 / 예수병원 가정의학과 / </w:t>
      </w:r>
      <w:r>
        <w:rPr>
          <w:lang w:eastAsia="ko-KR"/>
          <w:rFonts w:ascii="맑은 고딕" w:eastAsia="맑은 고딕" w:hAnsi="맑은 고딕" w:hint="default"/>
          <w:sz w:val="22"/>
          <w:szCs w:val="22"/>
          <w:rtl w:val="off"/>
        </w:rPr>
        <w:t>지도전문</w:t>
      </w:r>
      <w:r>
        <w:rPr>
          <w:rFonts w:ascii="맑은 고딕" w:eastAsia="맑은 고딕" w:hAnsi="맑은 고딕" w:hint="default"/>
          <w:sz w:val="22"/>
          <w:szCs w:val="22"/>
        </w:rPr>
        <w:t>의</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연구담당자 : 김현수</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4. 연구의 배경</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간세포암(hepatocellular carcinoma, HCC)은 원발성 간암의 가장 흔한 조직학적 아형이며 전 세계적으로 암 관련 사망의 주요 원인 중 하나이다. 예후는 진단 시 병기에 크게 의존하므로 고위험 환자군에서는 B-mode 복부 초음파를 이용한 정기적 감시 검사가 국내외 진료 지침으로 권고된다. 그러나 초음파 단독 조기 HCC 감지 민감도는 47% 수준에 불과하며, 이는 병변의 비전형성을 연속형으로 정량화하는 보조 지표의 부재와 검사자 의존성에서 기인하는 것으로 알려져 있다.</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br/>
      </w:r>
      <w:r>
        <w:rPr>
          <w:rFonts w:ascii="맑은 고딕" w:eastAsia="맑은 고딕" w:hAnsi="맑은 고딕" w:hint="default"/>
          <w:sz w:val="22"/>
          <w:szCs w:val="22"/>
        </w:rPr>
        <w:t>HCC와 간혈관종(hemangioma)은 각각 전형적 소견과 비전형적 소견이 넓은 스펙트럼에 걸쳐 공존하여, B-mode 초음파만으로 두 질환을 감별하는 데 임상적 어려움이 있다. 임상의는 실제 판독 시 병변이 전형적 HCC 소견을 얼마나 닮았는지를 평가하는 연속적 유사성 기반 추론(similarity-based reasoning)을 수행하나, 기존 딥러닝 분류 모델은 대부분 단일 softmax 출력만을 제공하여 이러한 임상적 추론 과정과 직접 대응하지 못하며 보정되지 않은 과잉 확신을 반영할 위험이 있다.</w:t>
      </w:r>
      <w:r>
        <w:rPr>
          <w:rFonts w:ascii="맑은 고딕" w:eastAsia="맑은 고딕" w:hAnsi="맑은 고딕" w:hint="default"/>
          <w:sz w:val="22"/>
          <w:szCs w:val="22"/>
        </w:rPr>
        <w:br/>
      </w:r>
      <w:r>
        <w:rPr>
          <w:rFonts w:ascii="맑은 고딕" w:eastAsia="맑은 고딕" w:hAnsi="맑은 고딕" w:hint="default"/>
          <w:sz w:val="22"/>
          <w:szCs w:val="22"/>
        </w:rPr>
        <w:t>이에 본 연구는 공개된 간 초음파 데이터셋(SMC-LUD)을 활용하여 HCC와 hemangioma를 감별하는 hybrid vision transformer 모델을 개발하고, 단일 softmax 출력(confidence score) 외에 임베딩 공간의 기하학적 유사도에 기반한 연속형 영상표지자(HCC cosine score, Δscore)를 제안·검증함으로써, 기존 이진 분류 모델이 반영하지 못하는 클래스 내 이질성과 애매한 확신도 구간에서의 보완적 진단 가치를 실험적으로 규명하고자 한다.</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5. 연구의 목적</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본 연구는 다음 세 가지 목적으로 설계되었다.</w:t>
      </w:r>
      <w:r>
        <w:rPr>
          <w:rFonts w:ascii="맑은 고딕" w:eastAsia="맑은 고딕" w:hAnsi="맑은 고딕" w:hint="default"/>
          <w:sz w:val="22"/>
          <w:szCs w:val="22"/>
        </w:rPr>
        <w:br/>
      </w:r>
      <w:r>
        <w:rPr>
          <w:rFonts w:ascii="맑은 고딕" w:eastAsia="맑은 고딕" w:hAnsi="맑은 고딕" w:hint="default"/>
          <w:sz w:val="22"/>
          <w:szCs w:val="22"/>
        </w:rPr>
        <w:t>첫째, B-mode 초음파에서 HCC와 hemangioma를 감별하기 위한 EfficientNetV2B0 기반 hybrid vision transformer를 개발하고 검증한다.</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br/>
      </w:r>
      <w:r>
        <w:rPr>
          <w:rFonts w:ascii="맑은 고딕" w:eastAsia="맑은 고딕" w:hAnsi="맑은 고딕" w:hint="default"/>
          <w:sz w:val="22"/>
          <w:szCs w:val="22"/>
        </w:rPr>
        <w:t xml:space="preserve">둘째, </w:t>
      </w:r>
      <w:r>
        <w:rPr>
          <w:lang w:eastAsia="ko-KR"/>
          <w:rFonts w:ascii="맑은 고딕" w:eastAsia="맑은 고딕" w:hAnsi="맑은 고딕" w:hint="default"/>
          <w:sz w:val="22"/>
          <w:szCs w:val="22"/>
          <w:rtl w:val="off"/>
        </w:rPr>
        <w:t>기존 딥 러닝 모델의, 레이블에 대한 단일 logit</w:t>
      </w:r>
      <w:r>
        <w:rPr>
          <w:rFonts w:ascii="맑은 고딕" w:eastAsia="맑은 고딕" w:hAnsi="맑은 고딕" w:hint="default"/>
          <w:sz w:val="22"/>
          <w:szCs w:val="22"/>
        </w:rPr>
        <w:t xml:space="preserve"> 출력 체계를 넘어 supervised contrastive learning(SupCon)으로 구조화된 임베딩 공간에서 HCC cosine score와 Δscore를 도출하는 이중 출력 체계를 제안하고, 이 표지자들이 confidence score와 독립적인 임상 해석 정보를 제공하는지 평가한다.</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br/>
      </w:r>
      <w:r>
        <w:rPr>
          <w:rFonts w:ascii="맑은 고딕" w:eastAsia="맑은 고딕" w:hAnsi="맑은 고딕" w:hint="default"/>
          <w:sz w:val="22"/>
          <w:szCs w:val="22"/>
        </w:rPr>
        <w:t>셋째, 임베딩 공간의 클러스터 구조가 병변의 비전형성(atypicality)을 연속형으로 정량화하는 기반이 될 수 있는지를 실험적으로 검증한다.</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6. 대상자 선정기준/제외기준</w:t>
      </w:r>
    </w:p>
    <w:p>
      <w:pPr>
        <w:rPr>
          <w:rFonts w:ascii="맑은 고딕" w:eastAsia="맑은 고딕" w:hAnsi="맑은 고딕" w:hint="default"/>
          <w:sz w:val="22"/>
          <w:szCs w:val="22"/>
        </w:rPr>
      </w:pPr>
      <w:r>
        <w:rPr>
          <w:rFonts w:ascii="맑은 고딕" w:eastAsia="맑은 고딕" w:hAnsi="맑은 고딕" w:hint="default"/>
          <w:b/>
          <w:sz w:val="22"/>
          <w:szCs w:val="22"/>
        </w:rPr>
        <w:t>6-1. 선정기준</w:t>
      </w:r>
    </w:p>
    <w:p>
      <w:pPr>
        <w:rPr>
          <w:rFonts w:ascii="맑은 고딕" w:eastAsia="맑은 고딕" w:hAnsi="맑은 고딕" w:hint="default"/>
          <w:sz w:val="22"/>
          <w:szCs w:val="22"/>
        </w:rPr>
      </w:pPr>
      <w:r>
        <w:rPr>
          <w:rFonts w:ascii="맑은 고딕" w:eastAsia="맑은 고딕" w:hAnsi="맑은 고딕" w:hint="default"/>
          <w:sz w:val="22"/>
          <w:szCs w:val="22"/>
        </w:rPr>
        <w:t>1) SMC-LUD(Samsung Medical Center-Liver Ultrasound Dataset) 공개 데이터셋에 포함되어 있으며, 병리학적으로 간세포암(HCC)으로 확인되었거나 영상학적으로 간혈관종(hemangioma)으로 진단된 환자</w:t>
      </w:r>
    </w:p>
    <w:p>
      <w:pPr>
        <w:rPr>
          <w:rFonts w:ascii="맑은 고딕" w:eastAsia="맑은 고딕" w:hAnsi="맑은 고딕" w:hint="default"/>
          <w:sz w:val="22"/>
          <w:szCs w:val="22"/>
        </w:rPr>
      </w:pPr>
      <w:r>
        <w:rPr>
          <w:rFonts w:ascii="맑은 고딕" w:eastAsia="맑은 고딕" w:hAnsi="맑은 고딕" w:hint="default"/>
          <w:sz w:val="22"/>
          <w:szCs w:val="22"/>
        </w:rPr>
        <w:t>2) B-mode 복부 초음파 흑백 영상이 판독 가능한 품질로 확보된 경우</w:t>
      </w:r>
    </w:p>
    <w:p>
      <w:pPr>
        <w:rPr>
          <w:rFonts w:ascii="맑은 고딕" w:eastAsia="맑은 고딕" w:hAnsi="맑은 고딕" w:hint="default"/>
          <w:sz w:val="22"/>
          <w:szCs w:val="22"/>
        </w:rPr>
      </w:pPr>
      <w:r>
        <w:rPr>
          <w:rFonts w:ascii="맑은 고딕" w:eastAsia="맑은 고딕" w:hAnsi="맑은 고딕" w:hint="default"/>
          <w:sz w:val="22"/>
          <w:szCs w:val="22"/>
        </w:rPr>
        <w:t>3) 환자 단위(patient-level) 분할이 가능하도록 개인식별정보가 비식별화되어 제공된 자료</w:t>
      </w:r>
    </w:p>
    <w:p>
      <w:pPr>
        <w:rPr>
          <w:rFonts w:ascii="맑은 고딕" w:eastAsia="맑은 고딕" w:hAnsi="맑은 고딕" w:hint="default"/>
          <w:sz w:val="22"/>
          <w:szCs w:val="22"/>
        </w:rPr>
      </w:pPr>
      <w:r>
        <w:rPr>
          <w:rFonts w:ascii="맑은 고딕" w:eastAsia="맑은 고딕" w:hAnsi="맑은 고딕" w:hint="default"/>
          <w:sz w:val="22"/>
          <w:szCs w:val="22"/>
        </w:rPr>
        <w:t>4) 훈련·검증·테스트 세트 구성에 사용 가능한 형태로 라벨(HCC/hemangioma)이 부여된 영상</w:t>
      </w:r>
    </w:p>
    <w:p>
      <w:pPr>
        <w:rPr>
          <w:rFonts w:ascii="맑은 고딕" w:eastAsia="맑은 고딕" w:hAnsi="맑은 고딕" w:hint="default"/>
          <w:sz w:val="22"/>
          <w:szCs w:val="22"/>
        </w:rPr>
      </w:pPr>
      <w:r>
        <w:rPr>
          <w:rFonts w:ascii="맑은 고딕" w:eastAsia="맑은 고딕" w:hAnsi="맑은 고딕" w:hint="default"/>
          <w:b/>
          <w:sz w:val="22"/>
          <w:szCs w:val="22"/>
        </w:rPr>
        <w:t>6-2. 제외기준</w:t>
      </w:r>
    </w:p>
    <w:p>
      <w:pPr>
        <w:rPr>
          <w:rFonts w:ascii="맑은 고딕" w:eastAsia="맑은 고딕" w:hAnsi="맑은 고딕" w:hint="default"/>
          <w:sz w:val="22"/>
          <w:szCs w:val="22"/>
        </w:rPr>
      </w:pPr>
      <w:r>
        <w:rPr>
          <w:rFonts w:ascii="맑은 고딕" w:eastAsia="맑은 고딕" w:hAnsi="맑은 고딕" w:hint="default"/>
          <w:sz w:val="22"/>
          <w:szCs w:val="22"/>
        </w:rPr>
        <w:t>1) 일부 영상 자료 또는 임상정보(진단명 등)가 누락되어 있는 경우</w:t>
      </w:r>
    </w:p>
    <w:p>
      <w:pPr>
        <w:rPr>
          <w:rFonts w:ascii="맑은 고딕" w:eastAsia="맑은 고딕" w:hAnsi="맑은 고딕" w:hint="default"/>
          <w:sz w:val="22"/>
          <w:szCs w:val="22"/>
        </w:rPr>
      </w:pPr>
      <w:r>
        <w:rPr>
          <w:rFonts w:ascii="맑은 고딕" w:eastAsia="맑은 고딕" w:hAnsi="맑은 고딕" w:hint="default"/>
          <w:sz w:val="22"/>
          <w:szCs w:val="22"/>
        </w:rPr>
        <w:t>2) Caliper(측정선) 등 판독을 방해하는 인공물이 포함되어 자동 분석에 부적절한 영상</w:t>
      </w:r>
    </w:p>
    <w:p>
      <w:pPr>
        <w:rPr>
          <w:rFonts w:ascii="맑은 고딕" w:eastAsia="맑은 고딕" w:hAnsi="맑은 고딕" w:hint="default"/>
          <w:sz w:val="22"/>
          <w:szCs w:val="22"/>
        </w:rPr>
      </w:pPr>
      <w:r>
        <w:rPr>
          <w:rFonts w:ascii="맑은 고딕" w:eastAsia="맑은 고딕" w:hAnsi="맑은 고딕" w:hint="default"/>
          <w:sz w:val="22"/>
          <w:szCs w:val="22"/>
        </w:rPr>
        <w:t>3) 영상 품질이 불량하여 병변 경계 판별이 불가능한 경우</w:t>
      </w:r>
    </w:p>
    <w:p>
      <w:pPr>
        <w:rPr>
          <w:rFonts w:ascii="맑은 고딕" w:eastAsia="맑은 고딕" w:hAnsi="맑은 고딕" w:hint="default"/>
          <w:sz w:val="22"/>
          <w:szCs w:val="22"/>
        </w:rPr>
      </w:pPr>
      <w:r>
        <w:rPr>
          <w:rFonts w:ascii="맑은 고딕" w:eastAsia="맑은 고딕" w:hAnsi="맑은 고딕" w:hint="default"/>
          <w:b/>
          <w:sz w:val="22"/>
          <w:szCs w:val="22"/>
        </w:rPr>
        <w:t>7. 목표대상자 수 및 근거</w:t>
      </w:r>
    </w:p>
    <w:p>
      <w:pPr>
        <w:rPr>
          <w:rFonts w:ascii="맑은 고딕" w:eastAsia="맑은 고딕" w:hAnsi="맑은 고딕" w:hint="default"/>
          <w:sz w:val="22"/>
          <w:szCs w:val="22"/>
        </w:rPr>
      </w:pPr>
      <w:r>
        <w:rPr>
          <w:rFonts w:ascii="맑은 고딕" w:eastAsia="맑은 고딕" w:hAnsi="맑은 고딕" w:hint="default"/>
          <w:b/>
          <w:sz w:val="22"/>
          <w:szCs w:val="22"/>
        </w:rPr>
        <w:t>7-1. 목표대상자 수</w:t>
      </w:r>
    </w:p>
    <w:p>
      <w:pPr>
        <w:rPr>
          <w:rFonts w:ascii="맑은 고딕" w:eastAsia="맑은 고딕" w:hAnsi="맑은 고딕" w:hint="default"/>
          <w:sz w:val="22"/>
          <w:szCs w:val="22"/>
        </w:rPr>
      </w:pPr>
      <w:r>
        <w:rPr>
          <w:rFonts w:ascii="맑은 고딕" w:eastAsia="맑은 고딕" w:hAnsi="맑은 고딕" w:hint="default"/>
          <w:sz w:val="22"/>
          <w:szCs w:val="22"/>
        </w:rPr>
        <w:t>총 1,021명, 5,385장 (모델 학습·평가에 사용되는 clean subset 기준 744명, 2,656장)</w:t>
      </w:r>
    </w:p>
    <w:p>
      <w:pPr>
        <w:rPr>
          <w:rFonts w:ascii="맑은 고딕" w:eastAsia="맑은 고딕" w:hAnsi="맑은 고딕" w:hint="default"/>
          <w:sz w:val="22"/>
          <w:szCs w:val="22"/>
        </w:rPr>
      </w:pPr>
      <w:r>
        <w:rPr>
          <w:rFonts w:ascii="맑은 고딕" w:eastAsia="맑은 고딕" w:hAnsi="맑은 고딕" w:hint="default"/>
          <w:b/>
          <w:sz w:val="22"/>
          <w:szCs w:val="22"/>
        </w:rPr>
        <w:t>7-2. 산출 근거</w:t>
      </w:r>
    </w:p>
    <w:p>
      <w:pPr>
        <w:rPr>
          <w:rFonts w:ascii="맑은 고딕" w:eastAsia="맑은 고딕" w:hAnsi="맑은 고딕" w:hint="default"/>
          <w:sz w:val="22"/>
          <w:szCs w:val="22"/>
        </w:rPr>
      </w:pPr>
      <w:r>
        <w:rPr>
          <w:rFonts w:ascii="맑은 고딕" w:eastAsia="맑은 고딕" w:hAnsi="맑은 고딕" w:hint="default"/>
          <w:sz w:val="22"/>
          <w:szCs w:val="22"/>
        </w:rPr>
        <w:t>본 연구는 별도의 신규 환자 모집이 아닌 기존 공개 데이터셋(SMC-LUD, Tak J et al. Sci Data. 2026)을 전수 활용하는 2차 분석 연구이다. 동 데이터셋은 2015년부터 2024년까지 삼성서울병원에서 수집된 병리학적으로 확인된 HCC 2,716장과 영상 기준으로 진단된 hemangioma 2,669장을 포함한다. 이 중 caliper가 포함되지 않은 clean 이미지 서브셋(744명, 2,656장)을 추출하여 환자 단위 분할을 적용, 훈련 1,858장·검증 530장·테스트 268장으로 구성하였으며, HCC와 hemangioma의 비율은 세트 간 균형 있게 유지되었다(각 약 52% vs 48%). 별도의 표본크기 계산은 수행하지 않았으며, 기존 공개 데이터셋의 전체 규모를 목표대상자 수로 설정하였다.</w:t>
      </w:r>
    </w:p>
    <w:p>
      <w:pPr>
        <w:rPr>
          <w:rFonts w:ascii="맑은 고딕" w:eastAsia="맑은 고딕" w:hAnsi="맑은 고딕" w:hint="default"/>
          <w:sz w:val="22"/>
          <w:szCs w:val="22"/>
        </w:rPr>
      </w:pPr>
      <w:r>
        <w:rPr>
          <w:rFonts w:ascii="맑은 고딕" w:eastAsia="맑은 고딕" w:hAnsi="맑은 고딕" w:hint="default"/>
          <w:b/>
          <w:sz w:val="22"/>
          <w:szCs w:val="22"/>
        </w:rPr>
        <w:t>8. 연구의 기간</w:t>
      </w:r>
    </w:p>
    <w:p>
      <w:pPr>
        <w:rPr>
          <w:rFonts w:ascii="맑은 고딕" w:eastAsia="맑은 고딕" w:hAnsi="맑은 고딕" w:hint="default"/>
          <w:sz w:val="22"/>
          <w:szCs w:val="22"/>
        </w:rPr>
      </w:pPr>
      <w:r>
        <w:rPr>
          <w:rFonts w:ascii="맑은 고딕" w:eastAsia="맑은 고딕" w:hAnsi="맑은 고딕" w:hint="default"/>
          <w:b/>
          <w:sz w:val="22"/>
          <w:szCs w:val="22"/>
        </w:rPr>
        <w:t>8-1. 전체 연구 기간</w:t>
      </w:r>
    </w:p>
    <w:p>
      <w:pPr>
        <w:rPr>
          <w:rFonts w:ascii="맑은 고딕" w:eastAsia="맑은 고딕" w:hAnsi="맑은 고딕" w:hint="default"/>
          <w:sz w:val="22"/>
          <w:szCs w:val="22"/>
        </w:rPr>
      </w:pPr>
      <w:r>
        <w:rPr>
          <w:rFonts w:ascii="맑은 고딕" w:eastAsia="맑은 고딕" w:hAnsi="맑은 고딕" w:hint="default"/>
          <w:sz w:val="22"/>
          <w:szCs w:val="22"/>
        </w:rPr>
        <w:t>IRB 승인일부터 ~ 2027년 6월까지</w:t>
      </w:r>
    </w:p>
    <w:p>
      <w:pPr>
        <w:rPr>
          <w:rFonts w:ascii="맑은 고딕" w:eastAsia="맑은 고딕" w:hAnsi="맑은 고딕" w:hint="default"/>
          <w:sz w:val="22"/>
          <w:szCs w:val="22"/>
        </w:rPr>
      </w:pPr>
      <w:r>
        <w:rPr>
          <w:rFonts w:ascii="맑은 고딕" w:eastAsia="맑은 고딕" w:hAnsi="맑은 고딕" w:hint="default"/>
          <w:b/>
          <w:sz w:val="22"/>
          <w:szCs w:val="22"/>
        </w:rPr>
        <w:t>8-2. 자료수집 대상 기간</w:t>
      </w:r>
    </w:p>
    <w:p>
      <w:pPr>
        <w:rPr>
          <w:rFonts w:ascii="맑은 고딕" w:eastAsia="맑은 고딕" w:hAnsi="맑은 고딕" w:hint="default"/>
          <w:sz w:val="22"/>
          <w:szCs w:val="22"/>
        </w:rPr>
      </w:pPr>
      <w:r>
        <w:rPr>
          <w:rFonts w:ascii="맑은 고딕" w:eastAsia="맑은 고딕" w:hAnsi="맑은 고딕" w:hint="default"/>
          <w:sz w:val="22"/>
          <w:szCs w:val="22"/>
        </w:rPr>
        <w:t>2015년 1월 1일부터 2024년 12월 31일까지 (SMC-LUD 공개 데이터셋 수집 기간 기준)</w:t>
      </w:r>
    </w:p>
    <w:p>
      <w:pPr>
        <w:rPr>
          <w:rFonts w:ascii="맑은 고딕" w:eastAsia="맑은 고딕" w:hAnsi="맑은 고딕" w:hint="default"/>
          <w:sz w:val="22"/>
          <w:szCs w:val="22"/>
        </w:rPr>
      </w:pPr>
      <w:r>
        <w:rPr>
          <w:rFonts w:ascii="맑은 고딕" w:eastAsia="맑은 고딕" w:hAnsi="맑은 고딕" w:hint="default"/>
          <w:b/>
          <w:sz w:val="22"/>
          <w:szCs w:val="22"/>
        </w:rPr>
        <w:t>9. 연구 방법 및 절차</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본 연구는 공개 데이터셋인 SMC-LUD를 이용한 단일 기관 후향적 2차 분석 연구이다. 선정기준에 해당하는 대상자의 B-mode 복부 초음파 영상을 후향적으로 수집하여 딥러닝 모델 개발 및 통계 분석에 사용한다. 연구를 위한 추가적인 중재나 처치는 없으며, 대상자에게 발생할 위험성도 극히 미미할 것으로 판단된다.</w:t>
      </w:r>
      <w:r>
        <w:rPr>
          <w:rFonts w:ascii="맑은 고딕" w:eastAsia="맑은 고딕" w:hAnsi="맑은 고딕" w:hint="default"/>
          <w:sz w:val="22"/>
          <w:szCs w:val="22"/>
        </w:rPr>
        <w:br/>
      </w:r>
      <w:r>
        <w:rPr>
          <w:rFonts w:ascii="맑은 고딕" w:eastAsia="맑은 고딕" w:hAnsi="맑은 고딕" w:hint="default"/>
          <w:sz w:val="22"/>
          <w:szCs w:val="22"/>
        </w:rPr>
        <w:br/>
      </w:r>
      <w:r>
        <w:rPr>
          <w:rFonts w:ascii="맑은 고딕" w:eastAsia="맑은 고딕" w:hAnsi="맑은 고딕" w:hint="default"/>
          <w:sz w:val="22"/>
          <w:szCs w:val="22"/>
        </w:rPr>
        <w:t xml:space="preserve">1) 모델 구조: </w:t>
      </w:r>
      <w:r>
        <w:rPr>
          <w:lang w:eastAsia="ko-KR"/>
          <w:rFonts w:ascii="맑은 고딕" w:eastAsia="맑은 고딕" w:hAnsi="맑은 고딕" w:hint="default"/>
          <w:sz w:val="22"/>
          <w:szCs w:val="22"/>
          <w:rtl w:val="off"/>
        </w:rPr>
        <w:t>이미지를 받아 그 이미지가 HCC 혹은 Hemangioma 둘 중에 어느 카테고리에 어느 정도의 확신을 가지고 소속되는지를 출력하는 모델을 만든다. 이미지를 처리하고 분석하는 딥 러닝 모델은 현재 크게 두 가지가 있는데, 이미지를 격자화하여 좌상단부터 우하단까지 일정 단위만큼 움직여가면서 이미지의 일부분들을 분석하는 합성곱 신경망과, 처음부터 이미지의 전체를 분석하는 트랜스포머 (vision transformer)가 있다. 본 연구에서는 두 가지 모델을 적절히 결합한 Hybrid Vision transformer를 이용한다.</w:t>
      </w:r>
    </w:p>
    <w:p>
      <w:pPr>
        <w:rPr>
          <w:lang w:eastAsia="ko-KR"/>
          <w:rFonts w:ascii="맑은 고딕" w:eastAsia="맑은 고딕" w:hAnsi="맑은 고딕" w:hint="eastAsia"/>
          <w:sz w:val="22"/>
          <w:szCs w:val="22"/>
          <w:rtl w:val="off"/>
        </w:rPr>
      </w:pPr>
    </w:p>
    <w:p>
      <w:pPr>
        <w:rPr>
          <w:lang w:eastAsia="ko-KR"/>
          <w:rFonts w:ascii="맑은 고딕" w:eastAsia="맑은 고딕" w:hAnsi="맑은 고딕" w:hint="eastAsia"/>
          <w:sz w:val="22"/>
          <w:szCs w:val="22"/>
          <w:rtl w:val="off"/>
        </w:rPr>
      </w:pPr>
      <w:r>
        <w:rPr>
          <w:lang w:eastAsia="ko-KR"/>
          <w:rFonts w:ascii="맑은 고딕" w:eastAsia="맑은 고딕" w:hAnsi="맑은 고딕" w:hint="eastAsia"/>
          <w:sz w:val="22"/>
          <w:szCs w:val="22"/>
          <w:rtl w:val="off"/>
        </w:rPr>
        <w:t xml:space="preserve">구체적으로, </w:t>
      </w:r>
      <w:r>
        <w:rPr>
          <w:lang w:eastAsia="ko-KR"/>
          <w:rFonts w:ascii="맑은 고딕" w:eastAsia="맑은 고딕" w:hAnsi="맑은 고딕" w:hint="default"/>
          <w:sz w:val="22"/>
          <w:szCs w:val="22"/>
          <w:rtl w:val="off"/>
        </w:rPr>
        <w:t>이미지를 합성곱신경망</w:t>
      </w:r>
      <w:r>
        <w:rPr>
          <w:rFonts w:ascii="맑은 고딕" w:eastAsia="맑은 고딕" w:hAnsi="맑은 고딕" w:hint="default"/>
          <w:sz w:val="22"/>
          <w:szCs w:val="22"/>
        </w:rPr>
        <w:t>(EfficientNetV2B0)과 트랜스포머 인코더를 결합한 hybrid vision transformer를 구성한다. 추출된 특징 맵을 패치 토큰으로 재형성하여 트랜스포머 인코더에 입력하고, 분류 토큰(CLS token)의 최종 임베딩으로부터 confidence score와 cosine 기반 표지자를 동시에 산출하는 이중 출력 구조를 설계한다.</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br/>
      </w:r>
      <w:r>
        <w:rPr>
          <w:rFonts w:ascii="맑은 고딕" w:eastAsia="맑은 고딕" w:hAnsi="맑은 고딕" w:hint="default"/>
          <w:sz w:val="22"/>
          <w:szCs w:val="22"/>
        </w:rPr>
        <w:t xml:space="preserve">2) 학습 전략: </w:t>
      </w:r>
      <w:r>
        <w:rPr>
          <w:lang w:eastAsia="ko-KR"/>
          <w:rFonts w:ascii="맑은 고딕" w:eastAsia="맑은 고딕" w:hAnsi="맑은 고딕" w:hint="default"/>
          <w:sz w:val="22"/>
          <w:szCs w:val="22"/>
          <w:rtl w:val="off"/>
        </w:rPr>
        <w:t xml:space="preserve">총 세 가지 시나리오로 모델을 학습한다. 모델이 이미지 분류만을 할 때, 이미지 분류와 각 label별 이미지가 유사하게 수치화되게 하는 SupCon 방법론을 같이 사용할 때, 그리고 이미지 자체의 general knowledge (초음파 modality 및 의료 이미지 자체의 특성)을 먼저 자기지도학습 방법 (SSL)로 학습한 뒤 분류와 SupCon을 같이 사용하는 시나리오 3가지를, hybrid vision transformer에 사용하는 합성곱 신경망의 종류 2가지에 각각 적용하여 총 6가지 시나리오로 모델을 학습시킨다. </w:t>
      </w:r>
    </w:p>
    <w:p>
      <w:pPr>
        <w:rPr>
          <w:rFonts w:ascii="맑은 고딕" w:eastAsia="맑은 고딕" w:hAnsi="맑은 고딕" w:hint="default"/>
          <w:sz w:val="22"/>
          <w:szCs w:val="22"/>
        </w:rPr>
      </w:pPr>
      <w:r>
        <w:rPr>
          <w:lang w:eastAsia="ko-KR"/>
          <w:rFonts w:ascii="맑은 고딕" w:eastAsia="맑은 고딕" w:hAnsi="맑은 고딕" w:hint="default"/>
          <w:sz w:val="22"/>
          <w:szCs w:val="22"/>
          <w:rtl w:val="off"/>
        </w:rPr>
        <w:t xml:space="preserve">구체적으로, </w:t>
      </w:r>
      <w:r>
        <w:rPr>
          <w:rFonts w:ascii="맑은 고딕" w:eastAsia="맑은 고딕" w:hAnsi="맑은 고딕" w:hint="default"/>
          <w:sz w:val="22"/>
          <w:szCs w:val="22"/>
        </w:rPr>
        <w:t>교차엔트로피(CE) 단독, CE+SupCon(Supervised Contrastive Learning), NNCLR 자기지도학습(SSL) 사전학습 후 CE+SupCon 미세조정의 2단계 학습 등 총 6개 조합(backbone × 학습방식)을 비교하는 ablation을 수행한다.</w:t>
      </w:r>
      <w:r>
        <w:rPr>
          <w:rFonts w:ascii="맑은 고딕" w:eastAsia="맑은 고딕" w:hAnsi="맑은 고딕" w:hint="default"/>
          <w:sz w:val="22"/>
          <w:szCs w:val="22"/>
        </w:rPr>
        <w:br/>
      </w:r>
      <w:r>
        <w:rPr>
          <w:rFonts w:ascii="맑은 고딕" w:eastAsia="맑은 고딕" w:hAnsi="맑은 고딕" w:hint="default"/>
          <w:sz w:val="22"/>
          <w:szCs w:val="22"/>
        </w:rPr>
        <w:t>3) 이중 출력 표지자 정의: 학습된 모델의 HCC 클래스</w:t>
      </w:r>
      <w:r>
        <w:rPr>
          <w:lang w:eastAsia="ko-KR"/>
          <w:rFonts w:ascii="맑은 고딕" w:eastAsia="맑은 고딕" w:hAnsi="맑은 고딕" w:hint="default"/>
          <w:sz w:val="22"/>
          <w:szCs w:val="22"/>
          <w:rtl w:val="off"/>
        </w:rPr>
        <w:t>의 logit</w:t>
      </w:r>
      <w:r>
        <w:rPr>
          <w:rFonts w:ascii="맑은 고딕" w:eastAsia="맑은 고딕" w:hAnsi="맑은 고딕" w:hint="default"/>
          <w:sz w:val="22"/>
          <w:szCs w:val="22"/>
        </w:rPr>
        <w:t xml:space="preserve"> 값을 confidence score(결정 강도)로 정의한다. 훈련 세트 HCC 표본들의 평균 임베딩(prototype)과 임의 병변 영상 임베딩 간 cosine similarity를 HCC cosine score로, HCC cosine score와 hemangioma cosine score의 차이를 Δscore로 각각 산출한다.</w:t>
      </w:r>
      <w:r>
        <w:rPr>
          <w:rFonts w:ascii="맑은 고딕" w:eastAsia="맑은 고딕" w:hAnsi="맑은 고딕" w:hint="default"/>
          <w:sz w:val="22"/>
          <w:szCs w:val="22"/>
        </w:rPr>
        <w:br/>
      </w:r>
      <w:r>
        <w:rPr>
          <w:rFonts w:ascii="맑은 고딕" w:eastAsia="맑은 고딕" w:hAnsi="맑은 고딕" w:hint="default"/>
          <w:sz w:val="22"/>
          <w:szCs w:val="22"/>
        </w:rPr>
        <w:t>4) 임계값 결정: 모든 운영 임계값은 검증 세트에서만 Youden's J 통계로 결정한 뒤 테스트 세트에 변경 없이 고정 적용하여 데이터 유출 및 낙관적 편향을 배제한다.</w:t>
      </w:r>
    </w:p>
    <w:p>
      <w:pPr>
        <w:rPr>
          <w:rFonts w:ascii="맑은 고딕" w:eastAsia="맑은 고딕" w:hAnsi="맑은 고딕" w:hint="default"/>
          <w:sz w:val="22"/>
          <w:szCs w:val="22"/>
        </w:rPr>
      </w:pPr>
      <w:r>
        <w:rPr>
          <w:rFonts w:ascii="맑은 고딕" w:eastAsia="맑은 고딕" w:hAnsi="맑은 고딕" w:hint="default"/>
          <w:b/>
          <w:sz w:val="22"/>
          <w:szCs w:val="22"/>
        </w:rPr>
        <w:t>10. 수집정보 및 관찰항목</w:t>
      </w:r>
    </w:p>
    <w:p>
      <w:pPr>
        <w:rPr>
          <w:rFonts w:ascii="맑은 고딕" w:eastAsia="맑은 고딕" w:hAnsi="맑은 고딕" w:hint="default"/>
          <w:sz w:val="22"/>
          <w:szCs w:val="22"/>
        </w:rPr>
      </w:pPr>
      <w:r>
        <w:rPr>
          <w:rFonts w:ascii="맑은 고딕" w:eastAsia="맑은 고딕" w:hAnsi="맑은 고딕" w:hint="default"/>
          <w:sz w:val="22"/>
          <w:szCs w:val="22"/>
        </w:rPr>
        <w:t>1) 인구학적 정보: 연령, 성별</w:t>
      </w:r>
    </w:p>
    <w:p>
      <w:pPr>
        <w:rPr>
          <w:rFonts w:ascii="맑은 고딕" w:eastAsia="맑은 고딕" w:hAnsi="맑은 고딕" w:hint="default"/>
          <w:sz w:val="22"/>
          <w:szCs w:val="22"/>
        </w:rPr>
      </w:pPr>
      <w:r>
        <w:rPr>
          <w:rFonts w:ascii="맑은 고딕" w:eastAsia="맑은 고딕" w:hAnsi="맑은 고딕" w:hint="default"/>
          <w:sz w:val="22"/>
          <w:szCs w:val="22"/>
        </w:rPr>
        <w:t>2) 병력 조사: 간경변 유무, 병리학적/영상학적 진단명(HCC 또는 hemangioma)</w:t>
      </w:r>
    </w:p>
    <w:p>
      <w:pPr>
        <w:rPr>
          <w:rFonts w:ascii="맑은 고딕" w:eastAsia="맑은 고딕" w:hAnsi="맑은 고딕" w:hint="default"/>
          <w:sz w:val="22"/>
          <w:szCs w:val="22"/>
        </w:rPr>
      </w:pPr>
      <w:r>
        <w:rPr>
          <w:rFonts w:ascii="맑은 고딕" w:eastAsia="맑은 고딕" w:hAnsi="맑은 고딕" w:hint="default"/>
          <w:sz w:val="22"/>
          <w:szCs w:val="22"/>
        </w:rPr>
        <w:t xml:space="preserve">3) 영상 및 병변 정보: B-mode 복부 초음파 </w:t>
      </w:r>
      <w:r>
        <w:rPr>
          <w:lang w:eastAsia="ko-KR"/>
          <w:rFonts w:ascii="맑은 고딕" w:eastAsia="맑은 고딕" w:hAnsi="맑은 고딕" w:hint="default"/>
          <w:sz w:val="22"/>
          <w:szCs w:val="22"/>
          <w:rtl w:val="off"/>
        </w:rPr>
        <w:t>이미지</w:t>
      </w:r>
      <w:r>
        <w:rPr>
          <w:rFonts w:ascii="맑은 고딕" w:eastAsia="맑은 고딕" w:hAnsi="맑은 고딕" w:hint="default"/>
          <w:sz w:val="22"/>
          <w:szCs w:val="22"/>
        </w:rPr>
        <w:t>, 병변 크기, 병변 위치, caliper 유무(제외기준 판별용)</w:t>
      </w:r>
      <w:r>
        <w:rPr>
          <w:rFonts w:ascii="맑은 고딕" w:eastAsia="맑은 고딕" w:hAnsi="맑은 고딕" w:hint="default"/>
          <w:sz w:val="22"/>
          <w:szCs w:val="22"/>
        </w:rPr>
        <w:br/>
      </w:r>
      <w:r>
        <w:rPr>
          <w:rFonts w:ascii="맑은 고딕" w:eastAsia="맑은 고딕" w:hAnsi="맑은 고딕" w:hint="default"/>
          <w:sz w:val="22"/>
          <w:szCs w:val="22"/>
        </w:rPr>
        <w:t>4) 모델 산출 지표: confidence score(softmax 값), HCC cosine score, Δscore, 임베딩 벡터(고차원 특징값)</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 본 연구에서 수집·분석하는 자료에는 대상자의 성명, 주민등록번호, 병록번호 등 개인식별정보는 포함되지 않으며, SMC-LUD 공개 데이터셋 제공 시점부터 비식별화된 상태로 제공된다.</w:t>
      </w:r>
      <w:r>
        <w:rPr>
          <w:lang w:eastAsia="ko-KR"/>
          <w:rFonts w:ascii="맑은 고딕" w:eastAsia="맑은 고딕" w:hAnsi="맑은 고딕" w:hint="default"/>
          <w:sz w:val="22"/>
          <w:szCs w:val="22"/>
          <w:rtl w:val="off"/>
        </w:rPr>
        <w:t xml:space="preserve"> </w:t>
      </w:r>
      <w:r>
        <w:rPr>
          <w:lang w:eastAsia="ko-KR"/>
          <w:rFonts w:ascii="맑은 고딕" w:eastAsia="맑은 고딕" w:hAnsi="맑은 고딕" w:hint="default"/>
          <w:sz w:val="22"/>
          <w:szCs w:val="22"/>
          <w:u w:val="single" w:color="auto"/>
          <w:rtl w:val="off"/>
        </w:rPr>
        <w:t>즉, 본 연구에서 추가적으로 실시한 정보 수집은 없다</w:t>
      </w:r>
      <w:r>
        <w:rPr>
          <w:lang w:eastAsia="ko-KR"/>
          <w:rFonts w:ascii="맑은 고딕" w:eastAsia="맑은 고딕" w:hAnsi="맑은 고딕" w:hint="default"/>
          <w:sz w:val="22"/>
          <w:szCs w:val="22"/>
          <w:rtl w:val="off"/>
        </w:rPr>
        <w:t>.</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11. 자료 분석과 통계적 방법</w:t>
      </w:r>
    </w:p>
    <w:p>
      <w:pPr>
        <w:rPr>
          <w:rFonts w:ascii="맑은 고딕" w:eastAsia="맑은 고딕" w:hAnsi="맑은 고딕" w:hint="default"/>
          <w:sz w:val="22"/>
          <w:szCs w:val="22"/>
        </w:rPr>
      </w:pPr>
      <w:r>
        <w:rPr>
          <w:rFonts w:ascii="맑은 고딕" w:eastAsia="맑은 고딕" w:hAnsi="맑은 고딕" w:hint="default"/>
          <w:b/>
          <w:sz w:val="22"/>
          <w:szCs w:val="22"/>
        </w:rPr>
        <w:t>11-1. 연구 및 분석 방법</w:t>
      </w:r>
    </w:p>
    <w:p>
      <w:pPr>
        <w:rPr>
          <w:rFonts w:ascii="맑은 고딕" w:eastAsia="맑은 고딕" w:hAnsi="맑은 고딕" w:hint="default"/>
          <w:sz w:val="22"/>
          <w:szCs w:val="22"/>
        </w:rPr>
      </w:pPr>
      <w:r>
        <w:rPr>
          <w:rFonts w:ascii="맑은 고딕" w:eastAsia="맑은 고딕" w:hAnsi="맑은 고딕" w:hint="default"/>
          <w:sz w:val="22"/>
          <w:szCs w:val="22"/>
        </w:rPr>
        <w:t>환자 단위(patient-level) 분할을 통해 훈련·검증·테스트 세트로 구분하고, 훈련 세트로 hybrid vision transformer를 학습한다. 검증 세트에서 결정한 임계값을 테스트 세트에 고정 적용하여 confidence score, HCC cosine score, Δscore 세 가지 출력의 진단 성능을 평가한다. SupCon 적용 유무 및 backbone(EfficientNetV2B0, ResNet50V2) 차이에 따른 ablation을 수행하며, NNCLR SSL 사전학습 단계 추가에 따른 성능 변화도 비교한다.</w:t>
      </w:r>
    </w:p>
    <w:p>
      <w:pPr>
        <w:rPr>
          <w:rFonts w:ascii="맑은 고딕" w:eastAsia="맑은 고딕" w:hAnsi="맑은 고딕" w:hint="default"/>
          <w:sz w:val="22"/>
          <w:szCs w:val="22"/>
        </w:rPr>
      </w:pPr>
      <w:r>
        <w:rPr>
          <w:rFonts w:ascii="맑은 고딕" w:eastAsia="맑은 고딕" w:hAnsi="맑은 고딕" w:hint="default"/>
          <w:b/>
          <w:sz w:val="22"/>
          <w:szCs w:val="22"/>
        </w:rPr>
        <w:t>11-2. 통계 분석 방법</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모델의 변별력은 AUROC(area under the receiver operating characteristic curve)로 평가하며, 신뢰구간은 DeLong 방법으로 추정한다. confidence score, HCC cosine score, Δscore 간 ROC 곡선 쌍별 비교는 DeLong 검정으로 수행하며, p&gt;0.05를 cosine 기반 표지자의 비열등성(non-inferiority) 지지로 해석한다. 임계값 의존적 지표로 민감도, 특이도, 양성예측률(PPV), 음성예측률(NPV), F1 score, 혼동행렬을 산출한다. SupCon 적용 유무에 따른 true HCC cases의 HCC cosine score 및 Δscore 분포 차이는 독립표본 t-검정으로 비교하며, p&lt;0.05를 통계적으로 유의한 것으로 판단한다. 모든 통계 분석은 Python(SciPy, scikit-learn) 및 관련 통계 패키지를 이용하여 수행한다.</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12. 개인정보 보호 대책</w:t>
      </w:r>
    </w:p>
    <w:p>
      <w:pPr>
        <w:rPr>
          <w:rFonts w:ascii="맑은 고딕" w:eastAsia="맑은 고딕" w:hAnsi="맑은 고딕" w:hint="default"/>
          <w:sz w:val="22"/>
          <w:szCs w:val="22"/>
        </w:rPr>
      </w:pPr>
      <w:r>
        <w:rPr>
          <w:rFonts w:ascii="맑은 고딕" w:eastAsia="맑은 고딕" w:hAnsi="맑은 고딕" w:hint="default"/>
          <w:b/>
          <w:sz w:val="22"/>
          <w:szCs w:val="22"/>
        </w:rPr>
        <w:t>12-1. 적합한 대상자의 선정</w:t>
      </w:r>
    </w:p>
    <w:p>
      <w:pPr>
        <w:rPr>
          <w:rFonts w:ascii="맑은 고딕" w:eastAsia="맑은 고딕" w:hAnsi="맑은 고딕" w:hint="default"/>
          <w:sz w:val="22"/>
          <w:szCs w:val="22"/>
        </w:rPr>
      </w:pPr>
      <w:r>
        <w:rPr>
          <w:rFonts w:ascii="맑은 고딕" w:eastAsia="맑은 고딕" w:hAnsi="맑은 고딕" w:hint="default"/>
          <w:sz w:val="22"/>
          <w:szCs w:val="22"/>
        </w:rPr>
        <w:t>계획서에 기술된 선정/제외기준에 적합한 대상자를 공개 데이터셋(SMC-LUD)의 메타데이터 검토를 통해 확인한다.</w:t>
      </w:r>
    </w:p>
    <w:p>
      <w:pPr>
        <w:rPr>
          <w:rFonts w:ascii="맑은 고딕" w:eastAsia="맑은 고딕" w:hAnsi="맑은 고딕" w:hint="default"/>
          <w:sz w:val="22"/>
          <w:szCs w:val="22"/>
        </w:rPr>
      </w:pPr>
      <w:r>
        <w:rPr>
          <w:rFonts w:ascii="맑은 고딕" w:eastAsia="맑은 고딕" w:hAnsi="맑은 고딕" w:hint="default"/>
          <w:b/>
          <w:sz w:val="22"/>
          <w:szCs w:val="22"/>
        </w:rPr>
        <w:t>12-2. 대상자의 동의과정</w:t>
      </w:r>
    </w:p>
    <w:p>
      <w:pPr>
        <w:rPr>
          <w:rFonts w:ascii="맑은 고딕" w:eastAsia="맑은 고딕" w:hAnsi="맑은 고딕" w:hint="default"/>
          <w:sz w:val="22"/>
          <w:szCs w:val="22"/>
        </w:rPr>
      </w:pPr>
      <w:r>
        <w:rPr>
          <w:rFonts w:ascii="맑은 고딕" w:eastAsia="맑은 고딕" w:hAnsi="맑은 고딕" w:hint="default"/>
          <w:sz w:val="22"/>
          <w:szCs w:val="22"/>
        </w:rPr>
        <w:t>본 연구는 이미 비식별화되어 공개된 데이터셋(SMC-LUD)을 후향적으로 2차 분석하는 연구로, 대상자로부터 별도의 동의를 취득하는 것이 현실적으로 불가능하다. 이에 동의서 취득 면제를 요청하며, 동의서 취득 없이 연구를 수행할 예정이다. 자료 활용 과정에서는 연구에 필요한 최소한의 항목만을 사용한다.</w:t>
      </w:r>
    </w:p>
    <w:p>
      <w:pPr>
        <w:rPr>
          <w:rFonts w:ascii="맑은 고딕" w:eastAsia="맑은 고딕" w:hAnsi="맑은 고딕" w:hint="default"/>
          <w:sz w:val="22"/>
          <w:szCs w:val="22"/>
        </w:rPr>
      </w:pPr>
      <w:r>
        <w:rPr>
          <w:rFonts w:ascii="맑은 고딕" w:eastAsia="맑은 고딕" w:hAnsi="맑은 고딕" w:hint="default"/>
          <w:b/>
          <w:sz w:val="22"/>
          <w:szCs w:val="22"/>
        </w:rPr>
        <w:t>12-3. 대상자 비밀유지 및 개인정보 보호</w:t>
      </w:r>
    </w:p>
    <w:p>
      <w:pPr>
        <w:rPr>
          <w:lang w:eastAsia="ko-KR"/>
          <w:rFonts w:ascii="맑은 고딕" w:eastAsia="맑은 고딕" w:hAnsi="맑은 고딕" w:hint="eastAsia"/>
          <w:sz w:val="22"/>
          <w:szCs w:val="22"/>
          <w:rtl w:val="off"/>
        </w:rPr>
      </w:pPr>
      <w:r>
        <w:rPr>
          <w:rFonts w:ascii="맑은 고딕" w:eastAsia="맑은 고딕" w:hAnsi="맑은 고딕" w:hint="default"/>
          <w:sz w:val="22"/>
          <w:szCs w:val="22"/>
        </w:rPr>
        <w:t>연구 수행 중 사용하는 모든 정보는 기밀사항으로 유지하며, 대상자의 신원</w:t>
      </w:r>
      <w:r>
        <w:rPr>
          <w:lang w:eastAsia="ko-KR"/>
          <w:rFonts w:ascii="맑은 고딕" w:eastAsia="맑은 고딕" w:hAnsi="맑은 고딕" w:hint="default"/>
          <w:sz w:val="22"/>
          <w:szCs w:val="22"/>
          <w:rtl w:val="off"/>
        </w:rPr>
        <w:t>은 일차적으로 데이터셋 수집 당시 비식별화 및 폐기되었고, 배포된 데이터셋에서도 대상자에 대한 이미지 및 병변정보 외 개인정보는 일절 찾아볼 수 없다.</w:t>
      </w:r>
    </w:p>
    <w:p>
      <w:pPr>
        <w:rPr>
          <w:rFonts w:ascii="맑은 고딕" w:eastAsia="맑은 고딕" w:hAnsi="맑은 고딕" w:hint="default"/>
          <w:sz w:val="22"/>
          <w:szCs w:val="22"/>
        </w:rPr>
      </w:pPr>
    </w:p>
    <w:p>
      <w:pPr>
        <w:rPr>
          <w:rFonts w:ascii="맑은 고딕" w:eastAsia="맑은 고딕" w:hAnsi="맑은 고딕" w:hint="default"/>
          <w:sz w:val="22"/>
          <w:szCs w:val="22"/>
        </w:rPr>
      </w:pPr>
      <w:r>
        <w:rPr>
          <w:rFonts w:ascii="맑은 고딕" w:eastAsia="맑은 고딕" w:hAnsi="맑은 고딕" w:hint="default"/>
          <w:b/>
          <w:sz w:val="22"/>
          <w:szCs w:val="22"/>
        </w:rPr>
        <w:t>13. 자료의 보관 및 폐기</w:t>
      </w:r>
    </w:p>
    <w:p>
      <w:pPr>
        <w:rPr>
          <w:rFonts w:ascii="맑은 고딕" w:eastAsia="맑은 고딕" w:hAnsi="맑은 고딕" w:hint="default"/>
          <w:sz w:val="22"/>
          <w:szCs w:val="22"/>
        </w:rPr>
      </w:pPr>
      <w:r>
        <w:rPr>
          <w:rFonts w:ascii="맑은 고딕" w:eastAsia="맑은 고딕" w:hAnsi="맑은 고딕" w:hint="default"/>
          <w:sz w:val="22"/>
          <w:szCs w:val="22"/>
        </w:rPr>
        <w:t>연구 관련 기본문서는 안전하게 보관하며 사고 등에 의해 조기에 파손이나 분실되지 않도록 노력한다. 「생명윤리 및 안전에 관한 법률」에 따라 본 연구에 관련된 모든 문서는 연구가 공식적으로 종료되고 결과보고서가 제출된 날짜로부터 최소 3년간 보관될 것이다. 보관기간 이후 관련 문서는 복원이 불가능하게 폐기할 것이다.</w:t>
      </w:r>
    </w:p>
    <w:p>
      <w:pPr>
        <w:rPr>
          <w:rFonts w:ascii="맑은 고딕" w:eastAsia="맑은 고딕" w:hAnsi="맑은 고딕" w:hint="default"/>
          <w:sz w:val="22"/>
          <w:szCs w:val="22"/>
        </w:rPr>
      </w:pPr>
      <w:r>
        <w:rPr>
          <w:rFonts w:ascii="맑은 고딕" w:eastAsia="맑은 고딕" w:hAnsi="맑은 고딕" w:hint="default"/>
          <w:b/>
          <w:sz w:val="22"/>
          <w:szCs w:val="22"/>
        </w:rPr>
        <w:t>14. 참고문헌</w:t>
      </w:r>
    </w:p>
    <w:p>
      <w:pPr>
        <w:rPr>
          <w:rFonts w:ascii="맑은 고딕" w:eastAsia="맑은 고딕" w:hAnsi="맑은 고딕" w:hint="default"/>
          <w:sz w:val="22"/>
          <w:szCs w:val="22"/>
        </w:rPr>
      </w:pPr>
      <w:r>
        <w:rPr>
          <w:rFonts w:ascii="맑은 고딕" w:eastAsia="맑은 고딕" w:hAnsi="맑은 고딕" w:hint="default"/>
          <w:sz w:val="22"/>
          <w:szCs w:val="22"/>
        </w:rPr>
        <w:t>1) Sung H, Ferlay J, Siegel RL, et al. Global Cancer Statistics 2020: GLOBOCAN Estimates of Incidence and Mortality Worldwide for 36 Cancers in 185 Countries. CA Cancer J Clin. 2021;71(3):209-249.</w:t>
      </w:r>
    </w:p>
    <w:p>
      <w:pPr>
        <w:rPr>
          <w:rFonts w:ascii="맑은 고딕" w:eastAsia="맑은 고딕" w:hAnsi="맑은 고딕" w:hint="default"/>
          <w:sz w:val="22"/>
          <w:szCs w:val="22"/>
        </w:rPr>
      </w:pPr>
      <w:r>
        <w:rPr>
          <w:rFonts w:ascii="맑은 고딕" w:eastAsia="맑은 고딕" w:hAnsi="맑은 고딕" w:hint="default"/>
          <w:sz w:val="22"/>
          <w:szCs w:val="22"/>
        </w:rPr>
        <w:t>2) Korean Liver Cancer Association (KLCA) and National Cancer Center (NCC) Korea. 2022 KLCA-NCC Korea practice guidelines for the management of hepatocellular carcinoma. Clin Mol Hepatol. 2022;28(4):583-705.</w:t>
      </w:r>
    </w:p>
    <w:p>
      <w:pPr>
        <w:rPr>
          <w:rFonts w:ascii="맑은 고딕" w:eastAsia="맑은 고딕" w:hAnsi="맑은 고딕" w:hint="default"/>
          <w:sz w:val="22"/>
          <w:szCs w:val="22"/>
        </w:rPr>
      </w:pPr>
      <w:r>
        <w:rPr>
          <w:rFonts w:ascii="맑은 고딕" w:eastAsia="맑은 고딕" w:hAnsi="맑은 고딕" w:hint="default"/>
          <w:sz w:val="22"/>
          <w:szCs w:val="22"/>
        </w:rPr>
        <w:t>3) Tzartzeva K, Obi J, Rich NE, et al. Surveillance Imaging and Alpha Fetoprotein for Early Detection of Hepatocellular Carcinoma in Patients With Cirrhosis: A Meta-analysis. Gastroenterology. 2018;154(6):1706-1718.</w:t>
      </w:r>
    </w:p>
    <w:p>
      <w:pPr>
        <w:rPr>
          <w:rFonts w:ascii="맑은 고딕" w:eastAsia="맑은 고딕" w:hAnsi="맑은 고딕" w:hint="default"/>
          <w:sz w:val="22"/>
          <w:szCs w:val="22"/>
        </w:rPr>
      </w:pPr>
      <w:r>
        <w:rPr>
          <w:rFonts w:ascii="맑은 고딕" w:eastAsia="맑은 고딕" w:hAnsi="맑은 고딕" w:hint="default"/>
          <w:sz w:val="22"/>
          <w:szCs w:val="22"/>
        </w:rPr>
        <w:t>4) Tak J, Ko RE, Kwon RD, et al. SMC-LUD: Large-Scale B-Mode Liver Ultrasound Dataset for Hepatocellular Carcinoma and Hemangioma Classification. Sci Data. 2026;13:649.</w:t>
      </w:r>
    </w:p>
    <w:p>
      <w:pPr>
        <w:rPr>
          <w:rFonts w:ascii="맑은 고딕" w:eastAsia="맑은 고딕" w:hAnsi="맑은 고딕" w:hint="default"/>
          <w:sz w:val="22"/>
          <w:szCs w:val="22"/>
        </w:rPr>
      </w:pPr>
      <w:r>
        <w:rPr>
          <w:rFonts w:ascii="맑은 고딕" w:eastAsia="맑은 고딕" w:hAnsi="맑은 고딕" w:hint="default"/>
          <w:sz w:val="22"/>
          <w:szCs w:val="22"/>
        </w:rPr>
        <w:t>5) Khosla P, Teterwak P, Wang C, et al. Supervised Contrastive Learning. In: Advances in Neural Information Processing Systems (NeurIPS). 2020.</w:t>
      </w:r>
    </w:p>
    <w:p>
      <w:pPr>
        <w:rPr>
          <w:rFonts w:ascii="맑은 고딕" w:eastAsia="맑은 고딕" w:hAnsi="맑은 고딕" w:hint="default"/>
          <w:sz w:val="22"/>
          <w:szCs w:val="22"/>
        </w:rPr>
      </w:pPr>
      <w:r>
        <w:rPr>
          <w:rFonts w:ascii="맑은 고딕" w:eastAsia="맑은 고딕" w:hAnsi="맑은 고딕" w:hint="default"/>
          <w:sz w:val="22"/>
          <w:szCs w:val="22"/>
        </w:rPr>
        <w:t>6) DeLong ER, DeLong DM, Clarke-Pearson DL. Comparing the Areas under Two or More Correlated Receiver Operating Characteristic Curves: A Nonparametric Approach. Biometrics. 1988;44(3):837-845.</w:t>
      </w:r>
    </w:p>
    <w:p>
      <w:pPr>
        <w:rPr>
          <w:rFonts w:ascii="맑은 고딕" w:eastAsia="맑은 고딕" w:hAnsi="맑은 고딕" w:hint="default"/>
          <w:sz w:val="22"/>
          <w:szCs w:val="22"/>
        </w:rPr>
      </w:pPr>
      <w:r>
        <w:rPr>
          <w:rFonts w:ascii="맑은 고딕" w:eastAsia="맑은 고딕" w:hAnsi="맑은 고딕" w:hint="default"/>
          <w:sz w:val="22"/>
          <w:szCs w:val="22"/>
        </w:rPr>
        <w:t>7) Guo C, Pleiss G, Sun Y, Weinberger KQ. On Calibration of Modern Neural Networks. ICML. 2017.</w:t>
      </w:r>
    </w:p>
    <w:p>
      <w:pPr>
        <w:ind w:firstLineChars="100" w:firstLine="220"/>
        <w:rPr>
          <w:sz w:val="22"/>
        </w:rPr>
      </w:pPr>
    </w:p>
    <w:sectPr>
      <w:pgSz w:w="11906" w:h="16838"/>
      <w:pgMar w:top="1701" w:right="1440" w:bottom="1440" w:left="1440" w:header="851" w:footer="992" w:gutter="0"/>
      <w:cols/>
      <w:docGrid w:linePitch="360"/>
      <w:footerReference w:type="default" r:id="rId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Mona Sans VF">
    <w:charset w:val="00"/>
    <w:notTrueType w:val="false"/>
  </w:font>
  <w:font w:name="바탕체">
    <w:panose1 w:val="02030609000101010101"/>
    <w:family w:val="roman"/>
    <w:charset w:val="81"/>
    <w:notTrueType w:val="false"/>
    <w:sig w:usb0="B00002AF" w:usb1="69D77CFB" w:usb2="00000030" w:usb3="00000001" w:csb0="4008009F" w:csb1="DFD70000"/>
  </w:font>
  <w:font w:name="Times New Roman">
    <w:panose1 w:val="02020603050405020304"/>
    <w:family w:val="roman"/>
    <w:charset w:val="00"/>
    <w:notTrueType w:val="false"/>
    <w:sig w:usb0="E0002EFF" w:usb1="C000785B" w:usb2="00000009" w:usb3="00000001" w:csb0="400001FF" w:csb1="FFFF0000"/>
  </w:font>
  <w:font w:name="Wingdings">
    <w:panose1 w:val="05000000000000000000"/>
    <w:family w:val="auto"/>
    <w:charset w:val="02"/>
    <w:notTrueType w:val="false"/>
    <w:sig w:usb0="00000001" w:usb1="00000001" w:usb2="00000001" w:usb3="00000001" w:csb0="80000000" w:csb1="00000001"/>
  </w:font>
  <w:font w:name="돋움">
    <w:panose1 w:val="020B0600000101010101"/>
    <w:family w:val="modern"/>
    <w:charset w:val="81"/>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4"/>
      <w:jc w:val="left"/>
      <w:rPr>
        <w:i/>
        <w:color w:val="00B0F0"/>
      </w:rPr>
    </w:pPr>
    <w:r>
      <w:rPr>
        <w:rFonts w:hint="eastAsia"/>
      </w:rPr>
      <w:t>Protocol version 1.0(</w:t>
    </w:r>
    <w:r>
      <w:rPr>
        <w:lang w:eastAsia="ko-KR"/>
        <w:rFonts w:hint="eastAsia"/>
        <w:rtl w:val="off"/>
      </w:rPr>
      <w:t>2026</w:t>
    </w:r>
    <w:r>
      <w:rPr>
        <w:rFonts w:hint="eastAsia"/>
      </w:rPr>
      <w:t>/</w:t>
    </w:r>
    <w:r>
      <w:rPr>
        <w:lang w:eastAsia="ko-KR"/>
        <w:rFonts w:hint="eastAsia"/>
        <w:rtl w:val="off"/>
      </w:rPr>
      <w:t>07</w:t>
    </w:r>
    <w:r>
      <w:rPr>
        <w:rFonts w:hint="eastAsia"/>
      </w:rPr>
      <w:t>/</w:t>
    </w:r>
    <w:r>
      <w:rPr>
        <w:lang w:eastAsia="ko-KR"/>
        <w:rFonts w:hint="eastAsia"/>
        <w:rtl w:val="off"/>
      </w:rPr>
      <w:t>03</w:t>
    </w:r>
    <w:r>
      <w:rPr>
        <w:rFonts w:hint="eastAsia"/>
      </w:rPr>
      <w:t>)</w:t>
    </w:r>
  </w:p>
  <w:p>
    <w:pPr>
      <w:pStyle w:val="a4"/>
      <w:jc w:val="right"/>
    </w:pPr>
    <w:r>
      <w:rPr>
        <w:rFonts w:hint="eastAsia"/>
      </w:rPr>
      <w:t xml:space="preserve">          </w:t>
    </w:r>
    <w:r>
      <w:rPr>
        <w:rFonts w:hint="eastAsia"/>
      </w:rPr>
      <w:t xml:space="preserve">                           </w:t>
    </w:r>
    <w:r>
      <w:rPr>
        <w:rFonts w:hint="eastAsia"/>
      </w:rPr>
      <w:t>Confidential</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d621f5b"/>
    <w:multiLevelType w:val="hybridMultilevel"/>
    <w:tmpl w:val="4d90e94c"/>
    <w:lvl w:ilvl="0" w:tplc="82e62d76">
      <w:numFmt w:val="bullet"/>
      <w:lvlText w:val=""/>
      <w:lvlJc w:val="left"/>
      <w:pPr>
        <w:ind w:left="360" w:hanging="360"/>
        <w:tabs>
          <w:tab w:val="num" w:pos="360"/>
        </w:tabs>
      </w:pPr>
      <w:rPr>
        <w:rFonts w:ascii="Wingdings" w:eastAsia="돋움" w:hAnsi="Wingdings" w:cs="Times New Roman" w:hint="default"/>
      </w:rPr>
    </w:lvl>
    <w:lvl w:ilvl="1" w:tentative="on" w:tplc="4090003">
      <w:start w:val="1"/>
      <w:numFmt w:val="bullet"/>
      <w:lvlText w:val=""/>
      <w:lvlJc w:val="left"/>
      <w:pPr>
        <w:ind w:left="800" w:hanging="400"/>
        <w:tabs>
          <w:tab w:val="num" w:pos="800"/>
        </w:tabs>
      </w:pPr>
      <w:rPr>
        <w:rFonts w:ascii="Wingdings" w:hAnsi="Wingdings" w:hint="default"/>
      </w:rPr>
    </w:lvl>
    <w:lvl w:ilvl="2" w:tentative="on" w:tplc="4090005">
      <w:start w:val="1"/>
      <w:numFmt w:val="bullet"/>
      <w:lvlText w:val=""/>
      <w:lvlJc w:val="left"/>
      <w:pPr>
        <w:ind w:left="1200" w:hanging="400"/>
        <w:tabs>
          <w:tab w:val="num" w:pos="1200"/>
        </w:tabs>
      </w:pPr>
      <w:rPr>
        <w:rFonts w:ascii="Wingdings" w:hAnsi="Wingdings" w:hint="default"/>
      </w:rPr>
    </w:lvl>
    <w:lvl w:ilvl="3" w:tentative="on" w:tplc="4090001">
      <w:start w:val="1"/>
      <w:numFmt w:val="bullet"/>
      <w:lvlText w:val=""/>
      <w:lvlJc w:val="left"/>
      <w:pPr>
        <w:ind w:left="1600" w:hanging="400"/>
        <w:tabs>
          <w:tab w:val="num" w:pos="1600"/>
        </w:tabs>
      </w:pPr>
      <w:rPr>
        <w:rFonts w:ascii="Wingdings" w:hAnsi="Wingdings" w:hint="default"/>
      </w:rPr>
    </w:lvl>
    <w:lvl w:ilvl="4" w:tentative="on" w:tplc="4090003">
      <w:start w:val="1"/>
      <w:numFmt w:val="bullet"/>
      <w:lvlText w:val=""/>
      <w:lvlJc w:val="left"/>
      <w:pPr>
        <w:ind w:left="2000" w:hanging="400"/>
        <w:tabs>
          <w:tab w:val="num" w:pos="2000"/>
        </w:tabs>
      </w:pPr>
      <w:rPr>
        <w:rFonts w:ascii="Wingdings" w:hAnsi="Wingdings" w:hint="default"/>
      </w:rPr>
    </w:lvl>
    <w:lvl w:ilvl="5" w:tentative="on" w:tplc="4090005">
      <w:start w:val="1"/>
      <w:numFmt w:val="bullet"/>
      <w:lvlText w:val=""/>
      <w:lvlJc w:val="left"/>
      <w:pPr>
        <w:ind w:left="2400" w:hanging="400"/>
        <w:tabs>
          <w:tab w:val="num" w:pos="2400"/>
        </w:tabs>
      </w:pPr>
      <w:rPr>
        <w:rFonts w:ascii="Wingdings" w:hAnsi="Wingdings" w:hint="default"/>
      </w:rPr>
    </w:lvl>
    <w:lvl w:ilvl="6" w:tentative="on" w:tplc="4090001">
      <w:start w:val="1"/>
      <w:numFmt w:val="bullet"/>
      <w:lvlText w:val=""/>
      <w:lvlJc w:val="left"/>
      <w:pPr>
        <w:ind w:left="2800" w:hanging="400"/>
        <w:tabs>
          <w:tab w:val="num" w:pos="2800"/>
        </w:tabs>
      </w:pPr>
      <w:rPr>
        <w:rFonts w:ascii="Wingdings" w:hAnsi="Wingdings" w:hint="default"/>
      </w:rPr>
    </w:lvl>
    <w:lvl w:ilvl="7" w:tentative="on" w:tplc="4090003">
      <w:start w:val="1"/>
      <w:numFmt w:val="bullet"/>
      <w:lvlText w:val=""/>
      <w:lvlJc w:val="left"/>
      <w:pPr>
        <w:ind w:left="3200" w:hanging="400"/>
        <w:tabs>
          <w:tab w:val="num" w:pos="3200"/>
        </w:tabs>
      </w:pPr>
      <w:rPr>
        <w:rFonts w:ascii="Wingdings" w:hAnsi="Wingdings" w:hint="default"/>
      </w:rPr>
    </w:lvl>
    <w:lvl w:ilvl="8" w:tentative="on" w:tplc="4090005">
      <w:start w:val="1"/>
      <w:numFmt w:val="bullet"/>
      <w:lvlText w:val=""/>
      <w:lvlJc w:val="left"/>
      <w:pPr>
        <w:ind w:left="3600" w:hanging="400"/>
        <w:tabs>
          <w:tab w:val="num" w:pos="3600"/>
        </w:tabs>
      </w:pPr>
      <w:rPr>
        <w:rFonts w:ascii="Wingdings" w:hAnsi="Wingdings" w:hint="default"/>
      </w:rPr>
    </w:lvl>
  </w:abstractNum>
  <w:abstractNum w:abstractNumId="1">
    <w:nsid w:val="3f137f0e"/>
    <w:multiLevelType w:val="hybridMultilevel"/>
    <w:tmpl w:val="201c21b4"/>
    <w:lvl w:ilvl="0" w:tplc="1a081850">
      <w:start w:val="3"/>
      <w:numFmt w:val="bullet"/>
      <w:lvlText w:val="■"/>
      <w:lvlJc w:val="left"/>
      <w:pPr>
        <w:ind w:left="760" w:hanging="360"/>
      </w:pPr>
      <w:rPr>
        <w:rFonts w:ascii="맑은 고딕" w:eastAsia="맑은 고딕" w:hAnsi="맑은 고딕" w:hint="eastAsia"/>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qFormat="1"/>
    <w:lsdException w:name="toc 2" w:semiHidden="1" w:uiPriority="87" w:unhideWhenUsed="1" w:qFormat="1"/>
    <w:lsdException w:name="toc 3" w:semiHidden="1" w:uiPriority="87" w:unhideWhenUsed="1" w:qFormat="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qFormat/>
    <w:pPr>
      <w:autoSpaceDE w:val="off"/>
      <w:autoSpaceDN w:val="off"/>
      <w:widowControl w:val="off"/>
      <w:wordWrap w:val="off"/>
      <w:jc w:val="both"/>
    </w:pPr>
  </w:style>
  <w:style w:type="paragraph" w:styleId="1">
    <w:name w:val="heading 1"/>
    <w:uiPriority w:val="9"/>
    <w:basedOn w:val="a"/>
    <w:next w:val="a"/>
    <w:link w:val="1Char"/>
    <w:qFormat/>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paragraph" w:styleId="a5">
    <w:name w:val="List Paragraph"/>
    <w:uiPriority w:val="34"/>
    <w:basedOn w:val="a"/>
    <w:qFormat/>
    <w:pPr>
      <w:ind w:leftChars="400" w:left="800"/>
    </w:pPr>
  </w:style>
  <w:style w:type="character" w:customStyle="1" w:styleId="1Char">
    <w:name w:val="제목 1 Char"/>
    <w:uiPriority w:val="9"/>
    <w:basedOn w:val="a0"/>
    <w:link w:val="1"/>
    <w:rPr>
      <w:rFonts w:asciiTheme="majorHAnsi" w:eastAsiaTheme="majorEastAsia" w:hAnsiTheme="majorHAnsi" w:cstheme="majorBidi"/>
      <w:sz w:val="28"/>
      <w:szCs w:val="28"/>
    </w:rPr>
  </w:style>
  <w:style w:type="paragraph" w:styleId="TOC">
    <w:name w:val="TOC Heading"/>
    <w:uiPriority w:val="39"/>
    <w:basedOn w:val="1"/>
    <w:next w:val="a"/>
    <w:qFormat/>
    <w:semiHidden/>
    <w:unhideWhenUsed/>
    <w:pPr>
      <w:autoSpaceDE/>
      <w:autoSpaceDN/>
      <w:keepLines/>
      <w:widowControl/>
      <w:wordWrap/>
      <w:outlineLvl w:val="9"/>
      <w:jc w:val="left"/>
      <w:spacing w:before="480" w:line="276" w:lineRule="auto"/>
    </w:pPr>
    <w:rPr>
      <w:b/>
      <w:bCs/>
      <w:color w:val="376092"/>
      <w:kern w:val="0"/>
    </w:rPr>
  </w:style>
  <w:style w:type="paragraph" w:styleId="2">
    <w:name w:val="toc 2"/>
    <w:uiPriority w:val="39"/>
    <w:basedOn w:val="a"/>
    <w:next w:val="a"/>
    <w:qFormat/>
    <w:autoRedefine/>
    <w:semiHidden/>
    <w:unhideWhenUsed/>
    <w:pPr>
      <w:ind w:left="220"/>
      <w:autoSpaceDE/>
      <w:autoSpaceDN/>
      <w:widowControl/>
      <w:wordWrap/>
      <w:jc w:val="left"/>
      <w:spacing w:after="100" w:line="276" w:lineRule="auto"/>
    </w:pPr>
    <w:rPr>
      <w:sz w:val="22"/>
      <w:kern w:val="0"/>
    </w:rPr>
  </w:style>
  <w:style w:type="paragraph" w:styleId="10">
    <w:name w:val="toc 1"/>
    <w:uiPriority w:val="39"/>
    <w:basedOn w:val="a"/>
    <w:next w:val="a"/>
    <w:qFormat/>
    <w:autoRedefine/>
    <w:semiHidden/>
    <w:unhideWhenUsed/>
    <w:pPr>
      <w:autoSpaceDE/>
      <w:autoSpaceDN/>
      <w:widowControl/>
      <w:wordWrap/>
      <w:jc w:val="left"/>
      <w:spacing w:after="100" w:line="276" w:lineRule="auto"/>
    </w:pPr>
    <w:rPr>
      <w:sz w:val="22"/>
      <w:kern w:val="0"/>
    </w:rPr>
  </w:style>
  <w:style w:type="paragraph" w:styleId="3">
    <w:name w:val="toc 3"/>
    <w:uiPriority w:val="39"/>
    <w:basedOn w:val="a"/>
    <w:next w:val="a"/>
    <w:qFormat/>
    <w:autoRedefine/>
    <w:semiHidden/>
    <w:unhideWhenUsed/>
    <w:pPr>
      <w:ind w:left="440"/>
      <w:autoSpaceDE/>
      <w:autoSpaceDN/>
      <w:widowControl/>
      <w:wordWrap/>
      <w:jc w:val="left"/>
      <w:spacing w:after="100" w:line="276" w:lineRule="auto"/>
    </w:pPr>
    <w:rPr>
      <w:sz w:val="22"/>
      <w:kern w:val="0"/>
    </w:rPr>
  </w:style>
  <w:style w:type="paragraph" w:styleId="a6">
    <w:name w:val="Balloon Text"/>
    <w:uiPriority w:val="99"/>
    <w:basedOn w:val="a"/>
    <w:link w:val="Char1"/>
    <w:semiHidden/>
    <w:unhideWhenUsed/>
    <w:rPr>
      <w:rFonts w:asciiTheme="majorHAnsi" w:eastAsiaTheme="majorEastAsia" w:hAnsiTheme="majorHAnsi" w:cstheme="majorBidi"/>
      <w:sz w:val="18"/>
      <w:szCs w:val="18"/>
    </w:rPr>
  </w:style>
  <w:style w:type="character" w:customStyle="1" w:styleId="Char1">
    <w:name w:val="풍선 도움말 텍스트 Char"/>
    <w:uiPriority w:val="99"/>
    <w:basedOn w:val="a0"/>
    <w:link w:val="a6"/>
    <w:semiHidden/>
    <w:rPr>
      <w:rFonts w:asciiTheme="majorHAnsi" w:eastAsiaTheme="majorEastAsia" w:hAnsiTheme="majorHAnsi" w:cstheme="majorBidi"/>
      <w:sz w:val="18"/>
      <w:szCs w:val="18"/>
    </w:rPr>
  </w:style>
  <w:style w:type="table" w:styleId="a7">
    <w:name w:val="Table Grid"/>
    <w:uiPriority w:val="59"/>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uiPriority w:val="99"/>
    <w:basedOn w:val="a"/>
    <w:semiHidden/>
    <w:unhideWhenUsed/>
    <w:pPr>
      <w:autoSpaceDE/>
      <w:autoSpaceDN/>
      <w:widowControl/>
      <w:wordWrap/>
      <w:jc w:val="left"/>
      <w:spacing w:after="100" w:afterAutospacing="1" w:before="100" w:beforeAutospacing="1"/>
    </w:pPr>
    <w:rPr>
      <w:rFonts w:ascii="굴림" w:eastAsia="굴림" w:hAnsi="굴림" w:cs="굴림"/>
      <w:sz w:val="24"/>
      <w:szCs w:val="24"/>
      <w:kern w:val="0"/>
    </w:rPr>
  </w:style>
  <w:style w:type="paragraph" w:customStyle="1" w:styleId="a9">
    <w:name w:val="바탕글"/>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체" w:eastAsia="바탕체" w:hAnsi="Times New Roman" w:cs="Times New Roman"/>
      <w:color w:val="000000"/>
      <w:szCs w:val="20"/>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dc:creator>
  <cp:keywords/>
  <dc:description/>
  <cp:lastModifiedBy>USER</cp:lastModifiedBy>
  <cp:revision>1</cp:revision>
  <dcterms:created xsi:type="dcterms:W3CDTF">2023-02-22T01:25:00Z</dcterms:created>
  <dcterms:modified xsi:type="dcterms:W3CDTF">2026-07-03T01:39:05Z</dcterms:modified>
  <cp:lastPrinted>2018-06-27T06:15:00Z</cp:lastPrinted>
  <cp:version>1100.0100.01</cp:version>
</cp:coreProperties>
</file>