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pPr>
      <w:r>
        <w:rPr>
          <w:rFonts w:ascii="Batang" w:hAnsi="Batang"/>
          <w:b/>
          <w:sz w:val="22"/>
        </w:rPr>
        <w:t>저자 답변서 (Response to Reviewers, v6)</w:t>
      </w:r>
    </w:p>
    <w:p>
      <w:pPr>
        <w:jc w:val="both"/>
      </w:pPr>
      <w:r>
        <w:rPr>
          <w:rFonts w:ascii="Batang" w:hAnsi="Batang"/>
          <w:sz w:val="20"/>
        </w:rPr>
        <w:t>논문 제목: B-mode 복부 초음파에서 간세포암과 간혈관종 감별을 위한 딥러닝 모델의 Confidence Score와 임베딩 기반 유사도 점수: 단일기관 공개 데이터셋을 이용한 탐색적 연구</w:t>
      </w:r>
    </w:p>
    <w:p>
      <w:pPr>
        <w:jc w:val="both"/>
      </w:pPr>
      <w:r>
        <w:rPr>
          <w:rFonts w:ascii="Batang" w:hAnsi="Batang"/>
          <w:sz w:val="20"/>
        </w:rPr>
        <w:t>논문번호: KJFP-26-0060 / 저널: Korean Journal of Family Practice</w:t>
      </w:r>
    </w:p>
    <w:p>
      <w:pPr>
        <w:jc w:val="both"/>
      </w:pPr>
      <w:r>
        <w:rPr>
          <w:rFonts w:ascii="Batang" w:hAnsi="Batang"/>
          <w:sz w:val="20"/>
        </w:rPr>
        <w:t>수정 차수: 2차 수정(Minor Revision) 대응</w:t>
      </w:r>
    </w:p>
    <w:p>
      <w:pPr>
        <w:jc w:val="both"/>
      </w:pPr>
      <w:r>
        <w:rPr>
          <w:rFonts w:ascii="Batang" w:hAnsi="Batang"/>
          <w:sz w:val="20"/>
        </w:rPr>
      </w:r>
    </w:p>
    <w:p>
      <w:pPr>
        <w:jc w:val="both"/>
      </w:pPr>
      <w:r>
        <w:rPr>
          <w:rFonts w:ascii="Batang" w:hAnsi="Batang"/>
          <w:sz w:val="20"/>
        </w:rPr>
        <w:t>심사위원님과 편집위원회의 지적에 감사드립니다. 이번 수정에서는 편집위원회의 7개 항목과 심사위원 B의 서식·가독성 지적을 모두 반영하였습니다. 이번 차수에서 수정한 부분은 원고에 파란색으로 표시하였습니다. 이전 차수의 표시(빨간색)는 본문으로 확정하여 색을 제거하였습니다.</w:t>
      </w:r>
    </w:p>
    <w:p>
      <w:pPr>
        <w:jc w:val="both"/>
      </w:pPr>
      <w:r>
        <w:rPr>
          <w:rFonts w:ascii="Batang" w:hAnsi="Batang"/>
          <w:sz w:val="20"/>
        </w:rPr>
      </w:r>
    </w:p>
    <w:p>
      <w:pPr>
        <w:spacing w:before="160"/>
      </w:pPr>
      <w:r>
        <w:rPr>
          <w:rFonts w:ascii="Batang" w:hAnsi="Batang"/>
          <w:b/>
          <w:sz w:val="20"/>
        </w:rPr>
        <w:t>이번 수정에서 바뀐 파일</w:t>
      </w:r>
    </w:p>
    <w:p>
      <w:pPr>
        <w:jc w:val="both"/>
      </w:pPr>
      <w:r>
        <w:rPr>
          <w:rFonts w:ascii="Batang" w:hAnsi="Batang"/>
          <w:sz w:val="20"/>
        </w:rPr>
        <w:t>1) manuscript (본문) — 표지·영문초록·본문·국문요약·참고문헌. A4, 여백 3 cm, 두 줄 간격, 바탕체 10 pt, 쪽번호(영문초록부터 하단 중앙), 본문 인용은 위첨자로 통일.</w:t>
      </w:r>
    </w:p>
    <w:p>
      <w:pPr>
        <w:jc w:val="both"/>
      </w:pPr>
      <w:r>
        <w:rPr>
          <w:rFonts w:ascii="Batang" w:hAnsi="Batang"/>
          <w:sz w:val="20"/>
        </w:rPr>
        <w:t>2) Title page (표지) — 국·영문 제목, 소제목(running title), 저자·소속·ORCID, 교신저자, 이해관계, 연구비.</w:t>
      </w:r>
    </w:p>
    <w:p>
      <w:pPr>
        <w:jc w:val="both"/>
      </w:pPr>
      <w:r>
        <w:rPr>
          <w:rFonts w:ascii="Batang" w:hAnsi="Batang"/>
          <w:sz w:val="20"/>
        </w:rPr>
        <w:t>3) Tables — Table 1, 1B, 2, 3(구 3·3B 통합), 4(구 4·4B 통합). 모든 표 3선형, 주석 위첨자 a·b·c.</w:t>
      </w:r>
    </w:p>
    <w:p>
      <w:pPr>
        <w:jc w:val="both"/>
      </w:pPr>
      <w:r>
        <w:rPr>
          <w:rFonts w:ascii="Batang" w:hAnsi="Batang"/>
          <w:sz w:val="20"/>
        </w:rPr>
        <w:t>4) Figures — Figure 1–5, JPEG 600 dpi. Figure 2는 3패널 단일 그림으로 재구성, Figure 3은 원자료에서 재렌더.</w:t>
      </w:r>
    </w:p>
    <w:p>
      <w:pPr>
        <w:jc w:val="both"/>
      </w:pPr>
      <w:r>
        <w:rPr>
          <w:rFonts w:ascii="Batang" w:hAnsi="Batang"/>
          <w:sz w:val="20"/>
        </w:rPr>
        <w:t>5) Supplementary Methods — S1 아키텍처, S2 학습 프로토콜, S3 손실·비교 조건, S4 프로토타입·유사도, S5 임계값·등가 구간·통계, S6 재현 환경.</w:t>
      </w:r>
    </w:p>
    <w:p>
      <w:pPr>
        <w:jc w:val="both"/>
      </w:pPr>
      <w:r>
        <w:rPr>
          <w:rFonts w:ascii="Batang" w:hAnsi="Batang"/>
          <w:sz w:val="20"/>
        </w:rPr>
      </w:r>
    </w:p>
    <w:p>
      <w:pPr>
        <w:spacing w:before="240"/>
      </w:pPr>
      <w:r>
        <w:rPr>
          <w:rFonts w:ascii="Batang" w:hAnsi="Batang"/>
          <w:b/>
          <w:sz w:val="22"/>
        </w:rPr>
        <w:t>● Editorial Comment 1 — Introduction 간결화</w:t>
      </w:r>
    </w:p>
    <w:p>
      <w:pPr>
        <w:jc w:val="both"/>
      </w:pPr>
      <w:r>
        <w:rPr>
          <w:rFonts w:ascii="Batang" w:hAnsi="Batang"/>
          <w:sz w:val="20"/>
        </w:rPr>
        <w:t>지적에 동의합니다. 서론을 네 문단으로 재구성하여, 기술 설명보다 임상적 필요성이 먼저 읽히도록 순서를 바꾸었습니다.</w:t>
      </w:r>
    </w:p>
    <w:p>
      <w:pPr>
        <w:jc w:val="both"/>
      </w:pPr>
      <w:r>
        <w:rPr>
          <w:rFonts w:ascii="Batang" w:hAnsi="Batang"/>
          <w:sz w:val="20"/>
        </w:rPr>
        <w:t>① 첫 문단: HCC의 임상적 부담, 1차 영상 도구로서 B-mode 초음파의 위치, 그리고 HCC–혈관종 감별이 B-mode 단독으로 어렵다는 문제 제기를 한 문단으로 통합하였습니다.</w:t>
      </w:r>
    </w:p>
    <w:p>
      <w:pPr>
        <w:jc w:val="both"/>
      </w:pPr>
      <w:r>
        <w:rPr>
          <w:rFonts w:ascii="Batang" w:hAnsi="Batang"/>
          <w:sz w:val="20"/>
        </w:rPr>
        <w:t>② 둘째 문단: 비전형 표현형(2 cm 미만 고에코 HCC, 저에코·테두리 소견 혈관종) 때문에 감별이 어려워 2차 영상 검사에 의존하게 되는 이유를 정리하였습니다.</w:t>
      </w:r>
    </w:p>
    <w:p>
      <w:pPr>
        <w:jc w:val="both"/>
      </w:pPr>
      <w:r>
        <w:rPr>
          <w:rFonts w:ascii="Batang" w:hAnsi="Batang"/>
          <w:sz w:val="20"/>
        </w:rPr>
        <w:t>③ 셋째 문단: 인공지능이 실제로 어느 정도까지 보조하는지를 수치로 제시하였습니다. 13개 병원 2,143명을 대상으로 한 다기관 연구에서 15년 경력 초음파 판독자 236명의 악성–양성 국소 병변 감별 민감도는 76.1%, 특이도는 76.9%였고, 딥러닝 모델은 86.5%와 85.5%(AUC 0.924)였으며 정확도는 조영증강 CT와 같은 84.7%로 MRI(87.9%)에는 미치지 못하였습니다(참고문헌 10). 이어서 기존 모델이 대부분 소프트맥스 확률 하나만 출력한다는 한계를 두 가지로 정리하였습니다. 이 값은 보정되지 않으면 실제 확률과 일치하지 않는 결정 강도이며, 숙련 판독자가 병변을 전형적인 간세포암의 소견과 얼마나 닮았는지 연속적으로 비교하는 판단 과정을 대신하지 못합니다.</w:t>
      </w:r>
    </w:p>
    <w:p>
      <w:pPr>
        <w:jc w:val="both"/>
      </w:pPr>
      <w:r>
        <w:rPr>
          <w:rFonts w:ascii="Batang" w:hAnsi="Batang"/>
          <w:sz w:val="20"/>
        </w:rPr>
        <w:t>④ 넷째 문단: 임베딩 공간의 지도 대조학습과 클래스 중심 벡터가 이 '전형성'을 수치로 제시할 수 있음을 밝히고, 확률에 전형성(HCC 코사인 유사도 점수)과 전형성 차이(Δscore)를 더한 이중 출력 체계라는 연구 목적을 제시하였습니다.</w:t>
      </w:r>
    </w:p>
    <w:p>
      <w:pPr>
        <w:jc w:val="both"/>
      </w:pPr>
      <w:r>
        <w:rPr>
          <w:rFonts w:ascii="Batang" w:hAnsi="Batang"/>
          <w:sz w:val="20"/>
        </w:rPr>
        <w:t>⑤ 결과 문장: 지시에 따라 서론 말미에 '결론적으로, 확률 0.50과 코사인 유사도 점수로 분류하였을 때의 분류성능 차이는 통계적으로 유의하지 않았다(McNemar exact test P = 0.125)'를 명시하였습니다. 즉 이 연구의 성과는 정확도 향상이 아니라 해석 가능한 지표의 추가에 있음을 처음부터 분명히 하였습니다.</w:t>
      </w:r>
    </w:p>
    <w:p>
      <w:pPr>
        <w:jc w:val="both"/>
      </w:pPr>
      <w:r>
        <w:rPr>
          <w:rFonts w:ascii="Batang" w:hAnsi="Batang"/>
          <w:sz w:val="20"/>
        </w:rPr>
        <w:t>이전 판에 있던 편집상의 각주성 문장('마진 변화는 3.5절에 별도 기술')은 삭제하였습니다.</w:t>
      </w:r>
    </w:p>
    <w:p>
      <w:pPr>
        <w:spacing w:before="240"/>
      </w:pPr>
      <w:r>
        <w:rPr>
          <w:rFonts w:ascii="Batang" w:hAnsi="Batang"/>
          <w:b/>
          <w:sz w:val="22"/>
        </w:rPr>
        <w:t>● Editorial Comment 2 — similarity score의 추가 정보와 해석 범위</w:t>
      </w:r>
    </w:p>
    <w:p>
      <w:pPr>
        <w:jc w:val="both"/>
      </w:pPr>
      <w:r>
        <w:rPr>
          <w:rFonts w:ascii="Batang" w:hAnsi="Batang"/>
          <w:sz w:val="20"/>
        </w:rPr>
        <w:t>동의합니다. 고찰에 세 문단을 새로 두어, 두 지표가 주는 정보·쓰일 수 있는 상황·읽는 방식의 한계를 분리하여 기술하였습니다. 성능을 새로 주장하지는 않았습니다.</w:t>
      </w:r>
    </w:p>
    <w:p>
      <w:pPr>
        <w:jc w:val="both"/>
      </w:pPr>
      <w:r>
        <w:rPr>
          <w:rFonts w:ascii="Batang" w:hAnsi="Batang"/>
          <w:sz w:val="20"/>
        </w:rPr>
        <w:t>① 두 지표가 분리해 보여주는 것: 확률은 결정 강도를, 코사인 유사도 점수는 전형성의 정도를, Δscore는 두 질환 전형 사이에서 병변이 놓인 위치를 나타냅니다. 따라서 같은 오답이라도 어느 방향으로 치우쳤는지 판독자가 확인할 수 있습니다.</w:t>
      </w:r>
    </w:p>
    <w:p>
      <w:pPr>
        <w:jc w:val="both"/>
      </w:pPr>
      <w:r>
        <w:rPr>
          <w:rFonts w:ascii="Batang" w:hAnsi="Batang"/>
          <w:sz w:val="20"/>
        </w:rPr>
        <w:t>② 쓰일 수 있는 상황 네 가지: (i) 이중 판독에서 확률과 유사도 점수가 불일치하는 증례의 우선 검토, (ii) 병변이 전형적 소견에서 얼마나 떨어져 있는지에 대한 환자 설명, (iii) 같은 병변을 시간을 두고 추적하며 점수의 이동을 관찰하는 용도(본 데이터는 종단 관찰이 없어 제안 수준임을 명시), (iv) 증례 회람과 교육에서 판단 근거 공유.</w:t>
      </w:r>
    </w:p>
    <w:p>
      <w:pPr>
        <w:jc w:val="both"/>
      </w:pPr>
      <w:r>
        <w:rPr>
          <w:rFonts w:ascii="Batang" w:hAnsi="Batang"/>
          <w:sz w:val="20"/>
        </w:rPr>
        <w:t>③ 읽는 방식의 한계: 점수의 절대값은 의미가 없고 같은 모델 안에서의 상대 비교로만 읽어야 하며, 임계값과 등가 구간은 유도 코호트에 종속됩니다. SupCon 적용 시 두 클래스 간 간격이 오히려 좁아졌으므로 Δscore 해석에도 주의가 필요하고, 이 값들은 보정되지 않았습니다.</w:t>
      </w:r>
    </w:p>
    <w:p>
      <w:pPr>
        <w:jc w:val="both"/>
      </w:pPr>
      <w:r>
        <w:rPr>
          <w:rFonts w:ascii="Batang" w:hAnsi="Batang"/>
          <w:sz w:val="20"/>
        </w:rPr>
        <w:t>④ 적용 범위: 단일기관의 정제된 2진 감별 과제에 한정되므로 외부 검증 전에는 임상 결정을 대체할 수 없다고 명시하였습니다. 제한점 다섯째 항목에서도 세 출력이 모두 AUROC 1.000에 도달한 천장 효과 때문에 증분 이득을 판정할 수 없고, 두 운영점이 서로 다른 증례에서 실패하였으므로 유사도 점수의 독자적 기여는 이 데이터로 판정할 수 없다고 기술하였습니다.</w:t>
      </w:r>
    </w:p>
    <w:p>
      <w:pPr>
        <w:spacing w:before="240"/>
      </w:pPr>
      <w:r>
        <w:rPr>
          <w:rFonts w:ascii="Batang" w:hAnsi="Batang"/>
          <w:b/>
          <w:sz w:val="22"/>
        </w:rPr>
        <w:t>● Editorial Comment 3 — 국문·영문 용어 표기 일관성</w:t>
      </w:r>
    </w:p>
    <w:p>
      <w:pPr>
        <w:jc w:val="both"/>
      </w:pPr>
      <w:r>
        <w:rPr>
          <w:rFonts w:ascii="Batang" w:hAnsi="Batang"/>
          <w:sz w:val="20"/>
        </w:rPr>
        <w:t>전문을 점검하여 다음 원칙으로 통일하였습니다.</w:t>
      </w:r>
    </w:p>
    <w:p>
      <w:pPr>
        <w:jc w:val="both"/>
      </w:pPr>
      <w:r>
        <w:rPr>
          <w:rFonts w:ascii="Batang" w:hAnsi="Batang"/>
          <w:sz w:val="20"/>
        </w:rPr>
        <w:t>① 주요 용어는 첫 등장 시에만 영문을 병기하고 이후에는 하나의 표현만 사용하였습니다.</w:t>
      </w:r>
    </w:p>
    <w:p>
      <w:pPr>
        <w:jc w:val="both"/>
      </w:pPr>
      <w:r>
        <w:rPr>
          <w:rFonts w:ascii="Batang" w:hAnsi="Batang"/>
          <w:sz w:val="20"/>
        </w:rPr>
        <w:t>② '코사인 유사도 / cosine score / 코사인 점수'로 혼용되던 표현을 '코사인 유사도 점수'로 통일하고, 지표 이름(HCC cosine similarity score, Δscore)만 고유 명칭으로 유지하였습니다. 영문 표기도 cosine score를 cosine similarity score로 통일하였습니다(영문초록·표·그림 설명문 포함).</w:t>
      </w:r>
    </w:p>
    <w:p>
      <w:pPr>
        <w:jc w:val="both"/>
      </w:pPr>
      <w:r>
        <w:rPr>
          <w:rFonts w:ascii="Batang" w:hAnsi="Batang"/>
          <w:sz w:val="20"/>
        </w:rPr>
        <w:t>③ 임상 독자에게 낯선 기술 용어는 영문 병기 대신 짧은 우리말 설명을 우선하였습니다. 예: softmax → '최종 확률값', calibration → '보정', prototype → '중심 벡터(프로토타입)'.</w:t>
      </w:r>
    </w:p>
    <w:p>
      <w:pPr>
        <w:jc w:val="both"/>
      </w:pPr>
      <w:r>
        <w:rPr>
          <w:rFonts w:ascii="Batang" w:hAnsi="Batang"/>
          <w:sz w:val="20"/>
        </w:rPr>
        <w:t>④ 불필요하게 반복되던 괄호 병기(decision strength 등)는 첫 등장 1회만 남겼습니다.</w:t>
      </w:r>
    </w:p>
    <w:p>
      <w:pPr>
        <w:spacing w:before="240"/>
      </w:pPr>
      <w:r>
        <w:rPr>
          <w:rFonts w:ascii="Batang" w:hAnsi="Batang"/>
          <w:b/>
          <w:sz w:val="22"/>
        </w:rPr>
        <w:t>● Editorial Comment 4 — Figure·Table 구성 간결화</w:t>
      </w:r>
    </w:p>
    <w:p>
      <w:pPr>
        <w:jc w:val="both"/>
      </w:pPr>
      <w:r>
        <w:rPr>
          <w:rFonts w:ascii="Batang" w:hAnsi="Batang"/>
          <w:sz w:val="20"/>
        </w:rPr>
        <w:t>① Figure 2: 기존 2-A, 2-B, 2-C를 하나의 그림 안 3패널(A: 확률 0.50, B: HCC cosine score, C: Δscore)로 통합하였습니다. 세 패널의 혼동행렬 수치는 표(Table 3)와 동일하며 원자료에서 재계산하여 확인하였습니다.</w:t>
      </w:r>
    </w:p>
    <w:p>
      <w:pPr>
        <w:jc w:val="both"/>
      </w:pPr>
      <w:r>
        <w:rPr>
          <w:rFonts w:ascii="Batang" w:hAnsi="Batang"/>
          <w:sz w:val="20"/>
        </w:rPr>
        <w:t>② Table 3과 3B를 하나의 Table 3으로 통합하고, 패널 A(주 분석 운영점)와 패널 B(탐색적 코사인 유사도 점수 운영점)로 구성하였습니다. Table 4와 4B도 동일한 방식으로 하나의 Table 4로 통합하였습니다(패널 A: 주력 모델 운영점, 패널 B: 모델별 테스트 AUROC).</w:t>
      </w:r>
    </w:p>
    <w:p>
      <w:pPr>
        <w:jc w:val="both"/>
      </w:pPr>
      <w:r>
        <w:rPr>
          <w:rFonts w:ascii="Batang" w:hAnsi="Batang"/>
          <w:sz w:val="20"/>
        </w:rPr>
        <w:t>③ Results에서는 표에 이미 제시된 수치를 반복 나열하지 않고, 각 표·그림에서 중요한 결과가 무엇인지만 서술하도록 다시 썼습니다. 이 과정에서 본문 분량도 함께 감소하였습니다.</w:t>
      </w:r>
    </w:p>
    <w:p>
      <w:pPr>
        <w:spacing w:before="240"/>
      </w:pPr>
      <w:r>
        <w:rPr>
          <w:rFonts w:ascii="Batang" w:hAnsi="Batang"/>
          <w:b/>
          <w:sz w:val="22"/>
        </w:rPr>
        <w:t>● Editorial Comment 5 — Methods의 기술적 세부사항</w:t>
      </w:r>
    </w:p>
    <w:p>
      <w:pPr>
        <w:jc w:val="both"/>
      </w:pPr>
      <w:r>
        <w:rPr>
          <w:rFonts w:ascii="Batang" w:hAnsi="Batang"/>
          <w:sz w:val="20"/>
        </w:rPr>
        <w:t>동의합니다. 본문 Methods 2.2절은 연구 설계와 각 비교의 목적으로 다시 쓰고, 구현 단계의 세부사항은 Supplementary Methods로 이동하였습니다.</w:t>
      </w:r>
    </w:p>
    <w:p>
      <w:pPr>
        <w:jc w:val="both"/>
      </w:pPr>
      <w:r>
        <w:rPr>
          <w:rFonts w:ascii="Batang" w:hAnsi="Batang"/>
          <w:sz w:val="20"/>
        </w:rPr>
        <w:t>① 본문: 두 백본(EfficientNetV2B0, ResNet50V2)과 세 학습 방식의 6개 조합을 비교하였다는 설계와, 비교의 두 가지 목적(복잡한 학습 전략이 분류를 개선하는가, 관찰된 현상이 특정 백본에 국한되는가)만 기술하였습니다.</w:t>
      </w:r>
    </w:p>
    <w:p>
      <w:pPr>
        <w:jc w:val="both"/>
      </w:pPr>
      <w:r>
        <w:rPr>
          <w:rFonts w:ascii="Batang" w:hAnsi="Batang"/>
          <w:sz w:val="20"/>
        </w:rPr>
        <w:t>② 학습 방식의 목적을 쉬운 말로 한 줄씩 추가하였습니다. 교차 엔트로피 단독은 정답 라벨로 확률을 맞히는 기본 조건, 지도 대조손실을 더한 조건은 같은 질환의 영상을 임베딩에서 가깝게 모아 클래스 중심과의 거리를 안정화하려는 시도입니다.</w:t>
      </w:r>
    </w:p>
    <w:p>
      <w:pPr>
        <w:jc w:val="both"/>
      </w:pPr>
      <w:r>
        <w:rPr>
          <w:rFonts w:ascii="Batang" w:hAnsi="Batang"/>
          <w:sz w:val="20"/>
        </w:rPr>
        <w:t>③ NNCLR을 비교에 포함한 이유: 라벨 없이 표현을 먼저 익힌 뒤 미세조정하는 방식이 수천 장 규모의 작은 데이터에서 라벨 의존을 줄이는 데 도움이 될 수 있다는 가설에서 포함하였으며, 이 가설 자체를 검증한 것은 아니라고 본문과 Supplementary S3에 모두 명시하였습니다.</w:t>
      </w:r>
    </w:p>
    <w:p>
      <w:pPr>
        <w:jc w:val="both"/>
      </w:pPr>
      <w:r>
        <w:rPr>
          <w:rFonts w:ascii="Batang" w:hAnsi="Batang"/>
          <w:sz w:val="20"/>
        </w:rPr>
        <w:t>④ 이동한 항목: CLS token·패치 토큰 수·인코더 차원·프로젝션 헤드·AdamW·CosineDecay 스케줄·배치 크기·증강 설정 → S1–S2. 손실함수 정의(L = L_CE + 0.5 × L_SupCon, 온도 0.07)와 NNCLR 1단계 설정(온도 0.1, support queue 8,192, 프로젝션 256) → S3.</w:t>
      </w:r>
    </w:p>
    <w:p>
      <w:pPr>
        <w:jc w:val="both"/>
      </w:pPr>
      <w:r>
        <w:rPr>
          <w:rFonts w:ascii="Batang" w:hAnsi="Batang"/>
          <w:sz w:val="20"/>
        </w:rPr>
        <w:t>⑤ 코사인 유사도 점수의 공식과 의미 → S4. cos(a, p) = (a·p)/(|a||p|), Δscore = cos(a, p_HCC) − cos(a, p_hem), 값의 범위와 해석, k-means(k=4) 서브 프로토타입 민감도 분석 절차를 함께 기술하였습니다. 본문 2.3절은 정의만 남기고 계산식은 S4를 참조하도록 정리하였습니다.</w:t>
      </w:r>
    </w:p>
    <w:p>
      <w:pPr>
        <w:jc w:val="both"/>
      </w:pPr>
      <w:r>
        <w:rPr>
          <w:rFonts w:ascii="Batang" w:hAnsi="Batang"/>
          <w:sz w:val="20"/>
        </w:rPr>
        <w:t>⑥ 개별 비교 조건(CE·SupCon·NNCLR·백본 교체)이 각각 무엇을 확인하려는 것인지 표 S3로 정리하였습니다.</w:t>
      </w:r>
    </w:p>
    <w:p>
      <w:pPr>
        <w:spacing w:before="240"/>
      </w:pPr>
      <w:r>
        <w:rPr>
          <w:rFonts w:ascii="Batang" w:hAnsi="Batang"/>
          <w:b/>
          <w:sz w:val="22"/>
        </w:rPr>
        <w:t>● Editorial Comment 6 — Methods·Results 중복과 제출 양식</w:t>
      </w:r>
    </w:p>
    <w:p>
      <w:pPr>
        <w:jc w:val="both"/>
      </w:pPr>
      <w:r>
        <w:rPr>
          <w:rFonts w:ascii="Batang" w:hAnsi="Batang"/>
          <w:sz w:val="20"/>
        </w:rPr>
        <w:t>① Methods와 Results에서 반복되던 설명(환자·영상 수, 세트 분할, 참조표준 caveat)을 한 곳으로 모아 정리하였습니다.</w:t>
      </w:r>
    </w:p>
    <w:p>
      <w:pPr>
        <w:jc w:val="both"/>
      </w:pPr>
      <w:r>
        <w:rPr>
          <w:rFonts w:ascii="Batang" w:hAnsi="Batang"/>
          <w:sz w:val="20"/>
        </w:rPr>
        <w:t>② 표·그림 제목과 주석 위치를 저널 양식에 맞추었습니다: 표 제목은 표 상단 좌측, 표 주석은 표 하단에 각단 정렬, 주석 지시자는 소문자 위첨자(a·b·c). 그림 설명문은 저널 구성 순서(참고문헌 다음)에 맞추어 원고 말미의 별도 섹션으로 옮기고, 표 파일에는 표만 남겼습니다.</w:t>
      </w:r>
    </w:p>
    <w:p>
      <w:pPr>
        <w:jc w:val="both"/>
      </w:pPr>
      <w:r>
        <w:rPr>
          <w:rFonts w:ascii="Batang" w:hAnsi="Batang"/>
          <w:sz w:val="20"/>
        </w:rPr>
        <w:t>③ 원고 전체 서식을 저널 규정에 맞추었습니다: A4, 여백 3 cm, 두 줄 간격, 바탕체 10 pt, 쪽번호, 위첨자 인용, P 값 대문자 표기, 참고문헌 6인 규칙과 저널명 표기.</w:t>
      </w:r>
    </w:p>
    <w:p>
      <w:pPr>
        <w:spacing w:before="240"/>
      </w:pPr>
      <w:r>
        <w:rPr>
          <w:rFonts w:ascii="Batang" w:hAnsi="Batang"/>
          <w:b/>
          <w:sz w:val="22"/>
        </w:rPr>
        <w:t>● Editorial Comment 7 — 참고문헌의 실제 지지 여부</w:t>
      </w:r>
    </w:p>
    <w:p>
      <w:pPr>
        <w:jc w:val="both"/>
      </w:pPr>
      <w:r>
        <w:rPr>
          <w:rFonts w:ascii="Batang" w:hAnsi="Batang"/>
          <w:sz w:val="20"/>
        </w:rPr>
        <w:t>지적하신 세 문헌을 포함하여 참고문헌 18개 전수를 원문(Crossref·PubMed)과 대조하고, 본문 문장과의 대응 관계를 인용 지점 14곳에서 재점검하였습니다.</w:t>
      </w:r>
    </w:p>
    <w:p>
      <w:pPr>
        <w:jc w:val="both"/>
      </w:pPr>
      <w:r>
        <w:rPr>
          <w:rFonts w:ascii="Batang" w:hAnsi="Batang"/>
          <w:sz w:val="20"/>
        </w:rPr>
        <w:t>① 참고문헌 7(구 9번 자리 문헌): 의료초음파 딥러닝 전반 리뷰로 해당 문장을 지지하지 못하므로 삭제하고, 비전형 혈관종의 B-mode 형태를 직접 다룬 Moody &amp; Wilson(Radiology 1993;188:413-7)로 교체하였습니다.</w:t>
      </w:r>
    </w:p>
    <w:p>
      <w:pPr>
        <w:jc w:val="both"/>
      </w:pPr>
      <w:r>
        <w:rPr>
          <w:rFonts w:ascii="Batang" w:hAnsi="Batang"/>
          <w:sz w:val="20"/>
        </w:rPr>
        <w:t>② 참고문헌 8(구 번호): CT/MRI LI-RADS 문헌은 B-mode 소견의 근거가 될 수 없어, 혈관종의 저에코 고리를 기술한 Choi 등(Gut Liver 2009;3:226-30)으로 교체하였습니다.</w:t>
      </w:r>
    </w:p>
    <w:p>
      <w:pPr>
        <w:jc w:val="both"/>
      </w:pPr>
      <w:r>
        <w:rPr>
          <w:rFonts w:ascii="Batang" w:hAnsi="Batang"/>
          <w:sz w:val="20"/>
        </w:rPr>
        <w:t>③ 참고문헌 6: 서지정보를 확인한 결과 저자 목록이 잘못 기재되어 있었습니다. 실제 저자는 Lin S 등이며(Medicine (Baltimore) 2017;96:e9192), 또한 이 문헌은 '혈관종이 악성을 모사한' 증례이므로 고에코 HCC가 아니라 비전형 혈관종 문장으로 인용 위치를 옮겼습니다. 고에코 HCC 문장에는 2 cm 미만 간경변 배경 HCC 153례 중 17.0%가 고에코였다는 Rapaccini 등(Liver Int 2004;24:124-30)을 새로 배치하였습니다.</w:t>
      </w:r>
    </w:p>
    <w:p>
      <w:pPr>
        <w:jc w:val="both"/>
      </w:pPr>
      <w:r>
        <w:rPr>
          <w:rFonts w:ascii="Batang" w:hAnsi="Batang"/>
          <w:sz w:val="20"/>
        </w:rPr>
        <w:t>④ 전수 점검에서 추가로 발견한 오류도 수정하였습니다: 심사에서 지적되지 않은 참고문헌(PLoS One 2022)의 권·호·e번호가 다른 논문의 것이어서 17(1):e0262838로 바로잡았습니다.</w:t>
      </w:r>
    </w:p>
    <w:p>
      <w:pPr>
        <w:jc w:val="both"/>
      </w:pPr>
      <w:r>
        <w:rPr>
          <w:rFonts w:ascii="Batang" w:hAnsi="Batang"/>
          <w:sz w:val="20"/>
        </w:rPr>
        <w:t>⑤ 인용 위치 조정: 조영증강 초음파 진단능 연구(Sirli 등)를 'B-mode 단독 감별이 어렵다'는 문장에서 '2차 영상 검사에 의존한다'는 문장으로 옮겼습니다. 단일 softmax 확률만 출력한다는 서술에는 근거 문헌을 예시로 붙이고 '본 연구진이 검토한 범위에서는'으로 범위를 한정하였습니다.</w:t>
      </w:r>
    </w:p>
    <w:p>
      <w:pPr>
        <w:jc w:val="both"/>
      </w:pPr>
      <w:r>
        <w:rPr>
          <w:rFonts w:ascii="Batang" w:hAnsi="Batang"/>
          <w:sz w:val="20"/>
        </w:rPr>
        <w:t>⑥ 결과적으로 참고문헌은 18개이며, 본문 인용 순서에 따라 다시 번호를 부여하였습니다.</w:t>
      </w:r>
    </w:p>
    <w:p>
      <w:pPr>
        <w:jc w:val="both"/>
      </w:pPr>
      <w:r>
        <w:rPr>
          <w:rFonts w:ascii="Batang" w:hAnsi="Batang"/>
          <w:sz w:val="20"/>
        </w:rPr>
      </w:r>
    </w:p>
    <w:p>
      <w:pPr>
        <w:spacing w:before="240"/>
      </w:pPr>
      <w:r>
        <w:rPr>
          <w:rFonts w:ascii="Batang" w:hAnsi="Batang"/>
          <w:b/>
          <w:sz w:val="22"/>
        </w:rPr>
        <w:t>● Reviewer A</w:t>
      </w:r>
    </w:p>
    <w:p>
      <w:pPr>
        <w:jc w:val="both"/>
      </w:pPr>
      <w:r>
        <w:rPr>
          <w:rFonts w:ascii="Batang" w:hAnsi="Batang"/>
          <w:sz w:val="20"/>
        </w:rPr>
        <w:t>[의견] 저자들은 제가 제기한 코멘트에 대해 충분히 답을 주었습니다. 저는 추가 코멘트가 없습니다.</w:t>
      </w:r>
    </w:p>
    <w:p>
      <w:pPr>
        <w:jc w:val="both"/>
      </w:pPr>
      <w:r>
        <w:rPr>
          <w:rFonts w:ascii="Batang" w:hAnsi="Batang"/>
          <w:sz w:val="20"/>
        </w:rPr>
        <w:t>[답변] 감사합니다. 1차 수정에서 합의된 범위(탐색적 연구로서의 한계 명시, 우월성·비열등성 주장 배제)를 이번 차수에서도 그대로 유지하였으며, 해당 서술은 본문 고찰 제한점과 결론에 남아 있습니다.</w:t>
      </w:r>
    </w:p>
    <w:p>
      <w:pPr>
        <w:spacing w:before="240"/>
      </w:pPr>
      <w:r>
        <w:rPr>
          <w:rFonts w:ascii="Batang" w:hAnsi="Batang"/>
          <w:b/>
          <w:sz w:val="22"/>
        </w:rPr>
        <w:t>● Reviewer B</w:t>
      </w:r>
    </w:p>
    <w:p>
      <w:pPr>
        <w:jc w:val="both"/>
      </w:pPr>
      <w:r>
        <w:rPr>
          <w:rFonts w:ascii="Batang" w:hAnsi="Batang"/>
          <w:sz w:val="20"/>
        </w:rPr>
        <w:t>[의견] 이전 버전에 비해 많이 수정되었으나 제출 양식에 맞지 않거나 가독성이 떨어지는 부분이 남아 있고, 국문·영문 혼재와 용어 설명 부재, 괄호 병기의 부적절한 사용, 표·그림의 나열식 배치와 본문 설명 부족이 있다.</w:t>
      </w:r>
    </w:p>
    <w:p>
      <w:pPr>
        <w:jc w:val="both"/>
      </w:pPr>
      <w:r>
        <w:rPr>
          <w:rFonts w:ascii="Batang" w:hAnsi="Batang"/>
          <w:sz w:val="20"/>
        </w:rPr>
        <w:t>[답변] 지적하신 네 가지를 순서대로 반영하였습니다.</w:t>
      </w:r>
    </w:p>
    <w:p>
      <w:pPr>
        <w:jc w:val="both"/>
      </w:pPr>
      <w:r>
        <w:rPr>
          <w:rFonts w:ascii="Batang" w:hAnsi="Batang"/>
          <w:sz w:val="20"/>
        </w:rPr>
        <w:t>① 국문·영문 혼재: 용어는 첫 등장 시에만 영문을 병기하고 이후에는 국문 단일 표현으로 통일하였습니다(Editorial Comment 3과 동일 작업).</w:t>
      </w:r>
    </w:p>
    <w:p>
      <w:pPr>
        <w:jc w:val="both"/>
      </w:pPr>
      <w:r>
        <w:rPr>
          <w:rFonts w:ascii="Batang" w:hAnsi="Batang"/>
          <w:sz w:val="20"/>
        </w:rPr>
        <w:t>② 용어 설명 부재: 기술 용어는 영문 병기 대신 짧은 우리말 설명을 우선하였고, 비교 조건(CE·SupCon·NNCLR)의 목적은 Supplementary Methods S3의 표로 정리하였습니다.</w:t>
      </w:r>
    </w:p>
    <w:p>
      <w:pPr>
        <w:jc w:val="both"/>
      </w:pPr>
      <w:r>
        <w:rPr>
          <w:rFonts w:ascii="Batang" w:hAnsi="Batang"/>
          <w:sz w:val="20"/>
        </w:rPr>
        <w:t>③ 괄호 병기의 부적절한 사용: 반복 병기를 제거하고, 첫 등장 1회만 유지하였습니다.</w:t>
      </w:r>
    </w:p>
    <w:p>
      <w:pPr>
        <w:jc w:val="both"/>
      </w:pPr>
      <w:r>
        <w:rPr>
          <w:rFonts w:ascii="Batang" w:hAnsi="Batang"/>
          <w:sz w:val="20"/>
        </w:rPr>
        <w:t>④ 표·그림의 나열식 배치와 본문 설명 부족: Figure 2를 3패널 단일 그림으로, Table 3·3B와 4·4B를 각각 하나의 표로 통합하여 개수를 줄였고, Results에서 각 표·그림의 핵심 결과를 문장으로 설명하도록 다시 썼습니다. 표는 3선형으로 정리하고 주석 지시자를 넣어 본문과 대응되게 하였습니다.</w:t>
      </w:r>
    </w:p>
    <w:p>
      <w:pPr>
        <w:jc w:val="both"/>
      </w:pPr>
      <w:r>
        <w:rPr>
          <w:rFonts w:ascii="Batang" w:hAnsi="Batang"/>
          <w:sz w:val="20"/>
        </w:rPr>
      </w:r>
    </w:p>
    <w:p>
      <w:pPr>
        <w:spacing w:before="240"/>
      </w:pPr>
      <w:r>
        <w:rPr>
          <w:rFonts w:ascii="Batang" w:hAnsi="Batang"/>
          <w:b/>
          <w:sz w:val="22"/>
        </w:rPr>
        <w:t>● 수정 후 원고 구성</w:t>
      </w:r>
    </w:p>
    <w:p>
      <w:pPr>
        <w:jc w:val="both"/>
      </w:pPr>
      <w:r>
        <w:rPr>
          <w:rFonts w:ascii="Batang" w:hAnsi="Batang"/>
          <w:sz w:val="20"/>
        </w:rPr>
        <w:t>표지 → 영문초록(243단어, MeSH 중심단어 6개) → 본문(서론·방법·결과·고찰·결론, 9,777자) → 국문요약(791자) 및 중심단어 → 참고문헌(18개) → 표(5개) → 그림 설명문(5개) → Supplementary Methods.</w:t>
      </w:r>
    </w:p>
    <w:p>
      <w:pPr>
        <w:jc w:val="both"/>
      </w:pPr>
      <w:r>
        <w:rPr>
          <w:rFonts w:ascii="Batang" w:hAnsi="Batang"/>
          <w:sz w:val="20"/>
        </w:rPr>
        <w:t>표와 그림은 합계 10개로 저널 기준(10개 이내)을 충족합니다.</w:t>
      </w:r>
    </w:p>
    <w:p>
      <w:pPr>
        <w:jc w:val="both"/>
      </w:pPr>
      <w:r>
        <w:rPr>
          <w:rFonts w:ascii="Batang" w:hAnsi="Batang"/>
          <w:sz w:val="20"/>
        </w:rPr>
      </w:r>
    </w:p>
    <w:p>
      <w:pPr>
        <w:jc w:val="both"/>
      </w:pPr>
      <w:r>
        <w:rPr>
          <w:rFonts w:ascii="Batang" w:hAnsi="Batang"/>
          <w:sz w:val="20"/>
        </w:rPr>
        <w:t>다시 한 번 세심한 심사에 감사드립니다.</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Batang" w:hAnsi="Batang"/>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