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Malgun Gothic" w:hAnsi="Malgun Gothic"/>
          <w:b/>
          <w:color w:val="DC1414"/>
          <w:sz w:val="22"/>
        </w:rPr>
        <w:t>Table 1. Patient and Lesion Demographics of Full Cohort (SMC-LUD, n=1,021)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항목 (Characteristics)</w:t>
            </w:r>
          </w:p>
        </w:tc>
        <w:tc>
          <w:tcPr>
            <w:tcW w:type="dxa" w:w="312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HCC (환자 n=600)</w:t>
            </w:r>
          </w:p>
        </w:tc>
        <w:tc>
          <w:tcPr>
            <w:tcW w:type="dxa" w:w="312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Hemangioma (환자 n=421)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나이, 평균 ± 표준편차 (범위), 세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66.65 ± 11.02 (20–90)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55.50 ± 12.76 (30–90)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남성, n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491 (81.8%)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174 (41.3%)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여성, n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109 (18.2%)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247 (58.7%)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키, 평균 ± 표준편차, cm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165.74 ± 16.39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163.72 ± 8.45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몸무게, 평균 ± 표준편차 (범위), kg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67.44 ± 11.24 (42–104)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63.85 ± 12.95 (34–118)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병변 크기 (최대 직경), 중앙값 / Q1 / Q3, cm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2.90 / 2.10 / 4.50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UICC 병기 (2000), n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58 (9.7%)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120 (20.0%)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353 (58.8%)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69 (11.5%)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AJCC 병기 (2010), n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164 (27.3%)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393 (65.5%)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22 (3.7%)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 xml:space="preserve">  pT4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21 (3.5%)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>
      <w:pPr>
        <w:spacing w:before="40" w:after="200"/>
      </w:pPr>
      <w:r>
        <w:rPr>
          <w:rFonts w:ascii="Malgun Gothic" w:hAnsi="Malgun Gothic"/>
          <w:i/>
          <w:color w:val="DC1414"/>
          <w:sz w:val="17"/>
        </w:rPr>
        <w:t>Data source: Tak et al. Sci Data (2026)[13]. Values represent full SMC-LUD cohort (n=1,021 patients). Note that tumor diameter and pathological stages were only documented for HCC cases in the original public repository.</w:t>
      </w:r>
    </w:p>
    <w:p>
      <w:pPr>
        <w:spacing w:before="280" w:after="80"/>
      </w:pPr>
      <w:r>
        <w:rPr>
          <w:rFonts w:ascii="Malgun Gothic" w:hAnsi="Malgun Gothic"/>
          <w:b/>
          <w:sz w:val="22"/>
        </w:rPr>
        <w:t>Table 1B. Dataset Allocation for Clean Subset (744 Patients, 2,656 Images)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Diagnosis</w:t>
            </w:r>
          </w:p>
        </w:tc>
        <w:tc>
          <w:tcPr>
            <w:tcW w:type="dxa" w:w="156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No. of Patients</w:t>
            </w:r>
          </w:p>
        </w:tc>
        <w:tc>
          <w:tcPr>
            <w:tcW w:type="dxa" w:w="156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No. of Images</w:t>
            </w:r>
          </w:p>
        </w:tc>
        <w:tc>
          <w:tcPr>
            <w:tcW w:type="dxa" w:w="156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Train Set</w:t>
            </w:r>
          </w:p>
        </w:tc>
        <w:tc>
          <w:tcPr>
            <w:tcW w:type="dxa" w:w="156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Validation Set</w:t>
            </w:r>
          </w:p>
        </w:tc>
        <w:tc>
          <w:tcPr>
            <w:tcW w:type="dxa" w:w="156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Test Set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Hemangioma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1,267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886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253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128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HCC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421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1,389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972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277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140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Total (Clean)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744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2,656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1,858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530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268</w:t>
            </w:r>
          </w:p>
        </w:tc>
      </w:tr>
    </w:tbl>
    <w:p>
      <w:pPr>
        <w:spacing w:before="40" w:after="200"/>
      </w:pPr>
      <w:r>
        <w:rPr>
          <w:rFonts w:ascii="Malgun Gothic" w:hAnsi="Malgun Gothic"/>
          <w:i/>
          <w:color w:val="DC1414"/>
          <w:sz w:val="17"/>
        </w:rPr>
        <w:t>Values follow the patient-level split published by Tak et al. (2026). Images with calipers or measuring overlays were excluded to prevent shortcut feature learning.</w:t>
      </w:r>
    </w:p>
    <w:p>
      <w:pPr>
        <w:spacing w:before="280" w:after="80"/>
      </w:pPr>
      <w:r>
        <w:rPr>
          <w:rFonts w:ascii="Malgun Gothic" w:hAnsi="Malgun Gothic"/>
          <w:b/>
          <w:color w:val="DC1414"/>
          <w:sz w:val="22"/>
        </w:rPr>
        <w:t>Table 2. Ablation: Backbone × Training Mode (Validation Set, Confidence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#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Backbone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Training Mode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Cutoff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AUROC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Sensitivity (%)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Specificity (%)</w:t>
            </w:r>
          </w:p>
        </w:tc>
        <w:tc>
          <w:tcPr>
            <w:tcW w:type="dxa" w:w="117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F1 Score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ResNet50V2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CE Only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0.0002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100.00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100.00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EfficientNetV2B0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CE Only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0.0016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100.00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99.60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0.9982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ResNet50V2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CE + SupCon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0.0002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99.64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100.00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0.9982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EfficientNetV2B0*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CE + SupCon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0.0011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100.00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100.00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1.0000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ResNet50V2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NNCLR (SSL)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0.0003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99.64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99.21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0.9946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EfficientNetV2B0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NNCLR (SSL)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0.0038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0.9986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98.19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98.42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0.9837</w:t>
            </w:r>
          </w:p>
        </w:tc>
      </w:tr>
    </w:tbl>
    <w:p>
      <w:pPr>
        <w:spacing w:before="40" w:after="200"/>
      </w:pPr>
      <w:r>
        <w:rPr>
          <w:rFonts w:ascii="Malgun Gothic" w:hAnsi="Malgun Gothic"/>
          <w:i/>
          <w:color w:val="DC1414"/>
          <w:sz w:val="17"/>
        </w:rPr>
        <w:t>*Primary model (#4). Cutoffs were determined on the validation set using Youden's J statistic. All values are recomputed from raw prediction logs. CE, Cross-Entropy; SupCon, Supervised Contrastive Learning; NNCLR, Nearest-Neighbor Contrastive Learning (2-stage: SSL pre-training followed by CE+SupCon fine-tuning).</w:t>
      </w:r>
    </w:p>
    <w:p>
      <w:pPr>
        <w:spacing w:before="280" w:after="80"/>
      </w:pPr>
      <w:r>
        <w:rPr>
          <w:rFonts w:ascii="Malgun Gothic" w:hAnsi="Malgun Gothic"/>
          <w:b/>
          <w:color w:val="DC1414"/>
          <w:sz w:val="22"/>
        </w:rPr>
        <w:t>Table 3. Primary Model Classification Performance (EfficientNetV2B0 + CE+SupCon)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Metric</w:t>
            </w:r>
          </w:p>
        </w:tc>
        <w:tc>
          <w:tcPr>
            <w:tcW w:type="dxa" w:w="312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Validation Set (n=530)</w:t>
            </w:r>
          </w:p>
        </w:tc>
        <w:tc>
          <w:tcPr>
            <w:tcW w:type="dxa" w:w="312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Test Set (n=268)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AUROC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1.000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Accuracy (%) (95% CI)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 (99.31–100.00)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99.63 (97.94–99.99)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Sensitivity (%) (95% CI)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 (98.68–100.00)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 (97.40–100.00)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Specificity (%) (95% CI)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 (98.55–100.00)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99.22 (95.72–99.98)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Positive Predictive Value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99.29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Negative Predictive Value (%)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100.00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F1 Score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1.0000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0.9964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Confusion Matrix (TP / FP / FN / TN)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277 / 0 / 0 / 253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140 / 1 / 0 / 127</w:t>
            </w:r>
          </w:p>
        </w:tc>
      </w:tr>
    </w:tbl>
    <w:p>
      <w:pPr>
        <w:spacing w:before="40" w:after="200"/>
      </w:pPr>
      <w:r>
        <w:rPr>
          <w:rFonts w:ascii="Malgun Gothic" w:hAnsi="Malgun Gothic"/>
          <w:i/>
          <w:color w:val="DC1414"/>
          <w:sz w:val="17"/>
        </w:rPr>
        <w:t>Operating threshold (cutoff = 0.00109) was fixed on the validation set using Youden's J statistic and applied unchanged to the independent test set. 95% confidence intervals (CI) are exact Clopper-Pearson binomial intervals estimated at the image level. In the test set, misclassification occurred in exactly 1 image (FP=1, FN=0).</w:t>
      </w:r>
    </w:p>
    <w:p>
      <w:pPr>
        <w:spacing w:before="280" w:after="80"/>
      </w:pPr>
      <w:r>
        <w:rPr>
          <w:rFonts w:ascii="Malgun Gothic" w:hAnsi="Malgun Gothic"/>
          <w:b/>
          <w:color w:val="DC1414"/>
          <w:sz w:val="22"/>
        </w:rPr>
        <w:t>Table 4. Comparison of Dual-Output Metrics in Primary Model (EfficientNetV2B0 + CE+SupCon)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Output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Score Type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Prototype Type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Cutoff (Val)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AUROC (Val)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AUROC (Test)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Test Sens (%)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Test Spec (%)</w:t>
            </w:r>
          </w:p>
        </w:tc>
        <w:tc>
          <w:tcPr>
            <w:tcW w:type="dxa" w:w="1040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Test Errors (FP / FN)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ROC-A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Confidence Score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—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0.0011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100.00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99.22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 / 0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ROC-B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HCC Cosine Score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Mean (n=1)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-0.0048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100.00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99.22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 / 0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ROC-C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Δscore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Mean (n=1)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-0.9585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100.00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99.22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 / 0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ROC-B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HCC Cosine Score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k-means (k=4)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0.0288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100.00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99.22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 / 0</w:t>
            </w:r>
          </w:p>
        </w:tc>
      </w:tr>
      <w:tr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ROC-C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Δscore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k-means (k=4)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-0.9265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1.000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100.00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99.22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rPr>
                <w:rFonts w:ascii="Malgun Gothic" w:hAnsi="Malgun Gothic"/>
                <w:sz w:val="16"/>
              </w:rPr>
              <w:t>1 / 0</w:t>
            </w:r>
          </w:p>
        </w:tc>
      </w:tr>
    </w:tbl>
    <w:p>
      <w:pPr>
        <w:spacing w:before="40" w:after="200"/>
      </w:pPr>
      <w:r>
        <w:rPr>
          <w:rFonts w:ascii="Malgun Gothic" w:hAnsi="Malgun Gothic"/>
          <w:i/>
          <w:color w:val="DC1414"/>
          <w:sz w:val="17"/>
        </w:rPr>
        <w:t>All prototypes were derived strictly from the training set. Cutoffs were determined on the validation set. Note: In the test set (n=268), exactly the same single hemangioma image was misclassified as false positive across all 5 output definitions; thus, no statistical non-inferiority or incremental triage benefit could be confirmed.</w:t>
      </w:r>
    </w:p>
    <w:p>
      <w:pPr>
        <w:spacing w:before="280" w:after="80"/>
      </w:pPr>
      <w:r>
        <w:rPr>
          <w:rFonts w:ascii="Malgun Gothic" w:hAnsi="Malgun Gothic"/>
          <w:b/>
          <w:color w:val="DC1414"/>
          <w:sz w:val="22"/>
        </w:rPr>
        <w:t>Table 4B. Test Set AUROC Comparison across All Evaluated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Backbone</w:t>
            </w:r>
          </w:p>
        </w:tc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Training Mode</w:t>
            </w:r>
          </w:p>
        </w:tc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Confidence (A)</w:t>
            </w:r>
          </w:p>
        </w:tc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Cosine-B (Mean)</w:t>
            </w:r>
          </w:p>
        </w:tc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Cosine-B (k-means)</w:t>
            </w:r>
          </w:p>
        </w:tc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Δscore-C (Mean)</w:t>
            </w:r>
          </w:p>
        </w:tc>
        <w:tc>
          <w:tcPr>
            <w:tcW w:type="dxa" w:w="1337"/>
            <w:shd w:fill="F0F0F0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9"/>
              </w:rPr>
              <w:t>Δscore-C (k-means)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EfficientNetV2B0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CE Only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EfficientNetV2B0*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CE + SupCon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7"/>
              </w:rPr>
              <w:t>1.0000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EfficientNetV2B0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NNCLR (SSL)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0.8930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0.9763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ResNet50V2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CE Only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1.0000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ResNet50V2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CE + SupCon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0.9999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ResNet50V2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NNCLR (SSL)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0.0684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0.1235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0.9891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Malgun Gothic" w:hAnsi="Malgun Gothic"/>
                <w:sz w:val="17"/>
              </w:rPr>
              <w:t>0.9984</w:t>
            </w:r>
          </w:p>
        </w:tc>
      </w:tr>
    </w:tbl>
    <w:p>
      <w:pPr>
        <w:spacing w:before="40" w:after="200"/>
      </w:pPr>
      <w:r>
        <w:rPr>
          <w:rFonts w:ascii="Malgun Gothic" w:hAnsi="Malgun Gothic"/>
          <w:i/>
          <w:color w:val="DC1414"/>
          <w:sz w:val="17"/>
        </w:rPr>
        <w:t>*Primary model. AUROC values are re-evaluated on the independent test set (n=268). In ResNet50V2 + NNCLR, the AUROC of single prototype HCC cosine score collapsed to 0.0684, representing label-space inversion resulting from unguided self-supervised pre-training representations.</w:t>
      </w:r>
    </w:p>
    <w:p>
      <w:pPr>
        <w:spacing w:before="400"/>
      </w:pPr>
      <w:r>
        <w:rPr>
          <w:rFonts w:ascii="Malgun Gothic" w:hAnsi="Malgun Gothic"/>
          <w:b/>
          <w:sz w:val="26"/>
        </w:rPr>
        <w:t>그림 설명 (Figure Captions)</w:t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1. t-SNE Embedding Space Visualization (Primary Model: EfficientNetV2B0 + CE+SupCon).</w:t>
        <w:br/>
      </w:r>
      <w:r>
        <w:rPr>
          <w:rFonts w:ascii="Malgun Gothic" w:hAnsi="Malgun Gothic"/>
          <w:color w:val="DC1414"/>
          <w:sz w:val="19"/>
        </w:rPr>
        <w:t>Embedding distribution of training and validation sets showing clear intra-class compactness and inter-class separation between HCC (red) and hemangioma (teal) clusters. Left panel illustrates single mean prototype centres; right panel depicts k-means cluster prototypes (k=4).</w:t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2. Confusion Matrices of Primary Model on Held-out Test Set (n=268).</w:t>
        <w:br/>
      </w:r>
      <w:r>
        <w:rPr>
          <w:rFonts w:ascii="Malgun Gothic" w:hAnsi="Malgun Gothic"/>
          <w:color w:val="DC1414"/>
          <w:sz w:val="19"/>
        </w:rPr>
        <w:t>Across all three primary outputs—(A) Confidence Score, (B) HCC Cosine Score (Mean), and (C) Δscore (Mean)—classification on the test set yielded identical performance: 140 true positives, 127 true negatives, 1 false positive, and 0 false negatives (sensitivity 100.0%, specificity 99.22%).</w:t>
      </w:r>
    </w:p>
    <w:p>
      <w:pPr>
        <w:spacing w:before="160" w:after="40"/>
      </w:pPr>
      <w:r>
        <w:rPr>
          <w:rFonts w:ascii="Malgun Gothic" w:hAnsi="Malgun Gothic"/>
          <w:b/>
          <w:sz w:val="20"/>
        </w:rPr>
        <w:t>Figure 3. Triple Receiver Operating Characteristic (ROC) Curves on Test Set.</w:t>
        <w:br/>
      </w:r>
      <w:r>
        <w:rPr>
          <w:rFonts w:ascii="Malgun Gothic" w:hAnsi="Malgun Gothic"/>
          <w:sz w:val="19"/>
        </w:rPr>
        <w:t>ROC curves for ROC-A (Confidence Score), ROC-B (HCC Cosine Score), and ROC-C (Δscore). All three metrics achieve an AUROC of 1.000 on the held-out test set under the clean subset benchmark.</w:t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4. Comparison of HCC Cosine Scores in True HCC Cases (n=417, Val+Test combined).</w:t>
        <w:br/>
      </w:r>
      <w:r>
        <w:rPr>
          <w:rFonts w:ascii="Malgun Gothic" w:hAnsi="Malgun Gothic"/>
          <w:color w:val="DC1414"/>
          <w:sz w:val="19"/>
        </w:rPr>
        <w:t>Distribution of HCC Cosine Score (Mean Prototype) across training modes (CE only vs. CE+SupCon) evaluated on identical true HCC images. Supervised contrastive learning significantly increased HCC cosine scores toward the HCC prototype in both backbones (paired t-test, both p &lt; 0.001).</w:t>
      </w:r>
    </w:p>
    <w:p>
      <w:pPr>
        <w:spacing w:before="160" w:after="40"/>
      </w:pPr>
      <w:r>
        <w:rPr>
          <w:rFonts w:ascii="Malgun Gothic" w:hAnsi="Malgun Gothic"/>
          <w:b/>
          <w:color w:val="DC1414"/>
          <w:sz w:val="20"/>
        </w:rPr>
        <w:t>Figure 5. Comparison of ΔScores in True HCC Cases (n=417, Val+Test combined).</w:t>
        <w:br/>
      </w:r>
      <w:r>
        <w:rPr>
          <w:rFonts w:ascii="Malgun Gothic" w:hAnsi="Malgun Gothic"/>
          <w:color w:val="DC1414"/>
          <w:sz w:val="19"/>
        </w:rPr>
        <w:t>Distribution of Δscore (HCC Cosine − Hemangioma Cosine) in true HCC cases. In contrast to HCC cosine scores, Δscore demonstrated a statistically significant decrease following SupCon training (paired t-test, both p &lt; 0.001) due to concurrent geometric shifts in the embedding space.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