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jc w:val="center"/>
      </w:pPr>
      <w:r>
        <w:rPr>
          <w:rFonts w:ascii="Malgun Gothic" w:hAnsi="Malgun Gothic"/>
          <w:color w:val="141414"/>
          <w:sz w:val="20"/>
        </w:rPr>
        <w:t>김현서1, ..., 정밀의학/가정의학 연구팀</w:t>
        <w:br/>
        <w:t>1... 병원 가정의학과</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1,021명, 5,385장) 중 caliper 등 인공음영이 배제된 Clean subset(744명, 2,656장)의 원저 제공 분할(훈련 1,858장, 검증 530장, 테스트 268장)을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 모든 운영 임계값은 검증 세트에서 Youden's J 통계량으로 결정한 후 테스트 세트에 고정 적용하였다.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141414"/>
          <w:sz w:val="20"/>
        </w:rPr>
        <w:t xml:space="preserve">주력 모델(EfficientNetV2B0 + CE+SupCon)에서 confidence score의 AUROC는 검증 세트 1.000, 테스트 세트 1.000이었다. </w:t>
      </w:r>
      <w:r>
        <w:rPr>
          <w:rFonts w:ascii="Malgun Gothic" w:hAnsi="Malgun Gothic"/>
          <w:color w:val="DC1414"/>
          <w:sz w:val="20"/>
        </w:rPr>
        <w:t xml:space="preserve">검증 세트에서 민감도 100.0% (95% CI 98.7–100.0), 특이도 100.0% (95% CI 98.6–100.0), 정확도 100.0% (95% CI 99.3–100.0)를 기록하였다. 테스트 세트(n=268)에서는 민감도 100.0% (95% CI 97.4–100.0), 특이도 99.2% (95% CI 95.7–100.0, 위양성 1건, 위음성 0건), 정확도 99.6% (95% CI 97.9–100.0)를 달성하였다. </w:t>
      </w:r>
      <w:r>
        <w:rPr>
          <w:rFonts w:ascii="Malgun Gothic" w:hAnsi="Malgun Gothic"/>
          <w:color w:val="DC1414"/>
          <w:sz w:val="20"/>
        </w:rPr>
        <w:t xml:space="preserve">HCC cosine score와 Δscore 역시 테스트 세트 AUROC 1.000을 기록하였으며, confidence score와 동일하게 정확히 1건의 위양성만을 공통적으로 오분류하였다. </w:t>
      </w:r>
      <w:r>
        <w:rPr>
          <w:rFonts w:ascii="Malgun Gothic" w:hAnsi="Malgun Gothic"/>
          <w:color w:val="DC1414"/>
          <w:sz w:val="20"/>
        </w:rPr>
        <w:t xml:space="preserve">미학습 실제 영상(Val+Test) 대상 대응표본 비교에서, SupCon 적용 시 HCC(n=417) 코사인 점수 중앙값은 0.882에서 0.970으로 상승하고 분산은 60.7% 축소되었으며(p &lt; 0.001), 실제 혈관종(n=381) 코사인 점수 역시 0.955에서 0.985로 상승하고 분산이 98.7% 축소되어(p &lt; 0.001) 양 질환 모두에서 유의한 기하학적 표상 정규화가 확인되었다.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초음파에서 B-mode 영상 소견 기반 간세포암과 혈관종 감별을 보조하는 이중 출력 지표(confidence score, HCC cosine score, Δscore)의 산출 가능성을 탐색하였다. </w:t>
      </w:r>
      <w:r>
        <w:rPr>
          <w:rFonts w:ascii="Malgun Gothic" w:hAnsi="Malgun Gothic"/>
          <w:color w:val="DC1414"/>
          <w:sz w:val="20"/>
        </w:rPr>
        <w:t>정제된 단일기관 내부 검증 세트에서 높은 변별력을 나타내었으나, 본 연구는 배경 간 질환에 따른 층화 분석과 외부 독립 검증이 결여되어 일반화에 한계가 있다. 향후 다양한 기관 및 장비 환경에서의 전향적 외부 검증이 필수적이다.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141414"/>
          <w:sz w:val="20"/>
        </w:rPr>
        <w:t xml:space="preserve">임베딩 공간(embedding space)에서 지도 대조학습(supervised contrastive learning, SupCon)을 적용하면 클래스 내 응집성과 클래스 간 분리능을 강화할 수 있으며,[12] 훈련 세트의 질환별 중심 벡터(prototype)와의 cosine 유사도를 통해 연속형 유사도 점수를 산출할 수 있다.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구성하였다(Table 1B).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141414"/>
          <w:sz w:val="20"/>
        </w:rPr>
        <w:t xml:space="preserve">모든 성능 평가 지표의 이진 분류 운영 임계값(operational cutoff)은 검증 세트(validation set)에서 Youden's J 통계량(민감도 + 특이도 - 1을 최대화하는 지점)을 기준으로 독립적으로 결정하였으며, 테스트 세트에 동일하게 고정 적용하였다. 모델의 변별력은 AUROC로 평가하였으며, </w:t>
      </w:r>
      <w:r>
        <w:rPr>
          <w:rFonts w:ascii="Malgun Gothic" w:hAnsi="Malgun Gothic"/>
          <w:color w:val="DC1414"/>
          <w:sz w:val="20"/>
        </w:rPr>
        <w:t xml:space="preserve">이진 분류 지표(민감도, 특이도, 양성예측도, 음성예측도, 정확도, F1 점수)에 대해서는 Clopper-Pearson 정확 이항 분포(exact binomial) 95% 신뢰구간(CI)을 산출하였다.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141414"/>
          <w:sz w:val="20"/>
        </w:rPr>
        <w:t xml:space="preserve">검증 세트(n=530)에서 백본 및 학습 방식에 따른 분류 성능 비교 결과는 Table 2와 같다. 주력 모델인 EfficientNetV2B0 + CE+SupCon(#4)은 검증 세트에서 AUROC 1.000, </w:t>
      </w:r>
      <w:r>
        <w:rPr>
          <w:rFonts w:ascii="Malgun Gothic" w:hAnsi="Malgun Gothic"/>
          <w:color w:val="DC1414"/>
          <w:sz w:val="20"/>
        </w:rPr>
        <w:t xml:space="preserve">민감도 100.0%, 특이도 100.0%, F1 점수 1.000을 달성하여 </w:t>
      </w:r>
      <w:r>
        <w:rPr>
          <w:rFonts w:ascii="Malgun Gothic" w:hAnsi="Malgun Gothic"/>
          <w:color w:val="141414"/>
          <w:sz w:val="20"/>
        </w:rPr>
        <w:t>ResNet50V2 + CE+SupCon(#3, AUROC 1.000, 민감도 99.64%, 특이도 100.0%) 대비 동등 이상의 분류 성능을 보다 경량화된 파라미터(7.1M vs 23.6M)로 구현하였다. 반면 자기지도학습을 결합한 2단계 학습(NNCLR) 조건(#5, #6)은 CE+SupCon 단독 학습 대비 검증 세트 분류 성능이 오히려 소폭 저하되었다(EfficientNet NNCLR: AUROC 0.9986, 민감도 98.19%, 특이도 98.42%).</w:t>
      </w:r>
      <w:r>
        <w:rPr>
          <w:rFonts w:ascii="Malgun Gothic" w:hAnsi="Malgun Gothic"/>
          <w:color w:val="141414"/>
          <w:sz w:val="20"/>
        </w:rPr>
        <w:br/>
        <w:br/>
        <w:t>3.3 주력 모델의 테스트 세트 분류 성능</w:t>
        <w:br/>
      </w:r>
      <w:r>
        <w:rPr>
          <w:rFonts w:ascii="Malgun Gothic" w:hAnsi="Malgun Gothic"/>
          <w:color w:val="141414"/>
          <w:sz w:val="20"/>
        </w:rPr>
        <w:t xml:space="preserve">주력 모델(EfficientNetV2B0 + CE+SupCon)의 검증 및 독립 테스트 세트 분류 성능은 Table 3에 제시하였다. </w:t>
      </w:r>
      <w:r>
        <w:rPr>
          <w:rFonts w:ascii="Malgun Gothic" w:hAnsi="Malgun Gothic"/>
          <w:color w:val="DC1414"/>
          <w:sz w:val="20"/>
        </w:rPr>
        <w:t>검증 세트에서 결정된 운영 임계값(cutoff = 0.00109)을 독립 테스트 세트(n=268; HCC 140장, 혈관종 128장)에 적용하였을 때, AUROC 1.000, 정확도 99.63% (95% CI 97.94–99.99), 민감도 100.0% (95% CI 97.40–100.0), 특이도 99.22% (95% CI 95.72–99.98), 양성예측도 99.29%, 음성예측도 100.0%, F1 점수 0.9964를 기록하였다. 테스트 세트 268장 중 오분류는 단 1건으로, 혈관종 영상 1장이 위양성(false positive, FP=1)으로 판정되었으며 위음성(false negative, FN=0)은 발생하지 않았다(Figure 2).</w:t>
      </w:r>
      <w:r>
        <w:rPr>
          <w:rFonts w:ascii="Malgun Gothic" w:hAnsi="Malgun Gothic"/>
          <w:color w:val="141414"/>
          <w:sz w:val="20"/>
        </w:rPr>
        <w:br/>
        <w:br/>
        <w:t>3.4 이중 출력 표지자의 비교</w:t>
        <w:br/>
      </w:r>
      <w:r>
        <w:rPr>
          <w:rFonts w:ascii="Malgun Gothic" w:hAnsi="Malgun Gothic"/>
          <w:color w:val="141414"/>
          <w:sz w:val="20"/>
        </w:rPr>
        <w:t xml:space="preserve">주력 모델에서 산출된 confidence score(ROC-A), HCC cosine score(ROC-B), Δscore(ROC-C)의 변별력을 비교하였다(Table 4). 검증 세트에서 산출된 임계값(confidence score: 0.0011, HCC cosine mean: -0.0048, Δscore mean: -0.9585)을 테스트 세트에 적용했을 때, 세 출력 모두 AUROC 1.000을 기록하였다.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영상(HCC 및 혈관종)에서의 코사인 유사도 점수 분포 및 SupCon의 표상 정규화 효과</w:t>
        <w:br/>
      </w:r>
      <w:r>
        <w:rPr>
          <w:rFonts w:ascii="Malgun Gothic" w:hAnsi="Malgun Gothic"/>
          <w:color w:val="DC1414"/>
          <w:sz w:val="20"/>
        </w:rPr>
        <w:t xml:space="preserve">SupCon 학습이 임베딩 공간의 기하학적 정렬에 미치는 영향을 정량적으로 평가하기 위해, 검증 및 테스트 세트에 포함된 미학습 실제 HCC 영상 전체(n=417; Val 277장 + Test 140장)와 실제 혈관종 영상 전체(n=381; Val 253장 + Test 128장)를 대상으로 동일 영상에 대한 CE 단독 모델과 CE+SupCon 모델 간의 코사인 점수 분포를 대응표본 분석하였다. </w:t>
      </w:r>
      <w:r>
        <w:rPr>
          <w:rFonts w:ascii="Malgun Gothic" w:hAnsi="Malgun Gothic"/>
          <w:color w:val="DC1414"/>
          <w:sz w:val="20"/>
        </w:rPr>
        <w:t xml:space="preserve">먼저 실제 HCC 영상(n=417)에서 주력 모델(EfficientNetV2B0)의 HCC cosine score(mean prototype) 평균은 CE 단독 시 0.783 ± 0.256(중앙값 0.882)에서 SupCon 적용 후 0.908 ± 0.160(중앙값 0.970)으로 통계적으로 유의하게 상승하였으며(평균 우측 이동 +0.125, 95% CI [0.110, 0.140], Wilcoxon signed-rank test p &lt; 0.001, paired t-test t=16.94; 전체 증례의 94.7%에서 점수 상승), 점수 분산은 0.065에서 0.026으로 60.7% 대폭 축소되었다(Pitman-Morgan test t=16.84, p &lt; 0.001; 대조 백본 ResNet50V2에서도 평균 +0.104 상승 및 분산 24.3% 축소 확인, Pitman-Morgan t=4.06, p &lt; 0.001, Figure 4). </w:t>
      </w:r>
      <w:r>
        <w:rPr>
          <w:rFonts w:ascii="Malgun Gothic" w:hAnsi="Malgun Gothic"/>
          <w:color w:val="DC1414"/>
          <w:sz w:val="20"/>
        </w:rPr>
        <w:t xml:space="preserve">다음으로 실제 혈관종 영상(n=381)에서도 동일한 정규화 효과가 관찰되었다. EfficientNetV2B0에서 Hemangioma cosine score(mean prototype)는 CE 단독 0.937 ± 0.050(중앙값 0.955)에서 SupCon 적용 후 0.985 ± 0.006(중앙값 0.985)으로 유의하게 우측 이동하였고(평균 +0.048, 95% CI [0.043, 0.052], Wilcoxon p &lt; 0.001, paired t=19.71), 분산은 0.00253에서 0.00003으로 98.7% 극단적으로 축소되어 혈관종 중심 프로토타입 주변으로 초고밀도 응집을 나타내었다(Pitman-Morgan test t=106.23, p &lt; 0.001; ResNet50V2에서도 +0.024 상승 및 분산 95.6% 축소, Pitman-Morgan t=49.18, p &lt; 0.001, Figure 5). </w:t>
      </w:r>
      <w:r>
        <w:rPr>
          <w:rFonts w:ascii="Malgun Gothic" w:hAnsi="Malgun Gothic"/>
          <w:color w:val="DC1414"/>
          <w:sz w:val="20"/>
        </w:rPr>
        <w:t>이와 같이 두 클래스 모두에서 각자의 질환 프로토타입 방향으로 강한 초구면 수렴이 발생함에 따라, 두 프로토타입 간의 상대적 마진인 Δscore 중앙값은 EfficientNetV2B0에서 CE 단독 1.508에서 SupCon 적용 후 1.076으로 감소하였으며(paired t-test, p &lt; 0.001; ResNet50V2에서도 1.400에서 1.184로 감소, p &lt; 0.001), 이는 임베딩 공간 전체가 양 극단으로 고도로 정규화되는 기하학적 수축 과정에서 나타난 현상으로 확인되었다. 즉 SupCon은 소규모 데이터셋 환경에서 미학습 영상의 분산을 억제하고 질환 고유의 표상 응집성을 강화하는 필수적인 정규화 역할을 수행함을 입증하였다.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정제된 단일기관 내부 검증 세트에서 제안 모델은 AUROC 1.000 및 테스트 정확도 99.63%의 매우 우수한 변별 성능을 나타내었다.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특히 소규모 단일기관 초음파 데이터 환경에서 Vision Transformer는 공간 불변성에 대한 귀납적 편향(inductive bias)이 약해 소수 샘플의 결정 경계를 단순 암기(shortcut memorization)할 위험이 크다. 본 연구에서 CE 단독 학습 모델은 미학습 HCC 영상에서 코사인 유사도가 0.78에 머물고 분산이 컸던 반면(σ=0.26), CE+SupCon 결합 모델은 미학습 영상 전체에서 코사인 점수를 대폭 향상시키고 클래스 내 분산을 극단적으로 축소시켰다(HCC -60.7%, 혈관종 -98.7%, p &lt; 0.001). 이는 분류 지표(AUROC 1.000)가 포화되어 모델 내부의 표상 품질을 분별할 수 없는 조건에서도, SupCon이 잠재공간 초구면 상에서 질환 고유의 의미론적 클러스터를 강제로 형성시키는 필수 정규화기(essential regularizer)로 작동함을 통계학적으로 입증한다.</w:t>
      </w:r>
    </w:p>
    <w:p>
      <w:pPr>
        <w:spacing w:line="312" w:lineRule="auto" w:after="120"/>
      </w:pPr>
      <w:r>
        <w:rPr>
          <w:rFonts w:ascii="Malgun Gothic" w:hAnsi="Malgun Gothic"/>
          <w:color w:val="DC1414"/>
          <w:sz w:val="20"/>
        </w:rPr>
        <w:t>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있다.[11] 이러한 calibration error는 흉부 X선과 안저 영상을 포함한 의료영상 분류에서도 보고되었다.[16,17] 따라서 본 연구에서는 별도의 calibration을 시행하지 않았으므로, HCC 클래스의 softmax 출력값을 실제 HCC 확률이 아니라 모델의 상대적인 분류 결정 강도를 나타내는 confidence score로 해석하였다.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내부 검증 세트에서 관찰된 99.6% 이상의 극단적으로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완전히 배제할 수 없다.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내부 검증 세트에서 주력 모델의 세 가지 출력이 모두 AUROC 1.000에 도달하는 천장 효과(ceiling effect)가 나타남에 따라, DeLong 검정이나 기타 통계 검정으로 두 출력 간의 우열이나 증분적 임상 이득을 입증할 수 없었다. 또한 Youden's J로 산출된 confidence score의 운영 임계값(0.0011)은 일반적인 임계값(0.5)과 비교하여 극단적으로 낮았으며, 테스트 세트에서 발생한 단 1건의 오분류는 모든 출력에서 동일하게 관찰되어 현재 데이터셋 구조하에서는 유사도 점수의 독자적인 임상적 구제 효과를 증명할 수 없었다.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