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rFonts w:ascii="Malgun Gothic" w:hAnsi="Malgun Gothic"/>
          <w:b/>
          <w:color w:val="DC1414"/>
          <w:sz w:val="22"/>
        </w:rPr>
        <w:t>Table 1. Patient and Lesion Demographics of Full Cohort (SMC-LUD, n=1,021)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항목 (Characteristics)</w:t>
            </w:r>
          </w:p>
        </w:tc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HCC (환자 n=600)</w:t>
            </w:r>
          </w:p>
        </w:tc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Hemangioma (환자 n=421)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나이, 평균 ± 표준편차 (범위), 세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66.65 ± 11.02 (20–90)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55.50 ± 12.76 (30–90)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남성, n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491 (81.8%)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174 (41.3%)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여성, n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109 (18.2%)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247 (58.7%)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키, 평균 ± 표준편차, cm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165.74 ± 16.39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163.72 ± 8.45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몸무게, 평균 ± 표준편차 (범위), kg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67.44 ± 11.24 (42–104)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63.85 ± 12.95 (34–118)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병변 크기 (최대 직경), 중앙값 / Q1 / Q3, cm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2.90 / 2.10 / 4.50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UICC 병기 (2000), n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58 (9.7%)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120 (20.0%)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353 (58.8%)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69 (11.5%)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AJCC 병기 (2010), n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164 (27.3%)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393 (65.5%)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22 (3.7%)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 xml:space="preserve">  pT4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21 (3.5%)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Data source: Tak et al. Sci Data (2026)[13]. Values represent full SMC-LUD cohort (n=1,021 patients). Note that tumor diameter and pathological stages were only documented for HCC cases in the original public repository.</w:t>
      </w:r>
    </w:p>
    <w:p>
      <w:pPr>
        <w:spacing w:before="280" w:after="80"/>
      </w:pPr>
      <w:r>
        <w:rPr>
          <w:rFonts w:ascii="Malgun Gothic" w:hAnsi="Malgun Gothic"/>
          <w:b/>
          <w:sz w:val="22"/>
        </w:rPr>
        <w:t>Table 1B. Dataset Allocation for Clean Subset (744 Patients, 2,656 Images)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Diagnosis</w:t>
            </w:r>
          </w:p>
        </w:tc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No. of Patients</w:t>
            </w:r>
          </w:p>
        </w:tc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No. of Images</w:t>
            </w:r>
          </w:p>
        </w:tc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Train Set</w:t>
            </w:r>
          </w:p>
        </w:tc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Validation Set</w:t>
            </w:r>
          </w:p>
        </w:tc>
        <w:tc>
          <w:tcPr>
            <w:tcW w:type="dxa" w:w="156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Test Set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Hemangioma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323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1,267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886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253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128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HCC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421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1,389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972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140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rFonts w:ascii="Malgun Gothic" w:hAnsi="Malgun Gothic"/>
                <w:b/>
                <w:sz w:val="18"/>
              </w:rPr>
              <w:t>Total (Clean)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744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2,656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1,858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530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268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Values follow the patient-level split published by Tak et al. (2026). Images with calipers or measuring overlays were excluded to prevent shortcut feature learning.</w:t>
      </w:r>
    </w:p>
    <w:p>
      <w:pPr>
        <w:spacing w:before="280" w:after="80"/>
      </w:pPr>
      <w:r>
        <w:rPr>
          <w:rFonts w:ascii="Malgun Gothic" w:hAnsi="Malgun Gothic"/>
          <w:b/>
          <w:color w:val="DC1414"/>
          <w:sz w:val="22"/>
        </w:rPr>
        <w:t>Table 2. Ablation: Backbone × Training Mode (Validation Set, Confidence Score)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#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Backbone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Training Mode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Cutoff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AUROC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Sensitivity (%)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Specificity (%)</w:t>
            </w:r>
          </w:p>
        </w:tc>
        <w:tc>
          <w:tcPr>
            <w:tcW w:type="dxa" w:w="117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F1 Score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Only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0.0002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EfficientNetV2B0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Only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0.0016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99.60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0.9982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3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+ SupCon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0.0002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99.64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0.9982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4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EfficientNetV2B0*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CE + SupCon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0.0011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100.00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5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NNCLR (SSL)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0.0003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0.9994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99.64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99.21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0.9946</w:t>
            </w:r>
          </w:p>
        </w:tc>
      </w:tr>
      <w:tr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6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EfficientNetV2B0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NNCLR (SSL)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0.0038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0.9986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98.19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98.42</w:t>
            </w:r>
          </w:p>
        </w:tc>
        <w:tc>
          <w:tcPr>
            <w:tcW w:type="dxa" w:w="1170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0.9837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*Primary model (#4). Cutoffs were determined on the validation set using Youden's J statistic. All values are recomputed from raw prediction logs. CE, Cross-Entropy; SupCon, Supervised Contrastive Learning; NNCLR, Nearest-Neighbor Contrastive Learning (2-stage: SSL pre-training followed by CE+SupCon fine-tuning).</w:t>
      </w:r>
    </w:p>
    <w:p>
      <w:pPr>
        <w:spacing w:before="280" w:after="80"/>
      </w:pPr>
      <w:r>
        <w:rPr>
          <w:rFonts w:ascii="Malgun Gothic" w:hAnsi="Malgun Gothic"/>
          <w:b/>
          <w:color w:val="DC1414"/>
          <w:sz w:val="22"/>
        </w:rPr>
        <w:t>Table 3. Primary Model Classification Performance (EfficientNetV2B0 + CE+SupCon)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Metric</w:t>
            </w:r>
          </w:p>
        </w:tc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Validation Set (n=530)</w:t>
            </w:r>
          </w:p>
        </w:tc>
        <w:tc>
          <w:tcPr>
            <w:tcW w:type="dxa" w:w="312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Test Set (n=268)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AUROC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1.000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Accuracy (%) (95% CI)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 (99.31–100.00)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99.63 (97.94–99.99)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Sensitivity (%) (95% CI)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 (98.68–100.00)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 (97.40–100.00)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Specificity (%) (95% CI)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 (98.55–100.00)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99.22 (95.72–99.98)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Positive Predictive Value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99.29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Negative Predictive Value (%)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100.00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F1 Score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1.0000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0.9964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algun Gothic" w:hAnsi="Malgun Gothic"/>
                <w:sz w:val="18"/>
              </w:rPr>
              <w:t>Confusion Matrix (TP / FP / FN / TN)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277 / 0 / 0 / 253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Malgun Gothic" w:hAnsi="Malgun Gothic"/>
                <w:sz w:val="18"/>
              </w:rPr>
              <w:t>140 / 1 / 0 / 127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Operating threshold (cutoff = 0.00109) was fixed on the validation set using Youden's J statistic and applied unchanged to the independent test set. 95% confidence intervals (CI) are exact Clopper-Pearson binomial intervals estimated at the image level. In the test set, misclassification occurred in exactly 1 image (FP=1, FN=0).</w:t>
      </w:r>
    </w:p>
    <w:p>
      <w:pPr>
        <w:spacing w:before="280" w:after="80"/>
      </w:pPr>
      <w:r>
        <w:rPr>
          <w:rFonts w:ascii="Malgun Gothic" w:hAnsi="Malgun Gothic"/>
          <w:b/>
          <w:color w:val="DC1414"/>
          <w:sz w:val="22"/>
        </w:rPr>
        <w:t>Table 4. Comparison of Dual-Output Metrics in Primary Model (EfficientNetV2B0 + CE+SupCon)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Output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Score Type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Prototype Type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Cutoff (Val)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AUROC (Val)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AUROC (Test)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Test Sens (%)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Test Spec (%)</w:t>
            </w:r>
          </w:p>
        </w:tc>
        <w:tc>
          <w:tcPr>
            <w:tcW w:type="dxa" w:w="1040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Test Errors (FP / FN)</w:t>
            </w:r>
          </w:p>
        </w:tc>
      </w:tr>
      <w:tr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ROC-A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Confidence Score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—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0.0011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100.00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99.22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 / 0</w:t>
            </w:r>
          </w:p>
        </w:tc>
      </w:tr>
      <w:tr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ROC-B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HCC Cosine Score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Mean (n=1)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-0.0048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100.00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99.22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 / 0</w:t>
            </w:r>
          </w:p>
        </w:tc>
      </w:tr>
      <w:tr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ROC-C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Δscore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Mean (n=1)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-0.9585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100.00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99.22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 / 0</w:t>
            </w:r>
          </w:p>
        </w:tc>
      </w:tr>
      <w:tr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ROC-B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HCC Cosine Score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k-means (k=4)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0.0288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100.00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99.22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 / 0</w:t>
            </w:r>
          </w:p>
        </w:tc>
      </w:tr>
      <w:tr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ROC-C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Δscore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k-means (k=4)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-0.9265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1.000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100.00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99.22</w:t>
            </w:r>
          </w:p>
        </w:tc>
        <w:tc>
          <w:tcPr>
            <w:tcW w:type="dxa" w:w="1040"/>
          </w:tcPr>
          <w:p>
            <w:pPr>
              <w:jc w:val="center"/>
            </w:pPr>
            <w:r>
              <w:rPr>
                <w:rFonts w:ascii="Malgun Gothic" w:hAnsi="Malgun Gothic"/>
                <w:sz w:val="16"/>
              </w:rPr>
              <w:t>1 / 0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All prototypes were derived strictly from the training set. Cutoffs were determined on the validation set. Note: In the test set (n=268), exactly the same single hemangioma image was misclassified as false positive across all 5 output definitions; thus, no statistical non-inferiority or incremental triage benefit could be confirmed.</w:t>
      </w:r>
    </w:p>
    <w:p>
      <w:pPr>
        <w:spacing w:before="280" w:after="80"/>
      </w:pPr>
      <w:r>
        <w:rPr>
          <w:rFonts w:ascii="Malgun Gothic" w:hAnsi="Malgun Gothic"/>
          <w:b/>
          <w:color w:val="DC1414"/>
          <w:sz w:val="22"/>
        </w:rPr>
        <w:t>Table 4B. Test Set AUROC Comparison across All Evaluated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Backbone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Training Mode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Confidence (A)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Cosine-B (Mean)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Cosine-B (k-means)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Δscore-C (Mean)</w:t>
            </w:r>
          </w:p>
        </w:tc>
        <w:tc>
          <w:tcPr>
            <w:tcW w:type="dxa" w:w="1337"/>
            <w:shd w:fill="F0F0F0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9"/>
              </w:rPr>
              <w:t>Δscore-C (k-means)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EfficientNetV2B0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Only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EfficientNetV2B0*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CE + SupCon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b/>
                <w:sz w:val="17"/>
              </w:rPr>
              <w:t>1.0000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EfficientNetV2B0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NNCLR (SSL)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0.8930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0.9763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Only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1.0000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CE + SupCon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0.9999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ResNet50V2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NNCLR (SSL)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0.9994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0.0684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0.1235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0.9891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Malgun Gothic" w:hAnsi="Malgun Gothic"/>
                <w:sz w:val="17"/>
              </w:rPr>
              <w:t>0.9984</w:t>
            </w:r>
          </w:p>
        </w:tc>
      </w:tr>
    </w:tbl>
    <w:p>
      <w:pPr>
        <w:spacing w:before="40" w:after="200"/>
      </w:pPr>
      <w:r>
        <w:rPr>
          <w:rFonts w:ascii="Malgun Gothic" w:hAnsi="Malgun Gothic"/>
          <w:i/>
          <w:color w:val="DC1414"/>
          <w:sz w:val="17"/>
        </w:rPr>
        <w:t>*Primary model. AUROC values are re-evaluated on the independent test set (n=268). In ResNet50V2 + NNCLR, the AUROC of single prototype HCC cosine score collapsed to 0.0684, representing label-space inversion resulting from unguided self-supervised pre-training representations.</w:t>
      </w:r>
    </w:p>
    <w:p>
      <w:pPr>
        <w:spacing w:before="400"/>
      </w:pPr>
      <w:r>
        <w:rPr>
          <w:rFonts w:ascii="Malgun Gothic" w:hAnsi="Malgun Gothic"/>
          <w:b/>
          <w:sz w:val="26"/>
        </w:rPr>
        <w:t>그림 설명 (Figure Captions)</w:t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1. t-SNE Embedding Space Visualization (Primary Model: EfficientNetV2B0 + CE+SupCon).</w:t>
        <w:br/>
      </w:r>
      <w:r>
        <w:rPr>
          <w:rFonts w:ascii="Malgun Gothic" w:hAnsi="Malgun Gothic"/>
          <w:color w:val="DC1414"/>
          <w:sz w:val="19"/>
        </w:rPr>
        <w:t>Embedding distribution of training and validation sets showing clear intra-class compactness and inter-class separation between HCC (red) and hemangioma (teal) clusters. Left panel illustrates single mean prototype centres; right panel depicts k-means cluster prototypes (k=4).</w:t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2. Confusion Matrices of Primary Model on Held-out Test Set (n=268).</w:t>
        <w:br/>
      </w:r>
      <w:r>
        <w:rPr>
          <w:rFonts w:ascii="Malgun Gothic" w:hAnsi="Malgun Gothic"/>
          <w:color w:val="DC1414"/>
          <w:sz w:val="19"/>
        </w:rPr>
        <w:t>Across all three primary outputs—(A) Confidence Score, (B) HCC Cosine Score (Mean), and (C) Δscore (Mean)—classification on the test set yielded identical performance: 140 true positives, 127 true negatives, 1 false positive, and 0 false negatives (sensitivity 100.0%, specificity 99.22%).</w:t>
      </w:r>
    </w:p>
    <w:p>
      <w:pPr>
        <w:spacing w:before="160" w:after="40"/>
      </w:pPr>
      <w:r>
        <w:rPr>
          <w:rFonts w:ascii="Malgun Gothic" w:hAnsi="Malgun Gothic"/>
          <w:b/>
          <w:sz w:val="20"/>
        </w:rPr>
        <w:t>Figure 3. Triple Receiver Operating Characteristic (ROC) Curves on Test Set.</w:t>
        <w:br/>
      </w:r>
      <w:r>
        <w:rPr>
          <w:rFonts w:ascii="Malgun Gothic" w:hAnsi="Malgun Gothic"/>
          <w:sz w:val="19"/>
        </w:rPr>
        <w:t>ROC curves for ROC-A (Confidence Score), ROC-B (HCC Cosine Score), and ROC-C (Δscore). All three metrics achieve an AUROC of 1.000 on the held-out test set under the clean subset benchmark.</w:t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4. Impact of Supervised Contrastive Learning (SupCon) on HCC Cosine Score Distributions in Unseen HCC Cases (n=417, Val+Test combined).</w:t>
        <w:br/>
      </w:r>
      <w:r>
        <w:rPr>
          <w:rFonts w:ascii="Malgun Gothic" w:hAnsi="Malgun Gothic"/>
          <w:color w:val="DC1414"/>
          <w:sz w:val="19"/>
        </w:rPr>
        <w:t>Multi-panel evaluation of representation cohesion on identical held-out HCC images. (A) Probability density distribution (KDE and histogram) of EfficientNetV2B0 showing elimination of dispersed left tails and sharp prototype clustering under CE+SupCon. (B) Paired individual sample trajectories of EfficientNetV2B0 (mean paired shift: +0.125, 95% CI [0.110, 0.140], Wilcoxon signed-rank p &lt; 0.001; variance shrinkage: -60.7%, Pitman-Morgan test p &lt; 0.001). (C) Probability density distribution of baseline backbone ResNet50V2. (D) Paired individual sample trajectories of ResNet50V2 (mean paired shift: +0.104, Wilcoxon p &lt; 0.001; Pitman-Morgan p &lt; 0.001).</w:t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5. Impact of Supervised Contrastive Learning (SupCon) on Hemangioma Cosine Score Distributions in Unseen Hemangioma Cases (n=381, Val+Test combined).</w:t>
        <w:br/>
      </w:r>
      <w:r>
        <w:rPr>
          <w:rFonts w:ascii="Malgun Gothic" w:hAnsi="Malgun Gothic"/>
          <w:color w:val="DC1414"/>
          <w:sz w:val="19"/>
        </w:rPr>
        <w:t>Multi-panel evaluation of representation cohesion on identical held-out Hemangioma images. (A) Probability density distribution of EfficientNetV2B0 demonstrating near-deterministic clustering at the hemangioma prototype under CE+SupCon. (B) Paired individual sample trajectories of EfficientNetV2B0 (mean paired shift: +0.048, 95% CI [0.043, 0.052], Wilcoxon signed-rank p &lt; 0.001; variance shrinkage: -98.7%, Pitman-Morgan test p &lt; 0.001). (C) Probability density distribution of ResNet50V2. (D) Paired individual sample trajectories of ResNet50V2 (mean paired shift: +0.024, Wilcoxon p &lt; 0.001; variance shrinkage: -95.6%, Pitman-Morgan p &lt; 0.001).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