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0.50으로 미리 정하고, 닮음 지표의 임계값은 검증 세트에서만 Youden's J로 결정해 테스트 세트에 고정한 탐색적 분석으로 제시하였다.</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0.50 운영점과 닮음 지표 운영점은 서로 다른 증례에서 실패했으나 두 운영점 간 판정 차이는 유의하지 않았고, 우월성과 비열등성 어느 쪽도 주장하지 않는다. </w:t>
      </w:r>
      <w:r>
        <w:rPr>
          <w:rFonts w:ascii="Malgun Gothic" w:hAnsi="Malgun Gothic"/>
          <w:color w:val="DC1414"/>
          <w:sz w:val="20"/>
        </w:rPr>
        <w:t xml:space="preserve">닮음 지표 운영점에서는 HCC cosine score와 Δscore가 동일한 증례에서 위양성을 보였으며, 그 증례는 확률 0.50 운영점에서는 정답으로 분류되었다. </w:t>
      </w:r>
      <w:r>
        <w:rPr>
          <w:rFonts w:ascii="Malgun Gothic" w:hAnsi="Malgun Gothic"/>
          <w:color w:val="DC1414"/>
          <w:sz w:val="20"/>
        </w:rPr>
        <w:t xml:space="preserve">미학습 실제 영상 대상 대응표본 비교에서는 SupCon 적용 후 두 클래스 모두에서 cosine score 분포가 상향 이동하고 분산이 감소하였다.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 영상 소견을 기반으로 간세포암과 혈관종 감별을 보조하는 이중 출력 지표(confidence score, HCC cosine score, Δscore)의 산출 가능성을 탐색하였다. </w:t>
      </w:r>
      <w:r>
        <w:rPr>
          <w:rFonts w:ascii="Malgun Gothic" w:hAnsi="Malgun Gothic"/>
          <w:color w:val="DC1414"/>
          <w:sz w:val="20"/>
        </w:rPr>
        <w:t>정제된 단일기관 테스트 세트에서 높은 변별력을 나타내었으나, 본 연구는 배경 간 질환에 따른 층화 분석과 외부 독립 검증이 결여되어 일반화에 한계가 있다. 향후 다양한 기관 및 장비 환경에서의 전향적 외부 검증이 필요하다.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0.50으로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같은 성능을 내는 등가 구간(equivalence interval)과 함께 보고한다(등가 구간은 결과 3.3에 제시).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민감도·특이도·정확도에는 Wilson score 방식의 95% 신뢰구간(CI)을 산출하였고, 양성예측도·음성예측도·F1 점수는 점추정값으로 제시하였다.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DC1414"/>
          <w:sz w:val="20"/>
        </w:rPr>
        <w:t xml:space="preserve">백본 및 학습 방식에 따른 비교는 모델 선택을 위한 검증 세트(n=530) 분석이며, 성능 값은 Table 2에 정리하였다. 주력 모델인 EfficientNetV2B0 + CE+SupCon(#4)은 검증 세트에서 세 출력 모두 천장에 도달하였다. </w:t>
      </w:r>
      <w:r>
        <w:rPr>
          <w:rFonts w:ascii="Malgun Gothic" w:hAnsi="Malgun Gothic"/>
          <w:color w:val="DC1414"/>
          <w:sz w:val="20"/>
        </w:rPr>
        <w:t>ResNet50V2 + CE+SupCon(#3)도 비슷한 수준이었으나, 주력 모델은 그보다 적은 파라미터(7.1M vs 23.6M)로 같은 수준의 검증 성능을 보였다. 반면 자기지도학습을 결합한 2단계 학습(NNCLR) 조건(#5, #6)은 CE+SupCon 단독 학습보다 검증 세트에서 오히려 낮은 성능을 보였다. 이 비교는 운영점 성능이 아니라 모델 선택을 위한 것이므로, 테스트 세트 성능과 혼동하지 않도록 Table 2 각주에 밝혔다.</w:t>
      </w:r>
      <w:r>
        <w:rPr>
          <w:rFonts w:ascii="Malgun Gothic" w:hAnsi="Malgun Gothic"/>
          <w:color w:val="141414"/>
          <w:sz w:val="20"/>
        </w:rPr>
        <w:br/>
        <w:br/>
        <w:t>3.3 주력 모델의 테스트 세트 분류 성능</w:t>
        <w:br/>
      </w:r>
      <w:r>
        <w:rPr>
          <w:rFonts w:ascii="Malgun Gothic" w:hAnsi="Malgun Gothic"/>
          <w:color w:val="DC1414"/>
          <w:sz w:val="20"/>
        </w:rPr>
        <w:t xml:space="preserve">임베딩 공간에서 두 클래스가 분리되는지 확인하기 위해 훈련·검증 세트 임베딩의 t-SNE 시각화를 제시하였다(Figure 1). 이어서 주력 모델의 분류 성능은 두 운영점으로 나누어 Table 3(확률 0.50, 주 분석)과 Table 3B(닮음 지표, 탐색적)에 제시하였다. </w:t>
      </w:r>
      <w:r>
        <w:rPr>
          <w:rFonts w:ascii="Malgun Gothic" w:hAnsi="Malgun Gothic"/>
          <w:color w:val="DC1414"/>
          <w:sz w:val="20"/>
        </w:rPr>
        <w:t>확률 0.50 운영점에서는 위음성이, 닮음 지표 운영점에서는 위양성이 각각 발생했고 두 오류 집합은 겹치지 않았다(Table 3, Table 3B; Figure 2).</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Figure 3). 세 출력의 AUROC는 모두 1.000으로 ROC 곡선이 겹쳐 변별력의 차이를 추정할 수 없었고, 이 조건에서는 비열등성을 판정할 수 없다. 운영점 수준의 비교는 Table 3·3B와 McNemar exact test로 제시하였다. 학습 방식과 백본을 달리한 6개 모델에서도 AUROC는 대체로 천장에 도달하였고, 자기지도학습 조합에서 닮음 지표의 AUROC가 0.5 아래로 내려간 예외가 관찰되었다(Table 4B).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실제 HCC 영상의 94.7%(395/417)에서 점수가 상승하였고, 상승 폭은 프로토타입에서 멀리 있던 증례이서 컸다(초기 점수와 상승폭의 상관 r=−0.80). 즉 분산 감소는 이미 프로토타입에 가까웠던 증례보다 멀리 위치하였던 증례의 상승에 주로 기인하였다.</w:t>
      </w:r>
    </w:p>
    <w:p>
      <w:pPr>
        <w:spacing w:line="312" w:lineRule="auto" w:after="120"/>
      </w:pPr>
      <w:r>
        <w:rPr>
          <w:rFonts w:ascii="Malgun Gothic" w:hAnsi="Malgun Gothic"/>
          <w:color w:val="DC1414"/>
          <w:sz w:val="20"/>
        </w:rPr>
        <w:t>한편 동일한 대응 비교에서 각 클래스는 자신의 프로토타입 방향으로 이동하는 동시에 상대 클래스 프로토타입 방향으로도 일부 이동하였다. 이는 코사인 점수가 클래스와의 절대적 거리보다 상대적 위치를 반영한다는 점을 시사한다. Δscore는 두 점수의 차이로 정의되는 보조 지표로만 소개하며, 본 연구의 논지는 HCC cosine score에 둔다.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테스트 세트에서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오히려 축소되는 경향이 관찰되어, 코사인 점수의 해석 가능성과 판별 마진이 같은 방향으로 움직이지는 않았다.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본 데이터셋에서 관찰된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배제하기 어렵다.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0.50과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