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D63A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5074A3">
        <w:rPr>
          <w:rFonts w:ascii="Times New Roman" w:hAnsi="Times New Roman" w:cs="Times New Roman"/>
          <w:sz w:val="24"/>
          <w:szCs w:val="24"/>
        </w:rPr>
        <w:t>5</w:t>
      </w:r>
      <w:r w:rsidR="000D05B1">
        <w:rPr>
          <w:rFonts w:ascii="Times New Roman" w:hAnsi="Times New Roman" w:cs="Times New Roman"/>
          <w:sz w:val="24"/>
          <w:szCs w:val="24"/>
        </w:rPr>
        <w:t>83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-5</w:t>
      </w:r>
      <w:r w:rsidR="000D05B1">
        <w:rPr>
          <w:rFonts w:ascii="Times New Roman" w:hAnsi="Times New Roman" w:cs="Times New Roman"/>
          <w:i/>
          <w:sz w:val="24"/>
          <w:szCs w:val="24"/>
        </w:rPr>
        <w:t>83</w:t>
      </w:r>
      <w:bookmarkStart w:id="0" w:name="_GoBack"/>
      <w:bookmarkEnd w:id="0"/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974" w:rsidRPr="00561974">
        <w:rPr>
          <w:rFonts w:ascii="Times New Roman" w:hAnsi="Times New Roman" w:cs="Times New Roman"/>
          <w:i/>
          <w:sz w:val="24"/>
          <w:szCs w:val="24"/>
        </w:rPr>
        <w:t>silicone mềm mướt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2526A4">
        <w:trPr>
          <w:trHeight w:val="545"/>
        </w:trPr>
        <w:tc>
          <w:tcPr>
            <w:tcW w:w="2660" w:type="dxa"/>
            <w:vAlign w:val="center"/>
          </w:tcPr>
          <w:p w:rsidR="00415026" w:rsidRPr="00EC7F10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 w:rsidR="003733EF">
              <w:rPr>
                <w:rFonts w:ascii="Times New Roman" w:hAnsi="Times New Roman" w:cs="Times New Roman"/>
                <w:sz w:val="24"/>
                <w:szCs w:val="24"/>
              </w:rPr>
              <w:t>trong đến hơi vàng</w:t>
            </w:r>
          </w:p>
        </w:tc>
        <w:tc>
          <w:tcPr>
            <w:tcW w:w="2409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đến hơi vàng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đến hơi vàng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FE4BB9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410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2409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1304" w:type="dxa"/>
            <w:vAlign w:val="center"/>
          </w:tcPr>
          <w:p w:rsidR="00415026" w:rsidRPr="0032345F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EC7F10" w:rsidRDefault="00123BB0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415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978" w:rsidRPr="00D51978">
              <w:rPr>
                <w:rFonts w:ascii="Times New Roman" w:hAnsi="Times New Roman" w:cs="Times New Roman"/>
                <w:sz w:val="24"/>
                <w:szCs w:val="24"/>
              </w:rPr>
              <w:t>(dung dịch nước 2% aq, 25 ℃)</w:t>
            </w:r>
          </w:p>
        </w:tc>
        <w:tc>
          <w:tcPr>
            <w:tcW w:w="2410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7.5</w:t>
            </w:r>
          </w:p>
        </w:tc>
        <w:tc>
          <w:tcPr>
            <w:tcW w:w="2409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7.5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1304" w:type="dxa"/>
            <w:vAlign w:val="center"/>
          </w:tcPr>
          <w:p w:rsidR="00415026" w:rsidRPr="0032345F" w:rsidRDefault="00934900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EFB" w:rsidRDefault="00905EFB" w:rsidP="004F170B">
      <w:pPr>
        <w:spacing w:after="0" w:line="240" w:lineRule="auto"/>
      </w:pPr>
      <w:r>
        <w:separator/>
      </w:r>
    </w:p>
  </w:endnote>
  <w:endnote w:type="continuationSeparator" w:id="0">
    <w:p w:rsidR="00905EFB" w:rsidRDefault="00905EFB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EFB" w:rsidRDefault="00905EFB" w:rsidP="004F170B">
      <w:pPr>
        <w:spacing w:after="0" w:line="240" w:lineRule="auto"/>
      </w:pPr>
      <w:r>
        <w:separator/>
      </w:r>
    </w:p>
  </w:footnote>
  <w:footnote w:type="continuationSeparator" w:id="0">
    <w:p w:rsidR="00905EFB" w:rsidRDefault="00905EFB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05B1"/>
    <w:rsid w:val="000D265B"/>
    <w:rsid w:val="000D273D"/>
    <w:rsid w:val="000D2F52"/>
    <w:rsid w:val="000E557A"/>
    <w:rsid w:val="000F1EFB"/>
    <w:rsid w:val="000F420F"/>
    <w:rsid w:val="000F54C8"/>
    <w:rsid w:val="000F6C3A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005E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2E7"/>
    <w:rsid w:val="00282B3E"/>
    <w:rsid w:val="00293880"/>
    <w:rsid w:val="00296959"/>
    <w:rsid w:val="002A47E5"/>
    <w:rsid w:val="002B2310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5C87"/>
    <w:rsid w:val="003F772F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47E7"/>
    <w:rsid w:val="00905EFB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4E07"/>
    <w:rsid w:val="00CA6408"/>
    <w:rsid w:val="00CB13D1"/>
    <w:rsid w:val="00CB2C07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2BE9EF8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E38FE-9382-42CD-BC14-AF47DAB5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39</cp:revision>
  <cp:lastPrinted>2022-11-18T08:31:00Z</cp:lastPrinted>
  <dcterms:created xsi:type="dcterms:W3CDTF">2022-10-12T01:49:00Z</dcterms:created>
  <dcterms:modified xsi:type="dcterms:W3CDTF">2022-11-24T03:31:00Z</dcterms:modified>
</cp:coreProperties>
</file>