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F5A7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3D8BAA4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826345">
        <w:rPr>
          <w:rFonts w:eastAsia="Arial" w:cs="Times New Roman"/>
          <w:sz w:val="22"/>
          <w:lang w:val="en-US"/>
        </w:rPr>
        <w:t>ASSP-06</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92DD027" w:rsidR="007F3E62" w:rsidRPr="00D05EF0"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22046">
        <w:rPr>
          <w:rFonts w:eastAsia="Arial" w:cs="Times New Roman"/>
          <w:sz w:val="22"/>
          <w:lang w:val="en-US"/>
        </w:rPr>
        <w:t xml:space="preserve"> </w:t>
      </w:r>
      <w:r w:rsidR="000C1A55" w:rsidRPr="000C1A55">
        <w:rPr>
          <w:rFonts w:eastAsia="Arial" w:cs="Times New Roman"/>
          <w:sz w:val="22"/>
        </w:rPr>
        <w:t xml:space="preserve">Siloxan được biến </w:t>
      </w:r>
      <w:r w:rsidR="00EC10D3">
        <w:rPr>
          <w:rFonts w:eastAsia="Arial" w:cs="Times New Roman"/>
          <w:sz w:val="22"/>
          <w:lang w:val="en-US"/>
        </w:rPr>
        <w:t>tính</w:t>
      </w:r>
      <w:r w:rsidR="000C1A55" w:rsidRPr="000C1A55">
        <w:rPr>
          <w:rFonts w:eastAsia="Arial" w:cs="Times New Roman"/>
          <w:sz w:val="22"/>
        </w:rPr>
        <w:t xml:space="preserve"> </w:t>
      </w:r>
      <w:r w:rsidR="001365F6">
        <w:rPr>
          <w:rFonts w:eastAsia="Arial" w:cs="Times New Roman"/>
          <w:sz w:val="22"/>
          <w:lang w:val="en-US"/>
        </w:rPr>
        <w:t>hữu cơ</w:t>
      </w:r>
      <w:r w:rsidR="00D05EF0" w:rsidRPr="00D05EF0">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80A8F9C" w:rsidR="004B3E79" w:rsidRPr="00A70B83" w:rsidRDefault="00A70B83" w:rsidP="00A70B83">
      <w:pPr>
        <w:spacing w:after="0" w:line="276" w:lineRule="auto"/>
        <w:ind w:left="720"/>
        <w:contextualSpacing/>
        <w:jc w:val="both"/>
        <w:rPr>
          <w:rFonts w:eastAsia="SimSun" w:cs="Times New Roman"/>
          <w:sz w:val="22"/>
          <w:lang w:val="en-US" w:eastAsia="zh-CN"/>
        </w:rPr>
      </w:pPr>
      <w:r w:rsidRPr="00A70B83">
        <w:rPr>
          <w:rFonts w:eastAsia="SimSun" w:cs="Times New Roman"/>
          <w:sz w:val="22"/>
          <w:lang w:val="en-US" w:eastAsia="zh-CN"/>
        </w:rPr>
        <w:t>Sản phẩm này không được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83E6835"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D308B01" w14:textId="4EC41686" w:rsidR="00BA4E0C" w:rsidRPr="00BA4E0C" w:rsidRDefault="00BA4E0C" w:rsidP="00BA4E0C">
      <w:pPr>
        <w:spacing w:after="0" w:line="276" w:lineRule="auto"/>
        <w:ind w:firstLine="709"/>
        <w:contextualSpacing/>
        <w:jc w:val="both"/>
        <w:rPr>
          <w:rFonts w:eastAsia="Arial" w:cs="Times New Roman"/>
          <w:sz w:val="22"/>
          <w:lang w:val="en-US"/>
        </w:rPr>
      </w:pPr>
      <w:r w:rsidRPr="00BA4E0C">
        <w:rPr>
          <w:rFonts w:eastAsia="Arial" w:cs="Times New Roman"/>
          <w:sz w:val="22"/>
          <w:lang w:val="en-US"/>
        </w:rPr>
        <w:t>Sản phẩm này không yêu cầu nhãn cảnh báo nguy hiểm theo GHS.</w:t>
      </w:r>
    </w:p>
    <w:p w14:paraId="058F046E" w14:textId="04E9C4D6"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sidR="00BA3D4D">
        <w:rPr>
          <w:rFonts w:eastAsia="Arial" w:cs="Times New Roman"/>
          <w:sz w:val="22"/>
          <w:lang w:val="en-US"/>
        </w:rPr>
        <w:t>Không.</w:t>
      </w:r>
      <w:r>
        <w:rPr>
          <w:rFonts w:eastAsia="Arial" w:cs="Times New Roman"/>
          <w:sz w:val="22"/>
          <w:lang w:val="en-US"/>
        </w:rPr>
        <w:tab/>
        <w:t xml:space="preserve"> </w:t>
      </w:r>
      <w:r>
        <w:rPr>
          <w:rFonts w:eastAsia="Arial" w:cs="Times New Roman"/>
          <w:sz w:val="22"/>
          <w:lang w:val="en-US"/>
        </w:rPr>
        <w:tab/>
        <w:t xml:space="preserve">     </w:t>
      </w:r>
    </w:p>
    <w:p w14:paraId="5AA99619" w14:textId="1FE2CA4E"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sidR="00BA3D4D">
        <w:rPr>
          <w:rFonts w:eastAsia="Arial" w:cs="Times New Roman"/>
          <w:sz w:val="22"/>
          <w:lang w:val="en-US"/>
        </w:rPr>
        <w:t>Không.</w:t>
      </w:r>
    </w:p>
    <w:p w14:paraId="3649EF46" w14:textId="3343C47C" w:rsidR="002B7967" w:rsidRPr="00AE26A3" w:rsidRDefault="002B7967" w:rsidP="00BA3D4D">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00BA3D4D">
        <w:rPr>
          <w:rFonts w:asciiTheme="majorHAnsi" w:hAnsiTheme="majorHAnsi" w:cstheme="majorHAnsi"/>
          <w:sz w:val="22"/>
          <w:lang w:val="en-US"/>
        </w:rPr>
        <w:t>Không có nguy cơ.</w:t>
      </w:r>
    </w:p>
    <w:p w14:paraId="12FF4A50" w14:textId="07CBDF11" w:rsidR="009A6347" w:rsidRPr="00EB4812" w:rsidRDefault="002B7967" w:rsidP="00BA3D4D">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00BA3D4D">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5F463F39"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24F461D9" w14:textId="4E5A8A23" w:rsidR="00F667F1" w:rsidRDefault="00F667F1" w:rsidP="005407A0">
      <w:pPr>
        <w:spacing w:after="0" w:line="276" w:lineRule="auto"/>
        <w:contextualSpacing/>
        <w:rPr>
          <w:rFonts w:eastAsia="Arial" w:cs="Times New Roman"/>
          <w:sz w:val="22"/>
          <w:lang w:val="en-US"/>
        </w:rPr>
      </w:pPr>
    </w:p>
    <w:p w14:paraId="0272456C" w14:textId="77777777" w:rsidR="00F667F1" w:rsidRDefault="00F667F1" w:rsidP="005407A0">
      <w:pPr>
        <w:spacing w:after="0" w:line="276" w:lineRule="auto"/>
        <w:contextualSpacing/>
        <w:rPr>
          <w:rFonts w:eastAsia="Arial" w:cs="Times New Roman"/>
          <w:sz w:val="22"/>
          <w:lang w:val="en-US"/>
        </w:rPr>
      </w:pPr>
    </w:p>
    <w:p w14:paraId="30818869" w14:textId="0D5DE7E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F667F1" w14:paraId="611DAD77" w14:textId="77777777" w:rsidTr="00560E8C">
        <w:trPr>
          <w:trHeight w:val="503"/>
        </w:trPr>
        <w:tc>
          <w:tcPr>
            <w:tcW w:w="2268" w:type="dxa"/>
            <w:vAlign w:val="center"/>
          </w:tcPr>
          <w:p w14:paraId="2A64C206" w14:textId="0FA36D6E"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lastRenderedPageBreak/>
              <w:t>Tên hóa học</w:t>
            </w:r>
          </w:p>
        </w:tc>
        <w:tc>
          <w:tcPr>
            <w:tcW w:w="1276" w:type="dxa"/>
            <w:vAlign w:val="center"/>
          </w:tcPr>
          <w:p w14:paraId="60A3E8DD" w14:textId="2EB2E422"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Số </w:t>
            </w:r>
            <w:r w:rsidR="000361A5" w:rsidRPr="00F667F1">
              <w:rPr>
                <w:rFonts w:asciiTheme="majorHAnsi" w:eastAsia="Arial" w:hAnsiTheme="majorHAnsi" w:cstheme="majorHAnsi"/>
                <w:sz w:val="22"/>
                <w:lang w:val="en-US"/>
              </w:rPr>
              <w:t>CAS</w:t>
            </w:r>
          </w:p>
        </w:tc>
        <w:tc>
          <w:tcPr>
            <w:tcW w:w="1417" w:type="dxa"/>
            <w:vAlign w:val="center"/>
          </w:tcPr>
          <w:p w14:paraId="48C19AF8" w14:textId="43CBC32D"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Nồng độ</w:t>
            </w:r>
            <w:r w:rsidR="000361A5" w:rsidRPr="00F667F1">
              <w:rPr>
                <w:rFonts w:asciiTheme="majorHAnsi" w:eastAsia="Arial" w:hAnsiTheme="majorHAnsi" w:cstheme="majorHAnsi"/>
                <w:sz w:val="22"/>
                <w:lang w:val="en-US"/>
              </w:rPr>
              <w:t xml:space="preserve"> (%)</w:t>
            </w:r>
          </w:p>
        </w:tc>
        <w:tc>
          <w:tcPr>
            <w:tcW w:w="3402" w:type="dxa"/>
            <w:vAlign w:val="center"/>
          </w:tcPr>
          <w:p w14:paraId="5DD21FE0" w14:textId="0618602A" w:rsidR="000361A5" w:rsidRPr="00F667F1" w:rsidRDefault="004D47E3"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Phân loại </w:t>
            </w:r>
            <w:r w:rsidR="000361A5" w:rsidRPr="00F667F1">
              <w:rPr>
                <w:rFonts w:asciiTheme="majorHAnsi" w:eastAsia="Arial" w:hAnsiTheme="majorHAnsi" w:cstheme="majorHAnsi"/>
                <w:sz w:val="22"/>
                <w:lang w:val="en-US"/>
              </w:rPr>
              <w:t>GH</w:t>
            </w:r>
            <w:r w:rsidRPr="00F667F1">
              <w:rPr>
                <w:rFonts w:asciiTheme="majorHAnsi" w:eastAsia="Arial" w:hAnsiTheme="majorHAnsi" w:cstheme="majorHAnsi"/>
                <w:sz w:val="22"/>
                <w:lang w:val="en-US"/>
              </w:rPr>
              <w:t>S</w:t>
            </w:r>
          </w:p>
        </w:tc>
      </w:tr>
      <w:tr w:rsidR="007F7A7B" w:rsidRPr="00F667F1" w14:paraId="34DBE3B1" w14:textId="77777777" w:rsidTr="00560E8C">
        <w:trPr>
          <w:trHeight w:val="399"/>
        </w:trPr>
        <w:tc>
          <w:tcPr>
            <w:tcW w:w="2268" w:type="dxa"/>
            <w:vAlign w:val="center"/>
          </w:tcPr>
          <w:p w14:paraId="715F47FC" w14:textId="74EE7424" w:rsidR="00A52B5D" w:rsidRPr="00F667F1" w:rsidRDefault="00910A14" w:rsidP="005D4898">
            <w:pPr>
              <w:spacing w:after="0" w:line="240" w:lineRule="auto"/>
              <w:contextualSpacing/>
              <w:jc w:val="center"/>
              <w:rPr>
                <w:rFonts w:asciiTheme="majorHAnsi" w:eastAsia="Arial" w:hAnsiTheme="majorHAnsi" w:cstheme="majorHAnsi"/>
                <w:sz w:val="22"/>
                <w:lang w:val="en-US"/>
              </w:rPr>
            </w:pPr>
            <w:r w:rsidRPr="00F667F1">
              <w:rPr>
                <w:rFonts w:eastAsia="SimSun" w:cs="Times New Roman"/>
                <w:sz w:val="22"/>
              </w:rPr>
              <w:t>Substantive organomodified siloxane</w:t>
            </w:r>
          </w:p>
        </w:tc>
        <w:tc>
          <w:tcPr>
            <w:tcW w:w="1276" w:type="dxa"/>
            <w:vAlign w:val="center"/>
          </w:tcPr>
          <w:p w14:paraId="6F59757F" w14:textId="5E78992B" w:rsidR="002B2F33" w:rsidRPr="00C74897" w:rsidRDefault="00C74897"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w:t>
            </w:r>
          </w:p>
        </w:tc>
        <w:tc>
          <w:tcPr>
            <w:tcW w:w="1417" w:type="dxa"/>
            <w:vAlign w:val="center"/>
          </w:tcPr>
          <w:p w14:paraId="781DBC49" w14:textId="26521A6E" w:rsidR="002B2F33" w:rsidRPr="00F667F1" w:rsidRDefault="00910A14" w:rsidP="008D79A2">
            <w:pPr>
              <w:spacing w:after="0" w:line="276" w:lineRule="auto"/>
              <w:jc w:val="center"/>
              <w:rPr>
                <w:rFonts w:asciiTheme="majorHAnsi" w:eastAsia="Arial" w:hAnsiTheme="majorHAnsi" w:cstheme="majorHAnsi"/>
                <w:sz w:val="22"/>
                <w:lang w:val="en-US"/>
              </w:rPr>
            </w:pPr>
            <w:r w:rsidRPr="00F667F1">
              <w:rPr>
                <w:rFonts w:eastAsia="Arial" w:cs="Times New Roman"/>
                <w:sz w:val="22"/>
                <w:lang w:val="en-US"/>
              </w:rPr>
              <w:t>5</w:t>
            </w:r>
          </w:p>
        </w:tc>
        <w:tc>
          <w:tcPr>
            <w:tcW w:w="3402" w:type="dxa"/>
            <w:vAlign w:val="center"/>
          </w:tcPr>
          <w:p w14:paraId="66F735E8" w14:textId="17BF851D" w:rsidR="00F07459" w:rsidRPr="00F667F1" w:rsidRDefault="00BF54C3" w:rsidP="00035AAB">
            <w:pPr>
              <w:spacing w:after="0" w:line="240" w:lineRule="auto"/>
              <w:contextualSpacing/>
              <w:jc w:val="center"/>
              <w:rPr>
                <w:rFonts w:eastAsia="Arial" w:cs="Times New Roman"/>
                <w:sz w:val="22"/>
                <w:lang w:val="en-US"/>
              </w:rPr>
            </w:pPr>
            <w:r w:rsidRPr="00F667F1">
              <w:rPr>
                <w:rFonts w:asciiTheme="majorHAnsi" w:eastAsia="Arial" w:hAnsiTheme="majorHAnsi" w:cstheme="majorHAnsi"/>
                <w:sz w:val="22"/>
                <w:lang w:val="en-US"/>
              </w:rPr>
              <w:t>Không được phân loại</w:t>
            </w:r>
          </w:p>
        </w:tc>
      </w:tr>
      <w:tr w:rsidR="007F7A7B" w:rsidRPr="00F667F1" w14:paraId="4BF1C55C" w14:textId="77777777" w:rsidTr="00560E8C">
        <w:trPr>
          <w:trHeight w:val="399"/>
        </w:trPr>
        <w:tc>
          <w:tcPr>
            <w:tcW w:w="2268" w:type="dxa"/>
            <w:vAlign w:val="center"/>
          </w:tcPr>
          <w:p w14:paraId="57AE603C" w14:textId="724C354F" w:rsidR="005D4898" w:rsidRPr="00F667F1" w:rsidRDefault="00BF54C3" w:rsidP="00BF54C3">
            <w:pPr>
              <w:contextualSpacing/>
              <w:jc w:val="center"/>
              <w:rPr>
                <w:rFonts w:eastAsia="SimSun" w:cs="Times New Roman"/>
                <w:sz w:val="22"/>
              </w:rPr>
            </w:pPr>
            <w:r w:rsidRPr="00F667F1">
              <w:rPr>
                <w:rFonts w:eastAsia="SimSun" w:cs="Times New Roman"/>
                <w:sz w:val="22"/>
              </w:rPr>
              <w:t>POE Derivative</w:t>
            </w:r>
          </w:p>
        </w:tc>
        <w:tc>
          <w:tcPr>
            <w:tcW w:w="1276" w:type="dxa"/>
            <w:vAlign w:val="center"/>
          </w:tcPr>
          <w:p w14:paraId="57AEC1D3" w14:textId="4AD7EFB8" w:rsidR="005D4898" w:rsidRPr="00F667F1" w:rsidRDefault="00BF54C3" w:rsidP="001E226B">
            <w:pPr>
              <w:contextualSpacing/>
              <w:jc w:val="center"/>
              <w:rPr>
                <w:rFonts w:eastAsia="SimSun" w:cs="Times New Roman"/>
                <w:sz w:val="22"/>
              </w:rPr>
            </w:pPr>
            <w:r w:rsidRPr="00F667F1">
              <w:rPr>
                <w:rFonts w:eastAsia="Arial" w:cs="Times New Roman"/>
                <w:sz w:val="22"/>
              </w:rPr>
              <w:t>9016-88-0</w:t>
            </w:r>
          </w:p>
        </w:tc>
        <w:tc>
          <w:tcPr>
            <w:tcW w:w="1417" w:type="dxa"/>
            <w:vAlign w:val="center"/>
          </w:tcPr>
          <w:p w14:paraId="664EA84C" w14:textId="3F0B2983" w:rsidR="005D4898" w:rsidRPr="00F667F1" w:rsidRDefault="00BF54C3" w:rsidP="008D79A2">
            <w:pPr>
              <w:spacing w:after="0" w:line="276" w:lineRule="auto"/>
              <w:jc w:val="center"/>
              <w:rPr>
                <w:rFonts w:asciiTheme="majorHAnsi" w:eastAsia="Arial" w:hAnsiTheme="majorHAnsi" w:cstheme="majorHAnsi"/>
                <w:sz w:val="22"/>
                <w:lang w:val="en-US"/>
              </w:rPr>
            </w:pPr>
            <w:r w:rsidRPr="00F667F1">
              <w:rPr>
                <w:rFonts w:eastAsia="Arial" w:cs="Times New Roman"/>
                <w:sz w:val="22"/>
                <w:lang w:val="en-US"/>
              </w:rPr>
              <w:t>5</w:t>
            </w:r>
          </w:p>
        </w:tc>
        <w:tc>
          <w:tcPr>
            <w:tcW w:w="3402" w:type="dxa"/>
            <w:vAlign w:val="center"/>
          </w:tcPr>
          <w:p w14:paraId="38AA5B70" w14:textId="77777777" w:rsidR="00D75DBB" w:rsidRPr="00F667F1" w:rsidRDefault="00A80365" w:rsidP="00871301">
            <w:pPr>
              <w:spacing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Không được phân loại</w:t>
            </w:r>
          </w:p>
          <w:p w14:paraId="729B53FB" w14:textId="0B6DEE0E" w:rsidR="00A80365" w:rsidRPr="00F667F1" w:rsidRDefault="00A80365" w:rsidP="00871301">
            <w:pPr>
              <w:spacing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(Tham khảo </w:t>
            </w:r>
            <w:r w:rsidR="00EE63B3" w:rsidRPr="00F667F1">
              <w:rPr>
                <w:rFonts w:eastAsia="Arial" w:cs="Times New Roman"/>
                <w:sz w:val="22"/>
              </w:rPr>
              <w:t>https://echa.europa.eu/substance-information/-/substanceinfo/100.113.407)</w:t>
            </w:r>
          </w:p>
        </w:tc>
      </w:tr>
    </w:tbl>
    <w:p w14:paraId="2FDE6002" w14:textId="5C8EB4F9" w:rsidR="00BF54C3" w:rsidRDefault="00BF54C3" w:rsidP="00BC60F6">
      <w:pPr>
        <w:spacing w:line="240" w:lineRule="auto"/>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69C18F0B">
                <wp:simplePos x="0" y="0"/>
                <wp:positionH relativeFrom="margin">
                  <wp:align>left</wp:align>
                </wp:positionH>
                <wp:positionV relativeFrom="paragraph">
                  <wp:posOffset>302895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23.85pt;width:451.5pt;height:2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52DD75F" w14:textId="42D410A0" w:rsidR="00F07072" w:rsidRPr="008C1389" w:rsidRDefault="00F07072"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7990A9E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E3F62">
        <w:rPr>
          <w:rFonts w:eastAsia="Arial" w:cs="Times New Roman"/>
          <w:sz w:val="22"/>
          <w:lang w:val="en-US"/>
        </w:rPr>
        <w:t xml:space="preserve">, </w:t>
      </w:r>
      <w:r w:rsidR="009B09E1">
        <w:rPr>
          <w:rFonts w:eastAsia="Arial" w:cs="Times New Roman"/>
          <w:sz w:val="22"/>
          <w:lang w:val="en-US"/>
        </w:rPr>
        <w:t>silicone</w:t>
      </w:r>
      <w:r w:rsidR="006B1C2B">
        <w:rPr>
          <w:rFonts w:eastAsia="Arial" w:cs="Times New Roman"/>
          <w:sz w:val="22"/>
          <w:lang w:val="en-US"/>
        </w:rPr>
        <w:t xml:space="preserve"> </w:t>
      </w:r>
      <w:r w:rsidR="00195948">
        <w:rPr>
          <w:rFonts w:eastAsia="Arial" w:cs="Times New Roman"/>
          <w:sz w:val="22"/>
          <w:lang w:val="en-US"/>
        </w:rPr>
        <w:t>đi</w:t>
      </w:r>
      <w:r w:rsidR="006B1C2B">
        <w:rPr>
          <w:rFonts w:eastAsia="Arial" w:cs="Times New Roman"/>
          <w:sz w:val="22"/>
          <w:lang w:val="en-US"/>
        </w:rPr>
        <w:t xml:space="preserve">oxit và </w:t>
      </w:r>
      <w:r w:rsidR="00195948">
        <w:rPr>
          <w:rFonts w:eastAsia="Arial" w:cs="Times New Roman"/>
          <w:sz w:val="22"/>
          <w:lang w:val="en-US"/>
        </w:rPr>
        <w:t>nitơ oxit</w:t>
      </w:r>
      <w:r w:rsidR="006B1C2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5DAD00D2"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4BB37B03" w:rsidR="00CC6328" w:rsidRDefault="00CC6328" w:rsidP="004E73A1">
      <w:pPr>
        <w:spacing w:after="200" w:line="276" w:lineRule="auto"/>
        <w:contextualSpacing/>
        <w:jc w:val="both"/>
        <w:rPr>
          <w:rFonts w:eastAsia="Arial" w:cs="Times New Roman"/>
          <w:b/>
          <w:sz w:val="22"/>
          <w:lang w:val="en-US"/>
        </w:rPr>
      </w:pPr>
    </w:p>
    <w:p w14:paraId="291CB92F" w14:textId="798980C4" w:rsidR="00301619" w:rsidRDefault="00301619" w:rsidP="004E73A1">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5888" behindDoc="0" locked="0" layoutInCell="1" allowOverlap="1" wp14:anchorId="18671DE6" wp14:editId="204C7C85">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F3E0399"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AF62C80" w:rsidR="002A17C1" w:rsidRPr="002A17C1" w:rsidRDefault="000D66D5"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7115E996">
                <wp:simplePos x="0" y="0"/>
                <wp:positionH relativeFrom="margin">
                  <wp:align>left</wp:align>
                </wp:positionH>
                <wp:positionV relativeFrom="paragraph">
                  <wp:posOffset>300990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0;margin-top:23.7pt;width:453.4pt;height:22.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22630F48" w14:textId="378F993B" w:rsidR="00664B96" w:rsidRDefault="00664B96" w:rsidP="00B82BE3">
      <w:pPr>
        <w:spacing w:after="200" w:line="276" w:lineRule="auto"/>
        <w:contextualSpacing/>
        <w:jc w:val="both"/>
        <w:rPr>
          <w:rFonts w:eastAsia="Arial" w:cs="Times New Roman"/>
          <w:b/>
          <w:sz w:val="22"/>
          <w:lang w:val="en-US"/>
        </w:rPr>
      </w:pPr>
    </w:p>
    <w:p w14:paraId="1C85B764" w14:textId="6968AF8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A0EA1">
        <w:rPr>
          <w:b/>
          <w:sz w:val="22"/>
          <w:lang w:val="en-US"/>
        </w:rPr>
        <w:t>xử lý an toàn</w:t>
      </w:r>
      <w:r w:rsidR="00692FA9" w:rsidRPr="00095DE8">
        <w:rPr>
          <w:rFonts w:eastAsia="Arial" w:cs="Times New Roman"/>
          <w:b/>
          <w:sz w:val="22"/>
          <w:lang w:val="en-US"/>
        </w:rPr>
        <w:t xml:space="preserve"> </w:t>
      </w:r>
    </w:p>
    <w:p w14:paraId="39EC68BC" w14:textId="5260F3D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E19E6D8" w:rsidR="002E3CDD" w:rsidRPr="00095DE8" w:rsidRDefault="002E3CDD" w:rsidP="001E4C3F">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1E4C3F">
        <w:rPr>
          <w:rFonts w:eastAsia="Arial" w:cs="Times New Roman"/>
          <w:sz w:val="22"/>
          <w:lang w:val="en-US"/>
        </w:rPr>
        <w:tab/>
      </w:r>
      <w:r w:rsidRPr="00095DE8">
        <w:rPr>
          <w:rFonts w:eastAsia="Arial" w:cs="Times New Roman"/>
          <w:sz w:val="22"/>
          <w:lang w:val="en-US"/>
        </w:rPr>
        <w:t xml:space="preserve">: </w:t>
      </w:r>
      <w:r w:rsidR="00EA5E7F">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098AE10" w:rsidR="002E3CDD" w:rsidRPr="00095DE8" w:rsidRDefault="0044190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B10908C" w:rsidR="002E3CDD" w:rsidRPr="00095DE8" w:rsidRDefault="002E3CDD" w:rsidP="001E4C3F">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A5E7F">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4B1312"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 xml:space="preserve">Bảo quản tránh xa </w:t>
      </w:r>
      <w:r w:rsidR="00177AB4">
        <w:rPr>
          <w:noProof/>
          <w:sz w:val="22"/>
          <w:lang w:val="en-US"/>
        </w:rPr>
        <w:t xml:space="preserve">chất </w:t>
      </w:r>
      <w:r w:rsidR="00BA321F" w:rsidRPr="00BA321F">
        <w:rPr>
          <w:noProof/>
          <w:sz w:val="22"/>
        </w:rPr>
        <w:t>oxy hóa mạnh</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9979818"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58A3B5EE" w:rsidR="006D285E" w:rsidRPr="003A7A90" w:rsidRDefault="00531385" w:rsidP="00531385">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531385">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AED6B0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w:t>
      </w:r>
    </w:p>
    <w:p w14:paraId="090A9CB1" w14:textId="583013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w:t>
      </w:r>
      <w:r w:rsidR="00FD18F0">
        <w:rPr>
          <w:rFonts w:eastAsia="Arial" w:cs="Times New Roman"/>
          <w:sz w:val="22"/>
          <w:lang w:val="en-US"/>
        </w:rPr>
        <w:t xml:space="preserve"> </w:t>
      </w:r>
      <w:r w:rsidR="008065C6">
        <w:rPr>
          <w:rFonts w:eastAsia="Arial" w:cs="Times New Roman"/>
          <w:sz w:val="22"/>
          <w:lang w:val="en-US"/>
        </w:rPr>
        <w:t>sữa</w:t>
      </w:r>
      <w:r w:rsidRPr="00AB408C">
        <w:rPr>
          <w:rFonts w:eastAsia="Arial" w:cs="Times New Roman"/>
          <w:sz w:val="22"/>
          <w:lang w:val="en-US"/>
        </w:rPr>
        <w:t>.</w:t>
      </w:r>
    </w:p>
    <w:p w14:paraId="7729F090" w14:textId="66724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w:t>
      </w:r>
      <w:r w:rsidR="003C3ACD">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375CB1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74743A">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B24803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4190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EE792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441903" w:rsidRPr="00441903">
        <w:rPr>
          <w:rFonts w:eastAsia="Arial" w:cs="Times New Roman"/>
          <w:sz w:val="22"/>
          <w:lang w:val="en-US"/>
        </w:rPr>
        <w:t xml:space="preserve"> </w:t>
      </w:r>
      <w:r w:rsidR="00441903"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6A99026" w:rsidR="00041E43" w:rsidRPr="00AB408C" w:rsidRDefault="002D52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ECD9DCF" w:rsidR="00041E43" w:rsidRPr="00AB408C" w:rsidRDefault="002D52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sidR="00740961">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12BD82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AC36E0F" w:rsidR="00481443" w:rsidRPr="00AB408C" w:rsidRDefault="002D521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sidR="00740961">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1E9C98FF" w:rsidR="000361A5" w:rsidRPr="00C04187" w:rsidRDefault="00103C7B" w:rsidP="00E7515F">
      <w:pPr>
        <w:spacing w:after="200" w:line="276" w:lineRule="auto"/>
        <w:ind w:firstLine="709"/>
        <w:contextualSpacing/>
        <w:jc w:val="both"/>
        <w:rPr>
          <w:rFonts w:eastAsia="Arial" w:cs="Times New Roman"/>
          <w:b/>
          <w:sz w:val="22"/>
          <w:lang w:val="en-US"/>
        </w:rPr>
      </w:pPr>
      <w:r w:rsidRPr="00103C7B">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0FC244E" w:rsidR="000361A5" w:rsidRPr="00EE452D"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EE452D">
        <w:rPr>
          <w:rFonts w:eastAsia="Arial" w:cs="Times New Roman"/>
          <w:sz w:val="22"/>
          <w:lang w:val="en-US"/>
        </w:rPr>
        <w:t xml:space="preserve">Tránh tiếp xúc với </w:t>
      </w:r>
      <w:r w:rsidR="002B5038">
        <w:rPr>
          <w:rFonts w:eastAsia="Arial" w:cs="Times New Roman"/>
          <w:sz w:val="22"/>
          <w:lang w:val="en-US"/>
        </w:rPr>
        <w:t xml:space="preserve">axit mạnh và </w:t>
      </w:r>
      <w:r w:rsidRPr="00EE452D">
        <w:rPr>
          <w:rFonts w:eastAsia="Arial" w:cs="Times New Roman"/>
          <w:sz w:val="22"/>
          <w:lang w:val="en-US"/>
        </w:rPr>
        <w:t>chất oxy hóa</w:t>
      </w:r>
      <w:r w:rsidR="007229DD" w:rsidRPr="00EE452D">
        <w:rPr>
          <w:rFonts w:eastAsia="Arial" w:cs="Times New Roman"/>
          <w:sz w:val="22"/>
          <w:lang w:val="en-US"/>
        </w:rPr>
        <w:t xml:space="preserve"> mạnh</w:t>
      </w:r>
      <w:r w:rsidR="00EE452D" w:rsidRPr="00EE452D">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A48DB99"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lastRenderedPageBreak/>
        <w:t>C</w:t>
      </w:r>
      <w:r w:rsidR="002B3117" w:rsidRPr="0017082F">
        <w:rPr>
          <w:rFonts w:eastAsia="Arial" w:cs="Times New Roman"/>
          <w:sz w:val="22"/>
          <w:lang w:val="en-US"/>
        </w:rPr>
        <w:t>acbon monoxit</w:t>
      </w:r>
      <w:r w:rsidR="00BE4255">
        <w:rPr>
          <w:rFonts w:eastAsia="Arial" w:cs="Times New Roman"/>
          <w:sz w:val="22"/>
          <w:lang w:val="en-US"/>
        </w:rPr>
        <w:t xml:space="preserve">, </w:t>
      </w:r>
      <w:r w:rsidR="002B3117" w:rsidRPr="0017082F">
        <w:rPr>
          <w:rFonts w:eastAsia="Arial" w:cs="Times New Roman"/>
          <w:sz w:val="22"/>
          <w:lang w:val="en-US"/>
        </w:rPr>
        <w:t>cacbon đioxit</w:t>
      </w:r>
      <w:r w:rsidR="00AC6455">
        <w:rPr>
          <w:rFonts w:eastAsia="Arial" w:cs="Times New Roman"/>
          <w:sz w:val="22"/>
          <w:lang w:val="en-US"/>
        </w:rPr>
        <w:t xml:space="preserve">, </w:t>
      </w:r>
      <w:r w:rsidR="000E34DB">
        <w:rPr>
          <w:rFonts w:eastAsia="Arial" w:cs="Times New Roman"/>
          <w:sz w:val="22"/>
          <w:lang w:val="en-US"/>
        </w:rPr>
        <w:t>silicone đioxit và nitơ oxit</w:t>
      </w:r>
      <w:r w:rsidR="00AC645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FFC30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CE515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42068E7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w:t>
      </w:r>
      <w:r w:rsidR="005B0E32"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F07E0AE"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w:t>
      </w:r>
      <w:r w:rsidR="004E4C94" w:rsidRPr="008A2F3F">
        <w:rPr>
          <w:rFonts w:eastAsia="Arial" w:cs="Times New Roman"/>
          <w:sz w:val="22"/>
          <w:lang w:val="en-US"/>
        </w:rPr>
        <w:t>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5217FB1"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57C7B">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0859008" w:rsidR="000361A5" w:rsidRPr="008F7EA2" w:rsidRDefault="00A6230D"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ED27B6D"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F06A61">
        <w:rPr>
          <w:rFonts w:eastAsia="Arial" w:cs="Times New Roman"/>
          <w:sz w:val="22"/>
          <w:lang w:val="en-US"/>
        </w:rPr>
        <w:t>22.4</w:t>
      </w:r>
      <w:r w:rsidR="002270ED">
        <w:rPr>
          <w:rFonts w:eastAsia="Arial" w:cs="Times New Roman"/>
          <w:sz w:val="22"/>
          <w:lang w:val="en-US"/>
        </w:rPr>
        <w:t xml:space="preserve"> %</w:t>
      </w:r>
      <w:r w:rsidR="00817389">
        <w:rPr>
          <w:rFonts w:eastAsia="Arial" w:cs="Times New Roman"/>
          <w:sz w:val="22"/>
          <w:lang w:val="en-US"/>
        </w:rPr>
        <w:t>.</w:t>
      </w:r>
    </w:p>
    <w:p w14:paraId="7D67748E" w14:textId="7A626F7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06A61">
        <w:rPr>
          <w:rFonts w:eastAsia="Arial" w:cs="Times New Roman"/>
          <w:sz w:val="22"/>
          <w:lang w:val="en-US"/>
        </w:rPr>
        <w:t>38.1</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1FBB0E1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06A61">
        <w:rPr>
          <w:rFonts w:eastAsia="Arial" w:cs="Times New Roman"/>
          <w:sz w:val="22"/>
          <w:lang w:val="en-US"/>
        </w:rPr>
        <w:t>170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5FC3BFA2" w14:textId="53120AE3" w:rsidR="00335597" w:rsidRDefault="003B7410" w:rsidP="00CF1ED0">
      <w:pPr>
        <w:spacing w:after="200" w:line="276"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31152D35">
                <wp:simplePos x="0" y="0"/>
                <wp:positionH relativeFrom="margin">
                  <wp:posOffset>3810</wp:posOffset>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3pt;margin-top:25.8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42B12B65" w14:textId="77777777" w:rsidR="00945FE6" w:rsidRDefault="00945FE6" w:rsidP="00F7091E">
      <w:pPr>
        <w:tabs>
          <w:tab w:val="left" w:pos="540"/>
        </w:tabs>
        <w:spacing w:after="200" w:line="276" w:lineRule="auto"/>
        <w:contextualSpacing/>
        <w:rPr>
          <w:rFonts w:eastAsia="Arial" w:cs="Times New Roman"/>
          <w:b/>
          <w:sz w:val="22"/>
          <w:lang w:val="en-US"/>
        </w:rPr>
      </w:pPr>
    </w:p>
    <w:p w14:paraId="58964BCC" w14:textId="14740A05"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2272" behindDoc="0" locked="0" layoutInCell="1" allowOverlap="1" wp14:anchorId="41E3B159" wp14:editId="60897E51">
                <wp:simplePos x="0" y="0"/>
                <wp:positionH relativeFrom="margin">
                  <wp:posOffset>-8255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6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1083AD2D" w14:textId="26974B0D" w:rsidR="00D06C1D" w:rsidRDefault="00F15875" w:rsidP="00D06C1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20750D02" w:rsidR="00691520" w:rsidRPr="002D6326" w:rsidRDefault="00967D60" w:rsidP="002705F8">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IMDG: Hàng hóa Nguy hiểm Hàng hải Quốc tế.</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D6326"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0205A" w14:textId="77777777" w:rsidR="000A683C" w:rsidRDefault="000A683C" w:rsidP="000361A5">
      <w:pPr>
        <w:spacing w:after="0" w:line="240" w:lineRule="auto"/>
      </w:pPr>
      <w:r>
        <w:separator/>
      </w:r>
    </w:p>
  </w:endnote>
  <w:endnote w:type="continuationSeparator" w:id="0">
    <w:p w14:paraId="776DDACE" w14:textId="77777777" w:rsidR="000A683C" w:rsidRDefault="000A683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1B38B100"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E25B85">
      <w:rPr>
        <w:noProof/>
        <w:color w:val="323E4F" w:themeColor="text2" w:themeShade="BF"/>
        <w:sz w:val="22"/>
      </w:rPr>
      <w:t>7</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E25B85">
      <w:rPr>
        <w:noProof/>
        <w:color w:val="323E4F" w:themeColor="text2" w:themeShade="BF"/>
        <w:sz w:val="22"/>
      </w:rPr>
      <w:t>7</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C1B02" w14:textId="77777777" w:rsidR="000A683C" w:rsidRDefault="000A683C" w:rsidP="000361A5">
      <w:pPr>
        <w:spacing w:after="0" w:line="240" w:lineRule="auto"/>
      </w:pPr>
      <w:r>
        <w:separator/>
      </w:r>
    </w:p>
  </w:footnote>
  <w:footnote w:type="continuationSeparator" w:id="0">
    <w:p w14:paraId="5A4C7FC9" w14:textId="77777777" w:rsidR="000A683C" w:rsidRDefault="000A683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6583CAB1" w:rsidR="000F3D17" w:rsidRPr="001F335D" w:rsidRDefault="005F441E" w:rsidP="00E76C5E">
    <w:pPr>
      <w:pStyle w:val="Header"/>
      <w:jc w:val="center"/>
      <w:rPr>
        <w:b/>
        <w:sz w:val="32"/>
        <w:szCs w:val="32"/>
      </w:rPr>
    </w:pPr>
    <w:bookmarkStart w:id="10" w:name="_Hlk115178153"/>
    <w:r>
      <w:rPr>
        <w:noProof/>
      </w:rPr>
      <w:drawing>
        <wp:anchor distT="0" distB="0" distL="114300" distR="114300" simplePos="0" relativeHeight="251663360" behindDoc="0" locked="0" layoutInCell="1" allowOverlap="1" wp14:anchorId="2B3CB99C" wp14:editId="02596A49">
          <wp:simplePos x="0" y="0"/>
          <wp:positionH relativeFrom="column">
            <wp:posOffset>4822190</wp:posOffset>
          </wp:positionH>
          <wp:positionV relativeFrom="paragraph">
            <wp:posOffset>-27305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214A70F6"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1F5A7C">
      <w:rPr>
        <w:b/>
        <w:color w:val="FF0000"/>
        <w:sz w:val="32"/>
        <w:szCs w:val="32"/>
        <w:lang w:val="en-US"/>
      </w:rPr>
      <w:t>ASSP-06</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AAB"/>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4B1C"/>
    <w:rsid w:val="000A52EB"/>
    <w:rsid w:val="000A5E79"/>
    <w:rsid w:val="000A683C"/>
    <w:rsid w:val="000B02A9"/>
    <w:rsid w:val="000B04E7"/>
    <w:rsid w:val="000B0F23"/>
    <w:rsid w:val="000B1AF3"/>
    <w:rsid w:val="000B4457"/>
    <w:rsid w:val="000B45A5"/>
    <w:rsid w:val="000B4968"/>
    <w:rsid w:val="000B4A94"/>
    <w:rsid w:val="000B5B36"/>
    <w:rsid w:val="000B62E1"/>
    <w:rsid w:val="000B7673"/>
    <w:rsid w:val="000B7DEE"/>
    <w:rsid w:val="000C15A5"/>
    <w:rsid w:val="000C18F1"/>
    <w:rsid w:val="000C1A55"/>
    <w:rsid w:val="000C23FA"/>
    <w:rsid w:val="000C2C9D"/>
    <w:rsid w:val="000C47D6"/>
    <w:rsid w:val="000C5AF0"/>
    <w:rsid w:val="000C5C53"/>
    <w:rsid w:val="000C7D37"/>
    <w:rsid w:val="000D050B"/>
    <w:rsid w:val="000D2810"/>
    <w:rsid w:val="000D283E"/>
    <w:rsid w:val="000D2BC8"/>
    <w:rsid w:val="000D36C4"/>
    <w:rsid w:val="000D66D5"/>
    <w:rsid w:val="000D741C"/>
    <w:rsid w:val="000E34DB"/>
    <w:rsid w:val="000E392C"/>
    <w:rsid w:val="000E43BC"/>
    <w:rsid w:val="000E4608"/>
    <w:rsid w:val="000E6C77"/>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3C7B"/>
    <w:rsid w:val="00103E9E"/>
    <w:rsid w:val="001046B0"/>
    <w:rsid w:val="001058C9"/>
    <w:rsid w:val="00107226"/>
    <w:rsid w:val="0011170D"/>
    <w:rsid w:val="0011211F"/>
    <w:rsid w:val="001123F4"/>
    <w:rsid w:val="00113859"/>
    <w:rsid w:val="00113AE2"/>
    <w:rsid w:val="00114E1E"/>
    <w:rsid w:val="0011685B"/>
    <w:rsid w:val="00117226"/>
    <w:rsid w:val="0011758B"/>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5F6"/>
    <w:rsid w:val="001367B2"/>
    <w:rsid w:val="00136971"/>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574"/>
    <w:rsid w:val="00164F2B"/>
    <w:rsid w:val="00165229"/>
    <w:rsid w:val="0016549C"/>
    <w:rsid w:val="00165E44"/>
    <w:rsid w:val="00170224"/>
    <w:rsid w:val="0017082F"/>
    <w:rsid w:val="00173405"/>
    <w:rsid w:val="001735A5"/>
    <w:rsid w:val="001735F9"/>
    <w:rsid w:val="00173D0E"/>
    <w:rsid w:val="001758DE"/>
    <w:rsid w:val="0017602A"/>
    <w:rsid w:val="001768C3"/>
    <w:rsid w:val="00177AB4"/>
    <w:rsid w:val="001807B1"/>
    <w:rsid w:val="001815BF"/>
    <w:rsid w:val="00182033"/>
    <w:rsid w:val="00183681"/>
    <w:rsid w:val="001836F7"/>
    <w:rsid w:val="00183ADB"/>
    <w:rsid w:val="00185F55"/>
    <w:rsid w:val="00191687"/>
    <w:rsid w:val="00192B01"/>
    <w:rsid w:val="00195948"/>
    <w:rsid w:val="00197D5B"/>
    <w:rsid w:val="001A1A4E"/>
    <w:rsid w:val="001A1AF7"/>
    <w:rsid w:val="001A54B0"/>
    <w:rsid w:val="001A6AE5"/>
    <w:rsid w:val="001A71D7"/>
    <w:rsid w:val="001A7B92"/>
    <w:rsid w:val="001B022D"/>
    <w:rsid w:val="001B0A25"/>
    <w:rsid w:val="001B0E0A"/>
    <w:rsid w:val="001B1E7A"/>
    <w:rsid w:val="001B5AA8"/>
    <w:rsid w:val="001B6235"/>
    <w:rsid w:val="001B644C"/>
    <w:rsid w:val="001B64D8"/>
    <w:rsid w:val="001B666C"/>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4C3F"/>
    <w:rsid w:val="001E52CE"/>
    <w:rsid w:val="001E725F"/>
    <w:rsid w:val="001E7685"/>
    <w:rsid w:val="001F07F1"/>
    <w:rsid w:val="001F1796"/>
    <w:rsid w:val="001F27C5"/>
    <w:rsid w:val="001F2B10"/>
    <w:rsid w:val="001F335D"/>
    <w:rsid w:val="001F4070"/>
    <w:rsid w:val="001F5A7C"/>
    <w:rsid w:val="001F60F5"/>
    <w:rsid w:val="001F62E6"/>
    <w:rsid w:val="001F6B22"/>
    <w:rsid w:val="001F6BF6"/>
    <w:rsid w:val="001F6D88"/>
    <w:rsid w:val="001F73E5"/>
    <w:rsid w:val="0020044C"/>
    <w:rsid w:val="00201360"/>
    <w:rsid w:val="00201621"/>
    <w:rsid w:val="00203197"/>
    <w:rsid w:val="0020540A"/>
    <w:rsid w:val="0020552C"/>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3DF1"/>
    <w:rsid w:val="00254C30"/>
    <w:rsid w:val="00260401"/>
    <w:rsid w:val="002618FD"/>
    <w:rsid w:val="00263B25"/>
    <w:rsid w:val="00263CF4"/>
    <w:rsid w:val="00263DEF"/>
    <w:rsid w:val="00265A4F"/>
    <w:rsid w:val="0026686C"/>
    <w:rsid w:val="00267EA5"/>
    <w:rsid w:val="00270353"/>
    <w:rsid w:val="002705F8"/>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44FB"/>
    <w:rsid w:val="002A5869"/>
    <w:rsid w:val="002A716A"/>
    <w:rsid w:val="002A7ECE"/>
    <w:rsid w:val="002B2ED8"/>
    <w:rsid w:val="002B2F33"/>
    <w:rsid w:val="002B3117"/>
    <w:rsid w:val="002B3427"/>
    <w:rsid w:val="002B4D90"/>
    <w:rsid w:val="002B5038"/>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2083"/>
    <w:rsid w:val="002D521E"/>
    <w:rsid w:val="002D6326"/>
    <w:rsid w:val="002D657B"/>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1619"/>
    <w:rsid w:val="00302D9E"/>
    <w:rsid w:val="00305D18"/>
    <w:rsid w:val="00307663"/>
    <w:rsid w:val="003078DD"/>
    <w:rsid w:val="0031026B"/>
    <w:rsid w:val="003112FC"/>
    <w:rsid w:val="00311B58"/>
    <w:rsid w:val="0031208E"/>
    <w:rsid w:val="00312EC4"/>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4EE"/>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76BDC"/>
    <w:rsid w:val="0038283D"/>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33A5"/>
    <w:rsid w:val="003A4BFB"/>
    <w:rsid w:val="003A6100"/>
    <w:rsid w:val="003A7A90"/>
    <w:rsid w:val="003B0D2B"/>
    <w:rsid w:val="003B4BDC"/>
    <w:rsid w:val="003B5EBC"/>
    <w:rsid w:val="003B7410"/>
    <w:rsid w:val="003C023C"/>
    <w:rsid w:val="003C1CC9"/>
    <w:rsid w:val="003C3194"/>
    <w:rsid w:val="003C35A7"/>
    <w:rsid w:val="003C3ACD"/>
    <w:rsid w:val="003C3C88"/>
    <w:rsid w:val="003C43D2"/>
    <w:rsid w:val="003C4BB8"/>
    <w:rsid w:val="003C53DA"/>
    <w:rsid w:val="003C6F7D"/>
    <w:rsid w:val="003D1AF5"/>
    <w:rsid w:val="003D2C16"/>
    <w:rsid w:val="003D2D88"/>
    <w:rsid w:val="003D4D4E"/>
    <w:rsid w:val="003D5075"/>
    <w:rsid w:val="003D5706"/>
    <w:rsid w:val="003D6A4E"/>
    <w:rsid w:val="003D732D"/>
    <w:rsid w:val="003E142E"/>
    <w:rsid w:val="003E16C8"/>
    <w:rsid w:val="003E2015"/>
    <w:rsid w:val="003E2137"/>
    <w:rsid w:val="003E3F62"/>
    <w:rsid w:val="003E43AE"/>
    <w:rsid w:val="003E4451"/>
    <w:rsid w:val="003E4C99"/>
    <w:rsid w:val="003E5984"/>
    <w:rsid w:val="003F0A39"/>
    <w:rsid w:val="003F253C"/>
    <w:rsid w:val="003F2C30"/>
    <w:rsid w:val="003F4389"/>
    <w:rsid w:val="003F4517"/>
    <w:rsid w:val="003F4DAF"/>
    <w:rsid w:val="003F5B94"/>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201BB"/>
    <w:rsid w:val="00421A29"/>
    <w:rsid w:val="004235A6"/>
    <w:rsid w:val="004247B4"/>
    <w:rsid w:val="00425950"/>
    <w:rsid w:val="00427559"/>
    <w:rsid w:val="00427B22"/>
    <w:rsid w:val="00430FF1"/>
    <w:rsid w:val="00432E69"/>
    <w:rsid w:val="00432E8B"/>
    <w:rsid w:val="00433466"/>
    <w:rsid w:val="004353FF"/>
    <w:rsid w:val="004355C6"/>
    <w:rsid w:val="0043649D"/>
    <w:rsid w:val="00440AA6"/>
    <w:rsid w:val="00440D81"/>
    <w:rsid w:val="004416DC"/>
    <w:rsid w:val="00441903"/>
    <w:rsid w:val="00443964"/>
    <w:rsid w:val="00443AFF"/>
    <w:rsid w:val="0044421E"/>
    <w:rsid w:val="0044461B"/>
    <w:rsid w:val="004467D1"/>
    <w:rsid w:val="00447F47"/>
    <w:rsid w:val="00451F94"/>
    <w:rsid w:val="00455604"/>
    <w:rsid w:val="0045645B"/>
    <w:rsid w:val="0045677C"/>
    <w:rsid w:val="00456881"/>
    <w:rsid w:val="00457BC4"/>
    <w:rsid w:val="00460014"/>
    <w:rsid w:val="00460178"/>
    <w:rsid w:val="004605B9"/>
    <w:rsid w:val="00461F42"/>
    <w:rsid w:val="0046518D"/>
    <w:rsid w:val="00465498"/>
    <w:rsid w:val="00465C42"/>
    <w:rsid w:val="00465FC3"/>
    <w:rsid w:val="004669D2"/>
    <w:rsid w:val="00471446"/>
    <w:rsid w:val="0047166A"/>
    <w:rsid w:val="004733F4"/>
    <w:rsid w:val="00473778"/>
    <w:rsid w:val="0047731D"/>
    <w:rsid w:val="00477617"/>
    <w:rsid w:val="00477CB1"/>
    <w:rsid w:val="00480D88"/>
    <w:rsid w:val="00481443"/>
    <w:rsid w:val="0048201D"/>
    <w:rsid w:val="004834F8"/>
    <w:rsid w:val="0048592D"/>
    <w:rsid w:val="004864D8"/>
    <w:rsid w:val="00490DFE"/>
    <w:rsid w:val="00491998"/>
    <w:rsid w:val="00492ECE"/>
    <w:rsid w:val="004931E9"/>
    <w:rsid w:val="00493C44"/>
    <w:rsid w:val="00495669"/>
    <w:rsid w:val="004A0D6D"/>
    <w:rsid w:val="004A168F"/>
    <w:rsid w:val="004A1F63"/>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4C94"/>
    <w:rsid w:val="004E5005"/>
    <w:rsid w:val="004E53BF"/>
    <w:rsid w:val="004E5CF4"/>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58A1"/>
    <w:rsid w:val="00526974"/>
    <w:rsid w:val="0052730E"/>
    <w:rsid w:val="0052752E"/>
    <w:rsid w:val="005278D5"/>
    <w:rsid w:val="0053138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64B1"/>
    <w:rsid w:val="00557138"/>
    <w:rsid w:val="00557C7B"/>
    <w:rsid w:val="00560B1D"/>
    <w:rsid w:val="00560E8C"/>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4C2"/>
    <w:rsid w:val="0057459C"/>
    <w:rsid w:val="00575946"/>
    <w:rsid w:val="00577287"/>
    <w:rsid w:val="0057757E"/>
    <w:rsid w:val="00577F71"/>
    <w:rsid w:val="00580F47"/>
    <w:rsid w:val="00584A02"/>
    <w:rsid w:val="0058690E"/>
    <w:rsid w:val="005871C9"/>
    <w:rsid w:val="005874F0"/>
    <w:rsid w:val="0059064F"/>
    <w:rsid w:val="00590B6E"/>
    <w:rsid w:val="00591291"/>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0E32"/>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5F3F63"/>
    <w:rsid w:val="005F441E"/>
    <w:rsid w:val="0060094A"/>
    <w:rsid w:val="00601F29"/>
    <w:rsid w:val="00602123"/>
    <w:rsid w:val="00603694"/>
    <w:rsid w:val="0060393A"/>
    <w:rsid w:val="006042BF"/>
    <w:rsid w:val="00604340"/>
    <w:rsid w:val="00604D07"/>
    <w:rsid w:val="006060DC"/>
    <w:rsid w:val="00610622"/>
    <w:rsid w:val="006127A0"/>
    <w:rsid w:val="006148FF"/>
    <w:rsid w:val="00615175"/>
    <w:rsid w:val="006152A4"/>
    <w:rsid w:val="0061561B"/>
    <w:rsid w:val="006160C9"/>
    <w:rsid w:val="00616676"/>
    <w:rsid w:val="00616F72"/>
    <w:rsid w:val="00617D18"/>
    <w:rsid w:val="00620FF4"/>
    <w:rsid w:val="0062166D"/>
    <w:rsid w:val="00621EA5"/>
    <w:rsid w:val="006237EE"/>
    <w:rsid w:val="00624A53"/>
    <w:rsid w:val="00627BC2"/>
    <w:rsid w:val="00633E18"/>
    <w:rsid w:val="00634820"/>
    <w:rsid w:val="00634F77"/>
    <w:rsid w:val="00634FB3"/>
    <w:rsid w:val="00637C15"/>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4B96"/>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1C2B"/>
    <w:rsid w:val="006B2190"/>
    <w:rsid w:val="006B2291"/>
    <w:rsid w:val="006B7532"/>
    <w:rsid w:val="006C1AA4"/>
    <w:rsid w:val="006C1AD2"/>
    <w:rsid w:val="006C200E"/>
    <w:rsid w:val="006C2210"/>
    <w:rsid w:val="006C3CA0"/>
    <w:rsid w:val="006C6504"/>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6E4E"/>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BE1"/>
    <w:rsid w:val="00726EC8"/>
    <w:rsid w:val="007322B6"/>
    <w:rsid w:val="00733604"/>
    <w:rsid w:val="00734C7A"/>
    <w:rsid w:val="00735499"/>
    <w:rsid w:val="00735DF4"/>
    <w:rsid w:val="00736476"/>
    <w:rsid w:val="00736D5D"/>
    <w:rsid w:val="00736F52"/>
    <w:rsid w:val="00737385"/>
    <w:rsid w:val="00740961"/>
    <w:rsid w:val="00741BF8"/>
    <w:rsid w:val="0074230F"/>
    <w:rsid w:val="00742857"/>
    <w:rsid w:val="00742B7F"/>
    <w:rsid w:val="00742BD7"/>
    <w:rsid w:val="00744299"/>
    <w:rsid w:val="0074743A"/>
    <w:rsid w:val="00747A8A"/>
    <w:rsid w:val="007518DA"/>
    <w:rsid w:val="00751A5F"/>
    <w:rsid w:val="00752548"/>
    <w:rsid w:val="007534E4"/>
    <w:rsid w:val="00754047"/>
    <w:rsid w:val="007564D8"/>
    <w:rsid w:val="00757D22"/>
    <w:rsid w:val="00757D80"/>
    <w:rsid w:val="007614F1"/>
    <w:rsid w:val="00761D74"/>
    <w:rsid w:val="00762D52"/>
    <w:rsid w:val="0076315C"/>
    <w:rsid w:val="00764533"/>
    <w:rsid w:val="00764E1E"/>
    <w:rsid w:val="007670CF"/>
    <w:rsid w:val="00767A94"/>
    <w:rsid w:val="00770E8B"/>
    <w:rsid w:val="00772761"/>
    <w:rsid w:val="0077582A"/>
    <w:rsid w:val="00777B26"/>
    <w:rsid w:val="00780692"/>
    <w:rsid w:val="007825AF"/>
    <w:rsid w:val="00784898"/>
    <w:rsid w:val="00785C17"/>
    <w:rsid w:val="00786149"/>
    <w:rsid w:val="0078625A"/>
    <w:rsid w:val="007937A7"/>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709D"/>
    <w:rsid w:val="007B7FDF"/>
    <w:rsid w:val="007C17C6"/>
    <w:rsid w:val="007C34E6"/>
    <w:rsid w:val="007C3F74"/>
    <w:rsid w:val="007C4CE5"/>
    <w:rsid w:val="007C5740"/>
    <w:rsid w:val="007C72A2"/>
    <w:rsid w:val="007D0406"/>
    <w:rsid w:val="007D2430"/>
    <w:rsid w:val="007D34B7"/>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5F4C"/>
    <w:rsid w:val="007F7A7B"/>
    <w:rsid w:val="007F7CF3"/>
    <w:rsid w:val="008004FF"/>
    <w:rsid w:val="00800BFD"/>
    <w:rsid w:val="008012AA"/>
    <w:rsid w:val="008065C6"/>
    <w:rsid w:val="008069A5"/>
    <w:rsid w:val="00807C2C"/>
    <w:rsid w:val="00807D7A"/>
    <w:rsid w:val="008121BC"/>
    <w:rsid w:val="00812DC2"/>
    <w:rsid w:val="008171AF"/>
    <w:rsid w:val="00817389"/>
    <w:rsid w:val="008175D3"/>
    <w:rsid w:val="00820448"/>
    <w:rsid w:val="00820BA5"/>
    <w:rsid w:val="008215AF"/>
    <w:rsid w:val="00821F2D"/>
    <w:rsid w:val="008220CB"/>
    <w:rsid w:val="0082377D"/>
    <w:rsid w:val="008242C5"/>
    <w:rsid w:val="00824D04"/>
    <w:rsid w:val="00824F02"/>
    <w:rsid w:val="00825B1B"/>
    <w:rsid w:val="00826345"/>
    <w:rsid w:val="00826574"/>
    <w:rsid w:val="0082773F"/>
    <w:rsid w:val="00830684"/>
    <w:rsid w:val="00831CBD"/>
    <w:rsid w:val="00831E8D"/>
    <w:rsid w:val="00832B44"/>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13B"/>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B7298"/>
    <w:rsid w:val="008C1389"/>
    <w:rsid w:val="008C21BD"/>
    <w:rsid w:val="008C2FC5"/>
    <w:rsid w:val="008C44A7"/>
    <w:rsid w:val="008C564E"/>
    <w:rsid w:val="008C6043"/>
    <w:rsid w:val="008C6EC4"/>
    <w:rsid w:val="008C7E5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37B"/>
    <w:rsid w:val="0090586E"/>
    <w:rsid w:val="00906974"/>
    <w:rsid w:val="00907907"/>
    <w:rsid w:val="00910A14"/>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5FE6"/>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487D"/>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09E1"/>
    <w:rsid w:val="009B1FE6"/>
    <w:rsid w:val="009B3AE0"/>
    <w:rsid w:val="009B4D10"/>
    <w:rsid w:val="009B4DF8"/>
    <w:rsid w:val="009B5B93"/>
    <w:rsid w:val="009B6F3F"/>
    <w:rsid w:val="009B7B3F"/>
    <w:rsid w:val="009C0AE6"/>
    <w:rsid w:val="009C179B"/>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35AB"/>
    <w:rsid w:val="009E4771"/>
    <w:rsid w:val="009E7846"/>
    <w:rsid w:val="009F3F26"/>
    <w:rsid w:val="009F4EBA"/>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6C03"/>
    <w:rsid w:val="00A27D9D"/>
    <w:rsid w:val="00A301DC"/>
    <w:rsid w:val="00A336FE"/>
    <w:rsid w:val="00A355CF"/>
    <w:rsid w:val="00A409A2"/>
    <w:rsid w:val="00A4339F"/>
    <w:rsid w:val="00A44C3A"/>
    <w:rsid w:val="00A45D50"/>
    <w:rsid w:val="00A470B1"/>
    <w:rsid w:val="00A508A5"/>
    <w:rsid w:val="00A51D03"/>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0B83"/>
    <w:rsid w:val="00A71A65"/>
    <w:rsid w:val="00A71E59"/>
    <w:rsid w:val="00A72561"/>
    <w:rsid w:val="00A7374C"/>
    <w:rsid w:val="00A73AD4"/>
    <w:rsid w:val="00A73CBB"/>
    <w:rsid w:val="00A7449E"/>
    <w:rsid w:val="00A74E3F"/>
    <w:rsid w:val="00A757F6"/>
    <w:rsid w:val="00A77213"/>
    <w:rsid w:val="00A77420"/>
    <w:rsid w:val="00A7766D"/>
    <w:rsid w:val="00A801F0"/>
    <w:rsid w:val="00A80365"/>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455"/>
    <w:rsid w:val="00AC6F82"/>
    <w:rsid w:val="00AC71D8"/>
    <w:rsid w:val="00AC72B9"/>
    <w:rsid w:val="00AD0A7E"/>
    <w:rsid w:val="00AD3085"/>
    <w:rsid w:val="00AD34EA"/>
    <w:rsid w:val="00AD3A66"/>
    <w:rsid w:val="00AD3AB3"/>
    <w:rsid w:val="00AD3D2D"/>
    <w:rsid w:val="00AD415A"/>
    <w:rsid w:val="00AD4418"/>
    <w:rsid w:val="00AD495C"/>
    <w:rsid w:val="00AD58DE"/>
    <w:rsid w:val="00AD6A04"/>
    <w:rsid w:val="00AD6B20"/>
    <w:rsid w:val="00AD6BB9"/>
    <w:rsid w:val="00AD74DC"/>
    <w:rsid w:val="00AE0333"/>
    <w:rsid w:val="00AE0FF1"/>
    <w:rsid w:val="00AE1226"/>
    <w:rsid w:val="00AE19FA"/>
    <w:rsid w:val="00AE26A3"/>
    <w:rsid w:val="00AE322F"/>
    <w:rsid w:val="00AE4322"/>
    <w:rsid w:val="00AE43F1"/>
    <w:rsid w:val="00AE4888"/>
    <w:rsid w:val="00AE5030"/>
    <w:rsid w:val="00AE784F"/>
    <w:rsid w:val="00AF08C6"/>
    <w:rsid w:val="00AF0F34"/>
    <w:rsid w:val="00AF1393"/>
    <w:rsid w:val="00AF17B2"/>
    <w:rsid w:val="00AF17C2"/>
    <w:rsid w:val="00AF4FAC"/>
    <w:rsid w:val="00AF5D78"/>
    <w:rsid w:val="00AF6D9D"/>
    <w:rsid w:val="00AF7B9E"/>
    <w:rsid w:val="00B0124F"/>
    <w:rsid w:val="00B032B0"/>
    <w:rsid w:val="00B038E7"/>
    <w:rsid w:val="00B04355"/>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4DE4"/>
    <w:rsid w:val="00B35FA2"/>
    <w:rsid w:val="00B368D5"/>
    <w:rsid w:val="00B37DCC"/>
    <w:rsid w:val="00B4261A"/>
    <w:rsid w:val="00B44EB0"/>
    <w:rsid w:val="00B45360"/>
    <w:rsid w:val="00B4577B"/>
    <w:rsid w:val="00B45DE1"/>
    <w:rsid w:val="00B46549"/>
    <w:rsid w:val="00B47602"/>
    <w:rsid w:val="00B50A62"/>
    <w:rsid w:val="00B5227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77C9B"/>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D4D"/>
    <w:rsid w:val="00BA3ED6"/>
    <w:rsid w:val="00BA4B22"/>
    <w:rsid w:val="00BA4E0C"/>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32A"/>
    <w:rsid w:val="00BE05B1"/>
    <w:rsid w:val="00BE1B14"/>
    <w:rsid w:val="00BE2B02"/>
    <w:rsid w:val="00BE2DE0"/>
    <w:rsid w:val="00BE4255"/>
    <w:rsid w:val="00BE64CC"/>
    <w:rsid w:val="00BE7D8D"/>
    <w:rsid w:val="00BF03B9"/>
    <w:rsid w:val="00BF3074"/>
    <w:rsid w:val="00BF3BF3"/>
    <w:rsid w:val="00BF54C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3CE"/>
    <w:rsid w:val="00C15458"/>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6752F"/>
    <w:rsid w:val="00C74447"/>
    <w:rsid w:val="00C74897"/>
    <w:rsid w:val="00C74B20"/>
    <w:rsid w:val="00C770B7"/>
    <w:rsid w:val="00C80C4B"/>
    <w:rsid w:val="00C8229D"/>
    <w:rsid w:val="00C841DC"/>
    <w:rsid w:val="00C8560F"/>
    <w:rsid w:val="00C86706"/>
    <w:rsid w:val="00C90ABE"/>
    <w:rsid w:val="00C9108A"/>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0D7"/>
    <w:rsid w:val="00CD7471"/>
    <w:rsid w:val="00CE0303"/>
    <w:rsid w:val="00CE259C"/>
    <w:rsid w:val="00CE515A"/>
    <w:rsid w:val="00CE6364"/>
    <w:rsid w:val="00CE6532"/>
    <w:rsid w:val="00CE6C58"/>
    <w:rsid w:val="00CE75B8"/>
    <w:rsid w:val="00CE7BAE"/>
    <w:rsid w:val="00CF0F53"/>
    <w:rsid w:val="00CF1A51"/>
    <w:rsid w:val="00CF1ED0"/>
    <w:rsid w:val="00CF3C5B"/>
    <w:rsid w:val="00CF4F8C"/>
    <w:rsid w:val="00CF764B"/>
    <w:rsid w:val="00D00B5B"/>
    <w:rsid w:val="00D00B7A"/>
    <w:rsid w:val="00D01D5A"/>
    <w:rsid w:val="00D046A8"/>
    <w:rsid w:val="00D05349"/>
    <w:rsid w:val="00D05EF0"/>
    <w:rsid w:val="00D06C1D"/>
    <w:rsid w:val="00D073C1"/>
    <w:rsid w:val="00D11270"/>
    <w:rsid w:val="00D11D43"/>
    <w:rsid w:val="00D13D68"/>
    <w:rsid w:val="00D13DC3"/>
    <w:rsid w:val="00D14BF1"/>
    <w:rsid w:val="00D14C05"/>
    <w:rsid w:val="00D1626F"/>
    <w:rsid w:val="00D16888"/>
    <w:rsid w:val="00D17ABE"/>
    <w:rsid w:val="00D21360"/>
    <w:rsid w:val="00D22046"/>
    <w:rsid w:val="00D223C6"/>
    <w:rsid w:val="00D223F4"/>
    <w:rsid w:val="00D22E8E"/>
    <w:rsid w:val="00D240A4"/>
    <w:rsid w:val="00D243F6"/>
    <w:rsid w:val="00D25F79"/>
    <w:rsid w:val="00D27FA5"/>
    <w:rsid w:val="00D33209"/>
    <w:rsid w:val="00D3546F"/>
    <w:rsid w:val="00D3632D"/>
    <w:rsid w:val="00D36B71"/>
    <w:rsid w:val="00D40893"/>
    <w:rsid w:val="00D419BB"/>
    <w:rsid w:val="00D41E2C"/>
    <w:rsid w:val="00D42EA2"/>
    <w:rsid w:val="00D445A9"/>
    <w:rsid w:val="00D44E86"/>
    <w:rsid w:val="00D502BE"/>
    <w:rsid w:val="00D50706"/>
    <w:rsid w:val="00D50957"/>
    <w:rsid w:val="00D5100A"/>
    <w:rsid w:val="00D51297"/>
    <w:rsid w:val="00D517BD"/>
    <w:rsid w:val="00D520D0"/>
    <w:rsid w:val="00D530F4"/>
    <w:rsid w:val="00D57756"/>
    <w:rsid w:val="00D60427"/>
    <w:rsid w:val="00D60BE1"/>
    <w:rsid w:val="00D621E4"/>
    <w:rsid w:val="00D6259C"/>
    <w:rsid w:val="00D63099"/>
    <w:rsid w:val="00D630DA"/>
    <w:rsid w:val="00D70797"/>
    <w:rsid w:val="00D70A35"/>
    <w:rsid w:val="00D71CF3"/>
    <w:rsid w:val="00D7220C"/>
    <w:rsid w:val="00D728A1"/>
    <w:rsid w:val="00D739AF"/>
    <w:rsid w:val="00D74115"/>
    <w:rsid w:val="00D74F23"/>
    <w:rsid w:val="00D75DBB"/>
    <w:rsid w:val="00D80D4F"/>
    <w:rsid w:val="00D81ED7"/>
    <w:rsid w:val="00D85676"/>
    <w:rsid w:val="00D86279"/>
    <w:rsid w:val="00D87884"/>
    <w:rsid w:val="00D91765"/>
    <w:rsid w:val="00D9275F"/>
    <w:rsid w:val="00D97F4E"/>
    <w:rsid w:val="00DA0EA1"/>
    <w:rsid w:val="00DA189B"/>
    <w:rsid w:val="00DA1FF8"/>
    <w:rsid w:val="00DA310E"/>
    <w:rsid w:val="00DA4153"/>
    <w:rsid w:val="00DA46CA"/>
    <w:rsid w:val="00DA48FC"/>
    <w:rsid w:val="00DA516A"/>
    <w:rsid w:val="00DA789E"/>
    <w:rsid w:val="00DA7C37"/>
    <w:rsid w:val="00DB08D7"/>
    <w:rsid w:val="00DB1621"/>
    <w:rsid w:val="00DB2396"/>
    <w:rsid w:val="00DB2717"/>
    <w:rsid w:val="00DC019C"/>
    <w:rsid w:val="00DC0546"/>
    <w:rsid w:val="00DC099F"/>
    <w:rsid w:val="00DC0D7A"/>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B85"/>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AF3"/>
    <w:rsid w:val="00E74481"/>
    <w:rsid w:val="00E7515F"/>
    <w:rsid w:val="00E76C5E"/>
    <w:rsid w:val="00E771FC"/>
    <w:rsid w:val="00E7764E"/>
    <w:rsid w:val="00E83B07"/>
    <w:rsid w:val="00E8411D"/>
    <w:rsid w:val="00E911D5"/>
    <w:rsid w:val="00E91D8A"/>
    <w:rsid w:val="00E93DD6"/>
    <w:rsid w:val="00E963F6"/>
    <w:rsid w:val="00E969E0"/>
    <w:rsid w:val="00E96C60"/>
    <w:rsid w:val="00E96D64"/>
    <w:rsid w:val="00E971AD"/>
    <w:rsid w:val="00E9760C"/>
    <w:rsid w:val="00EA13CF"/>
    <w:rsid w:val="00EA1E07"/>
    <w:rsid w:val="00EA2EFF"/>
    <w:rsid w:val="00EA3B2B"/>
    <w:rsid w:val="00EA5228"/>
    <w:rsid w:val="00EA5E7F"/>
    <w:rsid w:val="00EA7170"/>
    <w:rsid w:val="00EB1D79"/>
    <w:rsid w:val="00EB2776"/>
    <w:rsid w:val="00EB2E11"/>
    <w:rsid w:val="00EB354D"/>
    <w:rsid w:val="00EB4812"/>
    <w:rsid w:val="00EB4EEB"/>
    <w:rsid w:val="00EB576C"/>
    <w:rsid w:val="00EC10D3"/>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452D"/>
    <w:rsid w:val="00EE564D"/>
    <w:rsid w:val="00EE63B3"/>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6A61"/>
    <w:rsid w:val="00F07072"/>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37DD6"/>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667F1"/>
    <w:rsid w:val="00F7091E"/>
    <w:rsid w:val="00F72927"/>
    <w:rsid w:val="00F74576"/>
    <w:rsid w:val="00F74917"/>
    <w:rsid w:val="00F74CB7"/>
    <w:rsid w:val="00F757B4"/>
    <w:rsid w:val="00F769A1"/>
    <w:rsid w:val="00F77314"/>
    <w:rsid w:val="00F8100C"/>
    <w:rsid w:val="00F8137C"/>
    <w:rsid w:val="00F832F7"/>
    <w:rsid w:val="00F83B5B"/>
    <w:rsid w:val="00F84414"/>
    <w:rsid w:val="00F85659"/>
    <w:rsid w:val="00F86D51"/>
    <w:rsid w:val="00F874BC"/>
    <w:rsid w:val="00F90E78"/>
    <w:rsid w:val="00F91261"/>
    <w:rsid w:val="00F91A62"/>
    <w:rsid w:val="00F92F11"/>
    <w:rsid w:val="00F9329F"/>
    <w:rsid w:val="00F9364A"/>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8F0"/>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2E05"/>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customStyle="1" w:styleId="UnresolvedMention1">
    <w:name w:val="Unresolved Mention1"/>
    <w:basedOn w:val="DefaultParagraphFont"/>
    <w:uiPriority w:val="99"/>
    <w:semiHidden/>
    <w:unhideWhenUsed/>
    <w:rsid w:val="004075FF"/>
    <w:rPr>
      <w:color w:val="605E5C"/>
      <w:shd w:val="clear" w:color="auto" w:fill="E1DFDD"/>
    </w:rPr>
  </w:style>
  <w:style w:type="character" w:customStyle="1" w:styleId="highlight">
    <w:name w:val="highlight"/>
    <w:basedOn w:val="DefaultParagraphFont"/>
    <w:rsid w:val="0098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BE57-6663-482B-8B1D-318D246E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1073</cp:revision>
  <cp:lastPrinted>2022-11-24T06:30:00Z</cp:lastPrinted>
  <dcterms:created xsi:type="dcterms:W3CDTF">2022-09-21T09:36:00Z</dcterms:created>
  <dcterms:modified xsi:type="dcterms:W3CDTF">2022-11-24T06:30:00Z</dcterms:modified>
</cp:coreProperties>
</file>