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6E3331F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3DB7CA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13CBA675" w:rsidR="004B7C2D" w:rsidRPr="00AA70C1" w:rsidRDefault="00AA7C5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06BD9F7D" wp14:editId="58BFB2CB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587507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4335CE3E" w:rsidR="00AF3FD1" w:rsidRPr="00AF3FD1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AF3FD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HC-318 (CNT-19)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2959BB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B45BE5F" w14:textId="77777777" w:rsidR="009534D6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7A911D9" w14:textId="77777777" w:rsidR="00AA7C59" w:rsidRPr="00AA7C59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tổn thương mắt nghiêm trọng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ADE4ECE" w:rsidR="00AA7C59" w:rsidRPr="005B200B" w:rsidRDefault="00AA7C59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Độc đối với sinh vật thuỷ sinh</w:t>
            </w:r>
            <w:r w:rsidRPr="00AA7C5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959BB">
        <w:trPr>
          <w:trHeight w:val="296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CB09A6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CD24124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2E60E6" w:rsidRPr="00CB09A6">
              <w:rPr>
                <w:rFonts w:eastAsia="Arial" w:cs="Times New Roman"/>
                <w:sz w:val="24"/>
                <w:szCs w:val="24"/>
                <w:lang w:val="en-US"/>
              </w:rPr>
              <w:t>K</w:t>
            </w:r>
            <w:r w:rsidR="002E60E6" w:rsidRPr="00CB09A6">
              <w:rPr>
                <w:rFonts w:eastAsia="Arial" w:cs="Times New Roman"/>
                <w:sz w:val="24"/>
                <w:szCs w:val="24"/>
              </w:rPr>
              <w:t>h</w:t>
            </w:r>
            <w:r w:rsidR="002E60E6" w:rsidRPr="00CB09A6">
              <w:rPr>
                <w:rFonts w:eastAsia="Arial" w:cs="Times New Roman"/>
                <w:sz w:val="24"/>
                <w:szCs w:val="24"/>
                <w:lang w:val="en-US"/>
              </w:rPr>
              <w:t>ông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</w:t>
            </w:r>
            <w:r w:rsidR="00CB09A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khí/sươn</w:t>
            </w:r>
            <w:r w:rsidR="007E0D63" w:rsidRPr="00CB09A6">
              <w:rPr>
                <w:rFonts w:eastAsia="Arial" w:cs="Times New Roman"/>
                <w:sz w:val="24"/>
                <w:szCs w:val="24"/>
                <w:lang w:val="en-US"/>
              </w:rPr>
              <w:t>g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/hơi/</w:t>
            </w:r>
            <w:r w:rsidR="007E0D63" w:rsidRPr="00CB09A6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CB09A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A1EAECB" w14:textId="77777777" w:rsidR="004B7C2D" w:rsidRPr="00CB09A6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7AA79A7" w14:textId="77777777" w:rsidR="007E0D63" w:rsidRPr="00CB09A6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Đậy kín vật chứa và bảo quản ở n</w:t>
            </w:r>
            <w:r w:rsidRPr="00CB09A6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CB09A6">
              <w:rPr>
                <w:noProof/>
                <w:sz w:val="24"/>
                <w:szCs w:val="24"/>
              </w:rPr>
              <w:t xml:space="preserve"> khô ráo</w:t>
            </w:r>
            <w:r w:rsidRPr="00CB09A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B09A6">
              <w:rPr>
                <w:noProof/>
                <w:sz w:val="24"/>
                <w:szCs w:val="24"/>
              </w:rPr>
              <w:t xml:space="preserve"> </w:t>
            </w:r>
            <w:r w:rsidRPr="00CB09A6">
              <w:rPr>
                <w:noProof/>
                <w:sz w:val="24"/>
                <w:szCs w:val="24"/>
                <w:lang w:val="en-US"/>
              </w:rPr>
              <w:t>thông thoáng</w:t>
            </w:r>
            <w:r w:rsidRPr="00CB09A6">
              <w:rPr>
                <w:noProof/>
                <w:sz w:val="24"/>
                <w:szCs w:val="24"/>
              </w:rPr>
              <w:t xml:space="preserve">. </w:t>
            </w:r>
          </w:p>
          <w:p w14:paraId="3931E8DF" w14:textId="36E51B7D" w:rsidR="007E0D63" w:rsidRPr="00CB09A6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304D2B" w:rsidRPr="00CB09A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304D2B" w:rsidRPr="00CB09A6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</w:t>
            </w:r>
            <w:r w:rsidR="00304D2B" w:rsidRPr="00CB09A6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CB09A6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3209B357" w:rsidR="007E0D63" w:rsidRPr="007E0D63" w:rsidRDefault="007E0D63" w:rsidP="007E0D6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B09A6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126" w:type="dxa"/>
            <w:vAlign w:val="center"/>
          </w:tcPr>
          <w:p w14:paraId="476DE2A0" w14:textId="26C4E221" w:rsidR="004B7C2D" w:rsidRPr="008B782E" w:rsidRDefault="00CB09A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53252C55">
                  <wp:simplePos x="0" y="0"/>
                  <wp:positionH relativeFrom="column">
                    <wp:posOffset>664845</wp:posOffset>
                  </wp:positionH>
                  <wp:positionV relativeFrom="paragraph">
                    <wp:posOffset>40640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03605A46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1142365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0994A39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BD1D595" w:rsidR="004B7C2D" w:rsidRPr="008B782E" w:rsidRDefault="00CB09A6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398C0464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314325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9EB502A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875665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959BB">
        <w:trPr>
          <w:trHeight w:val="25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959BB">
        <w:trPr>
          <w:trHeight w:val="367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4E589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Tránh tiếp xúc, chạm vào hoặc đi</w:t>
            </w:r>
            <w:bookmarkStart w:id="1" w:name="_GoBack"/>
            <w:bookmarkEnd w:id="1"/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CCB5A5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C91B16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959BB"/>
    <w:rsid w:val="002A5226"/>
    <w:rsid w:val="002A5317"/>
    <w:rsid w:val="002B4279"/>
    <w:rsid w:val="002C665E"/>
    <w:rsid w:val="002E60E6"/>
    <w:rsid w:val="0030494B"/>
    <w:rsid w:val="00304D2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6E0BCC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1067"/>
    <w:rsid w:val="007B2A49"/>
    <w:rsid w:val="007E0347"/>
    <w:rsid w:val="007E0D63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1B16"/>
    <w:rsid w:val="00C943C7"/>
    <w:rsid w:val="00CA3146"/>
    <w:rsid w:val="00CB09A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cp:lastPrinted>2022-10-12T03:29:00Z</cp:lastPrinted>
  <dcterms:created xsi:type="dcterms:W3CDTF">2022-10-10T07:03:00Z</dcterms:created>
  <dcterms:modified xsi:type="dcterms:W3CDTF">2022-11-23T04:06:00Z</dcterms:modified>
</cp:coreProperties>
</file>