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10"/>
        <w:gridCol w:w="142"/>
        <w:gridCol w:w="5746"/>
        <w:gridCol w:w="491"/>
        <w:gridCol w:w="567"/>
        <w:gridCol w:w="1984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5DFC3FB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1D0722E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476D7FEB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F56FE5">
        <w:trPr>
          <w:trHeight w:val="425"/>
        </w:trPr>
        <w:tc>
          <w:tcPr>
            <w:tcW w:w="2410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0127832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F56FE5">
        <w:trPr>
          <w:trHeight w:val="559"/>
        </w:trPr>
        <w:tc>
          <w:tcPr>
            <w:tcW w:w="2410" w:type="dxa"/>
            <w:vMerge w:val="restart"/>
            <w:shd w:val="clear" w:color="auto" w:fill="auto"/>
          </w:tcPr>
          <w:p w14:paraId="2DDC36E2" w14:textId="4AEDCA21" w:rsidR="004B7C2D" w:rsidRPr="000568DD" w:rsidRDefault="004B7C2D" w:rsidP="000568DD">
            <w:pPr>
              <w:spacing w:before="12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Mối nguy</w:t>
            </w:r>
            <w:r w:rsidR="000568D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263695B3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63B72EB5" w:rsidR="004B7C2D" w:rsidRPr="00AA70C1" w:rsidRDefault="00711FBA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719680" behindDoc="0" locked="0" layoutInCell="1" allowOverlap="1" wp14:anchorId="0587D210" wp14:editId="734EB8BB">
                  <wp:simplePos x="0" y="0"/>
                  <wp:positionH relativeFrom="column">
                    <wp:posOffset>-35560</wp:posOffset>
                  </wp:positionH>
                  <wp:positionV relativeFrom="paragraph">
                    <wp:posOffset>608198</wp:posOffset>
                  </wp:positionV>
                  <wp:extent cx="1428750" cy="142875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HS05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930" w:type="dxa"/>
            <w:gridSpan w:val="5"/>
            <w:vAlign w:val="center"/>
          </w:tcPr>
          <w:p w14:paraId="6F7F549E" w14:textId="272EF731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HUNTEX</w:t>
            </w:r>
            <w:bookmarkEnd w:id="0"/>
            <w:r w:rsidR="0083524E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 </w:t>
            </w:r>
            <w:r w:rsidR="00B143D2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PASP-18</w:t>
            </w:r>
          </w:p>
        </w:tc>
      </w:tr>
      <w:tr w:rsidR="004B7C2D" w:rsidRPr="009F23BA" w14:paraId="1B71B301" w14:textId="77777777" w:rsidTr="00F56FE5">
        <w:trPr>
          <w:trHeight w:val="424"/>
        </w:trPr>
        <w:tc>
          <w:tcPr>
            <w:tcW w:w="2410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930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2D2CE2" w:rsidRPr="009F23BA" w14:paraId="1D94278B" w14:textId="77777777" w:rsidTr="00F56FE5">
        <w:trPr>
          <w:trHeight w:val="1395"/>
        </w:trPr>
        <w:tc>
          <w:tcPr>
            <w:tcW w:w="2410" w:type="dxa"/>
            <w:vMerge/>
            <w:shd w:val="clear" w:color="auto" w:fill="auto"/>
            <w:vAlign w:val="center"/>
          </w:tcPr>
          <w:p w14:paraId="73ECF870" w14:textId="77777777" w:rsidR="002D2CE2" w:rsidRPr="00E31ADE" w:rsidRDefault="002D2C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379" w:type="dxa"/>
            <w:gridSpan w:val="3"/>
            <w:vAlign w:val="center"/>
          </w:tcPr>
          <w:p w14:paraId="1AB30517" w14:textId="60D6FBC6" w:rsidR="00246164" w:rsidRPr="009432E4" w:rsidRDefault="00246164" w:rsidP="009432E4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9432E4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</w:rPr>
              <w:t>Có thể có hại nếu nuốt phải</w:t>
            </w:r>
            <w:r w:rsidRPr="009432E4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1E54D86F" w14:textId="06D8C160" w:rsidR="002D2CE2" w:rsidRPr="009432E4" w:rsidRDefault="00921A00" w:rsidP="009432E4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9432E4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kích ứng d</w:t>
            </w:r>
            <w:r w:rsidR="00711FBA" w:rsidRPr="009432E4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a</w:t>
            </w:r>
            <w:r w:rsidRPr="009432E4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407723FE" w14:textId="3652F39D" w:rsidR="002D2CE2" w:rsidRPr="009432E4" w:rsidRDefault="002D2CE2" w:rsidP="009432E4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9432E4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Gây </w:t>
            </w:r>
            <w:r w:rsidR="00711FBA" w:rsidRPr="009432E4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tổn thương </w:t>
            </w:r>
            <w:r w:rsidRPr="009432E4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mắt nghiêm trọng</w:t>
            </w:r>
            <w:r w:rsidRPr="009432E4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309A302A" w:rsidR="00921A00" w:rsidRPr="00711FBA" w:rsidRDefault="00711FBA" w:rsidP="009432E4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9432E4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Độc </w:t>
            </w:r>
            <w:r w:rsidR="00921A00" w:rsidRPr="009432E4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đối với sinh vật thuỷ sinh</w:t>
            </w:r>
            <w:r w:rsidR="0083524E" w:rsidRPr="009432E4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551" w:type="dxa"/>
            <w:gridSpan w:val="2"/>
            <w:vAlign w:val="center"/>
          </w:tcPr>
          <w:p w14:paraId="60DD1C51" w14:textId="6A108E81" w:rsidR="002D2CE2" w:rsidRPr="008B782E" w:rsidRDefault="001B30CE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3536" behindDoc="0" locked="0" layoutInCell="1" allowOverlap="1" wp14:anchorId="431509DF" wp14:editId="456DBD56">
                  <wp:simplePos x="0" y="0"/>
                  <wp:positionH relativeFrom="column">
                    <wp:posOffset>483870</wp:posOffset>
                  </wp:positionH>
                  <wp:positionV relativeFrom="paragraph">
                    <wp:posOffset>35560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2512" behindDoc="0" locked="0" layoutInCell="1" allowOverlap="1" wp14:anchorId="243F3998" wp14:editId="1837DE08">
                  <wp:simplePos x="0" y="0"/>
                  <wp:positionH relativeFrom="column">
                    <wp:posOffset>999490</wp:posOffset>
                  </wp:positionH>
                  <wp:positionV relativeFrom="paragraph">
                    <wp:posOffset>38100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1488" behindDoc="0" locked="0" layoutInCell="1" allowOverlap="1" wp14:anchorId="5A3D60E0" wp14:editId="4FCBFCB0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51435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>
              <w:t xml:space="preserve"> </w:t>
            </w:r>
          </w:p>
        </w:tc>
      </w:tr>
      <w:tr w:rsidR="004B7C2D" w:rsidRPr="009F23BA" w14:paraId="74F101B9" w14:textId="77777777" w:rsidTr="00F56FE5">
        <w:trPr>
          <w:trHeight w:val="417"/>
        </w:trPr>
        <w:tc>
          <w:tcPr>
            <w:tcW w:w="2410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930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2D2CE2" w:rsidRPr="009F23BA" w14:paraId="5D9BDCBB" w14:textId="77777777" w:rsidTr="00F379AE">
        <w:trPr>
          <w:trHeight w:val="3102"/>
        </w:trPr>
        <w:tc>
          <w:tcPr>
            <w:tcW w:w="2410" w:type="dxa"/>
            <w:vMerge/>
            <w:shd w:val="clear" w:color="auto" w:fill="auto"/>
            <w:vAlign w:val="center"/>
          </w:tcPr>
          <w:p w14:paraId="5CDC161C" w14:textId="77777777" w:rsidR="002D2CE2" w:rsidRPr="00E31ADE" w:rsidRDefault="002D2C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946" w:type="dxa"/>
            <w:gridSpan w:val="4"/>
            <w:vAlign w:val="center"/>
          </w:tcPr>
          <w:p w14:paraId="43E61062" w14:textId="77777777" w:rsidR="002D2CE2" w:rsidRPr="00694D09" w:rsidRDefault="002D2CE2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694D09"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  <w:t>Làm việc trong khu vực thông gió tốt.</w:t>
            </w:r>
          </w:p>
          <w:p w14:paraId="6C0F517F" w14:textId="277A9BC7" w:rsidR="002D2CE2" w:rsidRPr="00694D09" w:rsidRDefault="00656A4D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694D09">
              <w:rPr>
                <w:rFonts w:asciiTheme="majorHAnsi" w:hAnsiTheme="majorHAnsi" w:cstheme="majorHAnsi"/>
                <w:sz w:val="24"/>
                <w:szCs w:val="24"/>
              </w:rPr>
              <w:t xml:space="preserve">Mang </w:t>
            </w:r>
            <w:r w:rsidR="00742B42" w:rsidRPr="00694D09">
              <w:rPr>
                <w:rFonts w:asciiTheme="majorHAnsi" w:hAnsiTheme="majorHAnsi" w:cstheme="majorHAnsi"/>
                <w:sz w:val="24"/>
                <w:szCs w:val="24"/>
              </w:rPr>
              <w:t>găng tay bảo hộ/quần áo bảo hộ/bảo vệ mắt/bảo vệ mặt</w:t>
            </w:r>
            <w:r w:rsidR="002D2CE2" w:rsidRPr="00694D09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22B6636F" w14:textId="1507900F" w:rsidR="002D2CE2" w:rsidRPr="00694D09" w:rsidRDefault="002D2CE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694D0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694D09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F379AE">
              <w:rPr>
                <w:rFonts w:eastAsia="Arial" w:cs="Times New Roman"/>
                <w:sz w:val="24"/>
                <w:szCs w:val="24"/>
                <w:lang w:val="en-US"/>
              </w:rPr>
              <w:t>Tránh</w:t>
            </w:r>
            <w:r w:rsidRPr="00694D09">
              <w:rPr>
                <w:rFonts w:eastAsia="Arial" w:cs="Times New Roman"/>
                <w:sz w:val="24"/>
                <w:szCs w:val="24"/>
                <w:lang w:val="en-US"/>
              </w:rPr>
              <w:t xml:space="preserve"> hít bụi/khói/khí/ sương/hơi/</w:t>
            </w:r>
            <w:r w:rsidR="00F379AE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694D09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  <w:r w:rsidR="00C164D3" w:rsidRPr="00694D09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16E40D51" w14:textId="77777777" w:rsidR="002D2CE2" w:rsidRPr="00694D09" w:rsidRDefault="002D2CE2" w:rsidP="006B314C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694D09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tay kỹ sau khi sử dụng.</w:t>
            </w:r>
          </w:p>
          <w:p w14:paraId="63554ADB" w14:textId="6D6865E5" w:rsidR="00F56FE5" w:rsidRPr="00694D09" w:rsidRDefault="002D2CE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694D09">
              <w:rPr>
                <w:noProof/>
                <w:sz w:val="24"/>
                <w:szCs w:val="24"/>
              </w:rPr>
              <w:t>Đậy kín vật chứa và bảo quản ở n</w:t>
            </w:r>
            <w:r w:rsidRPr="00694D09">
              <w:rPr>
                <w:noProof/>
                <w:sz w:val="24"/>
                <w:szCs w:val="24"/>
                <w:lang w:val="en-US"/>
              </w:rPr>
              <w:t>ơi mát,</w:t>
            </w:r>
            <w:r w:rsidRPr="00694D09">
              <w:rPr>
                <w:noProof/>
                <w:sz w:val="24"/>
                <w:szCs w:val="24"/>
              </w:rPr>
              <w:t xml:space="preserve"> khô ráo</w:t>
            </w:r>
            <w:r w:rsidRPr="00694D09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694D09">
              <w:rPr>
                <w:noProof/>
                <w:sz w:val="24"/>
                <w:szCs w:val="24"/>
              </w:rPr>
              <w:t xml:space="preserve"> </w:t>
            </w:r>
            <w:r w:rsidRPr="00694D09">
              <w:rPr>
                <w:noProof/>
                <w:sz w:val="24"/>
                <w:szCs w:val="24"/>
                <w:lang w:val="en-US"/>
              </w:rPr>
              <w:t>thông thoáng</w:t>
            </w:r>
            <w:r w:rsidRPr="00694D09">
              <w:rPr>
                <w:noProof/>
                <w:sz w:val="24"/>
                <w:szCs w:val="24"/>
              </w:rPr>
              <w:t>.</w:t>
            </w:r>
            <w:r w:rsidR="00F56FE5" w:rsidRPr="00694D09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  <w:p w14:paraId="38F04413" w14:textId="77777777" w:rsidR="002D2CE2" w:rsidRPr="00F379AE" w:rsidRDefault="002D2CE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694D09">
              <w:rPr>
                <w:noProof/>
                <w:sz w:val="24"/>
                <w:szCs w:val="24"/>
              </w:rPr>
              <w:t>Bảo quản tránh xa nguồn nhiệt, ngọn lửa, nguồn bắt lửa</w:t>
            </w:r>
            <w:r w:rsidR="0011675A" w:rsidRPr="00694D09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694D09">
              <w:rPr>
                <w:noProof/>
                <w:sz w:val="24"/>
                <w:szCs w:val="24"/>
                <w:lang w:val="en-US"/>
              </w:rPr>
              <w:t xml:space="preserve"> </w:t>
            </w:r>
            <w:r w:rsidRPr="00694D09">
              <w:rPr>
                <w:noProof/>
                <w:sz w:val="24"/>
                <w:szCs w:val="24"/>
              </w:rPr>
              <w:t>các chất không tương thích</w:t>
            </w:r>
            <w:r w:rsidR="00656A4D" w:rsidRPr="00694D09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="000B0CEC" w:rsidRPr="00694D09">
              <w:rPr>
                <w:rFonts w:eastAsia="Arial" w:cs="Times New Roman"/>
                <w:sz w:val="24"/>
                <w:szCs w:val="24"/>
                <w:lang w:val="en-US"/>
              </w:rPr>
              <w:t>chất oxy hóa</w:t>
            </w:r>
            <w:r w:rsidR="0016162B" w:rsidRPr="00694D09">
              <w:rPr>
                <w:rFonts w:eastAsia="Arial" w:cs="Times New Roman"/>
                <w:sz w:val="24"/>
                <w:szCs w:val="24"/>
                <w:lang w:val="en-US"/>
              </w:rPr>
              <w:t xml:space="preserve"> mạnh</w:t>
            </w:r>
            <w:r w:rsidR="00656A4D" w:rsidRPr="00694D09">
              <w:rPr>
                <w:rFonts w:eastAsia="Arial" w:cs="Times New Roman"/>
                <w:sz w:val="24"/>
                <w:szCs w:val="24"/>
                <w:lang w:val="en-US"/>
              </w:rPr>
              <w:t>).</w:t>
            </w:r>
          </w:p>
          <w:p w14:paraId="02490C6A" w14:textId="1664068E" w:rsidR="00F379AE" w:rsidRPr="00F379AE" w:rsidRDefault="00F379AE" w:rsidP="00F379A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694D09">
              <w:rPr>
                <w:noProof/>
                <w:sz w:val="24"/>
                <w:szCs w:val="24"/>
                <w:lang w:val="en-US"/>
              </w:rPr>
              <w:t>Thường xuyêm kiểm tra rò rỉ.</w:t>
            </w:r>
            <w:r w:rsidRPr="00694D09">
              <w:rPr>
                <w:noProof/>
                <w:sz w:val="24"/>
                <w:szCs w:val="24"/>
              </w:rPr>
              <w:t xml:space="preserve"> </w:t>
            </w:r>
            <w:r w:rsidRPr="00694D09">
              <w:rPr>
                <w:noProof/>
                <w:sz w:val="24"/>
                <w:szCs w:val="24"/>
                <w:lang w:val="en-US"/>
              </w:rPr>
              <w:t>Lưu trữ có khóa chặt.</w:t>
            </w:r>
          </w:p>
        </w:tc>
        <w:tc>
          <w:tcPr>
            <w:tcW w:w="1984" w:type="dxa"/>
            <w:vAlign w:val="center"/>
          </w:tcPr>
          <w:p w14:paraId="476DE2A0" w14:textId="0365A95B" w:rsidR="002D2CE2" w:rsidRPr="008B782E" w:rsidRDefault="003664A3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C164D3">
              <w:rPr>
                <w:rFonts w:eastAsia="Arial" w:cs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24800" behindDoc="0" locked="0" layoutInCell="1" allowOverlap="1" wp14:anchorId="005F35AC" wp14:editId="12CED3A0">
                  <wp:simplePos x="0" y="0"/>
                  <wp:positionH relativeFrom="column">
                    <wp:posOffset>574040</wp:posOffset>
                  </wp:positionH>
                  <wp:positionV relativeFrom="paragraph">
                    <wp:posOffset>-22225</wp:posOffset>
                  </wp:positionV>
                  <wp:extent cx="534670" cy="527050"/>
                  <wp:effectExtent l="0" t="0" r="0" b="635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534670" cy="52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64D3">
              <w:rPr>
                <w:rFonts w:eastAsia="Arial" w:cs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23776" behindDoc="0" locked="0" layoutInCell="1" allowOverlap="1" wp14:anchorId="38B3B8E7" wp14:editId="555A2F03">
                  <wp:simplePos x="0" y="0"/>
                  <wp:positionH relativeFrom="column">
                    <wp:posOffset>-34290</wp:posOffset>
                  </wp:positionH>
                  <wp:positionV relativeFrom="paragraph">
                    <wp:posOffset>-13335</wp:posOffset>
                  </wp:positionV>
                  <wp:extent cx="534670" cy="527050"/>
                  <wp:effectExtent l="0" t="0" r="0" b="635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534670" cy="52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379AE" w:rsidRPr="00C164D3">
              <w:rPr>
                <w:rFonts w:eastAsia="Arial" w:cs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25824" behindDoc="0" locked="0" layoutInCell="1" allowOverlap="1" wp14:anchorId="4FF76A8A" wp14:editId="364BACCD">
                  <wp:simplePos x="0" y="0"/>
                  <wp:positionH relativeFrom="column">
                    <wp:posOffset>262890</wp:posOffset>
                  </wp:positionH>
                  <wp:positionV relativeFrom="paragraph">
                    <wp:posOffset>519430</wp:posOffset>
                  </wp:positionV>
                  <wp:extent cx="510540" cy="507365"/>
                  <wp:effectExtent l="0" t="0" r="3810" b="6985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isspng-occupational-safety-and-health-personal-protective-file-din-4844-2-d-m-7-svg-wikimedia-commons-5b7529c3389198.5841200715344050592317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6" t="2456" r="2782" b="3273"/>
                          <a:stretch/>
                        </pic:blipFill>
                        <pic:spPr bwMode="auto">
                          <a:xfrm>
                            <a:off x="0" y="0"/>
                            <a:ext cx="510540" cy="50736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55EB5704" w:rsidR="002D2CE2" w:rsidRPr="008B782E" w:rsidRDefault="003664A3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bookmarkStart w:id="1" w:name="_GoBack"/>
            <w:bookmarkEnd w:id="1"/>
            <w:r w:rsidRPr="00C164D3">
              <w:rPr>
                <w:rFonts w:eastAsia="Arial" w:cs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21728" behindDoc="0" locked="0" layoutInCell="1" allowOverlap="1" wp14:anchorId="2FDFF35E" wp14:editId="27837FCB">
                  <wp:simplePos x="0" y="0"/>
                  <wp:positionH relativeFrom="column">
                    <wp:posOffset>577850</wp:posOffset>
                  </wp:positionH>
                  <wp:positionV relativeFrom="paragraph">
                    <wp:posOffset>784860</wp:posOffset>
                  </wp:positionV>
                  <wp:extent cx="534670" cy="527050"/>
                  <wp:effectExtent l="0" t="0" r="0" b="635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59" t="34107" r="33473" b="33609"/>
                          <a:stretch/>
                        </pic:blipFill>
                        <pic:spPr bwMode="auto">
                          <a:xfrm>
                            <a:off x="0" y="0"/>
                            <a:ext cx="534670" cy="52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64D3">
              <w:rPr>
                <w:rFonts w:eastAsia="Arial" w:cs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22752" behindDoc="0" locked="0" layoutInCell="1" allowOverlap="1" wp14:anchorId="2A4880E6" wp14:editId="3CAA0FC6">
                  <wp:simplePos x="0" y="0"/>
                  <wp:positionH relativeFrom="column">
                    <wp:posOffset>-8890</wp:posOffset>
                  </wp:positionH>
                  <wp:positionV relativeFrom="paragraph">
                    <wp:posOffset>788670</wp:posOffset>
                  </wp:positionV>
                  <wp:extent cx="534670" cy="527050"/>
                  <wp:effectExtent l="0" t="0" r="0" b="635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534670" cy="52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C636A0">
        <w:trPr>
          <w:trHeight w:val="2521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C636A0">
        <w:trPr>
          <w:trHeight w:val="934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C636A0">
        <w:trPr>
          <w:trHeight w:val="3495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079DF229" w:rsidR="004B7C2D" w:rsidRPr="00656A4D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Các chất có thể giải phóng khi cháy: cacbon monoxit, </w:t>
            </w:r>
            <w:r w:rsidRPr="00656A4D">
              <w:rPr>
                <w:rFonts w:eastAsia="Arial" w:cs="Times New Roman"/>
                <w:sz w:val="24"/>
                <w:szCs w:val="24"/>
                <w:lang w:val="en-US"/>
              </w:rPr>
              <w:t>cacbon đioxi</w:t>
            </w:r>
            <w:r w:rsidR="00C02599" w:rsidRPr="00656A4D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2747606B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524856">
        <w:rPr>
          <w:rFonts w:asciiTheme="majorHAnsi" w:hAnsiTheme="majorHAnsi" w:cstheme="majorHAnsi"/>
          <w:sz w:val="24"/>
          <w:szCs w:val="24"/>
          <w:lang w:val="en-US"/>
        </w:rPr>
        <w:t>0</w:t>
      </w:r>
      <w:r w:rsidR="00B143D2">
        <w:rPr>
          <w:rFonts w:asciiTheme="majorHAnsi" w:hAnsiTheme="majorHAnsi" w:cstheme="majorHAnsi"/>
          <w:sz w:val="24"/>
          <w:szCs w:val="24"/>
          <w:lang w:val="en-US"/>
        </w:rPr>
        <w:t>2</w:t>
      </w:r>
      <w:r w:rsidR="009D353C">
        <w:rPr>
          <w:rFonts w:asciiTheme="majorHAnsi" w:hAnsiTheme="majorHAnsi" w:cstheme="majorHAnsi"/>
          <w:sz w:val="24"/>
          <w:szCs w:val="24"/>
          <w:lang w:val="en-US"/>
        </w:rPr>
        <w:t>/</w:t>
      </w:r>
      <w:r w:rsidR="00524856">
        <w:rPr>
          <w:rFonts w:asciiTheme="majorHAnsi" w:hAnsiTheme="majorHAnsi" w:cstheme="majorHAnsi"/>
          <w:sz w:val="24"/>
          <w:szCs w:val="24"/>
          <w:lang w:val="en-US"/>
        </w:rPr>
        <w:t>11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AF18C040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568DD"/>
    <w:rsid w:val="00065C94"/>
    <w:rsid w:val="00071158"/>
    <w:rsid w:val="000A6B46"/>
    <w:rsid w:val="000A6D45"/>
    <w:rsid w:val="000B0CEC"/>
    <w:rsid w:val="000C1773"/>
    <w:rsid w:val="000C4925"/>
    <w:rsid w:val="000D324B"/>
    <w:rsid w:val="000D51C4"/>
    <w:rsid w:val="000E3BBB"/>
    <w:rsid w:val="000E701D"/>
    <w:rsid w:val="000F05C2"/>
    <w:rsid w:val="00111A42"/>
    <w:rsid w:val="00112985"/>
    <w:rsid w:val="001152BC"/>
    <w:rsid w:val="0011675A"/>
    <w:rsid w:val="00117DD3"/>
    <w:rsid w:val="00127105"/>
    <w:rsid w:val="0016162B"/>
    <w:rsid w:val="00182002"/>
    <w:rsid w:val="0018243C"/>
    <w:rsid w:val="00187B78"/>
    <w:rsid w:val="00196620"/>
    <w:rsid w:val="001B2998"/>
    <w:rsid w:val="001B30CE"/>
    <w:rsid w:val="001D0738"/>
    <w:rsid w:val="001E1E83"/>
    <w:rsid w:val="001F0F4C"/>
    <w:rsid w:val="00212D55"/>
    <w:rsid w:val="00212F09"/>
    <w:rsid w:val="00232941"/>
    <w:rsid w:val="00233E5A"/>
    <w:rsid w:val="00237543"/>
    <w:rsid w:val="00246164"/>
    <w:rsid w:val="00252CA1"/>
    <w:rsid w:val="00261693"/>
    <w:rsid w:val="002643EE"/>
    <w:rsid w:val="00264DE6"/>
    <w:rsid w:val="002665CD"/>
    <w:rsid w:val="0027183F"/>
    <w:rsid w:val="00277882"/>
    <w:rsid w:val="00284130"/>
    <w:rsid w:val="002A5226"/>
    <w:rsid w:val="002A5317"/>
    <w:rsid w:val="002B4279"/>
    <w:rsid w:val="002C665E"/>
    <w:rsid w:val="002D2CE2"/>
    <w:rsid w:val="002E1C60"/>
    <w:rsid w:val="002F1468"/>
    <w:rsid w:val="0030494B"/>
    <w:rsid w:val="00331199"/>
    <w:rsid w:val="0033555F"/>
    <w:rsid w:val="003525A6"/>
    <w:rsid w:val="003640D1"/>
    <w:rsid w:val="003664A3"/>
    <w:rsid w:val="0037044B"/>
    <w:rsid w:val="00371122"/>
    <w:rsid w:val="003712C4"/>
    <w:rsid w:val="003729EA"/>
    <w:rsid w:val="00376347"/>
    <w:rsid w:val="003826CA"/>
    <w:rsid w:val="003B0590"/>
    <w:rsid w:val="003B5112"/>
    <w:rsid w:val="003B59A4"/>
    <w:rsid w:val="003B6AD6"/>
    <w:rsid w:val="003C25B1"/>
    <w:rsid w:val="003C502C"/>
    <w:rsid w:val="003C5A93"/>
    <w:rsid w:val="003F6291"/>
    <w:rsid w:val="00406057"/>
    <w:rsid w:val="0041520E"/>
    <w:rsid w:val="0042739E"/>
    <w:rsid w:val="0043303E"/>
    <w:rsid w:val="00435793"/>
    <w:rsid w:val="00435EBD"/>
    <w:rsid w:val="00477514"/>
    <w:rsid w:val="00481BD5"/>
    <w:rsid w:val="0049154D"/>
    <w:rsid w:val="004A1E6F"/>
    <w:rsid w:val="004A7402"/>
    <w:rsid w:val="004B7C2D"/>
    <w:rsid w:val="004C080F"/>
    <w:rsid w:val="005004F2"/>
    <w:rsid w:val="00504222"/>
    <w:rsid w:val="00506A49"/>
    <w:rsid w:val="005206FF"/>
    <w:rsid w:val="00524856"/>
    <w:rsid w:val="00553807"/>
    <w:rsid w:val="005755A0"/>
    <w:rsid w:val="00585A50"/>
    <w:rsid w:val="00587362"/>
    <w:rsid w:val="005916F7"/>
    <w:rsid w:val="00595721"/>
    <w:rsid w:val="005A1918"/>
    <w:rsid w:val="005A3B04"/>
    <w:rsid w:val="005A5AFC"/>
    <w:rsid w:val="005B200B"/>
    <w:rsid w:val="005E32D3"/>
    <w:rsid w:val="005F3D85"/>
    <w:rsid w:val="00603522"/>
    <w:rsid w:val="0060365F"/>
    <w:rsid w:val="00614C61"/>
    <w:rsid w:val="00617302"/>
    <w:rsid w:val="006221C8"/>
    <w:rsid w:val="00623490"/>
    <w:rsid w:val="0062687B"/>
    <w:rsid w:val="00631E68"/>
    <w:rsid w:val="00634325"/>
    <w:rsid w:val="00635A97"/>
    <w:rsid w:val="006409EC"/>
    <w:rsid w:val="00644537"/>
    <w:rsid w:val="0064576B"/>
    <w:rsid w:val="00656A4D"/>
    <w:rsid w:val="00662F4C"/>
    <w:rsid w:val="006658F1"/>
    <w:rsid w:val="00677749"/>
    <w:rsid w:val="00694D09"/>
    <w:rsid w:val="006B314C"/>
    <w:rsid w:val="006B3471"/>
    <w:rsid w:val="006B5201"/>
    <w:rsid w:val="006B5EBD"/>
    <w:rsid w:val="006B62F9"/>
    <w:rsid w:val="006B746B"/>
    <w:rsid w:val="006C50B8"/>
    <w:rsid w:val="006D21D7"/>
    <w:rsid w:val="006D3E80"/>
    <w:rsid w:val="006F1429"/>
    <w:rsid w:val="00707D07"/>
    <w:rsid w:val="00711FBA"/>
    <w:rsid w:val="0071359A"/>
    <w:rsid w:val="007224B1"/>
    <w:rsid w:val="00724FA3"/>
    <w:rsid w:val="00727FA2"/>
    <w:rsid w:val="00733604"/>
    <w:rsid w:val="00737F07"/>
    <w:rsid w:val="00741D98"/>
    <w:rsid w:val="00742B42"/>
    <w:rsid w:val="00776C6A"/>
    <w:rsid w:val="00780253"/>
    <w:rsid w:val="007817AD"/>
    <w:rsid w:val="0079110E"/>
    <w:rsid w:val="007A26B6"/>
    <w:rsid w:val="007B2A49"/>
    <w:rsid w:val="007E0347"/>
    <w:rsid w:val="007E364F"/>
    <w:rsid w:val="007E75AF"/>
    <w:rsid w:val="0080348D"/>
    <w:rsid w:val="00814442"/>
    <w:rsid w:val="00816A73"/>
    <w:rsid w:val="0083524E"/>
    <w:rsid w:val="0083736B"/>
    <w:rsid w:val="00855A66"/>
    <w:rsid w:val="0087191F"/>
    <w:rsid w:val="00872CDF"/>
    <w:rsid w:val="008A3092"/>
    <w:rsid w:val="008A3DA2"/>
    <w:rsid w:val="008B3EAE"/>
    <w:rsid w:val="008B7625"/>
    <w:rsid w:val="008B782E"/>
    <w:rsid w:val="008F2FB8"/>
    <w:rsid w:val="008F6FAD"/>
    <w:rsid w:val="00921A00"/>
    <w:rsid w:val="00932EE8"/>
    <w:rsid w:val="00937DBB"/>
    <w:rsid w:val="009432E4"/>
    <w:rsid w:val="00944AEB"/>
    <w:rsid w:val="00947F7F"/>
    <w:rsid w:val="00952E28"/>
    <w:rsid w:val="00956168"/>
    <w:rsid w:val="00966E50"/>
    <w:rsid w:val="009856AD"/>
    <w:rsid w:val="00990A4A"/>
    <w:rsid w:val="00993A17"/>
    <w:rsid w:val="009A47E8"/>
    <w:rsid w:val="009B34D9"/>
    <w:rsid w:val="009D2E15"/>
    <w:rsid w:val="009D307E"/>
    <w:rsid w:val="009D353C"/>
    <w:rsid w:val="009F23BA"/>
    <w:rsid w:val="009F37AE"/>
    <w:rsid w:val="00A1514B"/>
    <w:rsid w:val="00A21127"/>
    <w:rsid w:val="00A37BF3"/>
    <w:rsid w:val="00A43E76"/>
    <w:rsid w:val="00A47FFD"/>
    <w:rsid w:val="00A518CC"/>
    <w:rsid w:val="00A57B56"/>
    <w:rsid w:val="00A734BE"/>
    <w:rsid w:val="00A82F73"/>
    <w:rsid w:val="00A85902"/>
    <w:rsid w:val="00A93173"/>
    <w:rsid w:val="00A9622B"/>
    <w:rsid w:val="00AA70C1"/>
    <w:rsid w:val="00AB06D1"/>
    <w:rsid w:val="00AB7DD3"/>
    <w:rsid w:val="00AC4199"/>
    <w:rsid w:val="00AD4D30"/>
    <w:rsid w:val="00AE6A43"/>
    <w:rsid w:val="00AF7580"/>
    <w:rsid w:val="00B02B74"/>
    <w:rsid w:val="00B043E9"/>
    <w:rsid w:val="00B1179A"/>
    <w:rsid w:val="00B143D2"/>
    <w:rsid w:val="00B2044D"/>
    <w:rsid w:val="00B21A03"/>
    <w:rsid w:val="00B334FF"/>
    <w:rsid w:val="00B379D0"/>
    <w:rsid w:val="00B40A9E"/>
    <w:rsid w:val="00B43CAA"/>
    <w:rsid w:val="00B54B5B"/>
    <w:rsid w:val="00B60590"/>
    <w:rsid w:val="00B773BE"/>
    <w:rsid w:val="00B832EC"/>
    <w:rsid w:val="00B8492A"/>
    <w:rsid w:val="00B92639"/>
    <w:rsid w:val="00BB7D49"/>
    <w:rsid w:val="00BC2152"/>
    <w:rsid w:val="00BD3643"/>
    <w:rsid w:val="00BF67B2"/>
    <w:rsid w:val="00C00120"/>
    <w:rsid w:val="00C002A8"/>
    <w:rsid w:val="00C02599"/>
    <w:rsid w:val="00C164D3"/>
    <w:rsid w:val="00C44479"/>
    <w:rsid w:val="00C636A0"/>
    <w:rsid w:val="00C6455B"/>
    <w:rsid w:val="00C715B6"/>
    <w:rsid w:val="00C85B3D"/>
    <w:rsid w:val="00C90B20"/>
    <w:rsid w:val="00C943C7"/>
    <w:rsid w:val="00CA3146"/>
    <w:rsid w:val="00CC375C"/>
    <w:rsid w:val="00CF768B"/>
    <w:rsid w:val="00D0453E"/>
    <w:rsid w:val="00D13B1C"/>
    <w:rsid w:val="00D16A67"/>
    <w:rsid w:val="00D17477"/>
    <w:rsid w:val="00D21386"/>
    <w:rsid w:val="00D23B32"/>
    <w:rsid w:val="00D2725B"/>
    <w:rsid w:val="00D41891"/>
    <w:rsid w:val="00D6624C"/>
    <w:rsid w:val="00D67B46"/>
    <w:rsid w:val="00D819D4"/>
    <w:rsid w:val="00D84DA7"/>
    <w:rsid w:val="00D92E9B"/>
    <w:rsid w:val="00D932F0"/>
    <w:rsid w:val="00D95FEF"/>
    <w:rsid w:val="00DB00C5"/>
    <w:rsid w:val="00DB525F"/>
    <w:rsid w:val="00DC0547"/>
    <w:rsid w:val="00DD474E"/>
    <w:rsid w:val="00DD6CA5"/>
    <w:rsid w:val="00DE1357"/>
    <w:rsid w:val="00DF29C3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D54CE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379AE"/>
    <w:rsid w:val="00F4194F"/>
    <w:rsid w:val="00F45D75"/>
    <w:rsid w:val="00F53B5F"/>
    <w:rsid w:val="00F55357"/>
    <w:rsid w:val="00F56FE5"/>
    <w:rsid w:val="00F66B5D"/>
    <w:rsid w:val="00F7727B"/>
    <w:rsid w:val="00FA4409"/>
    <w:rsid w:val="00FA45BA"/>
    <w:rsid w:val="00FA7EAC"/>
    <w:rsid w:val="00FB4551"/>
    <w:rsid w:val="00FC0145"/>
    <w:rsid w:val="00FC1658"/>
    <w:rsid w:val="00FC27E0"/>
    <w:rsid w:val="00FC2E35"/>
    <w:rsid w:val="00FD7DB4"/>
    <w:rsid w:val="00FE3759"/>
    <w:rsid w:val="00FF058D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character" w:styleId="Emphasis">
    <w:name w:val="Emphasis"/>
    <w:basedOn w:val="DefaultParagraphFont"/>
    <w:uiPriority w:val="20"/>
    <w:qFormat/>
    <w:rsid w:val="001D0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144</cp:revision>
  <cp:lastPrinted>2022-11-28T03:05:00Z</cp:lastPrinted>
  <dcterms:created xsi:type="dcterms:W3CDTF">2022-10-10T07:03:00Z</dcterms:created>
  <dcterms:modified xsi:type="dcterms:W3CDTF">2022-11-28T03:05:00Z</dcterms:modified>
</cp:coreProperties>
</file>