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6C" w:rsidRDefault="00306966" w:rsidP="00E5002E">
      <w:pPr>
        <w:spacing w:after="0" w:line="360" w:lineRule="auto"/>
        <w:jc w:val="center"/>
        <w:rPr>
          <w:b/>
          <w:color w:val="1F3864" w:themeColor="accent1" w:themeShade="80"/>
          <w:sz w:val="36"/>
          <w:szCs w:val="36"/>
          <w:lang w:val="en-US"/>
        </w:rPr>
      </w:pPr>
      <w:r w:rsidRPr="00306966">
        <w:rPr>
          <w:b/>
          <w:color w:val="1F3864" w:themeColor="accent1" w:themeShade="80"/>
          <w:sz w:val="36"/>
          <w:szCs w:val="36"/>
          <w:lang w:val="en-US"/>
        </w:rPr>
        <w:t>HUNTEX TV-00</w:t>
      </w:r>
      <w:r w:rsidR="00321231">
        <w:rPr>
          <w:b/>
          <w:color w:val="1F3864" w:themeColor="accent1" w:themeShade="80"/>
          <w:sz w:val="36"/>
          <w:szCs w:val="36"/>
          <w:lang w:val="en-US"/>
        </w:rPr>
        <w:t>2</w:t>
      </w:r>
    </w:p>
    <w:p w:rsidR="00163BAB" w:rsidRDefault="00132C8C" w:rsidP="00E5002E">
      <w:pPr>
        <w:spacing w:after="0" w:line="360" w:lineRule="auto"/>
        <w:jc w:val="center"/>
        <w:rPr>
          <w:b/>
          <w:color w:val="1F3864" w:themeColor="accent1" w:themeShade="80"/>
          <w:sz w:val="36"/>
          <w:szCs w:val="36"/>
          <w:lang w:val="en-US"/>
        </w:rPr>
      </w:pPr>
      <w:r w:rsidRPr="00132C8C">
        <w:rPr>
          <w:b/>
          <w:color w:val="1F3864" w:themeColor="accent1" w:themeShade="80"/>
          <w:sz w:val="36"/>
          <w:szCs w:val="36"/>
          <w:lang w:val="en-US"/>
        </w:rPr>
        <w:t>SCALE INHIBITOR</w:t>
      </w:r>
    </w:p>
    <w:p w:rsidR="00373B5A" w:rsidRPr="006F79A8" w:rsidRDefault="0044090E" w:rsidP="006F79A8">
      <w:pPr>
        <w:spacing w:after="0" w:line="360" w:lineRule="auto"/>
        <w:ind w:firstLine="567"/>
        <w:rPr>
          <w:sz w:val="26"/>
          <w:szCs w:val="26"/>
          <w:lang w:val="en-US"/>
        </w:rPr>
      </w:pPr>
      <w:r w:rsidRPr="0044090E">
        <w:rPr>
          <w:rFonts w:asciiTheme="majorHAnsi" w:hAnsiTheme="majorHAnsi" w:cstheme="majorHAnsi"/>
          <w:b/>
          <w:sz w:val="26"/>
          <w:szCs w:val="26"/>
          <w:lang w:val="en-US"/>
        </w:rPr>
        <w:t xml:space="preserve">Huntex TV-002 </w:t>
      </w:r>
      <w:r w:rsidRPr="003F6023">
        <w:rPr>
          <w:rFonts w:asciiTheme="majorHAnsi" w:hAnsiTheme="majorHAnsi" w:cstheme="majorHAnsi"/>
          <w:sz w:val="26"/>
          <w:szCs w:val="26"/>
          <w:lang w:val="en-US"/>
        </w:rPr>
        <w:t>is a scale inhibitor and dye fixative.</w:t>
      </w:r>
    </w:p>
    <w:p w:rsidR="00C04E17" w:rsidRDefault="00DD3D46"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P</w:t>
      </w:r>
      <w:r w:rsidR="00FC0147" w:rsidRPr="00F467CC">
        <w:rPr>
          <w:rFonts w:asciiTheme="majorHAnsi" w:hAnsiTheme="majorHAnsi" w:cstheme="majorHAnsi"/>
          <w:b/>
          <w:sz w:val="26"/>
          <w:szCs w:val="26"/>
          <w:lang w:val="en-US"/>
        </w:rPr>
        <w:t>roperties</w:t>
      </w:r>
    </w:p>
    <w:p w:rsidR="00A41122" w:rsidRPr="00862DE4" w:rsidRDefault="00A41122" w:rsidP="00E04AF4">
      <w:pPr>
        <w:tabs>
          <w:tab w:val="left" w:pos="3402"/>
        </w:tabs>
        <w:spacing w:after="0" w:line="360" w:lineRule="auto"/>
        <w:ind w:firstLine="567"/>
        <w:jc w:val="both"/>
        <w:rPr>
          <w:rFonts w:asciiTheme="majorHAnsi" w:hAnsiTheme="majorHAnsi" w:cstheme="majorHAnsi"/>
          <w:color w:val="111111"/>
          <w:sz w:val="26"/>
          <w:szCs w:val="26"/>
          <w:lang w:val="en-US"/>
        </w:rPr>
      </w:pPr>
      <w:r w:rsidRPr="00FC403C">
        <w:rPr>
          <w:rFonts w:asciiTheme="majorHAnsi" w:hAnsiTheme="majorHAnsi" w:cstheme="majorHAnsi"/>
          <w:sz w:val="26"/>
          <w:szCs w:val="26"/>
          <w:lang w:val="en-US"/>
        </w:rPr>
        <w:t xml:space="preserve">1. </w:t>
      </w:r>
      <w:r w:rsidR="00DD3D46">
        <w:rPr>
          <w:rFonts w:asciiTheme="majorHAnsi" w:hAnsiTheme="majorHAnsi" w:cstheme="majorHAnsi"/>
          <w:sz w:val="26"/>
          <w:szCs w:val="26"/>
          <w:lang w:val="en-US"/>
        </w:rPr>
        <w:t>Appearance</w:t>
      </w:r>
      <w:r w:rsidR="00FC0147" w:rsidRPr="00244F9D">
        <w:rPr>
          <w:rFonts w:asciiTheme="majorHAnsi" w:hAnsiTheme="majorHAnsi" w:cstheme="majorHAnsi"/>
          <w:sz w:val="26"/>
          <w:szCs w:val="26"/>
          <w:lang w:val="en-US"/>
        </w:rPr>
        <w:t>:</w:t>
      </w:r>
      <w:r w:rsidRPr="00FC403C">
        <w:rPr>
          <w:rFonts w:asciiTheme="majorHAnsi" w:hAnsiTheme="majorHAnsi" w:cstheme="majorHAnsi"/>
          <w:sz w:val="26"/>
          <w:szCs w:val="26"/>
          <w:lang w:val="en-US"/>
        </w:rPr>
        <w:t xml:space="preserve"> </w:t>
      </w:r>
      <w:r w:rsidR="00FC403C">
        <w:rPr>
          <w:rFonts w:asciiTheme="majorHAnsi" w:hAnsiTheme="majorHAnsi" w:cstheme="majorHAnsi"/>
          <w:sz w:val="26"/>
          <w:szCs w:val="26"/>
          <w:lang w:val="en-US"/>
        </w:rPr>
        <w:tab/>
      </w:r>
      <w:r w:rsidR="00462EAB" w:rsidRPr="00462EAB">
        <w:rPr>
          <w:rFonts w:asciiTheme="majorHAnsi" w:hAnsiTheme="majorHAnsi" w:cstheme="majorHAnsi"/>
          <w:color w:val="111111"/>
          <w:sz w:val="26"/>
          <w:szCs w:val="26"/>
        </w:rPr>
        <w:t>pale yellow solution</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2. </w:t>
      </w:r>
      <w:r w:rsidR="006628B3" w:rsidRPr="00063D4A">
        <w:rPr>
          <w:rFonts w:asciiTheme="majorHAnsi" w:hAnsiTheme="majorHAnsi" w:cstheme="majorHAnsi"/>
          <w:color w:val="111111"/>
          <w:sz w:val="26"/>
          <w:szCs w:val="26"/>
        </w:rPr>
        <w:t>Ionic calculation:</w:t>
      </w:r>
      <w:r w:rsidRPr="00FC403C">
        <w:rPr>
          <w:rFonts w:asciiTheme="majorHAnsi" w:hAnsiTheme="majorHAnsi" w:cstheme="majorHAnsi"/>
          <w:sz w:val="26"/>
          <w:szCs w:val="26"/>
          <w:lang w:val="en-US"/>
        </w:rPr>
        <w:t xml:space="preserve"> </w:t>
      </w:r>
      <w:r w:rsidR="00FC403C">
        <w:rPr>
          <w:rFonts w:asciiTheme="majorHAnsi" w:hAnsiTheme="majorHAnsi" w:cstheme="majorHAnsi"/>
          <w:sz w:val="26"/>
          <w:szCs w:val="26"/>
          <w:lang w:val="en-US"/>
        </w:rPr>
        <w:tab/>
      </w:r>
      <w:r w:rsidR="00EA3882">
        <w:rPr>
          <w:rFonts w:asciiTheme="majorHAnsi" w:hAnsiTheme="majorHAnsi" w:cstheme="majorHAnsi"/>
          <w:sz w:val="26"/>
          <w:szCs w:val="26"/>
          <w:lang w:val="en-US"/>
        </w:rPr>
        <w:t>anion</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3.</w:t>
      </w:r>
      <w:r w:rsidR="006628B3">
        <w:rPr>
          <w:rFonts w:asciiTheme="majorHAnsi" w:hAnsiTheme="majorHAnsi" w:cstheme="majorHAnsi"/>
          <w:sz w:val="26"/>
          <w:szCs w:val="26"/>
          <w:lang w:val="en-US"/>
        </w:rPr>
        <w:t xml:space="preserve"> </w:t>
      </w:r>
      <w:r w:rsidRPr="00FC403C">
        <w:rPr>
          <w:rFonts w:asciiTheme="majorHAnsi" w:hAnsiTheme="majorHAnsi" w:cstheme="majorHAnsi"/>
          <w:sz w:val="26"/>
          <w:szCs w:val="26"/>
          <w:lang w:val="en-US"/>
        </w:rPr>
        <w:t>pH:</w:t>
      </w:r>
      <w:r w:rsidR="00FC403C" w:rsidRPr="00FC403C">
        <w:rPr>
          <w:rFonts w:asciiTheme="majorHAnsi" w:hAnsiTheme="majorHAnsi" w:cstheme="majorHAnsi"/>
          <w:sz w:val="26"/>
          <w:szCs w:val="26"/>
          <w:lang w:val="en-US"/>
        </w:rPr>
        <w:t xml:space="preserve"> </w:t>
      </w:r>
    </w:p>
    <w:p w:rsidR="009E1D15" w:rsidRPr="00C45348" w:rsidRDefault="009E1D15" w:rsidP="0053497C">
      <w:pPr>
        <w:tabs>
          <w:tab w:val="left" w:pos="3402"/>
        </w:tabs>
        <w:spacing w:after="0" w:line="360" w:lineRule="auto"/>
        <w:ind w:left="3402" w:hanging="2835"/>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4. </w:t>
      </w:r>
      <w:r w:rsidR="006628B3" w:rsidRPr="00063D4A">
        <w:rPr>
          <w:rFonts w:asciiTheme="majorHAnsi" w:hAnsiTheme="majorHAnsi" w:cstheme="majorHAnsi"/>
          <w:color w:val="111111"/>
          <w:sz w:val="26"/>
          <w:szCs w:val="26"/>
        </w:rPr>
        <w:t>Main ingredients:</w:t>
      </w:r>
      <w:r w:rsidR="00FC403C" w:rsidRPr="00FC403C">
        <w:rPr>
          <w:rFonts w:asciiTheme="majorHAnsi" w:hAnsiTheme="majorHAnsi" w:cstheme="majorHAnsi"/>
          <w:sz w:val="26"/>
          <w:szCs w:val="26"/>
          <w:lang w:val="en-US"/>
        </w:rPr>
        <w:t xml:space="preserve"> </w:t>
      </w:r>
      <w:r w:rsidR="00FC403C">
        <w:rPr>
          <w:rFonts w:asciiTheme="majorHAnsi" w:hAnsiTheme="majorHAnsi" w:cstheme="majorHAnsi"/>
          <w:sz w:val="26"/>
          <w:szCs w:val="26"/>
          <w:lang w:val="en-US"/>
        </w:rPr>
        <w:tab/>
      </w:r>
      <w:r w:rsidR="0053497C" w:rsidRPr="0053497C">
        <w:rPr>
          <w:sz w:val="26"/>
          <w:szCs w:val="26"/>
        </w:rPr>
        <w:t>(1-Hydroxyethylidene)Bis-Phosphonic Acid Tetrasodium Salt</w:t>
      </w:r>
      <w:r w:rsidR="0053497C" w:rsidRPr="0053497C">
        <w:rPr>
          <w:sz w:val="26"/>
          <w:szCs w:val="26"/>
          <w:lang w:val="en-US"/>
        </w:rPr>
        <w:t>, S</w:t>
      </w:r>
      <w:r w:rsidR="0053497C" w:rsidRPr="0053497C">
        <w:rPr>
          <w:sz w:val="26"/>
          <w:szCs w:val="26"/>
        </w:rPr>
        <w:t>odium,[2-[2-[bis(phosphonomethyl)amino]ethyl-(phosphonomethyl)amino]ethyl-(phosphonomethyl)amino]methyl-hydroxyphosphinate</w:t>
      </w:r>
      <w:r w:rsidR="00C45348">
        <w:rPr>
          <w:sz w:val="26"/>
          <w:szCs w:val="26"/>
          <w:lang w:val="en-US"/>
        </w:rPr>
        <w:t>.</w:t>
      </w:r>
    </w:p>
    <w:p w:rsidR="009E1D15" w:rsidRPr="00FC403C" w:rsidRDefault="004D4619"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5. </w:t>
      </w:r>
      <w:r w:rsidR="006628B3" w:rsidRPr="00063D4A">
        <w:rPr>
          <w:rFonts w:asciiTheme="majorHAnsi" w:hAnsiTheme="majorHAnsi" w:cstheme="majorHAnsi"/>
          <w:color w:val="111111"/>
          <w:sz w:val="26"/>
          <w:szCs w:val="26"/>
        </w:rPr>
        <w:t>Solubility:</w:t>
      </w:r>
      <w:r w:rsidR="00FB25E0">
        <w:rPr>
          <w:rFonts w:asciiTheme="majorHAnsi" w:hAnsiTheme="majorHAnsi" w:cstheme="majorHAnsi"/>
          <w:sz w:val="26"/>
          <w:szCs w:val="26"/>
          <w:lang w:val="en-US"/>
        </w:rPr>
        <w:t xml:space="preserve"> </w:t>
      </w:r>
      <w:r w:rsidR="00FB25E0">
        <w:rPr>
          <w:rFonts w:asciiTheme="majorHAnsi" w:hAnsiTheme="majorHAnsi" w:cstheme="majorHAnsi"/>
          <w:sz w:val="26"/>
          <w:szCs w:val="26"/>
          <w:lang w:val="en-US"/>
        </w:rPr>
        <w:tab/>
      </w:r>
      <w:r w:rsidR="00872D1E" w:rsidRPr="00063D4A">
        <w:rPr>
          <w:rFonts w:asciiTheme="majorHAnsi" w:hAnsiTheme="majorHAnsi" w:cstheme="majorHAnsi"/>
          <w:color w:val="111111"/>
          <w:sz w:val="26"/>
          <w:szCs w:val="26"/>
        </w:rPr>
        <w:t>easily soluble in water</w:t>
      </w:r>
    </w:p>
    <w:p w:rsidR="00FC403C" w:rsidRDefault="00CB3025" w:rsidP="00E04AF4">
      <w:pPr>
        <w:spacing w:line="360" w:lineRule="auto"/>
        <w:rPr>
          <w:rFonts w:asciiTheme="majorHAnsi" w:hAnsiTheme="majorHAnsi" w:cstheme="majorHAnsi"/>
          <w:b/>
          <w:sz w:val="26"/>
          <w:szCs w:val="26"/>
          <w:lang w:val="en-US"/>
        </w:rPr>
      </w:pPr>
      <w:r>
        <w:rPr>
          <w:b/>
          <w:sz w:val="26"/>
          <w:szCs w:val="26"/>
          <w:lang w:val="en-US"/>
        </w:rPr>
        <w:t>Applications</w:t>
      </w:r>
    </w:p>
    <w:p w:rsidR="00AD5F54" w:rsidRPr="009E3E53" w:rsidRDefault="00AD5F54" w:rsidP="00E04AF4">
      <w:pPr>
        <w:spacing w:after="0" w:line="360" w:lineRule="auto"/>
        <w:ind w:firstLine="567"/>
        <w:rPr>
          <w:rFonts w:asciiTheme="majorHAnsi" w:hAnsiTheme="majorHAnsi" w:cstheme="majorHAnsi"/>
          <w:sz w:val="26"/>
          <w:szCs w:val="26"/>
        </w:rPr>
      </w:pPr>
      <w:r w:rsidRPr="009E3E53">
        <w:rPr>
          <w:rFonts w:asciiTheme="majorHAnsi" w:hAnsiTheme="majorHAnsi" w:cstheme="majorHAnsi"/>
          <w:bCs/>
          <w:sz w:val="26"/>
          <w:szCs w:val="26"/>
          <w:lang w:val="en-US"/>
        </w:rPr>
        <w:t xml:space="preserve">1. </w:t>
      </w:r>
      <w:r w:rsidR="001713B8">
        <w:rPr>
          <w:rFonts w:asciiTheme="majorHAnsi" w:hAnsiTheme="majorHAnsi" w:cstheme="majorHAnsi"/>
          <w:bCs/>
          <w:sz w:val="26"/>
          <w:szCs w:val="26"/>
          <w:lang w:val="en-US"/>
        </w:rPr>
        <w:t>G</w:t>
      </w:r>
      <w:r w:rsidR="001713B8" w:rsidRPr="001713B8">
        <w:rPr>
          <w:rFonts w:asciiTheme="majorHAnsi" w:hAnsiTheme="majorHAnsi" w:cstheme="majorHAnsi"/>
          <w:bCs/>
          <w:sz w:val="26"/>
          <w:szCs w:val="26"/>
        </w:rPr>
        <w:t>ood scale inhibitor for calcium carbonate</w:t>
      </w:r>
    </w:p>
    <w:p w:rsidR="00AD5F54" w:rsidRPr="009E3E53" w:rsidRDefault="00AD5F54" w:rsidP="00E04AF4">
      <w:pPr>
        <w:spacing w:after="0" w:line="360" w:lineRule="auto"/>
        <w:ind w:firstLine="567"/>
        <w:rPr>
          <w:rFonts w:asciiTheme="majorHAnsi" w:hAnsiTheme="majorHAnsi" w:cstheme="majorHAnsi"/>
          <w:bCs/>
          <w:sz w:val="26"/>
          <w:szCs w:val="26"/>
        </w:rPr>
      </w:pPr>
      <w:r w:rsidRPr="009E3E53">
        <w:rPr>
          <w:rFonts w:asciiTheme="majorHAnsi" w:hAnsiTheme="majorHAnsi" w:cstheme="majorHAnsi"/>
          <w:bCs/>
          <w:sz w:val="26"/>
          <w:szCs w:val="26"/>
        </w:rPr>
        <w:t>2.</w:t>
      </w:r>
      <w:r w:rsidRPr="009E3E53">
        <w:rPr>
          <w:rFonts w:asciiTheme="majorHAnsi" w:hAnsiTheme="majorHAnsi" w:cstheme="majorHAnsi"/>
          <w:bCs/>
          <w:sz w:val="26"/>
          <w:szCs w:val="26"/>
          <w:lang w:val="en-US"/>
        </w:rPr>
        <w:t xml:space="preserve"> </w:t>
      </w:r>
      <w:r w:rsidR="001713B8">
        <w:rPr>
          <w:rFonts w:asciiTheme="majorHAnsi" w:hAnsiTheme="majorHAnsi" w:cstheme="majorHAnsi"/>
          <w:bCs/>
          <w:sz w:val="26"/>
          <w:szCs w:val="26"/>
          <w:lang w:val="en-US"/>
        </w:rPr>
        <w:t>P</w:t>
      </w:r>
      <w:r w:rsidR="001713B8" w:rsidRPr="001713B8">
        <w:rPr>
          <w:rFonts w:asciiTheme="majorHAnsi" w:hAnsiTheme="majorHAnsi" w:cstheme="majorHAnsi"/>
          <w:bCs/>
          <w:sz w:val="26"/>
          <w:szCs w:val="26"/>
          <w:lang w:val="en-US"/>
        </w:rPr>
        <w:t>eroxide stabilizer and dye-fixing agent</w:t>
      </w:r>
      <w:r w:rsidRPr="009E3E53">
        <w:rPr>
          <w:rFonts w:asciiTheme="majorHAnsi" w:hAnsiTheme="majorHAnsi" w:cstheme="majorHAnsi"/>
          <w:bCs/>
          <w:sz w:val="26"/>
          <w:szCs w:val="26"/>
        </w:rPr>
        <w:t>.</w:t>
      </w:r>
    </w:p>
    <w:p w:rsidR="00872D1E" w:rsidRPr="00560A3A" w:rsidRDefault="00872D1E" w:rsidP="00872D1E">
      <w:pPr>
        <w:spacing w:after="0" w:line="360" w:lineRule="auto"/>
        <w:jc w:val="both"/>
        <w:rPr>
          <w:rFonts w:asciiTheme="majorHAnsi" w:hAnsiTheme="majorHAnsi" w:cstheme="majorHAnsi"/>
          <w:b/>
          <w:sz w:val="26"/>
          <w:szCs w:val="26"/>
          <w:lang w:val="en-US"/>
        </w:rPr>
      </w:pPr>
      <w:r w:rsidRPr="00560A3A">
        <w:rPr>
          <w:rFonts w:asciiTheme="majorHAnsi" w:hAnsiTheme="majorHAnsi" w:cstheme="majorHAnsi"/>
          <w:b/>
          <w:sz w:val="26"/>
          <w:szCs w:val="26"/>
          <w:lang w:val="en-US"/>
        </w:rPr>
        <w:t>Methods used</w:t>
      </w:r>
    </w:p>
    <w:p w:rsidR="00872D1E" w:rsidRPr="00055588" w:rsidRDefault="00872D1E" w:rsidP="00872D1E">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 xml:space="preserve">Recommended </w:t>
      </w:r>
      <w:r w:rsidR="00CB3025">
        <w:rPr>
          <w:rFonts w:asciiTheme="majorHAnsi" w:hAnsiTheme="majorHAnsi" w:cstheme="majorHAnsi"/>
          <w:sz w:val="26"/>
          <w:szCs w:val="26"/>
          <w:lang w:val="en-US"/>
        </w:rPr>
        <w:t>concentrations</w:t>
      </w:r>
      <w:r w:rsidRPr="00055588">
        <w:rPr>
          <w:rFonts w:asciiTheme="majorHAnsi" w:hAnsiTheme="majorHAnsi" w:cstheme="majorHAnsi"/>
          <w:sz w:val="26"/>
          <w:szCs w:val="26"/>
          <w:lang w:val="en-US"/>
        </w:rPr>
        <w:t>:</w:t>
      </w:r>
    </w:p>
    <w:p w:rsidR="00872D1E" w:rsidRPr="00055588" w:rsidRDefault="00872D1E" w:rsidP="00872D1E">
      <w:pPr>
        <w:spacing w:after="0" w:line="360" w:lineRule="auto"/>
        <w:jc w:val="both"/>
        <w:rPr>
          <w:rFonts w:asciiTheme="majorHAnsi" w:hAnsiTheme="majorHAnsi" w:cstheme="majorHAnsi"/>
          <w:b/>
          <w:sz w:val="26"/>
          <w:szCs w:val="26"/>
          <w:lang w:val="en-US"/>
        </w:rPr>
      </w:pPr>
      <w:r w:rsidRPr="00055588">
        <w:rPr>
          <w:rFonts w:asciiTheme="majorHAnsi" w:hAnsiTheme="majorHAnsi" w:cstheme="majorHAnsi"/>
          <w:b/>
          <w:sz w:val="26"/>
          <w:szCs w:val="26"/>
          <w:lang w:val="en-US"/>
        </w:rPr>
        <w:t>Storage conditions</w:t>
      </w:r>
    </w:p>
    <w:p w:rsidR="00872D1E" w:rsidRPr="00055588" w:rsidRDefault="00872D1E" w:rsidP="00872D1E">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Preserved in dry, cool place. Avoid direct light. Store at room temperature.</w:t>
      </w:r>
    </w:p>
    <w:p w:rsidR="00872D1E" w:rsidRPr="00055588" w:rsidRDefault="00872D1E" w:rsidP="00872D1E">
      <w:pPr>
        <w:spacing w:after="0" w:line="360" w:lineRule="auto"/>
        <w:jc w:val="both"/>
        <w:rPr>
          <w:rFonts w:asciiTheme="majorHAnsi" w:hAnsiTheme="majorHAnsi" w:cstheme="majorHAnsi"/>
          <w:b/>
          <w:sz w:val="26"/>
          <w:szCs w:val="26"/>
          <w:lang w:val="en-US"/>
        </w:rPr>
      </w:pPr>
      <w:r w:rsidRPr="00055588">
        <w:rPr>
          <w:rFonts w:asciiTheme="majorHAnsi" w:hAnsiTheme="majorHAnsi" w:cstheme="majorHAnsi"/>
          <w:b/>
          <w:sz w:val="26"/>
          <w:szCs w:val="26"/>
          <w:lang w:val="en-US"/>
        </w:rPr>
        <w:t>Pack</w:t>
      </w:r>
      <w:r w:rsidR="001C0152">
        <w:rPr>
          <w:rFonts w:asciiTheme="majorHAnsi" w:hAnsiTheme="majorHAnsi" w:cstheme="majorHAnsi"/>
          <w:b/>
          <w:sz w:val="26"/>
          <w:szCs w:val="26"/>
          <w:lang w:val="en-US"/>
        </w:rPr>
        <w:t xml:space="preserve"> way</w:t>
      </w:r>
      <w:bookmarkStart w:id="0" w:name="_GoBack"/>
      <w:bookmarkEnd w:id="0"/>
    </w:p>
    <w:p w:rsidR="006B4AAD" w:rsidRPr="00E92AE9" w:rsidRDefault="00872D1E" w:rsidP="00872D1E">
      <w:pPr>
        <w:spacing w:after="0" w:line="360" w:lineRule="auto"/>
        <w:ind w:firstLine="567"/>
        <w:jc w:val="both"/>
        <w:rPr>
          <w:rFonts w:asciiTheme="majorHAnsi" w:hAnsiTheme="majorHAnsi" w:cstheme="majorHAnsi"/>
          <w:sz w:val="26"/>
          <w:szCs w:val="26"/>
          <w:lang w:val="en-US"/>
        </w:rPr>
      </w:pPr>
      <w:r w:rsidRPr="00055588">
        <w:rPr>
          <w:rFonts w:asciiTheme="majorHAnsi" w:hAnsiTheme="majorHAnsi" w:cstheme="majorHAnsi"/>
          <w:sz w:val="26"/>
          <w:szCs w:val="26"/>
          <w:lang w:val="en-US"/>
        </w:rPr>
        <w:t>Plastic barrel: 120kg</w:t>
      </w:r>
      <w:r>
        <w:rPr>
          <w:rFonts w:asciiTheme="majorHAnsi" w:hAnsiTheme="majorHAnsi" w:cstheme="majorHAnsi"/>
          <w:sz w:val="26"/>
          <w:szCs w:val="26"/>
          <w:lang w:val="en-US"/>
        </w:rPr>
        <w:t>.</w:t>
      </w:r>
    </w:p>
    <w:p w:rsidR="00DC31B8" w:rsidRPr="0039314E" w:rsidRDefault="00DC31B8" w:rsidP="0081661A">
      <w:pPr>
        <w:spacing w:after="0" w:line="276" w:lineRule="auto"/>
        <w:jc w:val="both"/>
        <w:rPr>
          <w:rFonts w:asciiTheme="majorHAnsi" w:hAnsiTheme="majorHAnsi" w:cstheme="majorHAnsi"/>
          <w:sz w:val="26"/>
          <w:szCs w:val="26"/>
          <w:lang w:val="en-US"/>
        </w:rPr>
      </w:pPr>
    </w:p>
    <w:p w:rsidR="004F08C5" w:rsidRPr="0039314E" w:rsidRDefault="004F08C5" w:rsidP="00D665EB">
      <w:pPr>
        <w:spacing w:after="0" w:line="276" w:lineRule="auto"/>
        <w:jc w:val="both"/>
        <w:rPr>
          <w:rFonts w:asciiTheme="majorHAnsi" w:hAnsiTheme="majorHAnsi" w:cstheme="majorHAnsi"/>
          <w:sz w:val="26"/>
          <w:szCs w:val="26"/>
          <w:lang w:val="en-US"/>
        </w:rPr>
      </w:pPr>
    </w:p>
    <w:p w:rsidR="00C04E17" w:rsidRPr="00C04E17" w:rsidRDefault="00C04E17" w:rsidP="00C04E17">
      <w:pPr>
        <w:spacing w:line="276" w:lineRule="auto"/>
        <w:ind w:firstLine="567"/>
        <w:jc w:val="both"/>
        <w:rPr>
          <w:rFonts w:asciiTheme="majorHAnsi" w:hAnsiTheme="majorHAnsi" w:cstheme="majorHAnsi"/>
          <w:sz w:val="26"/>
          <w:szCs w:val="26"/>
          <w:lang w:val="en-US"/>
        </w:rPr>
      </w:pPr>
    </w:p>
    <w:p w:rsidR="00E76E8C" w:rsidRPr="00373B5A" w:rsidRDefault="00E76E8C" w:rsidP="00E76E8C">
      <w:pPr>
        <w:spacing w:after="0" w:line="240" w:lineRule="auto"/>
        <w:rPr>
          <w:rFonts w:asciiTheme="majorHAnsi" w:hAnsiTheme="majorHAnsi" w:cstheme="majorHAnsi"/>
          <w:sz w:val="26"/>
          <w:szCs w:val="26"/>
          <w:lang w:val="en-US"/>
        </w:rPr>
      </w:pPr>
    </w:p>
    <w:p w:rsidR="00306966" w:rsidRPr="00306966" w:rsidRDefault="00306966" w:rsidP="00306966">
      <w:pPr>
        <w:spacing w:after="0" w:line="240" w:lineRule="auto"/>
        <w:jc w:val="center"/>
        <w:rPr>
          <w:b/>
          <w:color w:val="1F3864" w:themeColor="accent1" w:themeShade="80"/>
          <w:sz w:val="36"/>
          <w:szCs w:val="36"/>
          <w:lang w:val="en-US"/>
        </w:rPr>
      </w:pPr>
    </w:p>
    <w:sectPr w:rsidR="00306966" w:rsidRPr="00306966" w:rsidSect="00321231">
      <w:headerReference w:type="default" r:id="rId8"/>
      <w:footerReference w:type="default" r:id="rId9"/>
      <w:pgSz w:w="11906" w:h="16838"/>
      <w:pgMar w:top="567" w:right="851" w:bottom="567"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7C6" w:rsidRDefault="00BE27C6" w:rsidP="00B2485A">
      <w:pPr>
        <w:spacing w:after="0" w:line="240" w:lineRule="auto"/>
      </w:pPr>
      <w:r>
        <w:separator/>
      </w:r>
    </w:p>
  </w:endnote>
  <w:endnote w:type="continuationSeparator" w:id="0">
    <w:p w:rsidR="00BE27C6" w:rsidRDefault="00BE27C6" w:rsidP="00B2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AB" w:rsidRPr="00EE698E" w:rsidRDefault="00462EAB" w:rsidP="00462EAB">
    <w:pPr>
      <w:pStyle w:val="Footer"/>
      <w:rPr>
        <w:sz w:val="13"/>
        <w:szCs w:val="13"/>
        <w:lang w:val="en-US"/>
      </w:rPr>
    </w:pPr>
    <w:r w:rsidRPr="00EE698E">
      <w:rPr>
        <w:sz w:val="13"/>
        <w:szCs w:val="13"/>
        <w:lang w:val="en-US"/>
      </w:rPr>
      <w:t>Attention:</w:t>
    </w:r>
  </w:p>
  <w:p w:rsidR="00462EAB" w:rsidRPr="00EE698E" w:rsidRDefault="00462EAB" w:rsidP="00462EAB">
    <w:pPr>
      <w:pStyle w:val="Footer"/>
      <w:rPr>
        <w:sz w:val="13"/>
        <w:szCs w:val="13"/>
        <w:lang w:val="en-US"/>
      </w:rPr>
    </w:pPr>
    <w:r w:rsidRPr="00EE698E">
      <w:rPr>
        <w:sz w:val="13"/>
        <w:szCs w:val="13"/>
        <w:lang w:val="en-US"/>
      </w:rPr>
      <w:t>1. This document is for reference only, if there is a non-conformity regarding parameters or specifications, the specification provided by the company will be applied.</w:t>
    </w:r>
  </w:p>
  <w:p w:rsidR="00462EAB" w:rsidRPr="00EE698E" w:rsidRDefault="00462EAB" w:rsidP="00462EAB">
    <w:pPr>
      <w:pStyle w:val="Footer"/>
      <w:rPr>
        <w:sz w:val="13"/>
        <w:szCs w:val="13"/>
        <w:lang w:val="en-US"/>
      </w:rPr>
    </w:pPr>
    <w:r w:rsidRPr="00EE698E">
      <w:rPr>
        <w:sz w:val="13"/>
        <w:szCs w:val="13"/>
        <w:lang w:val="en-US"/>
      </w:rPr>
      <w:t>2. The information in this document is given by the company's laboratory based on the actual research and experiment results, for reference only, without commitment.</w:t>
    </w:r>
  </w:p>
  <w:p w:rsidR="00331D50" w:rsidRPr="00462EAB" w:rsidRDefault="00462EAB" w:rsidP="00462EAB">
    <w:pPr>
      <w:pStyle w:val="Footer"/>
      <w:ind w:left="426" w:hanging="426"/>
    </w:pPr>
    <w:r w:rsidRPr="00EE698E">
      <w:rPr>
        <w:sz w:val="13"/>
        <w:szCs w:val="13"/>
        <w:lang w:val="en-US"/>
      </w:rPr>
      <w:t>3. Since factories have different equipment, technical processing processes, quantitative methods, and application environments, it is recommended that users conduct a small sample test first, based on application conditions, based on application conditions. formula and technology. If there are any errors related to the quality of the goods, the company is not responsible.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7C6" w:rsidRDefault="00BE27C6" w:rsidP="00B2485A">
      <w:pPr>
        <w:spacing w:after="0" w:line="240" w:lineRule="auto"/>
      </w:pPr>
      <w:r>
        <w:separator/>
      </w:r>
    </w:p>
  </w:footnote>
  <w:footnote w:type="continuationSeparator" w:id="0">
    <w:p w:rsidR="00BE27C6" w:rsidRDefault="00BE27C6" w:rsidP="00B2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85A" w:rsidRPr="00A35AED" w:rsidRDefault="00A92B25" w:rsidP="00A92B25">
    <w:pPr>
      <w:pStyle w:val="Header"/>
      <w:spacing w:line="276" w:lineRule="auto"/>
      <w:ind w:left="-426"/>
      <w:jc w:val="center"/>
      <w:rPr>
        <w:b/>
        <w:color w:val="FF0000"/>
        <w:lang w:val="en-US"/>
      </w:rPr>
    </w:pPr>
    <w:bookmarkStart w:id="1" w:name="_Hlk114822949"/>
    <w:bookmarkStart w:id="2" w:name="_Hlk114822950"/>
    <w:r w:rsidRPr="00A35AED">
      <w:rPr>
        <w:b/>
        <w:noProof/>
        <w:color w:val="FF0000"/>
      </w:rPr>
      <w:drawing>
        <wp:anchor distT="0" distB="0" distL="114300" distR="114300" simplePos="0" relativeHeight="251659264" behindDoc="0" locked="0" layoutInCell="1" allowOverlap="1" wp14:anchorId="1C18C1ED" wp14:editId="7CD46D5F">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1312" behindDoc="0" locked="0" layoutInCell="1" allowOverlap="1">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00B2485A" w:rsidRPr="00A35AED">
      <w:rPr>
        <w:b/>
        <w:color w:val="FF0000"/>
        <w:lang w:val="en-US"/>
      </w:rPr>
      <w:t>CÔNG TY TNHH HÓA CHẤT HÙNG XƯƠNG</w:t>
    </w:r>
  </w:p>
  <w:p w:rsidR="00B2485A" w:rsidRPr="00A35AED" w:rsidRDefault="00083F64" w:rsidP="00A92B25">
    <w:pPr>
      <w:pStyle w:val="Header"/>
      <w:spacing w:line="276" w:lineRule="auto"/>
      <w:ind w:left="-426"/>
      <w:jc w:val="center"/>
      <w:rPr>
        <w:b/>
        <w:color w:val="FF0000"/>
        <w:lang w:val="en-US"/>
      </w:rPr>
    </w:pPr>
    <w:r w:rsidRPr="00A35AED">
      <w:rPr>
        <w:b/>
        <w:color w:val="FF0000"/>
        <w:lang w:val="en-US"/>
      </w:rPr>
      <w:t>HUNG XUONG CHEMICAL</w:t>
    </w:r>
    <w:r w:rsidR="002B168B" w:rsidRPr="00A35AED">
      <w:rPr>
        <w:b/>
        <w:color w:val="FF0000"/>
        <w:lang w:val="en-US"/>
      </w:rPr>
      <w:t xml:space="preserve"> COMPANY LIMITED</w:t>
    </w:r>
  </w:p>
  <w:p w:rsidR="001E2DA6" w:rsidRDefault="001E2DA6" w:rsidP="001E2DA6">
    <w:pPr>
      <w:spacing w:after="0" w:line="276" w:lineRule="auto"/>
      <w:ind w:left="567"/>
      <w:rPr>
        <w:sz w:val="20"/>
        <w:szCs w:val="20"/>
        <w:lang w:val="en-US"/>
      </w:rPr>
    </w:pPr>
  </w:p>
  <w:p w:rsidR="001E2DA6" w:rsidRPr="00DD4B5B" w:rsidRDefault="00BF3D75" w:rsidP="00285122">
    <w:pPr>
      <w:tabs>
        <w:tab w:val="left" w:pos="5103"/>
      </w:tabs>
      <w:spacing w:after="0" w:line="276" w:lineRule="auto"/>
      <w:rPr>
        <w:rFonts w:asciiTheme="majorHAnsi" w:hAnsiTheme="majorHAnsi" w:cstheme="majorHAnsi"/>
        <w:color w:val="1F3864" w:themeColor="accent1" w:themeShade="80"/>
        <w:sz w:val="20"/>
        <w:szCs w:val="20"/>
        <w:lang w:val="en-US"/>
      </w:rPr>
    </w:pPr>
    <w:r w:rsidRPr="00DD4B5B">
      <w:rPr>
        <w:rFonts w:asciiTheme="majorHAnsi" w:hAnsiTheme="majorHAnsi" w:cstheme="majorHAnsi"/>
        <w:b/>
        <w:color w:val="1F3864" w:themeColor="accent1" w:themeShade="80"/>
        <w:sz w:val="11"/>
        <w:szCs w:val="11"/>
        <w:lang w:val="en-US"/>
      </w:rPr>
      <w:t>Factory:</w:t>
    </w:r>
    <w:r w:rsidRPr="00DD4B5B">
      <w:rPr>
        <w:rFonts w:asciiTheme="majorHAnsi" w:hAnsiTheme="majorHAnsi" w:cstheme="majorHAnsi"/>
        <w:color w:val="1F3864" w:themeColor="accent1" w:themeShade="80"/>
        <w:sz w:val="11"/>
        <w:szCs w:val="11"/>
        <w:lang w:val="en-US"/>
      </w:rPr>
      <w:t xml:space="preserve"> </w:t>
    </w:r>
    <w:r w:rsidR="001E2DA6" w:rsidRPr="00DD4B5B">
      <w:rPr>
        <w:rFonts w:asciiTheme="majorHAnsi" w:hAnsiTheme="majorHAnsi" w:cstheme="majorHAnsi"/>
        <w:color w:val="1F3864" w:themeColor="accent1" w:themeShade="80"/>
        <w:sz w:val="11"/>
        <w:szCs w:val="11"/>
        <w:lang w:val="en-US"/>
      </w:rPr>
      <w:t>Hai Son Industrial Zone, Binh Tien 2 Hamlet, Duc Hoa Ha, Duc Hoa District, Long An Province, V</w:t>
    </w:r>
    <w:r w:rsidR="0063285D" w:rsidRPr="00DD4B5B">
      <w:rPr>
        <w:rFonts w:asciiTheme="majorHAnsi" w:hAnsiTheme="majorHAnsi" w:cstheme="majorHAnsi"/>
        <w:color w:val="1F3864" w:themeColor="accent1" w:themeShade="80"/>
        <w:sz w:val="11"/>
        <w:szCs w:val="11"/>
        <w:lang w:val="en-US"/>
      </w:rPr>
      <w:t>N</w:t>
    </w:r>
    <w:r w:rsidR="004715CF" w:rsidRPr="00DD4B5B">
      <w:rPr>
        <w:rFonts w:asciiTheme="majorHAnsi" w:hAnsiTheme="majorHAnsi" w:cstheme="majorHAnsi"/>
        <w:color w:val="1F3864" w:themeColor="accent1" w:themeShade="80"/>
        <w:sz w:val="11"/>
        <w:szCs w:val="11"/>
        <w:lang w:val="en-US"/>
      </w:rPr>
      <w:t xml:space="preserve"> </w:t>
    </w:r>
    <w:r w:rsidR="00285122" w:rsidRPr="00DD4B5B">
      <w:rPr>
        <w:rFonts w:asciiTheme="majorHAnsi" w:hAnsiTheme="majorHAnsi" w:cstheme="majorHAnsi"/>
        <w:color w:val="1F3864" w:themeColor="accent1" w:themeShade="80"/>
        <w:sz w:val="11"/>
        <w:szCs w:val="11"/>
        <w:lang w:val="en-US"/>
      </w:rPr>
      <w:tab/>
    </w:r>
    <w:r w:rsidR="00285122" w:rsidRPr="00DD4B5B">
      <w:rPr>
        <w:rFonts w:asciiTheme="majorHAnsi" w:hAnsiTheme="majorHAnsi" w:cstheme="majorHAnsi"/>
        <w:b/>
        <w:color w:val="1F3864" w:themeColor="accent1" w:themeShade="80"/>
        <w:sz w:val="11"/>
        <w:szCs w:val="11"/>
        <w:lang w:val="en-US"/>
      </w:rPr>
      <w:t>Head office:</w:t>
    </w:r>
    <w:r w:rsidR="00285122" w:rsidRPr="00DD4B5B">
      <w:rPr>
        <w:rFonts w:asciiTheme="majorHAnsi" w:hAnsiTheme="majorHAnsi" w:cstheme="majorHAnsi"/>
        <w:color w:val="1F3864" w:themeColor="accent1" w:themeShade="80"/>
        <w:sz w:val="11"/>
        <w:szCs w:val="11"/>
        <w:lang w:val="en-US"/>
      </w:rPr>
      <w:t xml:space="preserve"> 28/18/15 Luong The Vinh, Tan Thoi Hoa Ward, Tan Phu District, Ho Chi Minh City, Vietnam</w:t>
    </w:r>
  </w:p>
  <w:p w:rsidR="00AA6461" w:rsidRPr="00DD4B5B" w:rsidRDefault="0063285D" w:rsidP="00285122">
    <w:pPr>
      <w:tabs>
        <w:tab w:val="left" w:pos="5103"/>
      </w:tabs>
      <w:spacing w:after="0" w:line="276" w:lineRule="auto"/>
      <w:rPr>
        <w:rFonts w:asciiTheme="majorHAnsi" w:hAnsiTheme="majorHAnsi" w:cstheme="majorHAnsi"/>
        <w:color w:val="1F3864" w:themeColor="accent1" w:themeShade="80"/>
        <w:sz w:val="11"/>
        <w:szCs w:val="11"/>
        <w:lang w:val="en-US"/>
      </w:rPr>
    </w:pPr>
    <w:r w:rsidRPr="00DD4B5B">
      <w:rPr>
        <w:rFonts w:asciiTheme="majorHAnsi" w:hAnsiTheme="majorHAnsi" w:cstheme="majorHAnsi"/>
        <w:b/>
        <w:color w:val="1F3864" w:themeColor="accent1" w:themeShade="80"/>
        <w:sz w:val="11"/>
        <w:szCs w:val="11"/>
        <w:lang w:val="en-US"/>
      </w:rPr>
      <w:t>Tel:</w:t>
    </w:r>
    <w:r w:rsidRPr="00DD4B5B">
      <w:rPr>
        <w:rFonts w:asciiTheme="majorHAnsi" w:hAnsiTheme="majorHAnsi" w:cstheme="majorHAnsi"/>
        <w:color w:val="1F3864" w:themeColor="accent1" w:themeShade="80"/>
        <w:sz w:val="11"/>
        <w:szCs w:val="11"/>
        <w:lang w:val="en-US"/>
      </w:rPr>
      <w:t xml:space="preserve"> (84-72) 377</w:t>
    </w:r>
    <w:r w:rsidR="00FF7EC5" w:rsidRPr="00DD4B5B">
      <w:rPr>
        <w:rFonts w:asciiTheme="majorHAnsi" w:hAnsiTheme="majorHAnsi" w:cstheme="majorHAnsi"/>
        <w:color w:val="1F3864" w:themeColor="accent1" w:themeShade="80"/>
        <w:sz w:val="11"/>
        <w:szCs w:val="11"/>
        <w:lang w:val="en-US"/>
      </w:rPr>
      <w:t xml:space="preserve"> 8055 </w:t>
    </w:r>
    <m:oMath>
      <m:r>
        <w:rPr>
          <w:rFonts w:ascii="Cambria Math" w:hAnsi="Cambria Math" w:cstheme="majorHAnsi"/>
          <w:color w:val="1F3864" w:themeColor="accent1" w:themeShade="80"/>
          <w:sz w:val="11"/>
          <w:szCs w:val="11"/>
          <w:lang w:val="en-US"/>
        </w:rPr>
        <m:t>–</m:t>
      </m:r>
    </m:oMath>
    <w:r w:rsidR="00FF7EC5" w:rsidRPr="00DD4B5B">
      <w:rPr>
        <w:rFonts w:asciiTheme="majorHAnsi" w:hAnsiTheme="majorHAnsi" w:cstheme="majorHAnsi"/>
        <w:color w:val="1F3864" w:themeColor="accent1" w:themeShade="80"/>
        <w:sz w:val="11"/>
        <w:szCs w:val="11"/>
        <w:lang w:val="en-US"/>
      </w:rPr>
      <w:t xml:space="preserve"> 377 8056 </w:t>
    </w:r>
    <w:r w:rsidR="00021D04" w:rsidRPr="00DD4B5B">
      <w:rPr>
        <w:rFonts w:asciiTheme="majorHAnsi" w:hAnsiTheme="majorHAnsi" w:cstheme="majorHAnsi"/>
        <w:color w:val="1F3864" w:themeColor="accent1" w:themeShade="80"/>
        <w:sz w:val="11"/>
        <w:szCs w:val="11"/>
        <w:lang w:val="en-US"/>
      </w:rPr>
      <w:t>-</w:t>
    </w:r>
    <w:r w:rsidR="00FF7EC5" w:rsidRPr="00DD4B5B">
      <w:rPr>
        <w:rFonts w:asciiTheme="majorHAnsi" w:hAnsiTheme="majorHAnsi" w:cstheme="majorHAnsi"/>
        <w:color w:val="1F3864" w:themeColor="accent1" w:themeShade="80"/>
        <w:sz w:val="11"/>
        <w:szCs w:val="11"/>
        <w:lang w:val="en-US"/>
      </w:rPr>
      <w:t xml:space="preserve"> </w:t>
    </w:r>
    <w:r w:rsidR="00FF7EC5" w:rsidRPr="00DD4B5B">
      <w:rPr>
        <w:rFonts w:asciiTheme="majorHAnsi" w:hAnsiTheme="majorHAnsi" w:cstheme="majorHAnsi"/>
        <w:b/>
        <w:color w:val="1F3864" w:themeColor="accent1" w:themeShade="80"/>
        <w:sz w:val="11"/>
        <w:szCs w:val="11"/>
        <w:lang w:val="en-US"/>
      </w:rPr>
      <w:t>Fax</w:t>
    </w:r>
    <w:r w:rsidR="00021D04" w:rsidRPr="00DD4B5B">
      <w:rPr>
        <w:rFonts w:asciiTheme="majorHAnsi" w:hAnsiTheme="majorHAnsi" w:cstheme="majorHAnsi"/>
        <w:b/>
        <w:color w:val="1F3864" w:themeColor="accent1" w:themeShade="80"/>
        <w:sz w:val="11"/>
        <w:szCs w:val="11"/>
        <w:lang w:val="en-US"/>
      </w:rPr>
      <w:t>:</w:t>
    </w:r>
    <w:r w:rsidR="00021D04" w:rsidRPr="00DD4B5B">
      <w:rPr>
        <w:rFonts w:asciiTheme="majorHAnsi" w:hAnsiTheme="majorHAnsi" w:cstheme="majorHAnsi"/>
        <w:color w:val="1F3864" w:themeColor="accent1" w:themeShade="80"/>
        <w:sz w:val="11"/>
        <w:szCs w:val="11"/>
        <w:lang w:val="en-US"/>
      </w:rPr>
      <w:t xml:space="preserve"> (84-72) 377 8060</w:t>
    </w:r>
    <w:r w:rsidR="00285122" w:rsidRPr="00DD4B5B">
      <w:rPr>
        <w:rFonts w:asciiTheme="majorHAnsi" w:hAnsiTheme="majorHAnsi" w:cstheme="majorHAnsi"/>
        <w:color w:val="1F3864" w:themeColor="accent1" w:themeShade="80"/>
        <w:sz w:val="11"/>
        <w:szCs w:val="11"/>
        <w:lang w:val="en-US"/>
      </w:rPr>
      <w:tab/>
    </w:r>
    <w:r w:rsidR="00011683" w:rsidRPr="00DD4B5B">
      <w:rPr>
        <w:rFonts w:asciiTheme="majorHAnsi" w:hAnsiTheme="majorHAnsi" w:cstheme="majorHAnsi"/>
        <w:b/>
        <w:color w:val="1F3864" w:themeColor="accent1" w:themeShade="80"/>
        <w:sz w:val="11"/>
        <w:szCs w:val="11"/>
        <w:lang w:val="en-US"/>
      </w:rPr>
      <w:t>Tel:</w:t>
    </w:r>
    <w:r w:rsidR="00011683" w:rsidRPr="00DD4B5B">
      <w:rPr>
        <w:rFonts w:asciiTheme="majorHAnsi" w:hAnsiTheme="majorHAnsi" w:cstheme="majorHAnsi"/>
        <w:color w:val="1F3864" w:themeColor="accent1" w:themeShade="80"/>
        <w:sz w:val="11"/>
        <w:szCs w:val="11"/>
        <w:lang w:val="en-US"/>
      </w:rPr>
      <w:t xml:space="preserve"> (84-28) 3961 0618</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(84-28) 3961</w:t>
    </w:r>
    <w:r w:rsidR="00672653" w:rsidRPr="00DD4B5B">
      <w:rPr>
        <w:rFonts w:asciiTheme="majorHAnsi" w:hAnsiTheme="majorHAnsi" w:cstheme="majorHAnsi"/>
        <w:color w:val="1F3864" w:themeColor="accent1" w:themeShade="80"/>
        <w:sz w:val="11"/>
        <w:szCs w:val="11"/>
        <w:lang w:val="en-US"/>
      </w:rPr>
      <w:t xml:space="preserve"> 0628 - </w:t>
    </w:r>
    <w:r w:rsidR="00672653" w:rsidRPr="00DD4B5B">
      <w:rPr>
        <w:rFonts w:asciiTheme="majorHAnsi" w:hAnsiTheme="majorHAnsi" w:cstheme="majorHAnsi"/>
        <w:b/>
        <w:color w:val="1F3864" w:themeColor="accent1" w:themeShade="80"/>
        <w:sz w:val="11"/>
        <w:szCs w:val="11"/>
        <w:lang w:val="en-US"/>
      </w:rPr>
      <w:t>Fax:</w:t>
    </w:r>
    <w:r w:rsidR="00672653" w:rsidRPr="00DD4B5B">
      <w:rPr>
        <w:rFonts w:asciiTheme="majorHAnsi" w:hAnsiTheme="majorHAnsi" w:cstheme="majorHAnsi"/>
        <w:color w:val="1F3864" w:themeColor="accent1" w:themeShade="80"/>
        <w:sz w:val="11"/>
        <w:szCs w:val="11"/>
        <w:lang w:val="en-US"/>
      </w:rPr>
      <w:t xml:space="preserve"> (84-28) 3961 0633</w:t>
    </w:r>
  </w:p>
  <w:p w:rsidR="00B2485A" w:rsidRPr="004715CF" w:rsidRDefault="004715CF" w:rsidP="00DD4B5B">
    <w:pPr>
      <w:tabs>
        <w:tab w:val="center" w:pos="5102"/>
      </w:tabs>
      <w:spacing w:after="0" w:line="276" w:lineRule="auto"/>
      <w:rPr>
        <w:rFonts w:asciiTheme="majorHAnsi" w:hAnsiTheme="majorHAnsi" w:cstheme="majorHAnsi"/>
        <w:sz w:val="11"/>
        <w:szCs w:val="11"/>
        <w:lang w:val="en-US"/>
      </w:rPr>
    </w:pPr>
    <w:r w:rsidRPr="00DD4B5B">
      <w:rPr>
        <w:rFonts w:asciiTheme="majorHAnsi" w:hAnsiTheme="majorHAnsi" w:cstheme="majorHAnsi"/>
        <w:b/>
        <w:noProof/>
        <w:color w:val="1F3864" w:themeColor="accent1" w:themeShade="80"/>
        <w:sz w:val="11"/>
        <w:szCs w:val="11"/>
        <w:lang w:val="en-US"/>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106553</wp:posOffset>
              </wp:positionV>
              <wp:extent cx="64861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86144" cy="0"/>
                      </a:xfrm>
                      <a:prstGeom prst="line">
                        <a:avLst/>
                      </a:prstGeom>
                      <a:ln>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AF844"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8.4pt" to="509.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" strokecolor="#1f3763 [1604]" strokeweight=".5pt">
              <v:stroke joinstyle="miter"/>
            </v:line>
          </w:pict>
        </mc:Fallback>
      </mc:AlternateContent>
    </w:r>
    <w:r w:rsidR="00021D04" w:rsidRPr="00DD4B5B">
      <w:rPr>
        <w:rFonts w:asciiTheme="majorHAnsi" w:hAnsiTheme="majorHAnsi" w:cstheme="majorHAnsi"/>
        <w:b/>
        <w:color w:val="1F3864" w:themeColor="accent1" w:themeShade="80"/>
        <w:sz w:val="11"/>
        <w:szCs w:val="11"/>
        <w:lang w:val="en-US"/>
      </w:rPr>
      <w:t>Email:</w:t>
    </w:r>
    <w:r w:rsidR="00021D04" w:rsidRPr="00DD4B5B">
      <w:rPr>
        <w:rFonts w:asciiTheme="majorHAnsi" w:hAnsiTheme="majorHAnsi" w:cstheme="majorHAnsi"/>
        <w:color w:val="1F3864" w:themeColor="accent1" w:themeShade="80"/>
        <w:sz w:val="11"/>
        <w:szCs w:val="11"/>
        <w:lang w:val="en-US"/>
      </w:rPr>
      <w:t xml:space="preserve"> </w:t>
    </w:r>
    <w:hyperlink r:id="rId3" w:history="1">
      <w:r w:rsidR="00C003DB" w:rsidRPr="00DD4B5B">
        <w:rPr>
          <w:rStyle w:val="Hyperlink"/>
          <w:rFonts w:asciiTheme="majorHAnsi" w:hAnsiTheme="majorHAnsi" w:cstheme="majorHAnsi"/>
          <w:color w:val="1F3864" w:themeColor="accent1" w:themeShade="80"/>
          <w:sz w:val="11"/>
          <w:szCs w:val="11"/>
          <w:u w:val="none"/>
          <w:lang w:val="en-US"/>
        </w:rPr>
        <w:t>office@hungxuong.com.vn</w:t>
      </w:r>
    </w:hyperlink>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b/>
        <w:color w:val="1F3864" w:themeColor="accent1" w:themeShade="80"/>
        <w:sz w:val="11"/>
        <w:szCs w:val="11"/>
        <w:lang w:val="en-US"/>
      </w:rPr>
      <w:t>Website:</w:t>
    </w:r>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shd w:val="clear" w:color="auto" w:fill="FFFFFF"/>
        <w:lang w:val="en-US"/>
      </w:rPr>
      <w:t>www.</w:t>
    </w:r>
    <w:r w:rsidR="00FB642D" w:rsidRPr="00DD4B5B">
      <w:rPr>
        <w:rFonts w:asciiTheme="majorHAnsi" w:hAnsiTheme="majorHAnsi" w:cstheme="majorHAnsi"/>
        <w:color w:val="1F3864" w:themeColor="accent1" w:themeShade="80"/>
        <w:sz w:val="11"/>
        <w:szCs w:val="11"/>
        <w:shd w:val="clear" w:color="auto" w:fill="FFFFFF"/>
      </w:rPr>
      <w:t>hungxuong.com.vn</w:t>
    </w:r>
    <w:bookmarkEnd w:id="1"/>
    <w:bookmarkEnd w:id="2"/>
    <w:r w:rsidR="00DD4B5B">
      <w:rPr>
        <w:rFonts w:asciiTheme="majorHAnsi" w:hAnsiTheme="majorHAnsi" w:cstheme="majorHAnsi"/>
        <w:color w:val="1F3864" w:themeColor="accent1" w:themeShade="80"/>
        <w:sz w:val="11"/>
        <w:szCs w:val="11"/>
        <w:shd w:val="clear" w:color="auto" w:fill="FFFFF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543C7"/>
    <w:multiLevelType w:val="hybridMultilevel"/>
    <w:tmpl w:val="93B89A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D1836DA"/>
    <w:multiLevelType w:val="hybridMultilevel"/>
    <w:tmpl w:val="BB1C8FE2"/>
    <w:lvl w:ilvl="0" w:tplc="B1D4816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6F585501"/>
    <w:multiLevelType w:val="hybridMultilevel"/>
    <w:tmpl w:val="2CB0AF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5A"/>
    <w:rsid w:val="00011683"/>
    <w:rsid w:val="00021D04"/>
    <w:rsid w:val="0003792A"/>
    <w:rsid w:val="0005754E"/>
    <w:rsid w:val="0008224B"/>
    <w:rsid w:val="00083F64"/>
    <w:rsid w:val="000B02C4"/>
    <w:rsid w:val="000F13E5"/>
    <w:rsid w:val="001062ED"/>
    <w:rsid w:val="00114AA1"/>
    <w:rsid w:val="00117D84"/>
    <w:rsid w:val="00132C8C"/>
    <w:rsid w:val="00163BAB"/>
    <w:rsid w:val="001713B8"/>
    <w:rsid w:val="0017508E"/>
    <w:rsid w:val="00175F97"/>
    <w:rsid w:val="001C0152"/>
    <w:rsid w:val="001C10F2"/>
    <w:rsid w:val="001E2DA6"/>
    <w:rsid w:val="001F1784"/>
    <w:rsid w:val="001F2D7B"/>
    <w:rsid w:val="00223FC2"/>
    <w:rsid w:val="00285122"/>
    <w:rsid w:val="002B168B"/>
    <w:rsid w:val="002B5EF9"/>
    <w:rsid w:val="00306966"/>
    <w:rsid w:val="00321231"/>
    <w:rsid w:val="00323D52"/>
    <w:rsid w:val="00331D50"/>
    <w:rsid w:val="0033306C"/>
    <w:rsid w:val="003417C9"/>
    <w:rsid w:val="00373B5A"/>
    <w:rsid w:val="003806BE"/>
    <w:rsid w:val="0039314E"/>
    <w:rsid w:val="003969AF"/>
    <w:rsid w:val="003A09DD"/>
    <w:rsid w:val="003F6023"/>
    <w:rsid w:val="003F7743"/>
    <w:rsid w:val="00434ACA"/>
    <w:rsid w:val="0044090E"/>
    <w:rsid w:val="0045280E"/>
    <w:rsid w:val="00462EAB"/>
    <w:rsid w:val="00467ECC"/>
    <w:rsid w:val="004715CF"/>
    <w:rsid w:val="004B4558"/>
    <w:rsid w:val="004D4619"/>
    <w:rsid w:val="004F08C5"/>
    <w:rsid w:val="0053497C"/>
    <w:rsid w:val="00594571"/>
    <w:rsid w:val="00595CB7"/>
    <w:rsid w:val="0063285D"/>
    <w:rsid w:val="006628B3"/>
    <w:rsid w:val="00672653"/>
    <w:rsid w:val="006B4AAD"/>
    <w:rsid w:val="006C0F22"/>
    <w:rsid w:val="006F79A8"/>
    <w:rsid w:val="00733604"/>
    <w:rsid w:val="007B04D7"/>
    <w:rsid w:val="007B31A2"/>
    <w:rsid w:val="007F1137"/>
    <w:rsid w:val="00800FF2"/>
    <w:rsid w:val="0081661A"/>
    <w:rsid w:val="0083500F"/>
    <w:rsid w:val="00842DA8"/>
    <w:rsid w:val="00847A47"/>
    <w:rsid w:val="00862DE4"/>
    <w:rsid w:val="00872D1E"/>
    <w:rsid w:val="008E17B4"/>
    <w:rsid w:val="009062FF"/>
    <w:rsid w:val="0092458D"/>
    <w:rsid w:val="009A4480"/>
    <w:rsid w:val="009B45FB"/>
    <w:rsid w:val="009E1D15"/>
    <w:rsid w:val="009E3E53"/>
    <w:rsid w:val="00A13DC2"/>
    <w:rsid w:val="00A35AED"/>
    <w:rsid w:val="00A41122"/>
    <w:rsid w:val="00A76876"/>
    <w:rsid w:val="00A86F77"/>
    <w:rsid w:val="00A92B25"/>
    <w:rsid w:val="00AA6461"/>
    <w:rsid w:val="00AD5F54"/>
    <w:rsid w:val="00B22254"/>
    <w:rsid w:val="00B2485A"/>
    <w:rsid w:val="00B32649"/>
    <w:rsid w:val="00B40E20"/>
    <w:rsid w:val="00B56656"/>
    <w:rsid w:val="00B65915"/>
    <w:rsid w:val="00BD17CE"/>
    <w:rsid w:val="00BE27C6"/>
    <w:rsid w:val="00BF3D75"/>
    <w:rsid w:val="00C003DB"/>
    <w:rsid w:val="00C04E17"/>
    <w:rsid w:val="00C06216"/>
    <w:rsid w:val="00C22336"/>
    <w:rsid w:val="00C43EA4"/>
    <w:rsid w:val="00C45348"/>
    <w:rsid w:val="00C7277B"/>
    <w:rsid w:val="00C91AD4"/>
    <w:rsid w:val="00CB3025"/>
    <w:rsid w:val="00CB5BB4"/>
    <w:rsid w:val="00CF1AA8"/>
    <w:rsid w:val="00D665EB"/>
    <w:rsid w:val="00D748E8"/>
    <w:rsid w:val="00D858C8"/>
    <w:rsid w:val="00DA5484"/>
    <w:rsid w:val="00DC31B8"/>
    <w:rsid w:val="00DC547F"/>
    <w:rsid w:val="00DD3D46"/>
    <w:rsid w:val="00DD4B5B"/>
    <w:rsid w:val="00E04AF4"/>
    <w:rsid w:val="00E5002E"/>
    <w:rsid w:val="00E61279"/>
    <w:rsid w:val="00E67B6E"/>
    <w:rsid w:val="00E76E8C"/>
    <w:rsid w:val="00E86AFB"/>
    <w:rsid w:val="00E92AE9"/>
    <w:rsid w:val="00E9533B"/>
    <w:rsid w:val="00EA136C"/>
    <w:rsid w:val="00EA3882"/>
    <w:rsid w:val="00EB0D70"/>
    <w:rsid w:val="00F07F03"/>
    <w:rsid w:val="00F44822"/>
    <w:rsid w:val="00FB25E0"/>
    <w:rsid w:val="00FB642D"/>
    <w:rsid w:val="00FC0147"/>
    <w:rsid w:val="00FC403C"/>
    <w:rsid w:val="00FC6B1C"/>
    <w:rsid w:val="00FD4B34"/>
    <w:rsid w:val="00FF7E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3EBED"/>
  <w15:chartTrackingRefBased/>
  <w15:docId w15:val="{A849FD0F-10B1-4C20-A1E4-D357F264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3B5A"/>
    <w:pPr>
      <w:spacing w:before="100" w:beforeAutospacing="1" w:after="100" w:afterAutospacing="1" w:line="240" w:lineRule="auto"/>
      <w:outlineLvl w:val="2"/>
    </w:pPr>
    <w:rPr>
      <w:rFonts w:eastAsia="Times New Roman" w:cs="Times New Roman"/>
      <w:b/>
      <w:bCs/>
      <w:sz w:val="27"/>
      <w:szCs w:val="27"/>
      <w:lang w:eastAsia="vi-VN"/>
    </w:rPr>
  </w:style>
  <w:style w:type="paragraph" w:styleId="Heading5">
    <w:name w:val="heading 5"/>
    <w:basedOn w:val="Normal"/>
    <w:next w:val="Normal"/>
    <w:link w:val="Heading5Char"/>
    <w:uiPriority w:val="9"/>
    <w:unhideWhenUsed/>
    <w:qFormat/>
    <w:rsid w:val="00AD5F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5A"/>
  </w:style>
  <w:style w:type="paragraph" w:styleId="Footer">
    <w:name w:val="footer"/>
    <w:basedOn w:val="Normal"/>
    <w:link w:val="FooterChar"/>
    <w:uiPriority w:val="99"/>
    <w:unhideWhenUsed/>
    <w:rsid w:val="00B2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5A"/>
  </w:style>
  <w:style w:type="character" w:styleId="Hyperlink">
    <w:name w:val="Hyperlink"/>
    <w:basedOn w:val="DefaultParagraphFont"/>
    <w:uiPriority w:val="99"/>
    <w:unhideWhenUsed/>
    <w:rsid w:val="00C003DB"/>
    <w:rPr>
      <w:color w:val="0563C1" w:themeColor="hyperlink"/>
      <w:u w:val="single"/>
    </w:rPr>
  </w:style>
  <w:style w:type="character" w:styleId="UnresolvedMention">
    <w:name w:val="Unresolved Mention"/>
    <w:basedOn w:val="DefaultParagraphFont"/>
    <w:uiPriority w:val="99"/>
    <w:semiHidden/>
    <w:unhideWhenUsed/>
    <w:rsid w:val="00C003DB"/>
    <w:rPr>
      <w:color w:val="605E5C"/>
      <w:shd w:val="clear" w:color="auto" w:fill="E1DFDD"/>
    </w:rPr>
  </w:style>
  <w:style w:type="character" w:customStyle="1" w:styleId="Heading3Char">
    <w:name w:val="Heading 3 Char"/>
    <w:basedOn w:val="DefaultParagraphFont"/>
    <w:link w:val="Heading3"/>
    <w:uiPriority w:val="9"/>
    <w:rsid w:val="00373B5A"/>
    <w:rPr>
      <w:rFonts w:eastAsia="Times New Roman" w:cs="Times New Roman"/>
      <w:b/>
      <w:bCs/>
      <w:sz w:val="27"/>
      <w:szCs w:val="27"/>
      <w:lang w:eastAsia="vi-VN"/>
    </w:rPr>
  </w:style>
  <w:style w:type="paragraph" w:styleId="ListParagraph">
    <w:name w:val="List Paragraph"/>
    <w:basedOn w:val="Normal"/>
    <w:uiPriority w:val="34"/>
    <w:qFormat/>
    <w:rsid w:val="00C04E17"/>
    <w:pPr>
      <w:ind w:left="720"/>
      <w:contextualSpacing/>
    </w:pPr>
  </w:style>
  <w:style w:type="character" w:customStyle="1" w:styleId="Heading5Char">
    <w:name w:val="Heading 5 Char"/>
    <w:basedOn w:val="DefaultParagraphFont"/>
    <w:link w:val="Heading5"/>
    <w:uiPriority w:val="9"/>
    <w:rsid w:val="00AD5F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61864">
      <w:bodyDiv w:val="1"/>
      <w:marLeft w:val="0"/>
      <w:marRight w:val="0"/>
      <w:marTop w:val="0"/>
      <w:marBottom w:val="0"/>
      <w:divBdr>
        <w:top w:val="none" w:sz="0" w:space="0" w:color="auto"/>
        <w:left w:val="none" w:sz="0" w:space="0" w:color="auto"/>
        <w:bottom w:val="none" w:sz="0" w:space="0" w:color="auto"/>
        <w:right w:val="none" w:sz="0" w:space="0" w:color="auto"/>
      </w:divBdr>
    </w:div>
    <w:div w:id="1741052823">
      <w:bodyDiv w:val="1"/>
      <w:marLeft w:val="0"/>
      <w:marRight w:val="0"/>
      <w:marTop w:val="0"/>
      <w:marBottom w:val="0"/>
      <w:divBdr>
        <w:top w:val="none" w:sz="0" w:space="0" w:color="auto"/>
        <w:left w:val="none" w:sz="0" w:space="0" w:color="auto"/>
        <w:bottom w:val="none" w:sz="0" w:space="0" w:color="auto"/>
        <w:right w:val="none" w:sz="0" w:space="0" w:color="auto"/>
      </w:divBdr>
    </w:div>
    <w:div w:id="20378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67B7-A2F3-4FE3-B655-6B177B27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2022-09-23T07:45:00Z</dcterms:created>
  <dcterms:modified xsi:type="dcterms:W3CDTF">2022-09-24T02:03:00Z</dcterms:modified>
</cp:coreProperties>
</file>