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79"/>
          <w:sz w:val="32"/>
        </w:rPr>
        <w:t>Elizabeth Kim-Ortiz</w:t>
      </w:r>
    </w:p>
    <w:p>
      <w:pPr>
        <w:spacing w:after="80"/>
        <w:jc w:val="center"/>
      </w:pPr>
      <w:r>
        <w:rPr>
          <w:sz w:val="17"/>
        </w:rPr>
        <w:t>Austin Metropolitan Area | eortizcofo2013@gmail.com | www.linkedin.com/in/elizabeth-kim-ortiz-25845a28a</w:t>
      </w:r>
    </w:p>
    <w:p>
      <w:pPr>
        <w:spacing w:after="120"/>
        <w:jc w:val="center"/>
        <w:pBdr>
          <w:bottom w:val="single" w:sz="6" w:space="1" w:color="9EADCC"/>
        </w:pBdr>
      </w:pPr>
      <w:r>
        <w:rPr>
          <w:b/>
          <w:color w:val="404040"/>
          <w:sz w:val="21"/>
        </w:rPr>
        <w:t>BILINGUAL CONTENT QUALITY &amp; EDUCATION REVIEW SPECIALIST</w:t>
      </w:r>
    </w:p>
    <w:p>
      <w:pPr>
        <w:pStyle w:val="Heading1"/>
        <w:pBdr>
          <w:bottom w:val="single" w:sz="4" w:space="1" w:color="BFBFBF"/>
        </w:pBdr>
        <w:spacing w:before="140" w:after="60"/>
      </w:pPr>
      <w:r>
        <w:rPr>
          <w:b/>
          <w:color w:val="1F4E79"/>
          <w:sz w:val="21"/>
        </w:rPr>
        <w:t>PROFESSIONAL SUMMARY</w:t>
      </w:r>
    </w:p>
    <w:p>
      <w:pPr>
        <w:spacing w:after="60"/>
      </w:pPr>
      <w:r>
        <w:rPr>
          <w:sz w:val="18"/>
        </w:rPr>
        <w:t>Bilingual English/Spanish master’s-level professional with experience developing educational materials, translating complex behavioral-health and program information into accessible communication, and maintaining accurate documentation across higher education, healthcare, and counseling environments. Background includes adult learning facilitation, digital learning assets, LMS exposure, Google Data Analytics training, and compliance-sensitive records. Well-suited for education content quality, AI/content quality analyst, language quality, learning operations, and rubric-based review roles.</w:t>
      </w:r>
    </w:p>
    <w:p>
      <w:pPr>
        <w:pStyle w:val="Heading1"/>
        <w:pBdr>
          <w:bottom w:val="single" w:sz="4" w:space="1" w:color="BFBFBF"/>
        </w:pBdr>
        <w:spacing w:before="140" w:after="60"/>
      </w:pPr>
      <w:r>
        <w:rPr>
          <w:b/>
          <w:color w:val="1F4E79"/>
          <w:sz w:val="21"/>
        </w:rPr>
        <w:t>CORE SKILLS</w:t>
      </w:r>
    </w:p>
    <w:p>
      <w:pPr>
        <w:spacing w:after="40"/>
      </w:pPr>
      <w:r>
        <w:rPr>
          <w:sz w:val="17"/>
        </w:rPr>
        <w:t>Content Quality Review | Education Content | Bilingual English/Spanish | Written Communication | Rubric-Based Evaluation | Adult Learning | Behavioral Health Content | Learning Materials | Data Quality | Documentation Accuracy | Google Data Analytics | Canvas | Blackboard | Articulate Rise Exposure | Accessibility / UDL | Microsoft Excel | Microsoft PowerPoint | Microsoft Outlook | Microsoft Teams</w:t>
      </w:r>
    </w:p>
    <w:p>
      <w:pPr>
        <w:pStyle w:val="Heading1"/>
        <w:pBdr>
          <w:bottom w:val="single" w:sz="4" w:space="1" w:color="BFBFBF"/>
        </w:pBdr>
        <w:spacing w:before="140" w:after="60"/>
      </w:pPr>
      <w:r>
        <w:rPr>
          <w:b/>
          <w:color w:val="1F4E79"/>
          <w:sz w:val="21"/>
        </w:rPr>
        <w:t>PROFESSIONAL EXPERIENCE</w:t>
      </w:r>
    </w:p>
    <w:p>
      <w:pPr>
        <w:spacing w:before="100" w:after="20"/>
      </w:pPr>
      <w:r>
        <w:rPr>
          <w:b/>
          <w:sz w:val="19"/>
        </w:rPr>
        <w:t>Enrollment Specialist</w:t>
      </w:r>
    </w:p>
    <w:p>
      <w:pPr>
        <w:spacing w:after="20"/>
      </w:pPr>
      <w:r>
        <w:rPr>
          <w:i/>
          <w:sz w:val="18"/>
        </w:rPr>
        <w:t>RPM Healthcare | May 2026–Present</w:t>
      </w:r>
    </w:p>
    <w:p>
      <w:pPr>
        <w:pStyle w:val="ListBullet"/>
        <w:spacing w:after="36"/>
        <w:ind w:left="288" w:hanging="216"/>
      </w:pPr>
      <w:r>
        <w:rPr>
          <w:sz w:val="18"/>
        </w:rPr>
        <w:t>Explain complex Remote Patient Monitoring program benefits, technical standards, and documentation expectations in clear, accessible language.</w:t>
      </w:r>
    </w:p>
    <w:p>
      <w:pPr>
        <w:pStyle w:val="ListBullet"/>
        <w:spacing w:after="36"/>
        <w:ind w:left="288" w:hanging="216"/>
      </w:pPr>
      <w:r>
        <w:rPr>
          <w:sz w:val="18"/>
        </w:rPr>
        <w:t>Use RPM365 and Microsoft Teams to track enrollment activity, document patient/program status, and coordinate internal workflow updates.</w:t>
      </w:r>
    </w:p>
    <w:p>
      <w:pPr>
        <w:pStyle w:val="ListBullet"/>
        <w:spacing w:after="36"/>
        <w:ind w:left="288" w:hanging="216"/>
      </w:pPr>
      <w:r>
        <w:rPr>
          <w:sz w:val="18"/>
        </w:rPr>
        <w:t>Maintain accurate documentation to support data quality, program readiness, and consistent internal handoffs.</w:t>
      </w:r>
    </w:p>
    <w:p>
      <w:pPr>
        <w:pStyle w:val="ListBullet"/>
        <w:spacing w:after="36"/>
        <w:ind w:left="288" w:hanging="216"/>
      </w:pPr>
      <w:r>
        <w:rPr>
          <w:sz w:val="18"/>
        </w:rPr>
        <w:t>Participate in ongoing training to refine communication workflows, documentation quality, and scalable enrollment processes.</w:t>
      </w:r>
    </w:p>
    <w:p>
      <w:pPr>
        <w:spacing w:before="100" w:after="20"/>
      </w:pPr>
      <w:r>
        <w:rPr>
          <w:b/>
          <w:sz w:val="19"/>
        </w:rPr>
        <w:t>Enrollment Counselor</w:t>
      </w:r>
    </w:p>
    <w:p>
      <w:pPr>
        <w:spacing w:after="20"/>
      </w:pPr>
      <w:r>
        <w:rPr>
          <w:i/>
          <w:sz w:val="18"/>
        </w:rPr>
        <w:t>Galen College of Nursing | Aug 2024–Apr 2026</w:t>
      </w:r>
    </w:p>
    <w:p>
      <w:pPr>
        <w:pStyle w:val="ListBullet"/>
        <w:spacing w:after="36"/>
        <w:ind w:left="288" w:hanging="216"/>
      </w:pPr>
      <w:r>
        <w:rPr>
          <w:sz w:val="18"/>
        </w:rPr>
        <w:t>Translated academic program requirements, technical standards, and compliance regulations into clear guidance for incoming nursing students.</w:t>
      </w:r>
    </w:p>
    <w:p>
      <w:pPr>
        <w:pStyle w:val="ListBullet"/>
        <w:spacing w:after="36"/>
        <w:ind w:left="288" w:hanging="216"/>
      </w:pPr>
      <w:r>
        <w:rPr>
          <w:sz w:val="18"/>
        </w:rPr>
        <w:t>Audited student information systems daily to track transcript data, resolve documentation bottlenecks, and support compliance timelines.</w:t>
      </w:r>
    </w:p>
    <w:p>
      <w:pPr>
        <w:pStyle w:val="ListBullet"/>
        <w:spacing w:after="36"/>
        <w:ind w:left="288" w:hanging="216"/>
      </w:pPr>
      <w:r>
        <w:rPr>
          <w:sz w:val="18"/>
        </w:rPr>
        <w:t>Maintained accurate notes and records in internal systems to support team-based student support and documentation continuity.</w:t>
      </w:r>
    </w:p>
    <w:p>
      <w:pPr>
        <w:pStyle w:val="ListBullet"/>
        <w:spacing w:after="36"/>
        <w:ind w:left="288" w:hanging="216"/>
      </w:pPr>
      <w:r>
        <w:rPr>
          <w:sz w:val="18"/>
        </w:rPr>
        <w:t>Provided bilingual English/Spanish support for admissions questions, documentation needs, appointment scheduling, and basic billing guidance.</w:t>
      </w:r>
    </w:p>
    <w:p>
      <w:pPr>
        <w:spacing w:before="100" w:after="20"/>
      </w:pPr>
      <w:r>
        <w:rPr>
          <w:b/>
          <w:sz w:val="19"/>
        </w:rPr>
        <w:t>Remote Intake &amp; Reception Coordinator</w:t>
      </w:r>
    </w:p>
    <w:p>
      <w:pPr>
        <w:spacing w:after="20"/>
      </w:pPr>
      <w:r>
        <w:rPr>
          <w:i/>
          <w:sz w:val="18"/>
        </w:rPr>
        <w:t>Capital Area Counseling | Mar 2021–Oct 2023</w:t>
      </w:r>
    </w:p>
    <w:p>
      <w:pPr>
        <w:pStyle w:val="ListBullet"/>
        <w:spacing w:after="36"/>
        <w:ind w:left="288" w:hanging="216"/>
      </w:pPr>
      <w:r>
        <w:rPr>
          <w:sz w:val="18"/>
        </w:rPr>
        <w:t>Responded to phone, email, and online inquiries with empathy, professionalism, and accuracy in a counseling intake environment.</w:t>
      </w:r>
    </w:p>
    <w:p>
      <w:pPr>
        <w:pStyle w:val="ListBullet"/>
        <w:spacing w:after="36"/>
        <w:ind w:left="288" w:hanging="216"/>
      </w:pPr>
      <w:r>
        <w:rPr>
          <w:sz w:val="18"/>
        </w:rPr>
        <w:t>Entered and updated client information in internal systems to support billing, reporting, therapist caseload management, and administrative continuity.</w:t>
      </w:r>
    </w:p>
    <w:p>
      <w:pPr>
        <w:pStyle w:val="ListBullet"/>
        <w:spacing w:after="36"/>
        <w:ind w:left="288" w:hanging="216"/>
      </w:pPr>
      <w:r>
        <w:rPr>
          <w:sz w:val="18"/>
        </w:rPr>
        <w:t>Collaborated with clinical and administrative staff to refine workflows, reduce no-shows, and improve intake experience.</w:t>
      </w:r>
    </w:p>
    <w:p>
      <w:pPr>
        <w:spacing w:before="100" w:after="20"/>
      </w:pPr>
      <w:r>
        <w:rPr>
          <w:b/>
          <w:sz w:val="19"/>
        </w:rPr>
        <w:t>Pre-Graduate Intern Therapist</w:t>
      </w:r>
    </w:p>
    <w:p>
      <w:pPr>
        <w:spacing w:after="20"/>
      </w:pPr>
      <w:r>
        <w:rPr>
          <w:i/>
          <w:sz w:val="18"/>
        </w:rPr>
        <w:t>Capital Area Counseling | Nov 2020–Mar 2021</w:t>
      </w:r>
    </w:p>
    <w:p>
      <w:pPr>
        <w:pStyle w:val="ListBullet"/>
        <w:spacing w:after="36"/>
        <w:ind w:left="288" w:hanging="216"/>
      </w:pPr>
      <w:r>
        <w:rPr>
          <w:sz w:val="18"/>
        </w:rPr>
        <w:t>Facilitated psychoeducational modules and structured behavioral learning plans for adult clients under supervision.</w:t>
      </w:r>
    </w:p>
    <w:p>
      <w:pPr>
        <w:pStyle w:val="ListBullet"/>
        <w:spacing w:after="36"/>
        <w:ind w:left="288" w:hanging="216"/>
      </w:pPr>
      <w:r>
        <w:rPr>
          <w:sz w:val="18"/>
        </w:rPr>
        <w:t>Maintained detailed clinical notes, treatment plans, and billing documentation in accordance with agency and ethical standards.</w:t>
      </w:r>
    </w:p>
    <w:p>
      <w:pPr>
        <w:pStyle w:val="ListBullet"/>
        <w:spacing w:after="36"/>
        <w:ind w:left="288" w:hanging="216"/>
      </w:pPr>
      <w:r>
        <w:rPr>
          <w:sz w:val="18"/>
        </w:rPr>
        <w:t>Applied cognitive-behavioral tools to teach adult clients emotional regulation and coping strategy frameworks under supervision.</w:t>
      </w:r>
    </w:p>
    <w:p>
      <w:pPr>
        <w:spacing w:before="100" w:after="20"/>
      </w:pPr>
      <w:r>
        <w:rPr>
          <w:b/>
          <w:sz w:val="19"/>
        </w:rPr>
        <w:t>Counseling Intern</w:t>
      </w:r>
    </w:p>
    <w:p>
      <w:pPr>
        <w:spacing w:after="20"/>
      </w:pPr>
      <w:r>
        <w:rPr>
          <w:i/>
          <w:sz w:val="18"/>
        </w:rPr>
        <w:t>Austin Strong | Apr 2020–Oct 2020</w:t>
      </w:r>
    </w:p>
    <w:p>
      <w:pPr>
        <w:pStyle w:val="ListBullet"/>
        <w:spacing w:after="36"/>
        <w:ind w:left="288" w:hanging="216"/>
      </w:pPr>
      <w:r>
        <w:rPr>
          <w:sz w:val="18"/>
        </w:rPr>
        <w:t>Designed, storyboarded, and produced bilingual digital learning and educational video assets to expand access to wellness-related information.</w:t>
      </w:r>
    </w:p>
    <w:p>
      <w:pPr>
        <w:pStyle w:val="ListBullet"/>
        <w:spacing w:after="36"/>
        <w:ind w:left="288" w:hanging="216"/>
      </w:pPr>
      <w:r>
        <w:rPr>
          <w:sz w:val="18"/>
        </w:rPr>
        <w:t>Helped increase outreach and engagement among Spanish-speaking clients, contributing to a reported 40% growth in reach over 3 months.</w:t>
      </w:r>
    </w:p>
    <w:p>
      <w:pPr>
        <w:pStyle w:val="ListBullet"/>
        <w:spacing w:after="36"/>
        <w:ind w:left="288" w:hanging="216"/>
      </w:pPr>
      <w:r>
        <w:rPr>
          <w:sz w:val="18"/>
        </w:rPr>
        <w:t>Collaborated with staff to identify barriers to access and suggest more inclusive outreach approaches.</w:t>
      </w:r>
    </w:p>
    <w:p>
      <w:pPr>
        <w:pStyle w:val="Heading1"/>
        <w:pBdr>
          <w:bottom w:val="single" w:sz="4" w:space="1" w:color="BFBFBF"/>
        </w:pBdr>
        <w:spacing w:before="140" w:after="60"/>
      </w:pPr>
      <w:r>
        <w:rPr>
          <w:b/>
          <w:color w:val="1F4E79"/>
          <w:sz w:val="21"/>
        </w:rPr>
        <w:t>PROJECT EXPERIENCE</w:t>
      </w:r>
    </w:p>
    <w:p>
      <w:pPr>
        <w:spacing w:before="40" w:after="20"/>
      </w:pPr>
      <w:r>
        <w:rPr>
          <w:b/>
          <w:sz w:val="18"/>
        </w:rPr>
        <w:t>Prepare and Enrich Video Outreach — Austin Strong</w:t>
      </w:r>
    </w:p>
    <w:p>
      <w:pPr>
        <w:pStyle w:val="ListBullet"/>
        <w:spacing w:after="36"/>
        <w:ind w:left="288" w:hanging="216"/>
      </w:pPr>
      <w:r>
        <w:rPr>
          <w:sz w:val="18"/>
        </w:rPr>
        <w:t>Designed, storyboarded, and produced bilingual digital learning assets for Spanish-speaking clients.</w:t>
      </w:r>
    </w:p>
    <w:p>
      <w:pPr>
        <w:pStyle w:val="ListBullet"/>
        <w:spacing w:after="36"/>
        <w:ind w:left="288" w:hanging="216"/>
      </w:pPr>
      <w:r>
        <w:rPr>
          <w:sz w:val="18"/>
        </w:rPr>
        <w:t>Contributed to a reported 40% increase in outreach and engagement over 3 months.</w:t>
      </w:r>
    </w:p>
    <w:p>
      <w:pPr>
        <w:pStyle w:val="Heading1"/>
        <w:pBdr>
          <w:bottom w:val="single" w:sz="4" w:space="1" w:color="BFBFBF"/>
        </w:pBdr>
        <w:spacing w:before="140" w:after="60"/>
      </w:pPr>
      <w:r>
        <w:rPr>
          <w:b/>
          <w:color w:val="1F4E79"/>
          <w:sz w:val="21"/>
        </w:rPr>
        <w:t>ADDITIONAL EXPERIENCE</w:t>
      </w:r>
    </w:p>
    <w:p>
      <w:pPr>
        <w:spacing w:after="10"/>
      </w:pPr>
      <w:r>
        <w:rPr>
          <w:b/>
          <w:sz w:val="17"/>
        </w:rPr>
        <w:t xml:space="preserve">Bank Teller — </w:t>
      </w:r>
      <w:r>
        <w:rPr>
          <w:sz w:val="17"/>
        </w:rPr>
        <w:t>Frontier Bank of Texas | Jun 2019–Apr 2020</w:t>
      </w:r>
    </w:p>
    <w:p>
      <w:pPr>
        <w:spacing w:after="10"/>
      </w:pPr>
      <w:r>
        <w:rPr>
          <w:b/>
          <w:sz w:val="17"/>
        </w:rPr>
        <w:t xml:space="preserve">Counseling Intern — </w:t>
      </w:r>
      <w:r>
        <w:rPr>
          <w:sz w:val="17"/>
        </w:rPr>
        <w:t>Austin Collaborative Care | Jan 2018–Jun 2019</w:t>
      </w:r>
    </w:p>
    <w:p>
      <w:pPr>
        <w:spacing w:after="10"/>
      </w:pPr>
      <w:r>
        <w:rPr>
          <w:b/>
          <w:sz w:val="17"/>
        </w:rPr>
        <w:t xml:space="preserve">Chiropractic Assistant — </w:t>
      </w:r>
      <w:r>
        <w:rPr>
          <w:sz w:val="17"/>
        </w:rPr>
        <w:t>Dr. Espinoza’s Chiropractic Office | Oct 2017–May 2018</w:t>
      </w:r>
    </w:p>
    <w:p>
      <w:pPr>
        <w:pStyle w:val="Heading1"/>
        <w:pBdr>
          <w:bottom w:val="single" w:sz="4" w:space="1" w:color="BFBFBF"/>
        </w:pBdr>
        <w:spacing w:before="140" w:after="60"/>
      </w:pPr>
      <w:r>
        <w:rPr>
          <w:b/>
          <w:color w:val="1F4E79"/>
          <w:sz w:val="21"/>
        </w:rPr>
        <w:t>EDUCATION &amp; CERTIFICATIONS</w:t>
      </w:r>
    </w:p>
    <w:p>
      <w:pPr>
        <w:spacing w:after="10"/>
      </w:pPr>
      <w:r>
        <w:rPr>
          <w:b/>
          <w:sz w:val="18"/>
        </w:rPr>
        <w:t>Master of Arts, Clinical Mental Health Counseling</w:t>
      </w:r>
      <w:r>
        <w:rPr>
          <w:sz w:val="18"/>
        </w:rPr>
        <w:br/>
        <w:t>Southern New Hampshire University</w:t>
      </w:r>
    </w:p>
    <w:p>
      <w:pPr>
        <w:spacing w:after="10"/>
      </w:pPr>
      <w:r>
        <w:rPr>
          <w:b/>
          <w:sz w:val="18"/>
        </w:rPr>
        <w:t>Bachelor of Arts, Psychology</w:t>
      </w:r>
      <w:r>
        <w:rPr>
          <w:sz w:val="18"/>
        </w:rPr>
        <w:br/>
        <w:t>St. Edward’s University</w:t>
      </w:r>
    </w:p>
    <w:p>
      <w:pPr>
        <w:spacing w:after="20"/>
      </w:pPr>
      <w:r>
        <w:rPr>
          <w:b/>
          <w:sz w:val="18"/>
        </w:rPr>
        <w:t xml:space="preserve">Certifications: </w:t>
      </w:r>
      <w:r>
        <w:rPr>
          <w:sz w:val="18"/>
        </w:rPr>
        <w:t>Google Data Analytics Professional Certificate | HIPAA Compliance Training | Crisis Intervention Training</w:t>
      </w:r>
    </w:p>
    <w:p>
      <w:pPr>
        <w:pStyle w:val="Heading1"/>
        <w:pBdr>
          <w:bottom w:val="single" w:sz="4" w:space="1" w:color="BFBFBF"/>
        </w:pBdr>
        <w:spacing w:before="140" w:after="60"/>
      </w:pPr>
      <w:r>
        <w:rPr>
          <w:b/>
          <w:color w:val="1F4E79"/>
          <w:sz w:val="21"/>
        </w:rPr>
        <w:t>LANGUAGES</w:t>
      </w:r>
    </w:p>
    <w:p>
      <w:pPr>
        <w:spacing w:after="40"/>
      </w:pPr>
      <w:r>
        <w:rPr>
          <w:sz w:val="18"/>
        </w:rPr>
        <w:t>English: Native | Spanish: Fluent, verbal and written</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Elizabeth Kim-Ortiz | Bilingual Content Quality &amp; Education Review Specialist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