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2"/>
        </w:rPr>
        <w:t>Elizabeth Kim-Ortiz</w:t>
      </w:r>
    </w:p>
    <w:p>
      <w:pPr>
        <w:spacing w:after="80"/>
        <w:jc w:val="center"/>
      </w:pPr>
      <w:r>
        <w:rPr>
          <w:sz w:val="17"/>
        </w:rPr>
        <w:t>Austin Metropolitan Area | eortizcofo2013@gmail.com | www.linkedin.com/in/elizabeth-kim-ortiz-25845a28a</w:t>
      </w:r>
    </w:p>
    <w:p>
      <w:pPr>
        <w:spacing w:after="120"/>
        <w:jc w:val="center"/>
        <w:pBdr>
          <w:bottom w:val="single" w:sz="6" w:space="1" w:color="9EADCC"/>
        </w:pBdr>
      </w:pPr>
      <w:r>
        <w:rPr>
          <w:b/>
          <w:color w:val="404040"/>
          <w:sz w:val="21"/>
        </w:rPr>
        <w:t>BILINGUAL HEALTHCARE QUALITY ASSURANCE &amp; ENROLLMENT OPERATIONS SPECIALIST</w:t>
      </w:r>
    </w:p>
    <w:p>
      <w:pPr>
        <w:pStyle w:val="Heading1"/>
        <w:pBdr>
          <w:bottom w:val="single" w:sz="4" w:space="1" w:color="BFBFBF"/>
        </w:pBdr>
        <w:spacing w:before="140" w:after="60"/>
      </w:pPr>
      <w:r>
        <w:rPr>
          <w:b/>
          <w:color w:val="1F4E79"/>
          <w:sz w:val="21"/>
        </w:rPr>
        <w:t>PROFESSIONAL SUMMARY</w:t>
      </w:r>
    </w:p>
    <w:p>
      <w:pPr>
        <w:spacing w:after="60"/>
      </w:pPr>
      <w:r>
        <w:rPr>
          <w:sz w:val="18"/>
        </w:rPr>
        <w:t>Bilingual English/Spanish healthcare enrollment and operations professional with 4+ years of experience supporting enrollment workflows, intake coordination, documentation accuracy, HIPAA-sensitive records, and care-adjacent communication. Master’s-level background in clinical mental health counseling with experience explaining complex healthcare and behavioral-health information, maintaining accurate records, and coordinating internal handoffs across remote teams. Strong fit for quality assurance, member/patient engagement review, enrollment QA, and documentation-quality roles.</w:t>
      </w:r>
    </w:p>
    <w:p>
      <w:pPr>
        <w:pStyle w:val="Heading1"/>
        <w:pBdr>
          <w:bottom w:val="single" w:sz="4" w:space="1" w:color="BFBFBF"/>
        </w:pBdr>
        <w:spacing w:before="140" w:after="60"/>
      </w:pPr>
      <w:r>
        <w:rPr>
          <w:b/>
          <w:color w:val="1F4E79"/>
          <w:sz w:val="21"/>
        </w:rPr>
        <w:t>CORE SKILLS</w:t>
      </w:r>
    </w:p>
    <w:p>
      <w:pPr>
        <w:spacing w:after="40"/>
      </w:pPr>
      <w:r>
        <w:rPr>
          <w:sz w:val="17"/>
        </w:rPr>
        <w:t>Bilingual English/Spanish | Healthcare Enrollment | Quality Assurance Support | Patient Education | Remote Patient Monitoring | Documentation Accuracy | HIPAA Compliance | PHI-Sensitive Records | Interaction Quality Review | Internal Handoffs | Workflow Coordination | Training Needs Identification | Microsoft Teams | RPM365 | Insperity | Microsoft Excel | Google Data Analytics</w:t>
      </w:r>
    </w:p>
    <w:p>
      <w:pPr>
        <w:pStyle w:val="Heading1"/>
        <w:pBdr>
          <w:bottom w:val="single" w:sz="4" w:space="1" w:color="BFBFBF"/>
        </w:pBdr>
        <w:spacing w:before="140" w:after="60"/>
      </w:pPr>
      <w:r>
        <w:rPr>
          <w:b/>
          <w:color w:val="1F4E79"/>
          <w:sz w:val="21"/>
        </w:rPr>
        <w:t>PROFESSIONAL EXPERIENCE</w:t>
      </w:r>
    </w:p>
    <w:p>
      <w:pPr>
        <w:spacing w:before="100" w:after="20"/>
      </w:pPr>
      <w:r>
        <w:rPr>
          <w:b/>
          <w:sz w:val="19"/>
        </w:rPr>
        <w:t>Enrollment Specialist</w:t>
      </w:r>
    </w:p>
    <w:p>
      <w:pPr>
        <w:spacing w:after="20"/>
      </w:pPr>
      <w:r>
        <w:rPr>
          <w:i/>
          <w:sz w:val="18"/>
        </w:rPr>
        <w:t>RPM Healthcare | May 2026–Present</w:t>
      </w:r>
    </w:p>
    <w:p>
      <w:pPr>
        <w:pStyle w:val="ListBullet"/>
        <w:spacing w:after="36"/>
        <w:ind w:left="288" w:hanging="216"/>
      </w:pPr>
      <w:r>
        <w:rPr>
          <w:sz w:val="18"/>
        </w:rPr>
        <w:t>Manage high-volume enrollment and onboarding workflows for Remote Patient Monitoring programs across multiple medical-practice settings.</w:t>
      </w:r>
    </w:p>
    <w:p>
      <w:pPr>
        <w:pStyle w:val="ListBullet"/>
        <w:spacing w:after="36"/>
        <w:ind w:left="288" w:hanging="216"/>
      </w:pPr>
      <w:r>
        <w:rPr>
          <w:sz w:val="18"/>
        </w:rPr>
        <w:t>Use RPM365 to track enrollment activity, document patient/program status, and support accurate internal handoffs.</w:t>
      </w:r>
    </w:p>
    <w:p>
      <w:pPr>
        <w:pStyle w:val="ListBullet"/>
        <w:spacing w:after="36"/>
        <w:ind w:left="288" w:hanging="216"/>
      </w:pPr>
      <w:r>
        <w:rPr>
          <w:sz w:val="18"/>
        </w:rPr>
        <w:t>Coordinate internal updates and workflow communication through Microsoft Teams to support timely follow-up and care-team transition.</w:t>
      </w:r>
    </w:p>
    <w:p>
      <w:pPr>
        <w:pStyle w:val="ListBullet"/>
        <w:spacing w:after="36"/>
        <w:ind w:left="288" w:hanging="216"/>
      </w:pPr>
      <w:r>
        <w:rPr>
          <w:sz w:val="18"/>
        </w:rPr>
        <w:t>Explain program requirements, technical standards, and documentation expectations clearly while maintaining professionalism and confidentiality.</w:t>
      </w:r>
    </w:p>
    <w:p>
      <w:pPr>
        <w:pStyle w:val="ListBullet"/>
        <w:spacing w:after="36"/>
        <w:ind w:left="288" w:hanging="216"/>
      </w:pPr>
      <w:r>
        <w:rPr>
          <w:sz w:val="18"/>
        </w:rPr>
        <w:t>Maintain accurate records and internal communication protocols to support documentation quality, workflow consistency, and care-team readiness.</w:t>
      </w:r>
    </w:p>
    <w:p>
      <w:pPr>
        <w:pStyle w:val="ListBullet"/>
        <w:spacing w:after="36"/>
        <w:ind w:left="288" w:hanging="216"/>
      </w:pPr>
      <w:r>
        <w:rPr>
          <w:sz w:val="18"/>
        </w:rPr>
        <w:t>Participate in ongoing training to improve communication workflows, documentation quality, and scalable enrollment processes.</w:t>
      </w:r>
    </w:p>
    <w:p>
      <w:pPr>
        <w:spacing w:before="100" w:after="20"/>
      </w:pPr>
      <w:r>
        <w:rPr>
          <w:b/>
          <w:sz w:val="19"/>
        </w:rPr>
        <w:t>Enrollment Counselor</w:t>
      </w:r>
    </w:p>
    <w:p>
      <w:pPr>
        <w:spacing w:after="20"/>
      </w:pPr>
      <w:r>
        <w:rPr>
          <w:i/>
          <w:sz w:val="18"/>
        </w:rPr>
        <w:t>Galen College of Nursing | Aug 2024–Apr 2026</w:t>
      </w:r>
    </w:p>
    <w:p>
      <w:pPr>
        <w:pStyle w:val="ListBullet"/>
        <w:spacing w:after="36"/>
        <w:ind w:left="288" w:hanging="216"/>
      </w:pPr>
      <w:r>
        <w:rPr>
          <w:sz w:val="18"/>
        </w:rPr>
        <w:t>Managed documentation, verification, and transition workflows for incoming nursing students entering complex academic programs.</w:t>
      </w:r>
    </w:p>
    <w:p>
      <w:pPr>
        <w:pStyle w:val="ListBullet"/>
        <w:spacing w:after="36"/>
        <w:ind w:left="288" w:hanging="216"/>
      </w:pPr>
      <w:r>
        <w:rPr>
          <w:sz w:val="18"/>
        </w:rPr>
        <w:t>Audited student information systems daily to track transcript data, resolve documentation bottlenecks, and support compliance timelines.</w:t>
      </w:r>
    </w:p>
    <w:p>
      <w:pPr>
        <w:pStyle w:val="ListBullet"/>
        <w:spacing w:after="36"/>
        <w:ind w:left="288" w:hanging="216"/>
      </w:pPr>
      <w:r>
        <w:rPr>
          <w:sz w:val="18"/>
        </w:rPr>
        <w:t>Maintained detailed notes and records in internal systems to support consistent follow-up, cross-departmental coordination, and accurate status tracking.</w:t>
      </w:r>
    </w:p>
    <w:p>
      <w:pPr>
        <w:pStyle w:val="ListBullet"/>
        <w:spacing w:after="36"/>
        <w:ind w:left="288" w:hanging="216"/>
      </w:pPr>
      <w:r>
        <w:rPr>
          <w:sz w:val="18"/>
        </w:rPr>
        <w:t>Provided bilingual English/Spanish support for admissions questions, documentation needs, appointment scheduling, and basic billing guidance.</w:t>
      </w:r>
    </w:p>
    <w:p>
      <w:pPr>
        <w:pStyle w:val="ListBullet"/>
        <w:spacing w:after="36"/>
        <w:ind w:left="288" w:hanging="216"/>
      </w:pPr>
      <w:r>
        <w:rPr>
          <w:sz w:val="18"/>
        </w:rPr>
        <w:t>Prioritized deadline-sensitive documentation issues and follow-up workflows to reduce delays in the enrollment lifecycle.</w:t>
      </w:r>
    </w:p>
    <w:p>
      <w:pPr>
        <w:spacing w:before="100" w:after="20"/>
      </w:pPr>
      <w:r>
        <w:rPr>
          <w:b/>
          <w:sz w:val="19"/>
        </w:rPr>
        <w:t>Remote Intake &amp; Reception Coordinator</w:t>
      </w:r>
    </w:p>
    <w:p>
      <w:pPr>
        <w:spacing w:after="20"/>
      </w:pPr>
      <w:r>
        <w:rPr>
          <w:i/>
          <w:sz w:val="18"/>
        </w:rPr>
        <w:t>Capital Area Counseling | Mar 2021–Oct 2023</w:t>
      </w:r>
    </w:p>
    <w:p>
      <w:pPr>
        <w:pStyle w:val="ListBullet"/>
        <w:spacing w:after="36"/>
        <w:ind w:left="288" w:hanging="216"/>
      </w:pPr>
      <w:r>
        <w:rPr>
          <w:sz w:val="18"/>
        </w:rPr>
        <w:t>Coordinated remote intake scheduling and maintained accurate client records in a HIPAA-sensitive counseling environment.</w:t>
      </w:r>
    </w:p>
    <w:p>
      <w:pPr>
        <w:pStyle w:val="ListBullet"/>
        <w:spacing w:after="36"/>
        <w:ind w:left="288" w:hanging="216"/>
      </w:pPr>
      <w:r>
        <w:rPr>
          <w:sz w:val="18"/>
        </w:rPr>
        <w:t>Managed waitlist documentation, appointment updates, and therapist-matching details based on availability, specialty, language, and client preferences.</w:t>
      </w:r>
    </w:p>
    <w:p>
      <w:pPr>
        <w:pStyle w:val="ListBullet"/>
        <w:spacing w:after="36"/>
        <w:ind w:left="288" w:hanging="216"/>
      </w:pPr>
      <w:r>
        <w:rPr>
          <w:sz w:val="18"/>
        </w:rPr>
        <w:t>Collected and updated insurance, payment, consent, and intake information while protecting confidential client data.</w:t>
      </w:r>
    </w:p>
    <w:p>
      <w:pPr>
        <w:pStyle w:val="ListBullet"/>
        <w:spacing w:after="36"/>
        <w:ind w:left="288" w:hanging="216"/>
      </w:pPr>
      <w:r>
        <w:rPr>
          <w:sz w:val="18"/>
        </w:rPr>
        <w:t>Collaborated with clinical and administrative staff to refine workflows, reduce no-shows, and improve intake experience.</w:t>
      </w:r>
    </w:p>
    <w:p>
      <w:pPr>
        <w:spacing w:before="100" w:after="20"/>
      </w:pPr>
      <w:r>
        <w:rPr>
          <w:b/>
          <w:sz w:val="19"/>
        </w:rPr>
        <w:t>Pre-Graduate Intern Therapist</w:t>
      </w:r>
    </w:p>
    <w:p>
      <w:pPr>
        <w:spacing w:after="20"/>
      </w:pPr>
      <w:r>
        <w:rPr>
          <w:i/>
          <w:sz w:val="18"/>
        </w:rPr>
        <w:t>Capital Area Counseling | Nov 2020–Mar 2021</w:t>
      </w:r>
    </w:p>
    <w:p>
      <w:pPr>
        <w:pStyle w:val="ListBullet"/>
        <w:spacing w:after="36"/>
        <w:ind w:left="288" w:hanging="216"/>
      </w:pPr>
      <w:r>
        <w:rPr>
          <w:sz w:val="18"/>
        </w:rPr>
        <w:t>Maintained detailed clinical notes, treatment plans, and billing documentation in accordance with agency and ethical standards.</w:t>
      </w:r>
    </w:p>
    <w:p>
      <w:pPr>
        <w:pStyle w:val="ListBullet"/>
        <w:spacing w:after="36"/>
        <w:ind w:left="288" w:hanging="216"/>
      </w:pPr>
      <w:r>
        <w:rPr>
          <w:sz w:val="18"/>
        </w:rPr>
        <w:t>Conducted intake interviews and gathered psychosocial history to support treatment planning under supervision.</w:t>
      </w:r>
    </w:p>
    <w:p>
      <w:pPr>
        <w:pStyle w:val="ListBullet"/>
        <w:spacing w:after="36"/>
        <w:ind w:left="288" w:hanging="216"/>
      </w:pPr>
      <w:r>
        <w:rPr>
          <w:sz w:val="18"/>
        </w:rPr>
        <w:t>Participated in weekly clinical supervision and peer case review, integrating feedback to improve documentation and clinical support skills.</w:t>
      </w:r>
    </w:p>
    <w:p>
      <w:pPr>
        <w:spacing w:before="100" w:after="20"/>
      </w:pPr>
      <w:r>
        <w:rPr>
          <w:b/>
          <w:sz w:val="19"/>
        </w:rPr>
        <w:t>Counseling Intern</w:t>
      </w:r>
    </w:p>
    <w:p>
      <w:pPr>
        <w:spacing w:after="20"/>
      </w:pPr>
      <w:r>
        <w:rPr>
          <w:i/>
          <w:sz w:val="18"/>
        </w:rPr>
        <w:t>Austin Strong | Apr 2020–Oct 2020</w:t>
      </w:r>
    </w:p>
    <w:p>
      <w:pPr>
        <w:pStyle w:val="ListBullet"/>
        <w:spacing w:after="36"/>
        <w:ind w:left="288" w:hanging="216"/>
      </w:pPr>
      <w:r>
        <w:rPr>
          <w:sz w:val="18"/>
        </w:rPr>
        <w:t>Designed and produced bilingual digital learning and educational video assets to expand access to wellness-related information.</w:t>
      </w:r>
    </w:p>
    <w:p>
      <w:pPr>
        <w:pStyle w:val="ListBullet"/>
        <w:spacing w:after="36"/>
        <w:ind w:left="288" w:hanging="216"/>
      </w:pPr>
      <w:r>
        <w:rPr>
          <w:sz w:val="18"/>
        </w:rPr>
        <w:t>Supported intake coordination and therapy scheduling based on client needs and counselor availability.</w:t>
      </w:r>
    </w:p>
    <w:p>
      <w:pPr>
        <w:pStyle w:val="ListBullet"/>
        <w:spacing w:after="36"/>
        <w:ind w:left="288" w:hanging="216"/>
      </w:pPr>
      <w:r>
        <w:rPr>
          <w:sz w:val="18"/>
        </w:rPr>
        <w:t>Helped increase outreach and engagement among Spanish-speaking clients, contributing to a reported 40% growth in reach over 3 months.</w:t>
      </w:r>
    </w:p>
    <w:p>
      <w:pPr>
        <w:pStyle w:val="Heading1"/>
        <w:pBdr>
          <w:bottom w:val="single" w:sz="4" w:space="1" w:color="BFBFBF"/>
        </w:pBdr>
        <w:spacing w:before="140" w:after="60"/>
      </w:pPr>
      <w:r>
        <w:rPr>
          <w:b/>
          <w:color w:val="1F4E79"/>
          <w:sz w:val="21"/>
        </w:rPr>
        <w:t>ADDITIONAL EXPERIENCE</w:t>
      </w:r>
    </w:p>
    <w:p>
      <w:pPr>
        <w:spacing w:after="10"/>
      </w:pPr>
      <w:r>
        <w:rPr>
          <w:b/>
          <w:sz w:val="17"/>
        </w:rPr>
        <w:t xml:space="preserve">Bank Teller — </w:t>
      </w:r>
      <w:r>
        <w:rPr>
          <w:sz w:val="17"/>
        </w:rPr>
        <w:t>Frontier Bank of Texas | Jun 2019–Apr 2020</w:t>
      </w:r>
    </w:p>
    <w:p>
      <w:pPr>
        <w:spacing w:after="10"/>
      </w:pPr>
      <w:r>
        <w:rPr>
          <w:b/>
          <w:sz w:val="17"/>
        </w:rPr>
        <w:t xml:space="preserve">Counseling Intern — </w:t>
      </w:r>
      <w:r>
        <w:rPr>
          <w:sz w:val="17"/>
        </w:rPr>
        <w:t>Austin Collaborative Care | Jan 2018–Jun 2019</w:t>
      </w:r>
    </w:p>
    <w:p>
      <w:pPr>
        <w:spacing w:after="10"/>
      </w:pPr>
      <w:r>
        <w:rPr>
          <w:b/>
          <w:sz w:val="17"/>
        </w:rPr>
        <w:t xml:space="preserve">Chiropractic Assistant — </w:t>
      </w:r>
      <w:r>
        <w:rPr>
          <w:sz w:val="17"/>
        </w:rPr>
        <w:t>Dr. Espinoza’s Chiropractic Office | Oct 2017–May 2018</w:t>
      </w:r>
    </w:p>
    <w:p>
      <w:pPr>
        <w:pStyle w:val="Heading1"/>
        <w:pBdr>
          <w:bottom w:val="single" w:sz="4" w:space="1" w:color="BFBFBF"/>
        </w:pBdr>
        <w:spacing w:before="140" w:after="60"/>
      </w:pPr>
      <w:r>
        <w:rPr>
          <w:b/>
          <w:color w:val="1F4E79"/>
          <w:sz w:val="21"/>
        </w:rPr>
        <w:t>EDUCATION &amp; CERTIFICATIONS</w:t>
      </w:r>
    </w:p>
    <w:p>
      <w:pPr>
        <w:spacing w:after="10"/>
      </w:pPr>
      <w:r>
        <w:rPr>
          <w:b/>
          <w:sz w:val="18"/>
        </w:rPr>
        <w:t>Master of Arts, Clinical Mental Health Counseling</w:t>
      </w:r>
      <w:r>
        <w:rPr>
          <w:sz w:val="18"/>
        </w:rPr>
        <w:br/>
        <w:t>Southern New Hampshire University</w:t>
      </w:r>
    </w:p>
    <w:p>
      <w:pPr>
        <w:spacing w:after="10"/>
      </w:pPr>
      <w:r>
        <w:rPr>
          <w:b/>
          <w:sz w:val="18"/>
        </w:rPr>
        <w:t>Bachelor of Arts, Psychology</w:t>
      </w:r>
      <w:r>
        <w:rPr>
          <w:sz w:val="18"/>
        </w:rPr>
        <w:br/>
        <w:t>St. Edward’s University</w:t>
      </w:r>
    </w:p>
    <w:p>
      <w:pPr>
        <w:spacing w:after="20"/>
      </w:pPr>
      <w:r>
        <w:rPr>
          <w:b/>
          <w:sz w:val="18"/>
        </w:rPr>
        <w:t xml:space="preserve">Certifications: </w:t>
      </w:r>
      <w:r>
        <w:rPr>
          <w:sz w:val="18"/>
        </w:rPr>
        <w:t>Google Data Analytics Professional Certificate | HIPAA Compliance Training | Crisis Intervention Training</w:t>
      </w:r>
    </w:p>
    <w:p>
      <w:pPr>
        <w:pStyle w:val="Heading1"/>
        <w:pBdr>
          <w:bottom w:val="single" w:sz="4" w:space="1" w:color="BFBFBF"/>
        </w:pBdr>
        <w:spacing w:before="140" w:after="60"/>
      </w:pPr>
      <w:r>
        <w:rPr>
          <w:b/>
          <w:color w:val="1F4E79"/>
          <w:sz w:val="21"/>
        </w:rPr>
        <w:t>LANGUAGES</w:t>
      </w:r>
    </w:p>
    <w:p>
      <w:pPr>
        <w:spacing w:after="40"/>
      </w:pPr>
      <w:r>
        <w:rPr>
          <w:sz w:val="18"/>
        </w:rPr>
        <w:t>English: Native | Spanish: Fluent, verbal and written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5"/>
      </w:rPr>
      <w:t>Elizabeth Kim-Ortiz | Bilingual Healthcare Quality Assurance &amp; Enrollment Operations Specialist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