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jc w:val="center"/>
      </w:pPr>
      <w:r>
        <w:rPr>
          <w:rFonts w:ascii="Aptos Display" w:hAnsi="Aptos Display"/>
          <w:b/>
          <w:color w:val="17365D"/>
          <w:sz w:val="56"/>
        </w:rPr>
        <w:t>FAB Data-to-Action Mapper</w:t>
      </w:r>
    </w:p>
    <w:p>
      <w:pPr>
        <w:jc w:val="center"/>
      </w:pPr>
      <w:r>
        <w:rPr>
          <w:rFonts w:ascii="Aptos" w:hAnsi="Aptos"/>
          <w:b/>
          <w:color w:val="2F5597"/>
          <w:sz w:val="32"/>
        </w:rPr>
        <w:t>Project Proposal</w:t>
      </w:r>
    </w:p>
    <w:p>
      <w:pPr>
        <w:spacing w:before="200"/>
        <w:jc w:val="center"/>
      </w:pPr>
      <w:r>
        <w:rPr>
          <w:rFonts w:ascii="Aptos" w:hAnsi="Aptos"/>
          <w:i/>
          <w:color w:val="5B6573"/>
          <w:sz w:val="22"/>
        </w:rPr>
        <w:t>OpenCode + Gemma 4 skill for safe, reusable FAB data discovery, analysis, and automation opportunity generation</w:t>
      </w:r>
    </w:p>
    <w:p/>
    <w:tbl>
      <w:tblPr>
        <w:tblW w:type="auto" w:w="0"/>
        <w:jc w:val="center"/>
        <w:tblLayout w:type="fixed"/>
        <w:tblLook w:firstColumn="1" w:firstRow="1" w:lastColumn="0" w:lastRow="0" w:noHBand="0" w:noVBand="1" w:val="04A0"/>
      </w:tblPr>
      <w:tblGrid>
        <w:gridCol w:w="2232"/>
        <w:gridCol w:w="6696"/>
      </w:tblGrid>
      <w:tr>
        <w:tc>
          <w:tcPr>
            <w:tcW w:type="dxa" w:w="5040"/>
            <w:vAlign w:val="center"/>
            <w:shd w:fill="2F5597"/>
          </w:tcPr>
          <w:p>
            <w:r/>
            <w:r>
              <w:rPr>
                <w:rFonts w:ascii="Aptos" w:hAnsi="Aptos"/>
                <w:b/>
                <w:color w:val="FFFFFF"/>
                <w:sz w:val="18"/>
              </w:rPr>
              <w:t>Status</w:t>
            </w:r>
          </w:p>
        </w:tc>
        <w:tc>
          <w:tcPr>
            <w:tcW w:type="dxa" w:w="5040"/>
            <w:vAlign w:val="center"/>
            <w:shd w:fill="EEF3F8"/>
          </w:tcPr>
          <w:p>
            <w:r/>
            <w:r>
              <w:rPr>
                <w:rFonts w:ascii="Aptos" w:hAnsi="Aptos"/>
                <w:b w:val="0"/>
                <w:sz w:val="18"/>
              </w:rPr>
              <w:t>DRAFT - Initiation Review</w:t>
            </w:r>
          </w:p>
        </w:tc>
      </w:tr>
      <w:tr>
        <w:tc>
          <w:tcPr>
            <w:tcW w:type="dxa" w:w="5040"/>
            <w:vAlign w:val="center"/>
            <w:shd w:fill="2F5597"/>
          </w:tcPr>
          <w:p>
            <w:r/>
            <w:r>
              <w:rPr>
                <w:rFonts w:ascii="Aptos" w:hAnsi="Aptos"/>
                <w:b/>
                <w:color w:val="FFFFFF"/>
                <w:sz w:val="18"/>
              </w:rPr>
              <w:t>Version</w:t>
            </w:r>
          </w:p>
        </w:tc>
        <w:tc>
          <w:tcPr>
            <w:tcW w:type="dxa" w:w="5040"/>
            <w:vAlign w:val="center"/>
          </w:tcPr>
          <w:p>
            <w:r/>
            <w:r>
              <w:rPr>
                <w:rFonts w:ascii="Aptos" w:hAnsi="Aptos"/>
                <w:b w:val="0"/>
                <w:sz w:val="18"/>
              </w:rPr>
              <w:t>0.1</w:t>
            </w:r>
          </w:p>
        </w:tc>
      </w:tr>
      <w:tr>
        <w:tc>
          <w:tcPr>
            <w:tcW w:type="dxa" w:w="5040"/>
            <w:vAlign w:val="center"/>
            <w:shd w:fill="2F5597"/>
          </w:tcPr>
          <w:p>
            <w:r/>
            <w:r>
              <w:rPr>
                <w:rFonts w:ascii="Aptos" w:hAnsi="Aptos"/>
                <w:b/>
                <w:color w:val="FFFFFF"/>
                <w:sz w:val="18"/>
              </w:rPr>
              <w:t>Date</w:t>
            </w:r>
          </w:p>
        </w:tc>
        <w:tc>
          <w:tcPr>
            <w:tcW w:type="dxa" w:w="5040"/>
            <w:vAlign w:val="center"/>
            <w:shd w:fill="EEF3F8"/>
          </w:tcPr>
          <w:p>
            <w:r/>
            <w:r>
              <w:rPr>
                <w:rFonts w:ascii="Aptos" w:hAnsi="Aptos"/>
                <w:b w:val="0"/>
                <w:sz w:val="18"/>
              </w:rPr>
              <w:t>July 30, 2026</w:t>
            </w:r>
          </w:p>
        </w:tc>
      </w:tr>
      <w:tr>
        <w:tc>
          <w:tcPr>
            <w:tcW w:type="dxa" w:w="5040"/>
            <w:vAlign w:val="center"/>
            <w:shd w:fill="2F5597"/>
          </w:tcPr>
          <w:p>
            <w:r/>
            <w:r>
              <w:rPr>
                <w:rFonts w:ascii="Aptos" w:hAnsi="Aptos"/>
                <w:b/>
                <w:color w:val="FFFFFF"/>
                <w:sz w:val="18"/>
              </w:rPr>
              <w:t>Proposed Owner</w:t>
            </w:r>
          </w:p>
        </w:tc>
        <w:tc>
          <w:tcPr>
            <w:tcW w:type="dxa" w:w="5040"/>
            <w:vAlign w:val="center"/>
          </w:tcPr>
          <w:p>
            <w:r/>
            <w:r>
              <w:rPr>
                <w:rFonts w:ascii="Aptos" w:hAnsi="Aptos"/>
                <w:b w:val="0"/>
                <w:sz w:val="18"/>
              </w:rPr>
              <w:t>TBD</w:t>
            </w:r>
          </w:p>
        </w:tc>
      </w:tr>
      <w:tr>
        <w:tc>
          <w:tcPr>
            <w:tcW w:type="dxa" w:w="5040"/>
            <w:vAlign w:val="center"/>
            <w:shd w:fill="2F5597"/>
          </w:tcPr>
          <w:p>
            <w:r/>
            <w:r>
              <w:rPr>
                <w:rFonts w:ascii="Aptos" w:hAnsi="Aptos"/>
                <w:b/>
                <w:color w:val="FFFFFF"/>
                <w:sz w:val="18"/>
              </w:rPr>
              <w:t>Proposed Backup</w:t>
            </w:r>
          </w:p>
        </w:tc>
        <w:tc>
          <w:tcPr>
            <w:tcW w:type="dxa" w:w="5040"/>
            <w:vAlign w:val="center"/>
            <w:shd w:fill="EEF3F8"/>
          </w:tcPr>
          <w:p>
            <w:r/>
            <w:r>
              <w:rPr>
                <w:rFonts w:ascii="Aptos" w:hAnsi="Aptos"/>
                <w:b w:val="0"/>
                <w:sz w:val="18"/>
              </w:rPr>
              <w:t>TBD</w:t>
            </w:r>
          </w:p>
        </w:tc>
      </w:tr>
      <w:tr>
        <w:tc>
          <w:tcPr>
            <w:tcW w:type="dxa" w:w="5040"/>
            <w:vAlign w:val="center"/>
            <w:shd w:fill="2F5597"/>
          </w:tcPr>
          <w:p>
            <w:r/>
            <w:r>
              <w:rPr>
                <w:rFonts w:ascii="Aptos" w:hAnsi="Aptos"/>
                <w:b/>
                <w:color w:val="FFFFFF"/>
                <w:sz w:val="18"/>
              </w:rPr>
              <w:t>Decision Needed</w:t>
            </w:r>
          </w:p>
        </w:tc>
        <w:tc>
          <w:tcPr>
            <w:tcW w:type="dxa" w:w="5040"/>
            <w:vAlign w:val="center"/>
          </w:tcPr>
          <w:p>
            <w:r/>
            <w:r>
              <w:rPr>
                <w:rFonts w:ascii="Aptos" w:hAnsi="Aptos"/>
                <w:b w:val="0"/>
                <w:sz w:val="18"/>
              </w:rPr>
              <w:t>Approve a bounded proof of concept, revise, defer, or reject</w:t>
            </w:r>
          </w:p>
        </w:tc>
      </w:tr>
    </w:tbl>
    <w:p/>
    <w:p>
      <w:pPr>
        <w:jc w:val="center"/>
      </w:pPr>
      <w:r>
        <w:rPr>
          <w:b/>
          <w:color w:val="17365D"/>
        </w:rPr>
        <w:t>Working skill name: fab-data-scout</w:t>
      </w:r>
    </w:p>
    <w:p>
      <w:r>
        <w:br w:type="page"/>
      </w:r>
    </w:p>
    <w:p>
      <w:pPr>
        <w:pStyle w:val="Heading1"/>
      </w:pPr>
      <w:r>
        <w:t>1. Executive Summary</w:t>
      </w:r>
    </w:p>
    <w:p>
      <w:r>
        <w:rPr>
          <w:b/>
        </w:rPr>
        <w:t xml:space="preserve">Recommendation. </w:t>
      </w:r>
      <w:r>
        <w:t>Initiate a limited, read-only proof of concept for a reusable OpenCode skill that accepts either a FAB problem statement or one or more approved database tables and converts them into a structured data map, data-quality assessment, ranked analysis and automation opportunities, and review-ready implementation starters.</w:t>
      </w:r>
    </w:p>
    <w:p>
      <w:r>
        <w:rPr>
          <w:b/>
        </w:rPr>
        <w:t xml:space="preserve">Why now. </w:t>
      </w:r>
      <w:r>
        <w:t>Meaningful manufacturing data may already exist, but discovery, interpretation, reconciliation, and post-processing often depend on a small number of technically experienced users. A controlled skill can reduce time to first useful analysis, spread database knowledge, expose automation candidates, and standardize evidence handling without granting the model unrestricted database authority.</w:t>
      </w:r>
    </w:p>
    <w:p>
      <w:r>
        <w:rPr>
          <w:b/>
        </w:rPr>
        <w:t xml:space="preserve">Decision requested. </w:t>
      </w:r>
      <w:r>
        <w:t>Confirm a proposed owner and backup, approve a narrow pilot data scope, validate security and database-performance controls, and authorize the first proof-of-concept milestone.</w:t>
      </w:r>
    </w:p>
    <w:p>
      <w:pPr>
        <w:pStyle w:val="Heading1"/>
      </w:pPr>
      <w:r>
        <w:t>2. Problem and Opportunity</w:t>
      </w:r>
    </w:p>
    <w:p>
      <w:r>
        <w:t>FAB departments may have recurring needs for reporting, reconciliation, trend analysis, anomaly review, investigation support, and workflow automation. The limiting factor is frequently not the absence of data, but the time and expertise required to locate, understand, validate, and safely use it.</w:t>
      </w:r>
    </w:p>
    <w:p>
      <w:pPr>
        <w:pStyle w:val="ListBullet"/>
        <w:spacing w:after="40"/>
      </w:pPr>
      <w:r>
        <w:t>Users may understand the manufacturing problem but not know the relevant tables, keys, timestamps, or data owners.</w:t>
      </w:r>
    </w:p>
    <w:p>
      <w:pPr>
        <w:pStyle w:val="ListBullet"/>
        <w:spacing w:after="40"/>
      </w:pPr>
      <w:r>
        <w:t>Table and column meaning may be undocumented, inconsistent, or concentrated with a small number of experts.</w:t>
      </w:r>
    </w:p>
    <w:p>
      <w:pPr>
        <w:pStyle w:val="ListBullet"/>
        <w:spacing w:after="40"/>
      </w:pPr>
      <w:r>
        <w:t>Manual data comparison and post-processing consume engineering and user time and can introduce avoidable errors.</w:t>
      </w:r>
    </w:p>
    <w:p>
      <w:pPr>
        <w:pStyle w:val="ListBullet"/>
        <w:spacing w:after="40"/>
      </w:pPr>
      <w:r>
        <w:t>Potential monitoring and automation opportunities may remain undiscovered because data exploration is expensive.</w:t>
      </w:r>
    </w:p>
    <w:p>
      <w:pPr>
        <w:pStyle w:val="ListBullet"/>
        <w:spacing w:after="40"/>
      </w:pPr>
      <w:r>
        <w:t>Different departments may repeatedly solve similar discovery and profiling problems with inconsistent methods.</w:t>
      </w:r>
    </w:p>
    <w:p>
      <w:pPr>
        <w:pStyle w:val="Heading1"/>
      </w:pPr>
      <w:r>
        <w:t>3. Proposed Solution</w:t>
      </w:r>
    </w:p>
    <w:p>
      <w:r>
        <w:t>Create a FAB-wide OpenCode skill, tentatively named fab-data-scout, with two entry paths:</w:t>
      </w:r>
    </w:p>
    <w:p>
      <w:pPr>
        <w:pStyle w:val="ListNumber"/>
        <w:spacing w:after="40"/>
      </w:pPr>
      <w:r>
        <w:t>Problem-first: the user describes a manufacturing, operational, reporting, or support problem.</w:t>
      </w:r>
    </w:p>
    <w:p>
      <w:pPr>
        <w:pStyle w:val="ListNumber"/>
        <w:spacing w:after="40"/>
      </w:pPr>
      <w:r>
        <w:t>Table-first: the user selects one or more approved database tables or provides an existing read-only query.</w:t>
      </w:r>
    </w:p>
    <w:p>
      <w:r>
        <w:t>The skill then uses controlled database tools to inspect approved metadata and bounded aggregate results. It produces a consistent assessment while clearly distinguishing confirmed facts, observed results, inferred meaning, unknowns, and items requiring domain verification.</w:t>
      </w:r>
    </w:p>
    <w:p>
      <w:pPr>
        <w:pStyle w:val="Heading1"/>
        <w:pageBreakBefore/>
      </w:pPr>
      <w:r>
        <w:t>4. Proposed User Outcomes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Output</w:t>
            </w:r>
          </w:p>
        </w:tc>
        <w:tc>
          <w:tcPr>
            <w:tcW w:type="dxa" w:w="5040"/>
            <w:vAlign w:val="center"/>
            <w:shd w:fill="17365D"/>
          </w:tcPr>
          <w:p>
            <w:r/>
            <w:r>
              <w:rPr>
                <w:rFonts w:ascii="Aptos" w:hAnsi="Aptos"/>
                <w:b/>
                <w:color w:val="FFFFFF"/>
                <w:sz w:val="18"/>
              </w:rPr>
              <w:t>Description</w:t>
            </w:r>
          </w:p>
        </w:tc>
      </w:tr>
      <w:tr>
        <w:tc>
          <w:tcPr>
            <w:tcW w:type="dxa" w:w="5040"/>
            <w:vAlign w:val="center"/>
            <w:shd w:fill="F3F6F9"/>
          </w:tcPr>
          <w:p>
            <w:r/>
            <w:r>
              <w:rPr>
                <w:rFonts w:ascii="Aptos" w:hAnsi="Aptos"/>
                <w:b/>
                <w:sz w:val="18"/>
              </w:rPr>
              <w:t>Data map</w:t>
            </w:r>
          </w:p>
        </w:tc>
        <w:tc>
          <w:tcPr>
            <w:tcW w:type="dxa" w:w="5040"/>
            <w:vAlign w:val="center"/>
            <w:shd w:fill="F3F6F9"/>
          </w:tcPr>
          <w:p>
            <w:r/>
            <w:r>
              <w:rPr>
                <w:rFonts w:ascii="Aptos" w:hAnsi="Aptos"/>
                <w:b w:val="0"/>
                <w:sz w:val="18"/>
              </w:rPr>
              <w:t>Likely purpose, grain, keys, timestamps, source indicators, ownership where known, and declared or candidate relationships.</w:t>
            </w:r>
          </w:p>
        </w:tc>
      </w:tr>
      <w:tr>
        <w:tc>
          <w:tcPr>
            <w:tcW w:type="dxa" w:w="5040"/>
            <w:vAlign w:val="center"/>
          </w:tcPr>
          <w:p>
            <w:r/>
            <w:r>
              <w:rPr>
                <w:rFonts w:ascii="Aptos" w:hAnsi="Aptos"/>
                <w:b/>
                <w:sz w:val="18"/>
              </w:rPr>
              <w:t>Data-health assessment</w:t>
            </w:r>
          </w:p>
        </w:tc>
        <w:tc>
          <w:tcPr>
            <w:tcW w:type="dxa" w:w="5040"/>
            <w:vAlign w:val="center"/>
          </w:tcPr>
          <w:p>
            <w:r/>
            <w:r>
              <w:rPr>
                <w:rFonts w:ascii="Aptos" w:hAnsi="Aptos"/>
                <w:b w:val="0"/>
                <w:sz w:val="18"/>
              </w:rPr>
              <w:t>Freshness, null rates, duplicate candidates, cardinality, unexpected values, time gaps, and referential-integrity concerns.</w:t>
            </w:r>
          </w:p>
        </w:tc>
      </w:tr>
      <w:tr>
        <w:tc>
          <w:tcPr>
            <w:tcW w:type="dxa" w:w="5040"/>
            <w:vAlign w:val="center"/>
            <w:shd w:fill="F3F6F9"/>
          </w:tcPr>
          <w:p>
            <w:r/>
            <w:r>
              <w:rPr>
                <w:rFonts w:ascii="Aptos" w:hAnsi="Aptos"/>
                <w:b/>
                <w:sz w:val="18"/>
              </w:rPr>
              <w:t>Opportunity discovery</w:t>
            </w:r>
          </w:p>
        </w:tc>
        <w:tc>
          <w:tcPr>
            <w:tcW w:type="dxa" w:w="5040"/>
            <w:vAlign w:val="center"/>
            <w:shd w:fill="F3F6F9"/>
          </w:tcPr>
          <w:p>
            <w:r/>
            <w:r>
              <w:rPr>
                <w:rFonts w:ascii="Aptos" w:hAnsi="Aptos"/>
                <w:b w:val="0"/>
                <w:sz w:val="18"/>
              </w:rPr>
              <w:t>Candidate reporting, reconciliation, monitoring, investigation, post-processing, and automation use cases.</w:t>
            </w:r>
          </w:p>
        </w:tc>
      </w:tr>
      <w:tr>
        <w:tc>
          <w:tcPr>
            <w:tcW w:type="dxa" w:w="5040"/>
            <w:vAlign w:val="center"/>
          </w:tcPr>
          <w:p>
            <w:r/>
            <w:r>
              <w:rPr>
                <w:rFonts w:ascii="Aptos" w:hAnsi="Aptos"/>
                <w:b/>
                <w:sz w:val="18"/>
              </w:rPr>
              <w:t>Prioritized next steps</w:t>
            </w:r>
          </w:p>
        </w:tc>
        <w:tc>
          <w:tcPr>
            <w:tcW w:type="dxa" w:w="5040"/>
            <w:vAlign w:val="center"/>
          </w:tcPr>
          <w:p>
            <w:r/>
            <w:r>
              <w:rPr>
                <w:rFonts w:ascii="Aptos" w:hAnsi="Aptos"/>
                <w:b w:val="0"/>
                <w:sz w:val="18"/>
              </w:rPr>
              <w:t>Impact-versus-effort ranking, dependencies, risks, adoption barriers, support burden, and recommended MVP.</w:t>
            </w:r>
          </w:p>
        </w:tc>
      </w:tr>
      <w:tr>
        <w:tc>
          <w:tcPr>
            <w:tcW w:type="dxa" w:w="5040"/>
            <w:vAlign w:val="center"/>
            <w:shd w:fill="F3F6F9"/>
          </w:tcPr>
          <w:p>
            <w:r/>
            <w:r>
              <w:rPr>
                <w:rFonts w:ascii="Aptos" w:hAnsi="Aptos"/>
                <w:b/>
                <w:sz w:val="18"/>
              </w:rPr>
              <w:t>Implementation starter</w:t>
            </w:r>
          </w:p>
        </w:tc>
        <w:tc>
          <w:tcPr>
            <w:tcW w:type="dxa" w:w="5040"/>
            <w:vAlign w:val="center"/>
            <w:shd w:fill="F3F6F9"/>
          </w:tcPr>
          <w:p>
            <w:r/>
            <w:r>
              <w:rPr>
                <w:rFonts w:ascii="Aptos" w:hAnsi="Aptos"/>
                <w:b w:val="0"/>
                <w:sz w:val="18"/>
              </w:rPr>
              <w:t>Review-ready SQL, Python skeletons, data-quality tests, dashboard requirements, monitoring concepts, or project text.</w:t>
            </w:r>
          </w:p>
        </w:tc>
      </w:tr>
      <w:tr>
        <w:tc>
          <w:tcPr>
            <w:tcW w:type="dxa" w:w="5040"/>
            <w:vAlign w:val="center"/>
          </w:tcPr>
          <w:p>
            <w:r/>
            <w:r>
              <w:rPr>
                <w:rFonts w:ascii="Aptos" w:hAnsi="Aptos"/>
                <w:b/>
                <w:sz w:val="18"/>
              </w:rPr>
              <w:t>Evidence discipline</w:t>
            </w:r>
          </w:p>
        </w:tc>
        <w:tc>
          <w:tcPr>
            <w:tcW w:type="dxa" w:w="5040"/>
            <w:vAlign w:val="center"/>
          </w:tcPr>
          <w:p>
            <w:r/>
            <w:r>
              <w:rPr>
                <w:rFonts w:ascii="Aptos" w:hAnsi="Aptos"/>
                <w:b w:val="0"/>
                <w:sz w:val="18"/>
              </w:rPr>
              <w:t>Explicit labels for CONFIRMED, OBSERVED, INFERRED, UNKNOWN, and NEEDS VERIFICATION.</w:t>
            </w:r>
          </w:p>
        </w:tc>
      </w:tr>
    </w:tbl>
    <w:p>
      <w:pPr>
        <w:pStyle w:val="Heading1"/>
      </w:pPr>
      <w:r>
        <w:t>5. MVP Scope</w:t>
      </w:r>
    </w:p>
    <w:p>
      <w:pPr>
        <w:pStyle w:val="Heading2"/>
      </w:pPr>
      <w:r>
        <w:t>5.1 In Scope</w:t>
      </w:r>
    </w:p>
    <w:p>
      <w:pPr>
        <w:pStyle w:val="ListBullet"/>
        <w:spacing w:after="40"/>
      </w:pPr>
      <w:r>
        <w:t>Problem-first and table-first user prompts.</w:t>
      </w:r>
    </w:p>
    <w:p>
      <w:pPr>
        <w:pStyle w:val="ListBullet"/>
        <w:spacing w:after="40"/>
      </w:pPr>
      <w:r>
        <w:t>Approved database catalog and metadata inspection.</w:t>
      </w:r>
    </w:p>
    <w:p>
      <w:pPr>
        <w:pStyle w:val="ListBullet"/>
        <w:spacing w:after="40"/>
      </w:pPr>
      <w:r>
        <w:t>Bounded, read-only profiling performed in the database.</w:t>
      </w:r>
    </w:p>
    <w:p>
      <w:pPr>
        <w:pStyle w:val="ListBullet"/>
        <w:spacing w:after="40"/>
      </w:pPr>
      <w:r>
        <w:t>Candidate key, timestamp, grain, and relationship identification.</w:t>
      </w:r>
    </w:p>
    <w:p>
      <w:pPr>
        <w:pStyle w:val="ListBullet"/>
        <w:spacing w:after="40"/>
      </w:pPr>
      <w:r>
        <w:t>Join validation using limited aggregate or sampled checks.</w:t>
      </w:r>
    </w:p>
    <w:p>
      <w:pPr>
        <w:pStyle w:val="ListBullet"/>
        <w:spacing w:after="40"/>
      </w:pPr>
      <w:r>
        <w:t>Data-quality findings and verification questions.</w:t>
      </w:r>
    </w:p>
    <w:p>
      <w:pPr>
        <w:pStyle w:val="ListBullet"/>
        <w:spacing w:after="40"/>
      </w:pPr>
      <w:r>
        <w:t>Ranked analysis and automation opportunity cards.</w:t>
      </w:r>
    </w:p>
    <w:p>
      <w:pPr>
        <w:pStyle w:val="ListBullet"/>
        <w:spacing w:after="40"/>
      </w:pPr>
      <w:r>
        <w:t>Review-ready SQL, Python, test, dashboard, or monitoring starters.</w:t>
      </w:r>
    </w:p>
    <w:p>
      <w:pPr>
        <w:pStyle w:val="ListBullet"/>
        <w:spacing w:after="40"/>
      </w:pPr>
      <w:r>
        <w:t>Markdown output that can be transferred into project or documentation systems.</w:t>
      </w:r>
    </w:p>
    <w:p>
      <w:pPr>
        <w:pStyle w:val="Heading2"/>
      </w:pPr>
      <w:r>
        <w:t>5.2 Out of Scope for MVP</w:t>
      </w:r>
    </w:p>
    <w:p>
      <w:pPr>
        <w:pStyle w:val="ListBullet"/>
        <w:spacing w:after="40"/>
      </w:pPr>
      <w:r>
        <w:t>INSERT, UPDATE, DELETE, DDL, schema changes, or administrative commands.</w:t>
      </w:r>
    </w:p>
    <w:p>
      <w:pPr>
        <w:pStyle w:val="ListBullet"/>
        <w:spacing w:after="40"/>
      </w:pPr>
      <w:r>
        <w:t>Stored-procedure execution unless explicitly approved and safely wrapped.</w:t>
      </w:r>
    </w:p>
    <w:p>
      <w:pPr>
        <w:pStyle w:val="ListBullet"/>
        <w:spacing w:after="40"/>
      </w:pPr>
      <w:r>
        <w:t>Unrestricted SQL execution or access to unapproved schemas.</w:t>
      </w:r>
    </w:p>
    <w:p>
      <w:pPr>
        <w:pStyle w:val="ListBullet"/>
        <w:spacing w:after="40"/>
      </w:pPr>
      <w:r>
        <w:t>Autonomous scheduling, alert deployment, production deployment, or system changes.</w:t>
      </w:r>
    </w:p>
    <w:p>
      <w:pPr>
        <w:pStyle w:val="ListBullet"/>
        <w:spacing w:after="40"/>
      </w:pPr>
      <w:r>
        <w:t>Automatic manufacturing root-cause conclusions.</w:t>
      </w:r>
    </w:p>
    <w:p>
      <w:pPr>
        <w:pStyle w:val="ListBullet"/>
        <w:spacing w:after="40"/>
      </w:pPr>
      <w:r>
        <w:t>Access to credentials, restricted personal data, or unnecessary sensitive production details.</w:t>
      </w:r>
    </w:p>
    <w:p>
      <w:pPr>
        <w:pStyle w:val="ListBullet"/>
        <w:spacing w:after="40"/>
      </w:pPr>
      <w:r>
        <w:t>Whole-FAB deployment before pilot controls and usefulness are demonstrated.</w:t>
      </w:r>
    </w:p>
    <w:p>
      <w:pPr>
        <w:pStyle w:val="Heading1"/>
      </w:pPr>
      <w:r>
        <w:t>6. Conceptual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rFonts w:ascii="Aptos" w:hAnsi="Aptos"/>
                <w:b/>
                <w:color w:val="FFFFFF"/>
                <w:sz w:val="18"/>
              </w:rPr>
              <w:t>User interface</w:t>
            </w:r>
          </w:p>
        </w:tc>
        <w:tc>
          <w:tcPr>
            <w:tcW w:type="dxa" w:w="5040"/>
            <w:vAlign w:val="center"/>
            <w:shd w:fill="EEF3F8"/>
          </w:tcPr>
          <w:p>
            <w:r/>
            <w:r>
              <w:rPr>
                <w:rFonts w:ascii="Aptos" w:hAnsi="Aptos"/>
                <w:b w:val="0"/>
                <w:sz w:val="18"/>
              </w:rPr>
              <w:t>OpenCode prompt or command using the fab-data-scout skill.</w:t>
            </w:r>
          </w:p>
        </w:tc>
      </w:tr>
      <w:tr>
        <w:tc>
          <w:tcPr>
            <w:tcW w:type="dxa" w:w="5040"/>
            <w:vAlign w:val="center"/>
            <w:shd w:fill="2F5597"/>
          </w:tcPr>
          <w:p>
            <w:r/>
            <w:r>
              <w:rPr>
                <w:rFonts w:ascii="Aptos" w:hAnsi="Aptos"/>
                <w:b/>
                <w:color w:val="FFFFFF"/>
                <w:sz w:val="18"/>
              </w:rPr>
              <w:t>Model</w:t>
            </w:r>
          </w:p>
        </w:tc>
        <w:tc>
          <w:tcPr>
            <w:tcW w:type="dxa" w:w="5040"/>
            <w:vAlign w:val="center"/>
          </w:tcPr>
          <w:p>
            <w:r/>
            <w:r>
              <w:rPr>
                <w:rFonts w:ascii="Aptos" w:hAnsi="Aptos"/>
                <w:b w:val="0"/>
                <w:sz w:val="18"/>
              </w:rPr>
              <w:t>Approved Gemma 4 deployment. Internal schema accuracy must be benchmarked; it is not assumed.</w:t>
            </w:r>
          </w:p>
        </w:tc>
      </w:tr>
      <w:tr>
        <w:tc>
          <w:tcPr>
            <w:tcW w:type="dxa" w:w="5040"/>
            <w:vAlign w:val="center"/>
            <w:shd w:fill="2F5597"/>
          </w:tcPr>
          <w:p>
            <w:r/>
            <w:r>
              <w:rPr>
                <w:rFonts w:ascii="Aptos" w:hAnsi="Aptos"/>
                <w:b/>
                <w:color w:val="FFFFFF"/>
                <w:sz w:val="18"/>
              </w:rPr>
              <w:t>Skill logic</w:t>
            </w:r>
          </w:p>
        </w:tc>
        <w:tc>
          <w:tcPr>
            <w:tcW w:type="dxa" w:w="5040"/>
            <w:vAlign w:val="center"/>
            <w:shd w:fill="EEF3F8"/>
          </w:tcPr>
          <w:p>
            <w:r/>
            <w:r>
              <w:rPr>
                <w:rFonts w:ascii="Aptos" w:hAnsi="Aptos"/>
                <w:b w:val="0"/>
                <w:sz w:val="18"/>
              </w:rPr>
              <w:t>Prompt workflow, evidence labels, output templates, prioritization, and safety rules.</w:t>
            </w:r>
          </w:p>
        </w:tc>
      </w:tr>
      <w:tr>
        <w:tc>
          <w:tcPr>
            <w:tcW w:type="dxa" w:w="5040"/>
            <w:vAlign w:val="center"/>
            <w:shd w:fill="2F5597"/>
          </w:tcPr>
          <w:p>
            <w:r/>
            <w:r>
              <w:rPr>
                <w:rFonts w:ascii="Aptos" w:hAnsi="Aptos"/>
                <w:b/>
                <w:color w:val="FFFFFF"/>
                <w:sz w:val="18"/>
              </w:rPr>
              <w:t>Controlled tools</w:t>
            </w:r>
          </w:p>
        </w:tc>
        <w:tc>
          <w:tcPr>
            <w:tcW w:type="dxa" w:w="5040"/>
            <w:vAlign w:val="center"/>
          </w:tcPr>
          <w:p>
            <w:r/>
            <w:r>
              <w:rPr>
                <w:rFonts w:ascii="Aptos" w:hAnsi="Aptos"/>
                <w:b w:val="0"/>
                <w:sz w:val="18"/>
              </w:rPr>
              <w:t>Catalog search, table description, profiling, relationship checks, join validation, query estimation, and approved read-only execution.</w:t>
            </w:r>
          </w:p>
        </w:tc>
      </w:tr>
      <w:tr>
        <w:tc>
          <w:tcPr>
            <w:tcW w:type="dxa" w:w="5040"/>
            <w:vAlign w:val="center"/>
            <w:shd w:fill="2F5597"/>
          </w:tcPr>
          <w:p>
            <w:r/>
            <w:r>
              <w:rPr>
                <w:rFonts w:ascii="Aptos" w:hAnsi="Aptos"/>
                <w:b/>
                <w:color w:val="FFFFFF"/>
                <w:sz w:val="18"/>
              </w:rPr>
              <w:t>Database access</w:t>
            </w:r>
          </w:p>
        </w:tc>
        <w:tc>
          <w:tcPr>
            <w:tcW w:type="dxa" w:w="5040"/>
            <w:vAlign w:val="center"/>
            <w:shd w:fill="EEF3F8"/>
          </w:tcPr>
          <w:p>
            <w:r/>
            <w:r>
              <w:rPr>
                <w:rFonts w:ascii="Aptos" w:hAnsi="Aptos"/>
                <w:b w:val="0"/>
                <w:sz w:val="18"/>
              </w:rPr>
              <w:t>Read-only identity, approved views or schemas, timeouts, result limits, and auditing.</w:t>
            </w:r>
          </w:p>
        </w:tc>
      </w:tr>
      <w:tr>
        <w:tc>
          <w:tcPr>
            <w:tcW w:type="dxa" w:w="5040"/>
            <w:vAlign w:val="center"/>
            <w:shd w:fill="2F5597"/>
          </w:tcPr>
          <w:p>
            <w:r/>
            <w:r>
              <w:rPr>
                <w:rFonts w:ascii="Aptos" w:hAnsi="Aptos"/>
                <w:b/>
                <w:color w:val="FFFFFF"/>
                <w:sz w:val="18"/>
              </w:rPr>
              <w:t>Outputs</w:t>
            </w:r>
          </w:p>
        </w:tc>
        <w:tc>
          <w:tcPr>
            <w:tcW w:type="dxa" w:w="5040"/>
            <w:vAlign w:val="center"/>
          </w:tcPr>
          <w:p>
            <w:r/>
            <w:r>
              <w:rPr>
                <w:rFonts w:ascii="Aptos" w:hAnsi="Aptos"/>
                <w:b w:val="0"/>
                <w:sz w:val="18"/>
              </w:rPr>
              <w:t>Data map, health profile, opportunity cards, implementation starter, and recommended next action.</w:t>
            </w:r>
          </w:p>
        </w:tc>
      </w:tr>
    </w:tbl>
    <w:p>
      <w:pPr>
        <w:pStyle w:val="Heading1"/>
      </w:pPr>
      <w:r>
        <w:t>7. Required Controls</w:t>
      </w:r>
    </w:p>
    <w:p>
      <w:pPr>
        <w:pStyle w:val="ListBullet"/>
        <w:spacing w:after="40"/>
      </w:pPr>
      <w:r>
        <w:t>Read-only database identity for the proof of concept.</w:t>
      </w:r>
    </w:p>
    <w:p>
      <w:pPr>
        <w:pStyle w:val="ListBullet"/>
        <w:spacing w:after="40"/>
      </w:pPr>
      <w:r>
        <w:t>Allowlist of approved schemas, tables, views, and functions.</w:t>
      </w:r>
    </w:p>
    <w:p>
      <w:pPr>
        <w:pStyle w:val="ListBullet"/>
        <w:spacing w:after="40"/>
      </w:pPr>
      <w:r>
        <w:t>Query timeout, cancellation, row limit, and result-size limit.</w:t>
      </w:r>
    </w:p>
    <w:p>
      <w:pPr>
        <w:pStyle w:val="ListBullet"/>
        <w:spacing w:after="40"/>
      </w:pPr>
      <w:r>
        <w:t>Aggregate results by default; raw-row retrieval only when justified and bounded.</w:t>
      </w:r>
    </w:p>
    <w:p>
      <w:pPr>
        <w:pStyle w:val="ListBullet"/>
        <w:spacing w:after="40"/>
      </w:pPr>
      <w:r>
        <w:t>Query-cost or execution-plan review before potentially expensive queries.</w:t>
      </w:r>
    </w:p>
    <w:p>
      <w:pPr>
        <w:pStyle w:val="ListBullet"/>
        <w:spacing w:after="40"/>
      </w:pPr>
      <w:r>
        <w:t>Masking or exclusion of sensitive columns.</w:t>
      </w:r>
    </w:p>
    <w:p>
      <w:pPr>
        <w:pStyle w:val="ListBullet"/>
        <w:spacing w:after="40"/>
      </w:pPr>
      <w:r>
        <w:t>Audit record of user, purpose, tables, tool calls, and executed query.</w:t>
      </w:r>
    </w:p>
    <w:p>
      <w:pPr>
        <w:pStyle w:val="ListBullet"/>
        <w:spacing w:after="40"/>
      </w:pPr>
      <w:r>
        <w:t>No credentials in prompts, source files, logs, or generated code.</w:t>
      </w:r>
    </w:p>
    <w:p>
      <w:pPr>
        <w:pStyle w:val="ListBullet"/>
        <w:spacing w:after="40"/>
      </w:pPr>
      <w:r>
        <w:t>Human review before production use of generated SQL, Python, monitoring, or automation.</w:t>
      </w:r>
    </w:p>
    <w:p>
      <w:pPr>
        <w:pStyle w:val="ListBullet"/>
        <w:spacing w:after="40"/>
      </w:pPr>
      <w:r>
        <w:t>Manager approval for any future production-write capability, deployment, schema, account, or broad access change.</w:t>
      </w:r>
    </w:p>
    <w:p>
      <w:pPr>
        <w:pStyle w:val="Heading1"/>
      </w:pPr>
      <w:r>
        <w:t>8. Candidate Users and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User group</w:t>
            </w:r>
          </w:p>
        </w:tc>
        <w:tc>
          <w:tcPr>
            <w:tcW w:type="dxa" w:w="5040"/>
            <w:vAlign w:val="center"/>
            <w:shd w:fill="17365D"/>
          </w:tcPr>
          <w:p>
            <w:r/>
            <w:r>
              <w:rPr>
                <w:rFonts w:ascii="Aptos" w:hAnsi="Aptos"/>
                <w:b/>
                <w:color w:val="FFFFFF"/>
                <w:sz w:val="18"/>
              </w:rPr>
              <w:t>Representative value</w:t>
            </w:r>
          </w:p>
        </w:tc>
      </w:tr>
      <w:tr>
        <w:tc>
          <w:tcPr>
            <w:tcW w:type="dxa" w:w="5040"/>
            <w:vAlign w:val="center"/>
          </w:tcPr>
          <w:p>
            <w:r/>
            <w:r>
              <w:rPr>
                <w:rFonts w:ascii="Aptos" w:hAnsi="Aptos"/>
                <w:b/>
                <w:sz w:val="18"/>
              </w:rPr>
              <w:t>Manufacturing/process users</w:t>
            </w:r>
          </w:p>
        </w:tc>
        <w:tc>
          <w:tcPr>
            <w:tcW w:type="dxa" w:w="5040"/>
            <w:vAlign w:val="center"/>
          </w:tcPr>
          <w:p>
            <w:r/>
            <w:r>
              <w:rPr>
                <w:rFonts w:ascii="Aptos" w:hAnsi="Aptos"/>
                <w:b w:val="0"/>
                <w:sz w:val="18"/>
              </w:rPr>
              <w:t>Locate relevant data, understand trends, reduce recurring report and reconciliation work.</w:t>
            </w:r>
          </w:p>
        </w:tc>
      </w:tr>
      <w:tr>
        <w:tc>
          <w:tcPr>
            <w:tcW w:type="dxa" w:w="5040"/>
            <w:vAlign w:val="center"/>
          </w:tcPr>
          <w:p>
            <w:r/>
            <w:r>
              <w:rPr>
                <w:rFonts w:ascii="Aptos" w:hAnsi="Aptos"/>
                <w:b/>
                <w:sz w:val="18"/>
              </w:rPr>
              <w:t>Equipment and systems teams</w:t>
            </w:r>
          </w:p>
        </w:tc>
        <w:tc>
          <w:tcPr>
            <w:tcW w:type="dxa" w:w="5040"/>
            <w:vAlign w:val="center"/>
          </w:tcPr>
          <w:p>
            <w:r/>
            <w:r>
              <w:rPr>
                <w:rFonts w:ascii="Aptos" w:hAnsi="Aptos"/>
                <w:b w:val="0"/>
                <w:sz w:val="18"/>
              </w:rPr>
              <w:t>Assess data availability, freshness, interfaces, and monitoring opportunities.</w:t>
            </w:r>
          </w:p>
        </w:tc>
      </w:tr>
      <w:tr>
        <w:tc>
          <w:tcPr>
            <w:tcW w:type="dxa" w:w="5040"/>
            <w:vAlign w:val="center"/>
          </w:tcPr>
          <w:p>
            <w:r/>
            <w:r>
              <w:rPr>
                <w:rFonts w:ascii="Aptos" w:hAnsi="Aptos"/>
                <w:b/>
                <w:sz w:val="18"/>
              </w:rPr>
              <w:t>Analysts</w:t>
            </w:r>
          </w:p>
        </w:tc>
        <w:tc>
          <w:tcPr>
            <w:tcW w:type="dxa" w:w="5040"/>
            <w:vAlign w:val="center"/>
          </w:tcPr>
          <w:p>
            <w:r/>
            <w:r>
              <w:rPr>
                <w:rFonts w:ascii="Aptos" w:hAnsi="Aptos"/>
                <w:b w:val="0"/>
                <w:sz w:val="18"/>
              </w:rPr>
              <w:t>Accelerate data discovery, profiling, join validation, and reusable dataset design.</w:t>
            </w:r>
          </w:p>
        </w:tc>
      </w:tr>
      <w:tr>
        <w:tc>
          <w:tcPr>
            <w:tcW w:type="dxa" w:w="5040"/>
            <w:vAlign w:val="center"/>
          </w:tcPr>
          <w:p>
            <w:r/>
            <w:r>
              <w:rPr>
                <w:rFonts w:ascii="Aptos" w:hAnsi="Aptos"/>
                <w:b/>
                <w:sz w:val="18"/>
              </w:rPr>
              <w:t>Software/automation engineers</w:t>
            </w:r>
          </w:p>
        </w:tc>
        <w:tc>
          <w:tcPr>
            <w:tcW w:type="dxa" w:w="5040"/>
            <w:vAlign w:val="center"/>
          </w:tcPr>
          <w:p>
            <w:r/>
            <w:r>
              <w:rPr>
                <w:rFonts w:ascii="Aptos" w:hAnsi="Aptos"/>
                <w:b w:val="0"/>
                <w:sz w:val="18"/>
              </w:rPr>
              <w:t>Convert validated opportunities into review-ready implementation starters.</w:t>
            </w:r>
          </w:p>
        </w:tc>
      </w:tr>
      <w:tr>
        <w:tc>
          <w:tcPr>
            <w:tcW w:type="dxa" w:w="5040"/>
            <w:vAlign w:val="center"/>
          </w:tcPr>
          <w:p>
            <w:r/>
            <w:r>
              <w:rPr>
                <w:rFonts w:ascii="Aptos" w:hAnsi="Aptos"/>
                <w:b/>
                <w:sz w:val="18"/>
              </w:rPr>
              <w:t>Support teams</w:t>
            </w:r>
          </w:p>
        </w:tc>
        <w:tc>
          <w:tcPr>
            <w:tcW w:type="dxa" w:w="5040"/>
            <w:vAlign w:val="center"/>
          </w:tcPr>
          <w:p>
            <w:r/>
            <w:r>
              <w:rPr>
                <w:rFonts w:ascii="Aptos" w:hAnsi="Aptos"/>
                <w:b w:val="0"/>
                <w:sz w:val="18"/>
              </w:rPr>
              <w:t>Create bounded evidence packages for investigation without declaring unsupported root cause.</w:t>
            </w:r>
          </w:p>
        </w:tc>
      </w:tr>
      <w:tr>
        <w:tc>
          <w:tcPr>
            <w:tcW w:type="dxa" w:w="5040"/>
            <w:vAlign w:val="center"/>
          </w:tcPr>
          <w:p>
            <w:r/>
            <w:r>
              <w:rPr>
                <w:rFonts w:ascii="Aptos" w:hAnsi="Aptos"/>
                <w:b/>
                <w:sz w:val="18"/>
              </w:rPr>
              <w:t>Managers</w:t>
            </w:r>
          </w:p>
        </w:tc>
        <w:tc>
          <w:tcPr>
            <w:tcW w:type="dxa" w:w="5040"/>
            <w:vAlign w:val="center"/>
          </w:tcPr>
          <w:p>
            <w:r/>
            <w:r>
              <w:rPr>
                <w:rFonts w:ascii="Aptos" w:hAnsi="Aptos"/>
                <w:b w:val="0"/>
                <w:sz w:val="18"/>
              </w:rPr>
              <w:t>Compare candidate opportunities by impact, effort, risk, reach, and sustainment burden.</w:t>
            </w:r>
          </w:p>
        </w:tc>
      </w:tr>
    </w:tbl>
    <w:p>
      <w:pPr>
        <w:pStyle w:val="Heading1"/>
      </w:pPr>
      <w:r>
        <w:t>9. Delivery Plan and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8"/>
              </w:rPr>
              <w:t>Milestone</w:t>
            </w:r>
          </w:p>
        </w:tc>
        <w:tc>
          <w:tcPr>
            <w:tcW w:type="dxa" w:w="3360"/>
            <w:vAlign w:val="center"/>
            <w:shd w:fill="17365D"/>
          </w:tcPr>
          <w:p>
            <w:r/>
            <w:r>
              <w:rPr>
                <w:rFonts w:ascii="Aptos" w:hAnsi="Aptos"/>
                <w:b/>
                <w:color w:val="FFFFFF"/>
                <w:sz w:val="18"/>
              </w:rPr>
              <w:t>Scope</w:t>
            </w:r>
          </w:p>
        </w:tc>
        <w:tc>
          <w:tcPr>
            <w:tcW w:type="dxa" w:w="3360"/>
            <w:vAlign w:val="center"/>
            <w:shd w:fill="17365D"/>
          </w:tcPr>
          <w:p>
            <w:r/>
            <w:r>
              <w:rPr>
                <w:rFonts w:ascii="Aptos" w:hAnsi="Aptos"/>
                <w:b/>
                <w:color w:val="FFFFFF"/>
                <w:sz w:val="18"/>
              </w:rPr>
              <w:t>Completion evidence</w:t>
            </w:r>
          </w:p>
        </w:tc>
      </w:tr>
      <w:tr>
        <w:tc>
          <w:tcPr>
            <w:tcW w:type="dxa" w:w="3360"/>
            <w:vAlign w:val="center"/>
          </w:tcPr>
          <w:p>
            <w:r/>
            <w:r>
              <w:rPr>
                <w:rFonts w:ascii="Aptos" w:hAnsi="Aptos"/>
                <w:b/>
                <w:sz w:val="18"/>
              </w:rPr>
              <w:t>M0 - Initiation</w:t>
            </w:r>
          </w:p>
        </w:tc>
        <w:tc>
          <w:tcPr>
            <w:tcW w:type="dxa" w:w="3360"/>
            <w:vAlign w:val="center"/>
          </w:tcPr>
          <w:p>
            <w:r/>
            <w:r>
              <w:rPr>
                <w:rFonts w:ascii="Aptos" w:hAnsi="Aptos"/>
                <w:b w:val="0"/>
                <w:sz w:val="18"/>
              </w:rPr>
              <w:t>Owner, backup, pilot users, data scope, approvals, and success measures confirmed.</w:t>
            </w:r>
          </w:p>
        </w:tc>
        <w:tc>
          <w:tcPr>
            <w:tcW w:type="dxa" w:w="3360"/>
            <w:vAlign w:val="center"/>
          </w:tcPr>
          <w:p>
            <w:r/>
            <w:r>
              <w:rPr>
                <w:rFonts w:ascii="Aptos" w:hAnsi="Aptos"/>
                <w:b w:val="0"/>
                <w:sz w:val="18"/>
              </w:rPr>
              <w:t>Approved initiation record.</w:t>
            </w:r>
          </w:p>
        </w:tc>
      </w:tr>
      <w:tr>
        <w:tc>
          <w:tcPr>
            <w:tcW w:type="dxa" w:w="3360"/>
            <w:vAlign w:val="center"/>
          </w:tcPr>
          <w:p>
            <w:r/>
            <w:r>
              <w:rPr>
                <w:rFonts w:ascii="Aptos" w:hAnsi="Aptos"/>
                <w:b/>
                <w:sz w:val="18"/>
              </w:rPr>
              <w:t>M1 - Safe connectivity</w:t>
            </w:r>
          </w:p>
        </w:tc>
        <w:tc>
          <w:tcPr>
            <w:tcW w:type="dxa" w:w="3360"/>
            <w:vAlign w:val="center"/>
          </w:tcPr>
          <w:p>
            <w:r/>
            <w:r>
              <w:rPr>
                <w:rFonts w:ascii="Aptos" w:hAnsi="Aptos"/>
                <w:b w:val="0"/>
                <w:sz w:val="18"/>
              </w:rPr>
              <w:t>Controlled metadata access and bounded read-only query path demonstrated.</w:t>
            </w:r>
          </w:p>
        </w:tc>
        <w:tc>
          <w:tcPr>
            <w:tcW w:type="dxa" w:w="3360"/>
            <w:vAlign w:val="center"/>
          </w:tcPr>
          <w:p>
            <w:r/>
            <w:r>
              <w:rPr>
                <w:rFonts w:ascii="Aptos" w:hAnsi="Aptos"/>
                <w:b w:val="0"/>
                <w:sz w:val="18"/>
              </w:rPr>
              <w:t>No unauthorized or disruptive activity.</w:t>
            </w:r>
          </w:p>
        </w:tc>
      </w:tr>
      <w:tr>
        <w:tc>
          <w:tcPr>
            <w:tcW w:type="dxa" w:w="3360"/>
            <w:vAlign w:val="center"/>
          </w:tcPr>
          <w:p>
            <w:r/>
            <w:r>
              <w:rPr>
                <w:rFonts w:ascii="Aptos" w:hAnsi="Aptos"/>
                <w:b/>
                <w:sz w:val="18"/>
              </w:rPr>
              <w:t>M2 - Table-first POC</w:t>
            </w:r>
          </w:p>
        </w:tc>
        <w:tc>
          <w:tcPr>
            <w:tcW w:type="dxa" w:w="3360"/>
            <w:vAlign w:val="center"/>
          </w:tcPr>
          <w:p>
            <w:r/>
            <w:r>
              <w:rPr>
                <w:rFonts w:ascii="Aptos" w:hAnsi="Aptos"/>
                <w:b w:val="0"/>
                <w:sz w:val="18"/>
              </w:rPr>
              <w:t>One approved table set produces a useful data map, profile, and opportunity card.</w:t>
            </w:r>
          </w:p>
        </w:tc>
        <w:tc>
          <w:tcPr>
            <w:tcW w:type="dxa" w:w="3360"/>
            <w:vAlign w:val="center"/>
          </w:tcPr>
          <w:p>
            <w:r/>
            <w:r>
              <w:rPr>
                <w:rFonts w:ascii="Aptos" w:hAnsi="Aptos"/>
                <w:b w:val="0"/>
                <w:sz w:val="18"/>
              </w:rPr>
              <w:t>Domain reviewer validates meaning and flags errors.</w:t>
            </w:r>
          </w:p>
        </w:tc>
      </w:tr>
      <w:tr>
        <w:tc>
          <w:tcPr>
            <w:tcW w:type="dxa" w:w="3360"/>
            <w:vAlign w:val="center"/>
          </w:tcPr>
          <w:p>
            <w:r/>
            <w:r>
              <w:rPr>
                <w:rFonts w:ascii="Aptos" w:hAnsi="Aptos"/>
                <w:b/>
                <w:sz w:val="18"/>
              </w:rPr>
              <w:t>M3 - Problem-first POC</w:t>
            </w:r>
          </w:p>
        </w:tc>
        <w:tc>
          <w:tcPr>
            <w:tcW w:type="dxa" w:w="3360"/>
            <w:vAlign w:val="center"/>
          </w:tcPr>
          <w:p>
            <w:r/>
            <w:r>
              <w:rPr>
                <w:rFonts w:ascii="Aptos" w:hAnsi="Aptos"/>
                <w:b w:val="0"/>
                <w:sz w:val="18"/>
              </w:rPr>
              <w:t>One recurring workflow is mapped to candidate data and a credible automation concept.</w:t>
            </w:r>
          </w:p>
        </w:tc>
        <w:tc>
          <w:tcPr>
            <w:tcW w:type="dxa" w:w="3360"/>
            <w:vAlign w:val="center"/>
          </w:tcPr>
          <w:p>
            <w:r/>
            <w:r>
              <w:rPr>
                <w:rFonts w:ascii="Aptos" w:hAnsi="Aptos"/>
                <w:b w:val="0"/>
                <w:sz w:val="18"/>
              </w:rPr>
              <w:t>User confirms relevance and time-saving potential.</w:t>
            </w:r>
          </w:p>
        </w:tc>
      </w:tr>
      <w:tr>
        <w:tc>
          <w:tcPr>
            <w:tcW w:type="dxa" w:w="3360"/>
            <w:vAlign w:val="center"/>
          </w:tcPr>
          <w:p>
            <w:r/>
            <w:r>
              <w:rPr>
                <w:rFonts w:ascii="Aptos" w:hAnsi="Aptos"/>
                <w:b/>
                <w:sz w:val="18"/>
              </w:rPr>
              <w:t>M4 - Pilot</w:t>
            </w:r>
          </w:p>
        </w:tc>
        <w:tc>
          <w:tcPr>
            <w:tcW w:type="dxa" w:w="3360"/>
            <w:vAlign w:val="center"/>
          </w:tcPr>
          <w:p>
            <w:r/>
            <w:r>
              <w:rPr>
                <w:rFonts w:ascii="Aptos" w:hAnsi="Aptos"/>
                <w:b w:val="0"/>
                <w:sz w:val="18"/>
              </w:rPr>
              <w:t>Representative users test the skill on a limited set of workflows.</w:t>
            </w:r>
          </w:p>
        </w:tc>
        <w:tc>
          <w:tcPr>
            <w:tcW w:type="dxa" w:w="3360"/>
            <w:vAlign w:val="center"/>
          </w:tcPr>
          <w:p>
            <w:r/>
            <w:r>
              <w:rPr>
                <w:rFonts w:ascii="Aptos" w:hAnsi="Aptos"/>
                <w:b w:val="0"/>
                <w:sz w:val="18"/>
              </w:rPr>
              <w:t>Usage, correction rate, time saved, and support load measured.</w:t>
            </w:r>
          </w:p>
        </w:tc>
      </w:tr>
      <w:tr>
        <w:tc>
          <w:tcPr>
            <w:tcW w:type="dxa" w:w="3360"/>
            <w:vAlign w:val="center"/>
          </w:tcPr>
          <w:p>
            <w:r/>
            <w:r>
              <w:rPr>
                <w:rFonts w:ascii="Aptos" w:hAnsi="Aptos"/>
                <w:b/>
                <w:sz w:val="18"/>
              </w:rPr>
              <w:t>M5 - Decision</w:t>
            </w:r>
          </w:p>
        </w:tc>
        <w:tc>
          <w:tcPr>
            <w:tcW w:type="dxa" w:w="3360"/>
            <w:vAlign w:val="center"/>
          </w:tcPr>
          <w:p>
            <w:r/>
            <w:r>
              <w:rPr>
                <w:rFonts w:ascii="Aptos" w:hAnsi="Aptos"/>
                <w:b w:val="0"/>
                <w:sz w:val="18"/>
              </w:rPr>
              <w:t>Continue, pivot, narrow, or stop recommendation based on evidence.</w:t>
            </w:r>
          </w:p>
        </w:tc>
        <w:tc>
          <w:tcPr>
            <w:tcW w:type="dxa" w:w="3360"/>
            <w:vAlign w:val="center"/>
          </w:tcPr>
          <w:p>
            <w:r/>
            <w:r>
              <w:rPr>
                <w:rFonts w:ascii="Aptos" w:hAnsi="Aptos"/>
                <w:b w:val="0"/>
                <w:sz w:val="18"/>
              </w:rPr>
              <w:t>Manager decision and documented rationale.</w:t>
            </w:r>
          </w:p>
        </w:tc>
      </w:tr>
    </w:tbl>
    <w:p>
      <w:r>
        <w:br w:type="page"/>
      </w:r>
    </w:p>
    <w:p>
      <w:pPr>
        <w:pStyle w:val="Heading1"/>
      </w:pPr>
      <w:r>
        <w:t>10. Success Measures</w:t>
      </w:r>
    </w:p>
    <w:p>
      <w:pPr>
        <w:pStyle w:val="ListBullet"/>
        <w:spacing w:after="40"/>
      </w:pPr>
      <w:r>
        <w:t>Time from user question to a usable data map.</w:t>
      </w:r>
    </w:p>
    <w:p>
      <w:pPr>
        <w:pStyle w:val="ListBullet"/>
        <w:spacing w:after="40"/>
      </w:pPr>
      <w:r>
        <w:t>Time from problem statement to a validated query or implementation starter.</w:t>
      </w:r>
    </w:p>
    <w:p>
      <w:pPr>
        <w:pStyle w:val="ListBullet"/>
        <w:spacing w:after="40"/>
      </w:pPr>
      <w:r>
        <w:t>Percentage of proposed joins and table interpretations confirmed by domain reviewers.</w:t>
      </w:r>
    </w:p>
    <w:p>
      <w:pPr>
        <w:pStyle w:val="ListBullet"/>
        <w:spacing w:after="40"/>
      </w:pPr>
      <w:r>
        <w:t>Percentage of outputs requiring material semantic correction.</w:t>
      </w:r>
    </w:p>
    <w:p>
      <w:pPr>
        <w:pStyle w:val="ListBullet"/>
        <w:spacing w:after="40"/>
      </w:pPr>
      <w:r>
        <w:t>Number of opportunities accepted for further evaluation.</w:t>
      </w:r>
    </w:p>
    <w:p>
      <w:pPr>
        <w:pStyle w:val="ListBullet"/>
        <w:spacing w:after="40"/>
      </w:pPr>
      <w:r>
        <w:t>Estimated and measured user or engineering time saved.</w:t>
      </w:r>
    </w:p>
    <w:p>
      <w:pPr>
        <w:pStyle w:val="ListBullet"/>
        <w:spacing w:after="40"/>
      </w:pPr>
      <w:r>
        <w:t>Repeat usage across more than one user group or workflow type.</w:t>
      </w:r>
    </w:p>
    <w:p>
      <w:pPr>
        <w:pStyle w:val="ListBullet"/>
        <w:spacing w:after="40"/>
      </w:pPr>
      <w:r>
        <w:t>Support burden required to sustain the skill.</w:t>
      </w:r>
    </w:p>
    <w:p>
      <w:pPr>
        <w:pStyle w:val="ListBullet"/>
        <w:spacing w:after="40"/>
      </w:pPr>
      <w:r>
        <w:t>Zero unauthorized, destructive, or disruptive database activity.</w:t>
      </w:r>
    </w:p>
    <w:p>
      <w:pPr>
        <w:pStyle w:val="Heading1"/>
      </w:pPr>
      <w:r>
        <w:t>11. Key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Risk</w:t>
            </w:r>
          </w:p>
        </w:tc>
        <w:tc>
          <w:tcPr>
            <w:tcW w:type="dxa" w:w="5040"/>
            <w:vAlign w:val="center"/>
            <w:shd w:fill="17365D"/>
          </w:tcPr>
          <w:p>
            <w:r/>
            <w:r>
              <w:rPr>
                <w:rFonts w:ascii="Aptos" w:hAnsi="Aptos"/>
                <w:b/>
                <w:color w:val="FFFFFF"/>
                <w:sz w:val="18"/>
              </w:rPr>
              <w:t>Primary mitigation</w:t>
            </w:r>
          </w:p>
        </w:tc>
      </w:tr>
      <w:tr>
        <w:tc>
          <w:tcPr>
            <w:tcW w:type="dxa" w:w="5040"/>
            <w:vAlign w:val="center"/>
          </w:tcPr>
          <w:p>
            <w:r/>
            <w:r>
              <w:rPr>
                <w:rFonts w:ascii="Aptos" w:hAnsi="Aptos"/>
                <w:b/>
                <w:sz w:val="18"/>
              </w:rPr>
              <w:t>Incorrect table interpretation</w:t>
            </w:r>
          </w:p>
        </w:tc>
        <w:tc>
          <w:tcPr>
            <w:tcW w:type="dxa" w:w="5040"/>
            <w:vAlign w:val="center"/>
          </w:tcPr>
          <w:p>
            <w:r/>
            <w:r>
              <w:rPr>
                <w:rFonts w:ascii="Aptos" w:hAnsi="Aptos"/>
                <w:b w:val="0"/>
                <w:sz w:val="18"/>
              </w:rPr>
              <w:t>Require evidence labels, data-owner review, and explicit verification questions.</w:t>
            </w:r>
          </w:p>
        </w:tc>
      </w:tr>
      <w:tr>
        <w:tc>
          <w:tcPr>
            <w:tcW w:type="dxa" w:w="5040"/>
            <w:vAlign w:val="center"/>
          </w:tcPr>
          <w:p>
            <w:r/>
            <w:r>
              <w:rPr>
                <w:rFonts w:ascii="Aptos" w:hAnsi="Aptos"/>
                <w:b/>
                <w:sz w:val="18"/>
              </w:rPr>
              <w:t>False or unsafe joins</w:t>
            </w:r>
          </w:p>
        </w:tc>
        <w:tc>
          <w:tcPr>
            <w:tcW w:type="dxa" w:w="5040"/>
            <w:vAlign w:val="center"/>
          </w:tcPr>
          <w:p>
            <w:r/>
            <w:r>
              <w:rPr>
                <w:rFonts w:ascii="Aptos" w:hAnsi="Aptos"/>
                <w:b w:val="0"/>
                <w:sz w:val="18"/>
              </w:rPr>
              <w:t>Label candidate relationships as inferred until validated; use bounded join checks.</w:t>
            </w:r>
          </w:p>
        </w:tc>
      </w:tr>
      <w:tr>
        <w:tc>
          <w:tcPr>
            <w:tcW w:type="dxa" w:w="5040"/>
            <w:vAlign w:val="center"/>
          </w:tcPr>
          <w:p>
            <w:r/>
            <w:r>
              <w:rPr>
                <w:rFonts w:ascii="Aptos" w:hAnsi="Aptos"/>
                <w:b/>
                <w:sz w:val="18"/>
              </w:rPr>
              <w:t>Expensive queries</w:t>
            </w:r>
          </w:p>
        </w:tc>
        <w:tc>
          <w:tcPr>
            <w:tcW w:type="dxa" w:w="5040"/>
            <w:vAlign w:val="center"/>
          </w:tcPr>
          <w:p>
            <w:r/>
            <w:r>
              <w:rPr>
                <w:rFonts w:ascii="Aptos" w:hAnsi="Aptos"/>
                <w:b w:val="0"/>
                <w:sz w:val="18"/>
              </w:rPr>
              <w:t>Use allowlists, timeouts, cost checks, aggregate profiling, and cancellation.</w:t>
            </w:r>
          </w:p>
        </w:tc>
      </w:tr>
      <w:tr>
        <w:tc>
          <w:tcPr>
            <w:tcW w:type="dxa" w:w="5040"/>
            <w:vAlign w:val="center"/>
          </w:tcPr>
          <w:p>
            <w:r/>
            <w:r>
              <w:rPr>
                <w:rFonts w:ascii="Aptos" w:hAnsi="Aptos"/>
                <w:b/>
                <w:sz w:val="18"/>
              </w:rPr>
              <w:t>Sensitive data exposure</w:t>
            </w:r>
          </w:p>
        </w:tc>
        <w:tc>
          <w:tcPr>
            <w:tcW w:type="dxa" w:w="5040"/>
            <w:vAlign w:val="center"/>
          </w:tcPr>
          <w:p>
            <w:r/>
            <w:r>
              <w:rPr>
                <w:rFonts w:ascii="Aptos" w:hAnsi="Aptos"/>
                <w:b w:val="0"/>
                <w:sz w:val="18"/>
              </w:rPr>
              <w:t>Apply least privilege, column restrictions, masking, and logging.</w:t>
            </w:r>
          </w:p>
        </w:tc>
      </w:tr>
      <w:tr>
        <w:tc>
          <w:tcPr>
            <w:tcW w:type="dxa" w:w="5040"/>
            <w:vAlign w:val="center"/>
          </w:tcPr>
          <w:p>
            <w:r/>
            <w:r>
              <w:rPr>
                <w:rFonts w:ascii="Aptos" w:hAnsi="Aptos"/>
                <w:b/>
                <w:sz w:val="18"/>
              </w:rPr>
              <w:t>Low-quality generated SQL or code</w:t>
            </w:r>
          </w:p>
        </w:tc>
        <w:tc>
          <w:tcPr>
            <w:tcW w:type="dxa" w:w="5040"/>
            <w:vAlign w:val="center"/>
          </w:tcPr>
          <w:p>
            <w:r/>
            <w:r>
              <w:rPr>
                <w:rFonts w:ascii="Aptos" w:hAnsi="Aptos"/>
                <w:b w:val="0"/>
                <w:sz w:val="18"/>
              </w:rPr>
              <w:t>Require human review, test queries, known-answer comparisons, and rollback-free MVP use.</w:t>
            </w:r>
          </w:p>
        </w:tc>
      </w:tr>
      <w:tr>
        <w:tc>
          <w:tcPr>
            <w:tcW w:type="dxa" w:w="5040"/>
            <w:vAlign w:val="center"/>
          </w:tcPr>
          <w:p>
            <w:r/>
            <w:r>
              <w:rPr>
                <w:rFonts w:ascii="Aptos" w:hAnsi="Aptos"/>
                <w:b/>
                <w:sz w:val="18"/>
              </w:rPr>
              <w:t>Correlation presented as causation</w:t>
            </w:r>
          </w:p>
        </w:tc>
        <w:tc>
          <w:tcPr>
            <w:tcW w:type="dxa" w:w="5040"/>
            <w:vAlign w:val="center"/>
          </w:tcPr>
          <w:p>
            <w:r/>
            <w:r>
              <w:rPr>
                <w:rFonts w:ascii="Aptos" w:hAnsi="Aptos"/>
                <w:b w:val="0"/>
                <w:sz w:val="18"/>
              </w:rPr>
              <w:t>Prohibit confirmed root-cause language without causal evidence.</w:t>
            </w:r>
          </w:p>
        </w:tc>
      </w:tr>
      <w:tr>
        <w:tc>
          <w:tcPr>
            <w:tcW w:type="dxa" w:w="5040"/>
            <w:vAlign w:val="center"/>
          </w:tcPr>
          <w:p>
            <w:r/>
            <w:r>
              <w:rPr>
                <w:rFonts w:ascii="Aptos" w:hAnsi="Aptos"/>
                <w:b/>
                <w:sz w:val="18"/>
              </w:rPr>
              <w:t>Weak adoption</w:t>
            </w:r>
          </w:p>
        </w:tc>
        <w:tc>
          <w:tcPr>
            <w:tcW w:type="dxa" w:w="5040"/>
            <w:vAlign w:val="center"/>
          </w:tcPr>
          <w:p>
            <w:r/>
            <w:r>
              <w:rPr>
                <w:rFonts w:ascii="Aptos" w:hAnsi="Aptos"/>
                <w:b w:val="0"/>
                <w:sz w:val="18"/>
              </w:rPr>
              <w:t>Provide problem-first entry, plain-language output, representative pilot users, and workflow integration.</w:t>
            </w:r>
          </w:p>
        </w:tc>
      </w:tr>
      <w:tr>
        <w:tc>
          <w:tcPr>
            <w:tcW w:type="dxa" w:w="5040"/>
            <w:vAlign w:val="center"/>
          </w:tcPr>
          <w:p>
            <w:r/>
            <w:r>
              <w:rPr>
                <w:rFonts w:ascii="Aptos" w:hAnsi="Aptos"/>
                <w:b/>
                <w:sz w:val="18"/>
              </w:rPr>
              <w:t>Unsustainable support burden</w:t>
            </w:r>
          </w:p>
        </w:tc>
        <w:tc>
          <w:tcPr>
            <w:tcW w:type="dxa" w:w="5040"/>
            <w:vAlign w:val="center"/>
          </w:tcPr>
          <w:p>
            <w:r/>
            <w:r>
              <w:rPr>
                <w:rFonts w:ascii="Aptos" w:hAnsi="Aptos"/>
                <w:b w:val="0"/>
                <w:sz w:val="18"/>
              </w:rPr>
              <w:t>Define owner and backup, measure support load, document operations, and include stop criteria.</w:t>
            </w:r>
          </w:p>
        </w:tc>
      </w:tr>
    </w:tbl>
    <w:p>
      <w:pPr>
        <w:pStyle w:val="Heading1"/>
      </w:pPr>
      <w:r>
        <w:t>12. Ownership and Responsibilities</w:t>
      </w:r>
    </w:p>
    <w:p>
      <w:r>
        <w:t>The project should be owned by an engineer with database, manufacturing-data, production-safety, and automation experience. A backup owner should be identified before pilot completion.</w:t>
      </w:r>
    </w:p>
    <w:p>
      <w:pPr>
        <w:pStyle w:val="ListBullet"/>
        <w:spacing w:after="40"/>
      </w:pPr>
      <w:r>
        <w:t>Proposed owner: technical feasibility, architecture, MVP delivery, pilot coordination, controls, documentation, and recommendation.</w:t>
      </w:r>
    </w:p>
    <w:p>
      <w:pPr>
        <w:pStyle w:val="ListBullet"/>
        <w:spacing w:after="40"/>
      </w:pPr>
      <w:r>
        <w:t>Backup owner: maintainability, review coverage, continuity, and support readiness.</w:t>
      </w:r>
    </w:p>
    <w:p>
      <w:pPr>
        <w:pStyle w:val="ListBullet"/>
        <w:spacing w:after="40"/>
      </w:pPr>
      <w:r>
        <w:t>Domain reviewers/data stewards: table meaning, workflow relevance, units, grain, and validation of useful outcomes.</w:t>
      </w:r>
    </w:p>
    <w:p>
      <w:pPr>
        <w:pStyle w:val="ListBullet"/>
        <w:spacing w:after="40"/>
      </w:pPr>
      <w:r>
        <w:t>Pilot users: realistic problem statements, feedback, expected-output comparison, and adoption evaluation.</w:t>
      </w:r>
    </w:p>
    <w:p>
      <w:pPr>
        <w:pStyle w:val="ListBullet"/>
        <w:spacing w:after="40"/>
      </w:pPr>
      <w:r>
        <w:t>Manager: prioritization, capacity, approvals, access boundaries, pilot commitment, and continue/pivot/stop decision.</w:t>
      </w:r>
    </w:p>
    <w:p>
      <w:pPr>
        <w:pStyle w:val="Heading1"/>
      </w:pPr>
      <w:r>
        <w:t>13. Dependencies and Initiation Preconditions</w:t>
      </w:r>
    </w:p>
    <w:p>
      <w:pPr>
        <w:pStyle w:val="ListBullet"/>
        <w:spacing w:after="40"/>
      </w:pPr>
      <w:r>
        <w:t>OpenCode and Gemma 4 are approved for the intended work and data-handling boundary.</w:t>
      </w:r>
    </w:p>
    <w:p>
      <w:pPr>
        <w:pStyle w:val="ListBullet"/>
        <w:spacing w:after="40"/>
      </w:pPr>
      <w:r>
        <w:t>A read-only database access method and approved pilot tables or views are available.</w:t>
      </w:r>
    </w:p>
    <w:p>
      <w:pPr>
        <w:pStyle w:val="ListBullet"/>
        <w:spacing w:after="40"/>
      </w:pPr>
      <w:r>
        <w:t>Database-performance protections can be technically enforced.</w:t>
      </w:r>
    </w:p>
    <w:p>
      <w:pPr>
        <w:pStyle w:val="ListBullet"/>
        <w:spacing w:after="40"/>
      </w:pPr>
      <w:r>
        <w:t>Data owners or domain reviewers are available for semantic validation.</w:t>
      </w:r>
    </w:p>
    <w:p>
      <w:pPr>
        <w:pStyle w:val="ListBullet"/>
        <w:spacing w:after="40"/>
      </w:pPr>
      <w:r>
        <w:t>A proposed owner and backup have sufficient capacity.</w:t>
      </w:r>
    </w:p>
    <w:p>
      <w:pPr>
        <w:pStyle w:val="ListBullet"/>
        <w:spacing w:after="40"/>
      </w:pPr>
      <w:r>
        <w:t>Pilot users and representative workflows are identified.</w:t>
      </w:r>
    </w:p>
    <w:p>
      <w:pPr>
        <w:pStyle w:val="ListBullet"/>
        <w:spacing w:after="40"/>
      </w:pPr>
      <w:r>
        <w:t>Logging, access control, and sensitive-data handling expectations are documented.</w:t>
      </w:r>
    </w:p>
    <w:p>
      <w:pPr>
        <w:pStyle w:val="Heading1"/>
      </w:pPr>
      <w:r>
        <w:t>14. Stop, Narrow, or Reevaluate Criteria</w:t>
      </w:r>
    </w:p>
    <w:p>
      <w:pPr>
        <w:pStyle w:val="ListBullet"/>
        <w:spacing w:after="40"/>
      </w:pPr>
      <w:r>
        <w:t>Query behavior creates material database or FAB continuity risk.</w:t>
      </w:r>
    </w:p>
    <w:p>
      <w:pPr>
        <w:pStyle w:val="ListBullet"/>
        <w:spacing w:after="40"/>
      </w:pPr>
      <w:r>
        <w:t>Access-control or sensitive-data boundaries cannot be enforced.</w:t>
      </w:r>
    </w:p>
    <w:p>
      <w:pPr>
        <w:pStyle w:val="ListBullet"/>
        <w:spacing w:after="40"/>
      </w:pPr>
      <w:r>
        <w:t>Users repeatedly interpret inferred findings as confirmed facts despite controls.</w:t>
      </w:r>
    </w:p>
    <w:p>
      <w:pPr>
        <w:pStyle w:val="ListBullet"/>
        <w:spacing w:after="40"/>
      </w:pPr>
      <w:r>
        <w:t>Generated SQL or semantic error rates exceed the pilot's acceptable threshold.</w:t>
      </w:r>
    </w:p>
    <w:p>
      <w:pPr>
        <w:pStyle w:val="ListBullet"/>
        <w:spacing w:after="40"/>
      </w:pPr>
      <w:r>
        <w:t>Domain correction effort exceeds the manual work removed.</w:t>
      </w:r>
    </w:p>
    <w:p>
      <w:pPr>
        <w:pStyle w:val="ListBullet"/>
        <w:spacing w:after="40"/>
      </w:pPr>
      <w:r>
        <w:t>The skill has low repeat usage or an unsustainable support burden.</w:t>
      </w:r>
    </w:p>
    <w:p>
      <w:pPr>
        <w:pStyle w:val="ListBullet"/>
        <w:spacing w:after="40"/>
      </w:pPr>
      <w:r>
        <w:t>A simpler catalog, reporting, or process-only solution provides better value.</w:t>
      </w:r>
    </w:p>
    <w:p>
      <w:pPr>
        <w:pStyle w:val="Heading1"/>
      </w:pPr>
      <w:r>
        <w:t>15. Initiation Decision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rFonts w:ascii="Aptos" w:hAnsi="Aptos"/>
                <w:b/>
                <w:color w:val="FFFFFF"/>
                <w:sz w:val="18"/>
              </w:rPr>
              <w:t>Decision</w:t>
            </w:r>
          </w:p>
        </w:tc>
        <w:tc>
          <w:tcPr>
            <w:tcW w:type="dxa" w:w="5040"/>
            <w:vAlign w:val="center"/>
            <w:shd w:fill="EEF3F8"/>
          </w:tcPr>
          <w:p>
            <w:r/>
            <w:r>
              <w:rPr>
                <w:rFonts w:ascii="Aptos" w:hAnsi="Aptos"/>
                <w:b w:val="0"/>
                <w:sz w:val="18"/>
              </w:rPr>
              <w:t>Approve / Revise / Defer / Reject</w:t>
            </w:r>
          </w:p>
        </w:tc>
      </w:tr>
      <w:tr>
        <w:tc>
          <w:tcPr>
            <w:tcW w:type="dxa" w:w="5040"/>
            <w:vAlign w:val="center"/>
            <w:shd w:fill="2F5597"/>
          </w:tcPr>
          <w:p>
            <w:r/>
            <w:r>
              <w:rPr>
                <w:rFonts w:ascii="Aptos" w:hAnsi="Aptos"/>
                <w:b/>
                <w:color w:val="FFFFFF"/>
                <w:sz w:val="18"/>
              </w:rPr>
              <w:t>Project Owner</w:t>
            </w:r>
          </w:p>
        </w:tc>
        <w:tc>
          <w:tcPr>
            <w:tcW w:type="dxa" w:w="5040"/>
            <w:vAlign w:val="center"/>
          </w:tcPr>
          <w:p>
            <w:r/>
            <w:r>
              <w:rPr>
                <w:rFonts w:ascii="Aptos" w:hAnsi="Aptos"/>
                <w:b w:val="0"/>
                <w:sz w:val="18"/>
              </w:rPr>
              <w:t xml:space="preserve"> </w:t>
            </w:r>
          </w:p>
        </w:tc>
      </w:tr>
      <w:tr>
        <w:tc>
          <w:tcPr>
            <w:tcW w:type="dxa" w:w="5040"/>
            <w:vAlign w:val="center"/>
            <w:shd w:fill="2F5597"/>
          </w:tcPr>
          <w:p>
            <w:r/>
            <w:r>
              <w:rPr>
                <w:rFonts w:ascii="Aptos" w:hAnsi="Aptos"/>
                <w:b/>
                <w:color w:val="FFFFFF"/>
                <w:sz w:val="18"/>
              </w:rPr>
              <w:t>Backup Owner</w:t>
            </w:r>
          </w:p>
        </w:tc>
        <w:tc>
          <w:tcPr>
            <w:tcW w:type="dxa" w:w="5040"/>
            <w:vAlign w:val="center"/>
            <w:shd w:fill="EEF3F8"/>
          </w:tcPr>
          <w:p>
            <w:r/>
            <w:r>
              <w:rPr>
                <w:rFonts w:ascii="Aptos" w:hAnsi="Aptos"/>
                <w:b w:val="0"/>
                <w:sz w:val="18"/>
              </w:rPr>
              <w:t xml:space="preserve"> </w:t>
            </w:r>
          </w:p>
        </w:tc>
      </w:tr>
      <w:tr>
        <w:tc>
          <w:tcPr>
            <w:tcW w:type="dxa" w:w="5040"/>
            <w:vAlign w:val="center"/>
            <w:shd w:fill="2F5597"/>
          </w:tcPr>
          <w:p>
            <w:r/>
            <w:r>
              <w:rPr>
                <w:rFonts w:ascii="Aptos" w:hAnsi="Aptos"/>
                <w:b/>
                <w:color w:val="FFFFFF"/>
                <w:sz w:val="18"/>
              </w:rPr>
              <w:t>Pilot Users</w:t>
            </w:r>
          </w:p>
        </w:tc>
        <w:tc>
          <w:tcPr>
            <w:tcW w:type="dxa" w:w="5040"/>
            <w:vAlign w:val="center"/>
          </w:tcPr>
          <w:p>
            <w:r/>
            <w:r>
              <w:rPr>
                <w:rFonts w:ascii="Aptos" w:hAnsi="Aptos"/>
                <w:b w:val="0"/>
                <w:sz w:val="18"/>
              </w:rPr>
              <w:t xml:space="preserve"> </w:t>
            </w:r>
          </w:p>
        </w:tc>
      </w:tr>
      <w:tr>
        <w:tc>
          <w:tcPr>
            <w:tcW w:type="dxa" w:w="5040"/>
            <w:vAlign w:val="center"/>
            <w:shd w:fill="2F5597"/>
          </w:tcPr>
          <w:p>
            <w:r/>
            <w:r>
              <w:rPr>
                <w:rFonts w:ascii="Aptos" w:hAnsi="Aptos"/>
                <w:b/>
                <w:color w:val="FFFFFF"/>
                <w:sz w:val="18"/>
              </w:rPr>
              <w:t>Pilot Data Domain / Tables</w:t>
            </w:r>
          </w:p>
        </w:tc>
        <w:tc>
          <w:tcPr>
            <w:tcW w:type="dxa" w:w="5040"/>
            <w:vAlign w:val="center"/>
            <w:shd w:fill="EEF3F8"/>
          </w:tcPr>
          <w:p>
            <w:r/>
            <w:r>
              <w:rPr>
                <w:rFonts w:ascii="Aptos" w:hAnsi="Aptos"/>
                <w:b w:val="0"/>
                <w:sz w:val="18"/>
              </w:rPr>
              <w:t xml:space="preserve"> </w:t>
            </w:r>
          </w:p>
        </w:tc>
      </w:tr>
      <w:tr>
        <w:tc>
          <w:tcPr>
            <w:tcW w:type="dxa" w:w="5040"/>
            <w:vAlign w:val="center"/>
            <w:shd w:fill="2F5597"/>
          </w:tcPr>
          <w:p>
            <w:r/>
            <w:r>
              <w:rPr>
                <w:rFonts w:ascii="Aptos" w:hAnsi="Aptos"/>
                <w:b/>
                <w:color w:val="FFFFFF"/>
                <w:sz w:val="18"/>
              </w:rPr>
              <w:t>Capacity Available</w:t>
            </w:r>
          </w:p>
        </w:tc>
        <w:tc>
          <w:tcPr>
            <w:tcW w:type="dxa" w:w="5040"/>
            <w:vAlign w:val="center"/>
          </w:tcPr>
          <w:p>
            <w:r/>
            <w:r>
              <w:rPr>
                <w:rFonts w:ascii="Aptos" w:hAnsi="Aptos"/>
                <w:b w:val="0"/>
                <w:sz w:val="18"/>
              </w:rPr>
              <w:t xml:space="preserve"> </w:t>
            </w:r>
          </w:p>
        </w:tc>
      </w:tr>
      <w:tr>
        <w:tc>
          <w:tcPr>
            <w:tcW w:type="dxa" w:w="5040"/>
            <w:vAlign w:val="center"/>
            <w:shd w:fill="2F5597"/>
          </w:tcPr>
          <w:p>
            <w:r/>
            <w:r>
              <w:rPr>
                <w:rFonts w:ascii="Aptos" w:hAnsi="Aptos"/>
                <w:b/>
                <w:color w:val="FFFFFF"/>
                <w:sz w:val="18"/>
              </w:rPr>
              <w:t>Required Approvals</w:t>
            </w:r>
          </w:p>
        </w:tc>
        <w:tc>
          <w:tcPr>
            <w:tcW w:type="dxa" w:w="5040"/>
            <w:vAlign w:val="center"/>
            <w:shd w:fill="EEF3F8"/>
          </w:tcPr>
          <w:p>
            <w:r/>
            <w:r>
              <w:rPr>
                <w:rFonts w:ascii="Aptos" w:hAnsi="Aptos"/>
                <w:b w:val="0"/>
                <w:sz w:val="18"/>
              </w:rPr>
              <w:t xml:space="preserve"> </w:t>
            </w:r>
          </w:p>
        </w:tc>
      </w:tr>
      <w:tr>
        <w:tc>
          <w:tcPr>
            <w:tcW w:type="dxa" w:w="5040"/>
            <w:vAlign w:val="center"/>
            <w:shd w:fill="2F5597"/>
          </w:tcPr>
          <w:p>
            <w:r/>
            <w:r>
              <w:rPr>
                <w:rFonts w:ascii="Aptos" w:hAnsi="Aptos"/>
                <w:b/>
                <w:color w:val="FFFFFF"/>
                <w:sz w:val="18"/>
              </w:rPr>
              <w:t>First Milestone Date</w:t>
            </w:r>
          </w:p>
        </w:tc>
        <w:tc>
          <w:tcPr>
            <w:tcW w:type="dxa" w:w="5040"/>
            <w:vAlign w:val="center"/>
          </w:tcPr>
          <w:p>
            <w:r/>
            <w:r>
              <w:rPr>
                <w:rFonts w:ascii="Aptos" w:hAnsi="Aptos"/>
                <w:b w:val="0"/>
                <w:sz w:val="18"/>
              </w:rPr>
              <w:t xml:space="preserve"> </w:t>
            </w:r>
          </w:p>
        </w:tc>
      </w:tr>
      <w:tr>
        <w:tc>
          <w:tcPr>
            <w:tcW w:type="dxa" w:w="5040"/>
            <w:vAlign w:val="center"/>
            <w:shd w:fill="2F5597"/>
          </w:tcPr>
          <w:p>
            <w:r/>
            <w:r>
              <w:rPr>
                <w:rFonts w:ascii="Aptos" w:hAnsi="Aptos"/>
                <w:b/>
                <w:color w:val="FFFFFF"/>
                <w:sz w:val="18"/>
              </w:rPr>
              <w:t>Major Concerns</w:t>
            </w:r>
          </w:p>
        </w:tc>
        <w:tc>
          <w:tcPr>
            <w:tcW w:type="dxa" w:w="5040"/>
            <w:vAlign w:val="center"/>
            <w:shd w:fill="EEF3F8"/>
          </w:tcPr>
          <w:p>
            <w:r/>
            <w:r>
              <w:rPr>
                <w:rFonts w:ascii="Aptos" w:hAnsi="Aptos"/>
                <w:b w:val="0"/>
                <w:sz w:val="18"/>
              </w:rPr>
              <w:t xml:space="preserve"> </w:t>
            </w:r>
          </w:p>
        </w:tc>
      </w:tr>
      <w:tr>
        <w:tc>
          <w:tcPr>
            <w:tcW w:type="dxa" w:w="5040"/>
            <w:vAlign w:val="center"/>
            <w:shd w:fill="2F5597"/>
          </w:tcPr>
          <w:p>
            <w:r/>
            <w:r>
              <w:rPr>
                <w:rFonts w:ascii="Aptos" w:hAnsi="Aptos"/>
                <w:b/>
                <w:color w:val="FFFFFF"/>
                <w:sz w:val="18"/>
              </w:rPr>
              <w:t>Decision Notes</w:t>
            </w:r>
          </w:p>
        </w:tc>
        <w:tc>
          <w:tcPr>
            <w:tcW w:type="dxa" w:w="5040"/>
            <w:vAlign w:val="center"/>
          </w:tcPr>
          <w:p>
            <w:r/>
            <w:r>
              <w:rPr>
                <w:rFonts w:ascii="Aptos" w:hAnsi="Aptos"/>
                <w:b w:val="0"/>
                <w:sz w:val="18"/>
              </w:rPr>
              <w:t xml:space="preserve"> </w:t>
            </w:r>
          </w:p>
        </w:tc>
      </w:tr>
    </w:tbl>
    <w:p/>
    <w:p>
      <w:r>
        <w:rPr>
          <w:b/>
        </w:rPr>
        <w:t xml:space="preserve">Recommended first milestone: </w:t>
      </w:r>
      <w:r>
        <w:t>Demonstrate controlled metadata access and bounded profiling on a small approved table set, produce one credible opportunity card and one review-ready implementation starter, and document a continue, pivot, or stop recommendation.</w:t>
      </w:r>
    </w:p>
    <w:p>
      <w:pPr>
        <w:pStyle w:val="Heading1"/>
      </w:pPr>
      <w:r>
        <w:t>16. Internal Basis Used</w:t>
      </w:r>
    </w:p>
    <w:p>
      <w:r>
        <w:t>This proposal was prepared from the approved operating-context, project/portfolio, troubleshooting, documentation, output-schema, and people-management guidance supplied for this task. It does not claim current access to FAB systems, live databases, or approved production configuration.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F7F7F"/>
        <w:sz w:val="16"/>
      </w:rPr>
      <w:t>DRAFT - For initiation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F7F7F"/>
        <w:sz w:val="16"/>
      </w:rPr>
      <w:t>FAB Data-to-Action Mapper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pPr>
    <w:rPr>
      <w:rFonts w:ascii="Aptos" w:hAnsi="Aptos"/>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