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30D24" w14:textId="77777777" w:rsidR="00964958" w:rsidRPr="00E81411" w:rsidRDefault="00000000" w:rsidP="00E81411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E81411">
        <w:rPr>
          <w:rFonts w:ascii="Times New Roman" w:hAnsi="Times New Roman" w:cs="Times New Roman"/>
          <w:sz w:val="24"/>
          <w:szCs w:val="24"/>
          <w:lang w:val="pt-BR"/>
        </w:rPr>
        <w:t>Contra-Proposta Estratégica para Sustentabilidade do Projeto Talent Bridge</w:t>
      </w:r>
    </w:p>
    <w:p w14:paraId="2FBC1C2F" w14:textId="77777777" w:rsidR="00964958" w:rsidRPr="00E81411" w:rsidRDefault="00000000" w:rsidP="00E81411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E81411">
        <w:rPr>
          <w:rFonts w:ascii="Times New Roman" w:hAnsi="Times New Roman" w:cs="Times New Roman"/>
          <w:b/>
          <w:bCs/>
          <w:sz w:val="24"/>
          <w:szCs w:val="24"/>
          <w:lang w:val="pt-BR"/>
        </w:rPr>
        <w:t>1. Introdução</w:t>
      </w:r>
    </w:p>
    <w:p w14:paraId="5E920573" w14:textId="62460078" w:rsidR="00964958" w:rsidRPr="00E81411" w:rsidRDefault="00E81411" w:rsidP="00E81411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="00000000" w:rsidRPr="00E81411">
        <w:rPr>
          <w:rFonts w:ascii="Times New Roman" w:hAnsi="Times New Roman" w:cs="Times New Roman"/>
          <w:sz w:val="24"/>
          <w:szCs w:val="24"/>
          <w:lang w:val="pt-BR"/>
        </w:rPr>
        <w:t>A Talent Bridge é uma iniciativa promissora que une recrutamento e formação profissional para jovens e pessoas em transição de carreira. Diante da constatação de que o modelo atual não garante sustentabilidade a longo prazo, esta contra-proposta apresenta ajustes estratégicos, mantendo a infraestrutura, os 53 colaboradores e o nome do projeto, com foco na viabilidade financeira e no impacto real.</w:t>
      </w:r>
    </w:p>
    <w:p w14:paraId="22E7E678" w14:textId="77777777" w:rsidR="00964958" w:rsidRPr="00E81411" w:rsidRDefault="00000000" w:rsidP="00E81411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E81411">
        <w:rPr>
          <w:rFonts w:ascii="Times New Roman" w:hAnsi="Times New Roman" w:cs="Times New Roman"/>
          <w:b/>
          <w:bCs/>
          <w:sz w:val="24"/>
          <w:szCs w:val="24"/>
          <w:lang w:val="pt-BR"/>
        </w:rPr>
        <w:t>2. Diagnóstico das Fragilidades Atuais</w:t>
      </w:r>
    </w:p>
    <w:p w14:paraId="35814D54" w14:textId="328CF6C7" w:rsidR="00964958" w:rsidRPr="00E81411" w:rsidRDefault="00E81411" w:rsidP="00E81411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="00000000" w:rsidRPr="00E81411">
        <w:rPr>
          <w:rFonts w:ascii="Times New Roman" w:hAnsi="Times New Roman" w:cs="Times New Roman"/>
          <w:sz w:val="24"/>
          <w:szCs w:val="24"/>
          <w:lang w:val="pt-BR"/>
        </w:rPr>
        <w:t>- Modelo de receita dependente exclusivamente de comissões salariais, o que gera riscos operacionais.</w:t>
      </w:r>
    </w:p>
    <w:p w14:paraId="3C807126" w14:textId="64E3FB72" w:rsidR="00964958" w:rsidRPr="00E81411" w:rsidRDefault="00E81411" w:rsidP="00E81411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="00000000" w:rsidRPr="00E81411">
        <w:rPr>
          <w:rFonts w:ascii="Times New Roman" w:hAnsi="Times New Roman" w:cs="Times New Roman"/>
          <w:sz w:val="24"/>
          <w:szCs w:val="24"/>
          <w:lang w:val="pt-BR"/>
        </w:rPr>
        <w:t>- Baixa adesão esperada por parte das empresas, por falta de incentivos diretos e retorno imediato.</w:t>
      </w:r>
    </w:p>
    <w:p w14:paraId="26818C48" w14:textId="19322560" w:rsidR="00964958" w:rsidRPr="00E81411" w:rsidRDefault="00E81411" w:rsidP="00E81411">
      <w:pPr>
        <w:pStyle w:val="NoSpacing"/>
        <w:rPr>
          <w:lang w:val="pt-BR"/>
        </w:rPr>
      </w:pPr>
      <w:r>
        <w:rPr>
          <w:lang w:val="pt-BR"/>
        </w:rPr>
        <w:tab/>
      </w:r>
      <w:r w:rsidR="00000000" w:rsidRPr="00E81411">
        <w:rPr>
          <w:lang w:val="pt-BR"/>
        </w:rPr>
        <w:t>- Alto custo de operação inicial sem garantias de receita nos primeiros meses.</w:t>
      </w:r>
    </w:p>
    <w:p w14:paraId="52EF78F4" w14:textId="77777777" w:rsidR="00964958" w:rsidRPr="00E81411" w:rsidRDefault="00000000" w:rsidP="00E81411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E81411">
        <w:rPr>
          <w:rFonts w:ascii="Times New Roman" w:hAnsi="Times New Roman" w:cs="Times New Roman"/>
          <w:b/>
          <w:bCs/>
          <w:sz w:val="24"/>
          <w:szCs w:val="24"/>
          <w:lang w:val="pt-BR"/>
        </w:rPr>
        <w:t>3. Nova Estratégia de Monetização</w:t>
      </w:r>
    </w:p>
    <w:p w14:paraId="47FFF777" w14:textId="77777777" w:rsidR="00964958" w:rsidRPr="00E81411" w:rsidRDefault="00000000" w:rsidP="00E81411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E81411">
        <w:rPr>
          <w:rFonts w:ascii="Times New Roman" w:hAnsi="Times New Roman" w:cs="Times New Roman"/>
          <w:sz w:val="24"/>
          <w:szCs w:val="24"/>
          <w:lang w:val="pt-BR"/>
        </w:rPr>
        <w:t>Proposta de um modelo híbrido de receitas:</w:t>
      </w:r>
    </w:p>
    <w:p w14:paraId="41C56D5E" w14:textId="4CBCED95" w:rsidR="00964958" w:rsidRPr="00E81411" w:rsidRDefault="00E81411" w:rsidP="00E81411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="00000000" w:rsidRPr="00E81411">
        <w:rPr>
          <w:rFonts w:ascii="Times New Roman" w:hAnsi="Times New Roman" w:cs="Times New Roman"/>
          <w:sz w:val="24"/>
          <w:szCs w:val="24"/>
          <w:lang w:val="pt-BR"/>
        </w:rPr>
        <w:t>- Planos de assinatura para empresas (com diferentes níveis de acesso e suporte).</w:t>
      </w:r>
    </w:p>
    <w:p w14:paraId="4E018085" w14:textId="06F34FF7" w:rsidR="00964958" w:rsidRPr="00E81411" w:rsidRDefault="00E81411" w:rsidP="00E81411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="00000000" w:rsidRPr="00E81411">
        <w:rPr>
          <w:rFonts w:ascii="Times New Roman" w:hAnsi="Times New Roman" w:cs="Times New Roman"/>
          <w:sz w:val="24"/>
          <w:szCs w:val="24"/>
          <w:lang w:val="pt-BR"/>
        </w:rPr>
        <w:t>- Taxa única por contratação, com desconto para empresas assinantes.</w:t>
      </w:r>
    </w:p>
    <w:p w14:paraId="2AAC5233" w14:textId="3F4F5A3F" w:rsidR="00964958" w:rsidRPr="00E81411" w:rsidRDefault="00E81411" w:rsidP="00E81411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="00000000" w:rsidRPr="00E81411">
        <w:rPr>
          <w:rFonts w:ascii="Times New Roman" w:hAnsi="Times New Roman" w:cs="Times New Roman"/>
          <w:sz w:val="24"/>
          <w:szCs w:val="24"/>
          <w:lang w:val="pt-BR"/>
        </w:rPr>
        <w:t>- Cobrança de serviços premium: treinamentos, hunting especializado e suporte personalizado.</w:t>
      </w:r>
    </w:p>
    <w:p w14:paraId="2FDA26E0" w14:textId="77777777" w:rsidR="00964958" w:rsidRPr="00E81411" w:rsidRDefault="00000000" w:rsidP="00E81411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E81411">
        <w:rPr>
          <w:rFonts w:ascii="Times New Roman" w:hAnsi="Times New Roman" w:cs="Times New Roman"/>
          <w:b/>
          <w:bCs/>
          <w:sz w:val="24"/>
          <w:szCs w:val="24"/>
          <w:lang w:val="pt-BR"/>
        </w:rPr>
        <w:t>4. Reformulação da Proposta de Valor</w:t>
      </w:r>
    </w:p>
    <w:p w14:paraId="5F1229A1" w14:textId="7710709B" w:rsidR="00964958" w:rsidRPr="00E81411" w:rsidRDefault="00E81411" w:rsidP="00E81411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="00000000" w:rsidRPr="00E81411">
        <w:rPr>
          <w:rFonts w:ascii="Times New Roman" w:hAnsi="Times New Roman" w:cs="Times New Roman"/>
          <w:sz w:val="24"/>
          <w:szCs w:val="24"/>
          <w:lang w:val="pt-BR"/>
        </w:rPr>
        <w:t>- Garantia de substituição gratuita em até 30 dias após contratação.</w:t>
      </w:r>
    </w:p>
    <w:p w14:paraId="56D3DF8D" w14:textId="254F8790" w:rsidR="00964958" w:rsidRPr="00E81411" w:rsidRDefault="00E81411" w:rsidP="00E81411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="00000000" w:rsidRPr="00E81411">
        <w:rPr>
          <w:rFonts w:ascii="Times New Roman" w:hAnsi="Times New Roman" w:cs="Times New Roman"/>
          <w:sz w:val="24"/>
          <w:szCs w:val="24"/>
          <w:lang w:val="pt-BR"/>
        </w:rPr>
        <w:t>- Consultor exclusivo para empresas parceiras.</w:t>
      </w:r>
    </w:p>
    <w:p w14:paraId="19340ACD" w14:textId="5C904262" w:rsidR="00964958" w:rsidRPr="00E81411" w:rsidRDefault="00E81411" w:rsidP="00E81411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="00000000" w:rsidRPr="00E81411">
        <w:rPr>
          <w:rFonts w:ascii="Times New Roman" w:hAnsi="Times New Roman" w:cs="Times New Roman"/>
          <w:sz w:val="24"/>
          <w:szCs w:val="24"/>
          <w:lang w:val="pt-BR"/>
        </w:rPr>
        <w:t>- Métricas de desempenho e relatórios personalizados para empresas.</w:t>
      </w:r>
    </w:p>
    <w:p w14:paraId="7C8F277F" w14:textId="1E0C6520" w:rsidR="00964958" w:rsidRPr="00E81411" w:rsidRDefault="00E81411" w:rsidP="00E81411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="00000000" w:rsidRPr="00E81411">
        <w:rPr>
          <w:rFonts w:ascii="Times New Roman" w:hAnsi="Times New Roman" w:cs="Times New Roman"/>
          <w:sz w:val="24"/>
          <w:szCs w:val="24"/>
          <w:lang w:val="pt-BR"/>
        </w:rPr>
        <w:t>- Triagem comportamental e técnica com certificação Talent Bridge.</w:t>
      </w:r>
    </w:p>
    <w:p w14:paraId="1AEB28DA" w14:textId="77777777" w:rsidR="00964958" w:rsidRPr="00E81411" w:rsidRDefault="00000000" w:rsidP="00E81411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E81411">
        <w:rPr>
          <w:rFonts w:ascii="Times New Roman" w:hAnsi="Times New Roman" w:cs="Times New Roman"/>
          <w:b/>
          <w:bCs/>
          <w:sz w:val="24"/>
          <w:szCs w:val="24"/>
          <w:lang w:val="pt-BR"/>
        </w:rPr>
        <w:t>5. Validação Rápida (MVP Comercial)</w:t>
      </w:r>
    </w:p>
    <w:p w14:paraId="4A8AF475" w14:textId="104EC510" w:rsidR="00964958" w:rsidRPr="00E81411" w:rsidRDefault="00E81411" w:rsidP="00E81411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="00000000" w:rsidRPr="00E81411">
        <w:rPr>
          <w:rFonts w:ascii="Times New Roman" w:hAnsi="Times New Roman" w:cs="Times New Roman"/>
          <w:sz w:val="24"/>
          <w:szCs w:val="24"/>
          <w:lang w:val="pt-BR"/>
        </w:rPr>
        <w:t>- Lançamento de 3 pacotes de testes com empresas reais, de forma gratuita ou com valor simbólico.</w:t>
      </w:r>
    </w:p>
    <w:p w14:paraId="4FD10E5C" w14:textId="38EAAD70" w:rsidR="00964958" w:rsidRPr="00E81411" w:rsidRDefault="00E81411" w:rsidP="00E81411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="00000000" w:rsidRPr="00E81411">
        <w:rPr>
          <w:rFonts w:ascii="Times New Roman" w:hAnsi="Times New Roman" w:cs="Times New Roman"/>
          <w:sz w:val="24"/>
          <w:szCs w:val="24"/>
          <w:lang w:val="pt-BR"/>
        </w:rPr>
        <w:t>- Avaliação dos resultados em até 90 dias para ajustes da estratégia.</w:t>
      </w:r>
    </w:p>
    <w:p w14:paraId="2220C1CE" w14:textId="77777777" w:rsidR="00964958" w:rsidRPr="00E81411" w:rsidRDefault="00000000" w:rsidP="00E81411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E81411">
        <w:rPr>
          <w:rFonts w:ascii="Times New Roman" w:hAnsi="Times New Roman" w:cs="Times New Roman"/>
          <w:b/>
          <w:bCs/>
          <w:sz w:val="24"/>
          <w:szCs w:val="24"/>
          <w:lang w:val="pt-BR"/>
        </w:rPr>
        <w:t>6. Segmentação Estratégica Inicial</w:t>
      </w:r>
    </w:p>
    <w:p w14:paraId="5DB7C244" w14:textId="51F1BE33" w:rsidR="00964958" w:rsidRPr="00E81411" w:rsidRDefault="00E81411" w:rsidP="00E81411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lastRenderedPageBreak/>
        <w:tab/>
      </w:r>
      <w:r w:rsidR="00000000" w:rsidRPr="00E81411">
        <w:rPr>
          <w:rFonts w:ascii="Times New Roman" w:hAnsi="Times New Roman" w:cs="Times New Roman"/>
          <w:sz w:val="24"/>
          <w:szCs w:val="24"/>
          <w:lang w:val="pt-BR"/>
        </w:rPr>
        <w:t>- Setores-alvo: comércio, construção civil, hotelaria, call centers.</w:t>
      </w:r>
    </w:p>
    <w:p w14:paraId="6DA4A103" w14:textId="421A918E" w:rsidR="00964958" w:rsidRPr="00E81411" w:rsidRDefault="00E81411" w:rsidP="00E81411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="00000000" w:rsidRPr="00E81411">
        <w:rPr>
          <w:rFonts w:ascii="Times New Roman" w:hAnsi="Times New Roman" w:cs="Times New Roman"/>
          <w:sz w:val="24"/>
          <w:szCs w:val="24"/>
          <w:lang w:val="pt-BR"/>
        </w:rPr>
        <w:t>- Foco em PMEs e organizações de impacto social que buscam inclusão produtiva.</w:t>
      </w:r>
    </w:p>
    <w:p w14:paraId="5FC1E906" w14:textId="77777777" w:rsidR="00964958" w:rsidRPr="00E81411" w:rsidRDefault="00000000" w:rsidP="00E81411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E81411">
        <w:rPr>
          <w:rFonts w:ascii="Times New Roman" w:hAnsi="Times New Roman" w:cs="Times New Roman"/>
          <w:b/>
          <w:bCs/>
          <w:sz w:val="24"/>
          <w:szCs w:val="24"/>
          <w:lang w:val="pt-BR"/>
        </w:rPr>
        <w:t>7. Ajuste Tático na Infraestrutura</w:t>
      </w:r>
    </w:p>
    <w:p w14:paraId="2D156B9D" w14:textId="236ABC1C" w:rsidR="00964958" w:rsidRPr="00E81411" w:rsidRDefault="00E81411" w:rsidP="00E81411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="00000000" w:rsidRPr="00E81411">
        <w:rPr>
          <w:rFonts w:ascii="Times New Roman" w:hAnsi="Times New Roman" w:cs="Times New Roman"/>
          <w:sz w:val="24"/>
          <w:szCs w:val="24"/>
          <w:lang w:val="pt-BR"/>
        </w:rPr>
        <w:t>- Avaliação da mudança da sede para reduzir custos fixos, mantendo a imagem corporativa.</w:t>
      </w:r>
    </w:p>
    <w:p w14:paraId="29CE371C" w14:textId="50BF3219" w:rsidR="00964958" w:rsidRPr="00E81411" w:rsidRDefault="00E81411" w:rsidP="00E81411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="00000000" w:rsidRPr="00E81411">
        <w:rPr>
          <w:rFonts w:ascii="Times New Roman" w:hAnsi="Times New Roman" w:cs="Times New Roman"/>
          <w:sz w:val="24"/>
          <w:szCs w:val="24"/>
          <w:lang w:val="pt-BR"/>
        </w:rPr>
        <w:t>- Possibilidade de operação parcial em coworking ou campus universitário parceiro.</w:t>
      </w:r>
    </w:p>
    <w:p w14:paraId="6724F52D" w14:textId="77777777" w:rsidR="00964958" w:rsidRPr="00E81411" w:rsidRDefault="00000000" w:rsidP="00E81411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E81411">
        <w:rPr>
          <w:rFonts w:ascii="Times New Roman" w:hAnsi="Times New Roman" w:cs="Times New Roman"/>
          <w:b/>
          <w:bCs/>
          <w:sz w:val="24"/>
          <w:szCs w:val="24"/>
          <w:lang w:val="pt-BR"/>
        </w:rPr>
        <w:t>8. Cronograma de Ajustes Estratégicos (6 a 12 meses)</w:t>
      </w:r>
    </w:p>
    <w:p w14:paraId="0FDEAE8B" w14:textId="32384629" w:rsidR="00964958" w:rsidRPr="00E81411" w:rsidRDefault="00000000" w:rsidP="00E81411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E81411">
        <w:rPr>
          <w:rFonts w:ascii="Times New Roman" w:hAnsi="Times New Roman" w:cs="Times New Roman"/>
          <w:sz w:val="24"/>
          <w:szCs w:val="24"/>
          <w:lang w:val="pt-BR"/>
        </w:rPr>
        <w:t>Mês</w:t>
      </w:r>
      <w:r w:rsidR="00E81411" w:rsidRPr="00E81411">
        <w:rPr>
          <w:rFonts w:ascii="Times New Roman" w:hAnsi="Times New Roman" w:cs="Times New Roman"/>
          <w:sz w:val="24"/>
          <w:szCs w:val="24"/>
        </w:rPr>
        <w:tab/>
      </w:r>
      <w:r w:rsidRPr="00E81411">
        <w:rPr>
          <w:rFonts w:ascii="Times New Roman" w:hAnsi="Times New Roman" w:cs="Times New Roman"/>
          <w:sz w:val="24"/>
          <w:szCs w:val="24"/>
          <w:lang w:val="pt-BR"/>
        </w:rPr>
        <w:t>1–2:</w:t>
      </w:r>
      <w:r w:rsidR="00E81411" w:rsidRPr="00E81411">
        <w:rPr>
          <w:rFonts w:ascii="Times New Roman" w:hAnsi="Times New Roman" w:cs="Times New Roman"/>
          <w:sz w:val="24"/>
          <w:szCs w:val="24"/>
        </w:rPr>
        <w:tab/>
      </w:r>
      <w:r w:rsidRPr="00E81411">
        <w:rPr>
          <w:rFonts w:ascii="Times New Roman" w:hAnsi="Times New Roman" w:cs="Times New Roman"/>
          <w:sz w:val="24"/>
          <w:szCs w:val="24"/>
          <w:lang w:val="pt-BR"/>
        </w:rPr>
        <w:t xml:space="preserve">Reformulação </w:t>
      </w:r>
      <w:r w:rsidR="00E81411" w:rsidRPr="00E81411">
        <w:rPr>
          <w:rFonts w:ascii="Times New Roman" w:hAnsi="Times New Roman" w:cs="Times New Roman"/>
          <w:sz w:val="24"/>
          <w:szCs w:val="24"/>
        </w:rPr>
        <w:tab/>
      </w:r>
      <w:r w:rsidRPr="00E81411">
        <w:rPr>
          <w:rFonts w:ascii="Times New Roman" w:hAnsi="Times New Roman" w:cs="Times New Roman"/>
          <w:sz w:val="24"/>
          <w:szCs w:val="24"/>
          <w:lang w:val="pt-BR"/>
        </w:rPr>
        <w:t>comercial e modelagem de pacotes.</w:t>
      </w:r>
      <w:r w:rsidRPr="00E81411">
        <w:rPr>
          <w:rFonts w:ascii="Times New Roman" w:hAnsi="Times New Roman" w:cs="Times New Roman"/>
          <w:sz w:val="24"/>
          <w:szCs w:val="24"/>
          <w:lang w:val="pt-BR"/>
        </w:rPr>
        <w:br/>
        <w:t>Mês</w:t>
      </w:r>
      <w:r w:rsidR="00E81411" w:rsidRPr="00E81411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E81411">
        <w:rPr>
          <w:rFonts w:ascii="Times New Roman" w:hAnsi="Times New Roman" w:cs="Times New Roman"/>
          <w:sz w:val="24"/>
          <w:szCs w:val="24"/>
          <w:lang w:val="pt-BR"/>
        </w:rPr>
        <w:t>2–4:</w:t>
      </w:r>
      <w:r w:rsidR="00E81411" w:rsidRPr="00E81411">
        <w:rPr>
          <w:rFonts w:ascii="Times New Roman" w:hAnsi="Times New Roman" w:cs="Times New Roman"/>
          <w:sz w:val="24"/>
          <w:szCs w:val="24"/>
        </w:rPr>
        <w:tab/>
      </w:r>
      <w:r w:rsidRPr="00E81411">
        <w:rPr>
          <w:rFonts w:ascii="Times New Roman" w:hAnsi="Times New Roman" w:cs="Times New Roman"/>
          <w:sz w:val="24"/>
          <w:szCs w:val="24"/>
          <w:lang w:val="pt-BR"/>
        </w:rPr>
        <w:t>Testes</w:t>
      </w:r>
      <w:r w:rsidR="00E81411" w:rsidRPr="00E81411">
        <w:rPr>
          <w:rFonts w:ascii="Times New Roman" w:hAnsi="Times New Roman" w:cs="Times New Roman"/>
          <w:sz w:val="24"/>
          <w:szCs w:val="24"/>
        </w:rPr>
        <w:t xml:space="preserve"> </w:t>
      </w:r>
      <w:r w:rsidRPr="00E81411">
        <w:rPr>
          <w:rFonts w:ascii="Times New Roman" w:hAnsi="Times New Roman" w:cs="Times New Roman"/>
          <w:sz w:val="24"/>
          <w:szCs w:val="24"/>
          <w:lang w:val="pt-BR"/>
        </w:rPr>
        <w:t>piloto com acompanhamento.</w:t>
      </w:r>
      <w:r w:rsidRPr="00E81411">
        <w:rPr>
          <w:rFonts w:ascii="Times New Roman" w:hAnsi="Times New Roman" w:cs="Times New Roman"/>
          <w:sz w:val="24"/>
          <w:szCs w:val="24"/>
          <w:lang w:val="pt-BR"/>
        </w:rPr>
        <w:br/>
        <w:t>Mês</w:t>
      </w:r>
      <w:r w:rsidR="00E81411" w:rsidRPr="00E81411">
        <w:rPr>
          <w:rFonts w:ascii="Times New Roman" w:hAnsi="Times New Roman" w:cs="Times New Roman"/>
          <w:sz w:val="24"/>
          <w:szCs w:val="24"/>
        </w:rPr>
        <w:tab/>
      </w:r>
      <w:r w:rsidRPr="00E81411">
        <w:rPr>
          <w:rFonts w:ascii="Times New Roman" w:hAnsi="Times New Roman" w:cs="Times New Roman"/>
          <w:sz w:val="24"/>
          <w:szCs w:val="24"/>
          <w:lang w:val="pt-BR"/>
        </w:rPr>
        <w:t>5–6:</w:t>
      </w:r>
      <w:r w:rsidR="00E81411" w:rsidRPr="00E81411">
        <w:rPr>
          <w:rFonts w:ascii="Times New Roman" w:hAnsi="Times New Roman" w:cs="Times New Roman"/>
          <w:sz w:val="24"/>
          <w:szCs w:val="24"/>
        </w:rPr>
        <w:tab/>
      </w:r>
      <w:r w:rsidRPr="00E81411">
        <w:rPr>
          <w:rFonts w:ascii="Times New Roman" w:hAnsi="Times New Roman" w:cs="Times New Roman"/>
          <w:sz w:val="24"/>
          <w:szCs w:val="24"/>
          <w:lang w:val="pt-BR"/>
        </w:rPr>
        <w:t xml:space="preserve">Lançamento </w:t>
      </w:r>
      <w:r w:rsidR="00E81411" w:rsidRPr="00E81411">
        <w:rPr>
          <w:rFonts w:ascii="Times New Roman" w:hAnsi="Times New Roman" w:cs="Times New Roman"/>
          <w:sz w:val="24"/>
          <w:szCs w:val="24"/>
        </w:rPr>
        <w:tab/>
      </w:r>
      <w:r w:rsidR="00E81411" w:rsidRPr="00E81411">
        <w:rPr>
          <w:rFonts w:ascii="Times New Roman" w:hAnsi="Times New Roman" w:cs="Times New Roman"/>
          <w:sz w:val="24"/>
          <w:szCs w:val="24"/>
        </w:rPr>
        <w:tab/>
      </w:r>
      <w:r w:rsidRPr="00E81411">
        <w:rPr>
          <w:rFonts w:ascii="Times New Roman" w:hAnsi="Times New Roman" w:cs="Times New Roman"/>
          <w:sz w:val="24"/>
          <w:szCs w:val="24"/>
          <w:lang w:val="pt-BR"/>
        </w:rPr>
        <w:t>oficial com modelo validado.</w:t>
      </w:r>
      <w:r w:rsidRPr="00E81411">
        <w:rPr>
          <w:rFonts w:ascii="Times New Roman" w:hAnsi="Times New Roman" w:cs="Times New Roman"/>
          <w:sz w:val="24"/>
          <w:szCs w:val="24"/>
          <w:lang w:val="pt-BR"/>
        </w:rPr>
        <w:br/>
        <w:t xml:space="preserve">Mês </w:t>
      </w:r>
      <w:r w:rsidR="00E81411" w:rsidRPr="00E81411">
        <w:rPr>
          <w:rFonts w:ascii="Times New Roman" w:hAnsi="Times New Roman" w:cs="Times New Roman"/>
          <w:sz w:val="24"/>
          <w:szCs w:val="24"/>
        </w:rPr>
        <w:tab/>
      </w:r>
      <w:r w:rsidRPr="00E81411">
        <w:rPr>
          <w:rFonts w:ascii="Times New Roman" w:hAnsi="Times New Roman" w:cs="Times New Roman"/>
          <w:sz w:val="24"/>
          <w:szCs w:val="24"/>
          <w:lang w:val="pt-BR"/>
        </w:rPr>
        <w:t>6–12:</w:t>
      </w:r>
      <w:r w:rsidR="00E81411" w:rsidRPr="00E81411">
        <w:rPr>
          <w:rFonts w:ascii="Times New Roman" w:hAnsi="Times New Roman" w:cs="Times New Roman"/>
          <w:sz w:val="24"/>
          <w:szCs w:val="24"/>
        </w:rPr>
        <w:tab/>
      </w:r>
      <w:r w:rsidRPr="00E81411">
        <w:rPr>
          <w:rFonts w:ascii="Times New Roman" w:hAnsi="Times New Roman" w:cs="Times New Roman"/>
          <w:sz w:val="24"/>
          <w:szCs w:val="24"/>
          <w:lang w:val="pt-BR"/>
        </w:rPr>
        <w:t>Escala operacional e investimento em marketing de performance.</w:t>
      </w:r>
    </w:p>
    <w:p w14:paraId="6CDAD340" w14:textId="77777777" w:rsidR="00964958" w:rsidRPr="00E81411" w:rsidRDefault="00000000" w:rsidP="00E81411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E81411">
        <w:rPr>
          <w:rFonts w:ascii="Times New Roman" w:hAnsi="Times New Roman" w:cs="Times New Roman"/>
          <w:b/>
          <w:bCs/>
          <w:sz w:val="24"/>
          <w:szCs w:val="24"/>
          <w:lang w:val="pt-BR"/>
        </w:rPr>
        <w:t>9. Conclusão</w:t>
      </w:r>
    </w:p>
    <w:p w14:paraId="21E72667" w14:textId="44A7FAFB" w:rsidR="00964958" w:rsidRPr="00E81411" w:rsidRDefault="00E81411" w:rsidP="00E81411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="00000000" w:rsidRPr="00E81411">
        <w:rPr>
          <w:rFonts w:ascii="Times New Roman" w:hAnsi="Times New Roman" w:cs="Times New Roman"/>
          <w:sz w:val="24"/>
          <w:szCs w:val="24"/>
          <w:lang w:val="pt-BR"/>
        </w:rPr>
        <w:t>A Talent Bridge mantém sua missão social e foco na capacitação de talentos, mas evolui com uma estratégia mais robusta, diversificando receitas e ajustando seu modelo de entrada no mercado. A contra-proposta busca garantir que o projeto se torne financeiramente viável, escalável e resiliente.</w:t>
      </w:r>
    </w:p>
    <w:sectPr w:rsidR="00964958" w:rsidRPr="00E814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2558974">
    <w:abstractNumId w:val="8"/>
  </w:num>
  <w:num w:numId="2" w16cid:durableId="325479235">
    <w:abstractNumId w:val="6"/>
  </w:num>
  <w:num w:numId="3" w16cid:durableId="1709988090">
    <w:abstractNumId w:val="5"/>
  </w:num>
  <w:num w:numId="4" w16cid:durableId="1489248273">
    <w:abstractNumId w:val="4"/>
  </w:num>
  <w:num w:numId="5" w16cid:durableId="1776753315">
    <w:abstractNumId w:val="7"/>
  </w:num>
  <w:num w:numId="6" w16cid:durableId="297759603">
    <w:abstractNumId w:val="3"/>
  </w:num>
  <w:num w:numId="7" w16cid:durableId="780032142">
    <w:abstractNumId w:val="2"/>
  </w:num>
  <w:num w:numId="8" w16cid:durableId="1636179610">
    <w:abstractNumId w:val="1"/>
  </w:num>
  <w:num w:numId="9" w16cid:durableId="2067411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4958"/>
    <w:rsid w:val="00AA1D8D"/>
    <w:rsid w:val="00B47730"/>
    <w:rsid w:val="00C90509"/>
    <w:rsid w:val="00CB0664"/>
    <w:rsid w:val="00E814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A98A5B"/>
  <w14:defaultImageDpi w14:val="300"/>
  <w15:docId w15:val="{A702FB3E-56EE-4C63-ACA7-5D9B56D04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Diogo 1</cp:lastModifiedBy>
  <cp:revision>2</cp:revision>
  <dcterms:created xsi:type="dcterms:W3CDTF">2013-12-23T23:15:00Z</dcterms:created>
  <dcterms:modified xsi:type="dcterms:W3CDTF">2025-06-10T21:27:00Z</dcterms:modified>
  <cp:category/>
</cp:coreProperties>
</file>