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Sumber Belajar 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 tutorial for beginners (2023) 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Kepanjangan dari HTML adalah Hyper Text Markup Language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Kepanjangan dari CSS adalah Cascading Style Sheets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Pada penggunaan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&lt;h1&gt; Text &lt;/h1&gt; =  biasa digunakan untuk judul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&lt;p&gt; Text &lt;/p&gt; = biasa digunakan untuk paragraf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&lt;a href = link&gt; Text &lt;/a&gt; = biasa digunakan untuk link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HTML merupakan pondasi dari coding web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CSS merupakan bahasa yang merubah style dari website (Seperti dekorasi dan design)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Untuk memulai belajar HTML dan CSS paling tidak memiliki web browser seperti google chrome dan diwajibkan memiliki text editor seperti VS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hal pertama yang harus dilakukan untuk membuat aplikasi adalah membuat folder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&lt;br&gt; berfungsi memberi jarak antara paragraf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&lt;hr&gt; berfungsi untuk memberi garis di bawah text (bukan seperti underline)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Seperti contoh di bawah ini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95738" cy="17788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77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&lt;pre&gt; berfungsi untuk mengubah penempatan supaya sama seperti yang ada di Vscode seperti contoh berikut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833688" cy="22111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211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oCN2q1x3c4&amp;list=PLZPZq0r_RZOOxqHgOzPyCzIl4AJjXbCY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