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63746"/>
          <w:sz w:val="48"/>
        </w:rPr>
        <w:t>CIFAR-10 IMAGE CLASSIFICATION</w:t>
      </w:r>
    </w:p>
    <w:p>
      <w:pPr>
        <w:jc w:val="center"/>
      </w:pPr>
      <w:r>
        <w:rPr>
          <w:i/>
          <w:sz w:val="24"/>
        </w:rPr>
        <w:t>Model Architecture, Training Configuration and Performance Analysis</w:t>
      </w:r>
    </w:p>
    <w:p>
      <w:pPr>
        <w:jc w:val="center"/>
      </w:pPr>
      <w:r>
        <w:rPr>
          <w:sz w:val="20"/>
        </w:rPr>
        <w:t>PyTorch • SmallVGG-style Convolutional Neural Network • CIFAR-10</w:t>
      </w:r>
    </w:p>
    <w:p/>
    <w:p>
      <w:pPr>
        <w:pStyle w:val="Heading1"/>
      </w:pPr>
      <w:r>
        <w:t>1. Project objective</w:t>
      </w:r>
    </w:p>
    <w:p>
      <w:r>
        <w:t>The objective is to classify each 32 × 32 RGB image in CIFAR-10 into one of ten object categories: airplane, automobile, bird, cat, deer, dog, frog, horse, ship or truck. The notebook implements a compact VGG-style convolutional neural network (CNN), then evaluates the effects of data augmentation, learning-rate scheduling and selected hyperparameter changes.</w:t>
      </w:r>
    </w:p>
    <w:p>
      <w:r>
        <w:t>Framework and runtime: PyTorch and torchvision. The recorded run used a Google Colab Tesla T4 GPU with automatic mixed precision enabled.</w:t>
      </w:r>
    </w:p>
    <w:p>
      <w:pPr>
        <w:pStyle w:val="Heading1"/>
      </w:pPr>
      <w:r>
        <w:t>2. Dataset and preprocessing</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DCE6F1"/>
          </w:tcPr>
          <w:p>
            <w:r>
              <w:rPr>
                <w:b/>
              </w:rPr>
              <w:t>Item</w:t>
            </w:r>
          </w:p>
        </w:tc>
        <w:tc>
          <w:tcPr>
            <w:tcW w:type="dxa" w:w="3312"/>
            <w:shd w:fill="DCE6F1"/>
          </w:tcPr>
          <w:p>
            <w:r>
              <w:rPr>
                <w:b/>
              </w:rPr>
              <w:t>Configuration</w:t>
            </w:r>
          </w:p>
        </w:tc>
        <w:tc>
          <w:tcPr>
            <w:tcW w:type="dxa" w:w="3312"/>
            <w:shd w:fill="DCE6F1"/>
          </w:tcPr>
          <w:p>
            <w:r>
              <w:rPr>
                <w:b/>
              </w:rPr>
              <w:t>Purpose</w:t>
            </w:r>
          </w:p>
        </w:tc>
      </w:tr>
      <w:tr>
        <w:tc>
          <w:tcPr>
            <w:tcW w:type="dxa" w:w="3312"/>
            <w:vAlign w:val="center"/>
          </w:tcPr>
          <w:p>
            <w:r>
              <w:t>Dataset</w:t>
            </w:r>
          </w:p>
        </w:tc>
        <w:tc>
          <w:tcPr>
            <w:tcW w:type="dxa" w:w="3312"/>
            <w:vAlign w:val="center"/>
          </w:tcPr>
          <w:p>
            <w:r>
              <w:t>CIFAR-10: 60,000 colour images, 10 balanced classes</w:t>
            </w:r>
          </w:p>
        </w:tc>
        <w:tc>
          <w:tcPr>
            <w:tcW w:type="dxa" w:w="3312"/>
            <w:vAlign w:val="center"/>
          </w:tcPr>
          <w:p>
            <w:r>
              <w:t>Standard small-scale multi-class image-classification benchmark.</w:t>
            </w:r>
          </w:p>
        </w:tc>
      </w:tr>
      <w:tr>
        <w:tc>
          <w:tcPr>
            <w:tcW w:type="dxa" w:w="3312"/>
            <w:vAlign w:val="center"/>
          </w:tcPr>
          <w:p>
            <w:r>
              <w:t>Training split</w:t>
            </w:r>
          </w:p>
        </w:tc>
        <w:tc>
          <w:tcPr>
            <w:tcW w:type="dxa" w:w="3312"/>
            <w:vAlign w:val="center"/>
          </w:tcPr>
          <w:p>
            <w:r>
              <w:t>45,000 images</w:t>
            </w:r>
          </w:p>
        </w:tc>
        <w:tc>
          <w:tcPr>
            <w:tcW w:type="dxa" w:w="3312"/>
            <w:vAlign w:val="center"/>
          </w:tcPr>
          <w:p>
            <w:r>
              <w:t>Used to update model parameters.</w:t>
            </w:r>
          </w:p>
        </w:tc>
      </w:tr>
      <w:tr>
        <w:tc>
          <w:tcPr>
            <w:tcW w:type="dxa" w:w="3312"/>
            <w:vAlign w:val="center"/>
          </w:tcPr>
          <w:p>
            <w:r>
              <w:t>Validation split</w:t>
            </w:r>
          </w:p>
        </w:tc>
        <w:tc>
          <w:tcPr>
            <w:tcW w:type="dxa" w:w="3312"/>
            <w:vAlign w:val="center"/>
          </w:tcPr>
          <w:p>
            <w:r>
              <w:t>5,000 images from the official training set</w:t>
            </w:r>
          </w:p>
        </w:tc>
        <w:tc>
          <w:tcPr>
            <w:tcW w:type="dxa" w:w="3312"/>
            <w:vAlign w:val="center"/>
          </w:tcPr>
          <w:p>
            <w:r>
              <w:t>Used for model selection and hyperparameter comparisons.</w:t>
            </w:r>
          </w:p>
        </w:tc>
      </w:tr>
      <w:tr>
        <w:tc>
          <w:tcPr>
            <w:tcW w:type="dxa" w:w="3312"/>
            <w:vAlign w:val="center"/>
          </w:tcPr>
          <w:p>
            <w:r>
              <w:t>Test split</w:t>
            </w:r>
          </w:p>
        </w:tc>
        <w:tc>
          <w:tcPr>
            <w:tcW w:type="dxa" w:w="3312"/>
            <w:vAlign w:val="center"/>
          </w:tcPr>
          <w:p>
            <w:r>
              <w:t>10,000 official test images</w:t>
            </w:r>
          </w:p>
        </w:tc>
        <w:tc>
          <w:tcPr>
            <w:tcW w:type="dxa" w:w="3312"/>
            <w:vAlign w:val="center"/>
          </w:tcPr>
          <w:p>
            <w:r>
              <w:t>Used to report final performance.</w:t>
            </w:r>
          </w:p>
        </w:tc>
      </w:tr>
      <w:tr>
        <w:tc>
          <w:tcPr>
            <w:tcW w:type="dxa" w:w="3312"/>
            <w:vAlign w:val="center"/>
          </w:tcPr>
          <w:p>
            <w:r>
              <w:t>Tensor conversion</w:t>
            </w:r>
          </w:p>
        </w:tc>
        <w:tc>
          <w:tcPr>
            <w:tcW w:type="dxa" w:w="3312"/>
            <w:vAlign w:val="center"/>
          </w:tcPr>
          <w:p>
            <w:r>
              <w:t>ToTensor: uint8 [0,255] to float [0,1], HWC to CHW</w:t>
            </w:r>
          </w:p>
        </w:tc>
        <w:tc>
          <w:tcPr>
            <w:tcW w:type="dxa" w:w="3312"/>
            <w:vAlign w:val="center"/>
          </w:tcPr>
          <w:p>
            <w:r>
              <w:t>Converts images into the format expected by PyTorch.</w:t>
            </w:r>
          </w:p>
        </w:tc>
      </w:tr>
      <w:tr>
        <w:tc>
          <w:tcPr>
            <w:tcW w:type="dxa" w:w="3312"/>
            <w:vAlign w:val="center"/>
          </w:tcPr>
          <w:p>
            <w:r>
              <w:t>Normalization</w:t>
            </w:r>
          </w:p>
        </w:tc>
        <w:tc>
          <w:tcPr>
            <w:tcW w:type="dxa" w:w="3312"/>
            <w:vAlign w:val="center"/>
          </w:tcPr>
          <w:p>
            <w:r>
              <w:t>Per-channel mean and standard deviation</w:t>
            </w:r>
          </w:p>
        </w:tc>
        <w:tc>
          <w:tcPr>
            <w:tcW w:type="dxa" w:w="3312"/>
            <w:vAlign w:val="center"/>
          </w:tcPr>
          <w:p>
            <w:r>
              <w:t>Keeps input channels on a consistent scale.</w:t>
            </w:r>
          </w:p>
        </w:tc>
      </w:tr>
      <w:tr>
        <w:tc>
          <w:tcPr>
            <w:tcW w:type="dxa" w:w="3312"/>
            <w:vAlign w:val="center"/>
          </w:tcPr>
          <w:p>
            <w:r>
              <w:t>Training augmentation</w:t>
            </w:r>
          </w:p>
        </w:tc>
        <w:tc>
          <w:tcPr>
            <w:tcW w:type="dxa" w:w="3312"/>
            <w:vAlign w:val="center"/>
          </w:tcPr>
          <w:p>
            <w:r>
              <w:t>RandomCrop(32, padding=4) and RandomHorizontalFlip</w:t>
            </w:r>
          </w:p>
        </w:tc>
        <w:tc>
          <w:tcPr>
            <w:tcW w:type="dxa" w:w="3312"/>
            <w:vAlign w:val="center"/>
          </w:tcPr>
          <w:p>
            <w:r>
              <w:t>Improves robustness to small translations and horizontal mirroring.</w:t>
            </w:r>
          </w:p>
        </w:tc>
      </w:tr>
      <w:tr>
        <w:tc>
          <w:tcPr>
            <w:tcW w:type="dxa" w:w="3312"/>
            <w:vAlign w:val="center"/>
          </w:tcPr>
          <w:p>
            <w:r>
              <w:t>Evaluation preprocessing</w:t>
            </w:r>
          </w:p>
        </w:tc>
        <w:tc>
          <w:tcPr>
            <w:tcW w:type="dxa" w:w="3312"/>
            <w:vAlign w:val="center"/>
          </w:tcPr>
          <w:p>
            <w:r>
              <w:t>Tensor conversion and normalization only</w:t>
            </w:r>
          </w:p>
        </w:tc>
        <w:tc>
          <w:tcPr>
            <w:tcW w:type="dxa" w:w="3312"/>
            <w:vAlign w:val="center"/>
          </w:tcPr>
          <w:p>
            <w:r>
              <w:t>Keeps validation/test evaluation deterministic.</w:t>
            </w:r>
          </w:p>
        </w:tc>
      </w:tr>
    </w:tbl>
    <w:p/>
    <w:p>
      <w:r>
        <w:t>The validation split is created with a fixed seed so runs use the same examples. Vertical flipping is intentionally omitted because upside-down objects are not considered realistic transformations in this setup.</w:t>
      </w:r>
    </w:p>
    <w:p>
      <w:pPr>
        <w:pStyle w:val="Heading1"/>
      </w:pPr>
      <w:r>
        <w:t>3. Model architecture</w:t>
      </w:r>
    </w:p>
    <w:p>
      <w:r>
        <w:t>The model is named SmallVGG. Each convolutional block consists of a 3 × 3 convolution, batch normalization and ReLU activation. Each stage contains two such blocks followed by 2 × 2 max pooling. The channel count doubles as spatial resolution is reduced.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DCE6F1"/>
          </w:tcPr>
          <w:p>
            <w:r>
              <w:rPr>
                <w:b/>
              </w:rPr>
              <w:t>Stage / operation</w:t>
            </w:r>
          </w:p>
        </w:tc>
        <w:tc>
          <w:tcPr>
            <w:tcW w:type="dxa" w:w="3312"/>
            <w:shd w:fill="DCE6F1"/>
          </w:tcPr>
          <w:p>
            <w:r>
              <w:rPr>
                <w:b/>
              </w:rPr>
              <w:t>Output tensor (batch size = 1)</w:t>
            </w:r>
          </w:p>
        </w:tc>
        <w:tc>
          <w:tcPr>
            <w:tcW w:type="dxa" w:w="3312"/>
            <w:shd w:fill="DCE6F1"/>
          </w:tcPr>
          <w:p>
            <w:r>
              <w:rPr>
                <w:b/>
              </w:rPr>
              <w:t>Role</w:t>
            </w:r>
          </w:p>
        </w:tc>
      </w:tr>
      <w:tr>
        <w:tc>
          <w:tcPr>
            <w:tcW w:type="dxa" w:w="3312"/>
            <w:vAlign w:val="center"/>
          </w:tcPr>
          <w:p>
            <w:r>
              <w:t>Input</w:t>
            </w:r>
          </w:p>
        </w:tc>
        <w:tc>
          <w:tcPr>
            <w:tcW w:type="dxa" w:w="3312"/>
            <w:vAlign w:val="center"/>
          </w:tcPr>
          <w:p>
            <w:r>
              <w:t>(1, 3, 32, 32)</w:t>
            </w:r>
          </w:p>
        </w:tc>
        <w:tc>
          <w:tcPr>
            <w:tcW w:type="dxa" w:w="3312"/>
            <w:vAlign w:val="center"/>
          </w:tcPr>
          <w:p>
            <w:r>
              <w:t>32 × 32 RGB image.</w:t>
            </w:r>
          </w:p>
        </w:tc>
      </w:tr>
      <w:tr>
        <w:tc>
          <w:tcPr>
            <w:tcW w:type="dxa" w:w="3312"/>
            <w:vAlign w:val="center"/>
          </w:tcPr>
          <w:p>
            <w:r>
              <w:t>Stage 1: two conv blocks, 64 channels</w:t>
            </w:r>
          </w:p>
        </w:tc>
        <w:tc>
          <w:tcPr>
            <w:tcW w:type="dxa" w:w="3312"/>
            <w:vAlign w:val="center"/>
          </w:tcPr>
          <w:p>
            <w:r>
              <w:t>(1, 64, 32, 32)</w:t>
            </w:r>
          </w:p>
        </w:tc>
        <w:tc>
          <w:tcPr>
            <w:tcW w:type="dxa" w:w="3312"/>
            <w:vAlign w:val="center"/>
          </w:tcPr>
          <w:p>
            <w:r>
              <w:t>Learns low-level edges, textures and colour patterns.</w:t>
            </w:r>
          </w:p>
        </w:tc>
      </w:tr>
      <w:tr>
        <w:tc>
          <w:tcPr>
            <w:tcW w:type="dxa" w:w="3312"/>
            <w:vAlign w:val="center"/>
          </w:tcPr>
          <w:p>
            <w:r>
              <w:t>MaxPool 2 × 2</w:t>
            </w:r>
          </w:p>
        </w:tc>
        <w:tc>
          <w:tcPr>
            <w:tcW w:type="dxa" w:w="3312"/>
            <w:vAlign w:val="center"/>
          </w:tcPr>
          <w:p>
            <w:r>
              <w:t>(1, 64, 16, 16)</w:t>
            </w:r>
          </w:p>
        </w:tc>
        <w:tc>
          <w:tcPr>
            <w:tcW w:type="dxa" w:w="3312"/>
            <w:vAlign w:val="center"/>
          </w:tcPr>
          <w:p>
            <w:r>
              <w:t>Halves spatial dimensions.</w:t>
            </w:r>
          </w:p>
        </w:tc>
      </w:tr>
      <w:tr>
        <w:tc>
          <w:tcPr>
            <w:tcW w:type="dxa" w:w="3312"/>
            <w:vAlign w:val="center"/>
          </w:tcPr>
          <w:p>
            <w:r>
              <w:t>Stage 2: two conv blocks, 128 channels</w:t>
            </w:r>
          </w:p>
        </w:tc>
        <w:tc>
          <w:tcPr>
            <w:tcW w:type="dxa" w:w="3312"/>
            <w:vAlign w:val="center"/>
          </w:tcPr>
          <w:p>
            <w:r>
              <w:t>(1, 128, 16, 16)</w:t>
            </w:r>
          </w:p>
        </w:tc>
        <w:tc>
          <w:tcPr>
            <w:tcW w:type="dxa" w:w="3312"/>
            <w:vAlign w:val="center"/>
          </w:tcPr>
          <w:p>
            <w:r>
              <w:t>Builds richer local features.</w:t>
            </w:r>
          </w:p>
        </w:tc>
      </w:tr>
      <w:tr>
        <w:tc>
          <w:tcPr>
            <w:tcW w:type="dxa" w:w="3312"/>
            <w:vAlign w:val="center"/>
          </w:tcPr>
          <w:p>
            <w:r>
              <w:t>MaxPool 2 × 2</w:t>
            </w:r>
          </w:p>
        </w:tc>
        <w:tc>
          <w:tcPr>
            <w:tcW w:type="dxa" w:w="3312"/>
            <w:vAlign w:val="center"/>
          </w:tcPr>
          <w:p>
            <w:r>
              <w:t>(1, 128, 8, 8)</w:t>
            </w:r>
          </w:p>
        </w:tc>
        <w:tc>
          <w:tcPr>
            <w:tcW w:type="dxa" w:w="3312"/>
            <w:vAlign w:val="center"/>
          </w:tcPr>
          <w:p>
            <w:r>
              <w:t>Further reduces spatial dimensions.</w:t>
            </w:r>
          </w:p>
        </w:tc>
      </w:tr>
      <w:tr>
        <w:tc>
          <w:tcPr>
            <w:tcW w:type="dxa" w:w="3312"/>
            <w:vAlign w:val="center"/>
          </w:tcPr>
          <w:p>
            <w:r>
              <w:t>Stage 3: two conv blocks, 256 channels</w:t>
            </w:r>
          </w:p>
        </w:tc>
        <w:tc>
          <w:tcPr>
            <w:tcW w:type="dxa" w:w="3312"/>
            <w:vAlign w:val="center"/>
          </w:tcPr>
          <w:p>
            <w:r>
              <w:t>(1, 256, 8, 8)</w:t>
            </w:r>
          </w:p>
        </w:tc>
        <w:tc>
          <w:tcPr>
            <w:tcW w:type="dxa" w:w="3312"/>
            <w:vAlign w:val="center"/>
          </w:tcPr>
          <w:p>
            <w:r>
              <w:t>Learns higher-level visual patterns.</w:t>
            </w:r>
          </w:p>
        </w:tc>
      </w:tr>
      <w:tr>
        <w:tc>
          <w:tcPr>
            <w:tcW w:type="dxa" w:w="3312"/>
            <w:vAlign w:val="center"/>
          </w:tcPr>
          <w:p>
            <w:r>
              <w:t>MaxPool 2 × 2</w:t>
            </w:r>
          </w:p>
        </w:tc>
        <w:tc>
          <w:tcPr>
            <w:tcW w:type="dxa" w:w="3312"/>
            <w:vAlign w:val="center"/>
          </w:tcPr>
          <w:p>
            <w:r>
              <w:t>(1, 256, 4, 4)</w:t>
            </w:r>
          </w:p>
        </w:tc>
        <w:tc>
          <w:tcPr>
            <w:tcW w:type="dxa" w:w="3312"/>
            <w:vAlign w:val="center"/>
          </w:tcPr>
          <w:p>
            <w:r>
              <w:t>Produces compact spatial feature maps.</w:t>
            </w:r>
          </w:p>
        </w:tc>
      </w:tr>
      <w:tr>
        <w:tc>
          <w:tcPr>
            <w:tcW w:type="dxa" w:w="3312"/>
            <w:vAlign w:val="center"/>
          </w:tcPr>
          <w:p>
            <w:r>
              <w:t>Adaptive average pooling + flatten</w:t>
            </w:r>
          </w:p>
        </w:tc>
        <w:tc>
          <w:tcPr>
            <w:tcW w:type="dxa" w:w="3312"/>
            <w:vAlign w:val="center"/>
          </w:tcPr>
          <w:p>
            <w:r>
              <w:t>(1, 256)</w:t>
            </w:r>
          </w:p>
        </w:tc>
        <w:tc>
          <w:tcPr>
            <w:tcW w:type="dxa" w:w="3312"/>
            <w:vAlign w:val="center"/>
          </w:tcPr>
          <w:p>
            <w:r>
              <w:t>Aggregates each feature map to one value.</w:t>
            </w:r>
          </w:p>
        </w:tc>
      </w:tr>
      <w:tr>
        <w:tc>
          <w:tcPr>
            <w:tcW w:type="dxa" w:w="3312"/>
            <w:vAlign w:val="center"/>
          </w:tcPr>
          <w:p>
            <w:r>
              <w:t>Dropout (p = 0.3)</w:t>
            </w:r>
          </w:p>
        </w:tc>
        <w:tc>
          <w:tcPr>
            <w:tcW w:type="dxa" w:w="3312"/>
            <w:vAlign w:val="center"/>
          </w:tcPr>
          <w:p>
            <w:r>
              <w:t>(1, 256)</w:t>
            </w:r>
          </w:p>
        </w:tc>
        <w:tc>
          <w:tcPr>
            <w:tcW w:type="dxa" w:w="3312"/>
            <w:vAlign w:val="center"/>
          </w:tcPr>
          <w:p>
            <w:r>
              <w:t>Regularization during training.</w:t>
            </w:r>
          </w:p>
        </w:tc>
      </w:tr>
      <w:tr>
        <w:tc>
          <w:tcPr>
            <w:tcW w:type="dxa" w:w="3312"/>
            <w:vAlign w:val="center"/>
          </w:tcPr>
          <w:p>
            <w:r>
              <w:t>Linear classifier: 256 → 10</w:t>
            </w:r>
          </w:p>
        </w:tc>
        <w:tc>
          <w:tcPr>
            <w:tcW w:type="dxa" w:w="3312"/>
            <w:vAlign w:val="center"/>
          </w:tcPr>
          <w:p>
            <w:r>
              <w:t>(1, 10)</w:t>
            </w:r>
          </w:p>
        </w:tc>
        <w:tc>
          <w:tcPr>
            <w:tcW w:type="dxa" w:w="3312"/>
            <w:vAlign w:val="center"/>
          </w:tcPr>
          <w:p>
            <w:r>
              <w:t>Produces one logit per CIFAR-10 class.</w:t>
            </w:r>
          </w:p>
        </w:tc>
      </w:tr>
    </w:tbl>
    <w:p/>
    <w:p>
      <w:r>
        <w:t>The recorded width-64 network has 1,148,874 trainable parameters. Convolution layers use no bias because batch normalization follows them. Convolution weights are initialized with Kaiming/He initialization, which is suitable for ReLU-based networks.</w:t>
      </w:r>
    </w:p>
    <w:p>
      <w:r>
        <w:t>Why this design: repeated 3 × 3 convolutions learn hierarchical features while keeping kernels small. Global average pooling avoids a large fully connected stack and reduces parameter count. Batch normalization supports stable optimization; dropout helps limit overfitting.</w:t>
      </w:r>
    </w:p>
    <w:p>
      <w:pPr>
        <w:pStyle w:val="Heading1"/>
      </w:pPr>
      <w:r>
        <w:t>4. Training configuration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DCE6F1"/>
          </w:tcPr>
          <w:p>
            <w:r>
              <w:rPr>
                <w:b/>
              </w:rPr>
              <w:t>Parameter</w:t>
            </w:r>
          </w:p>
        </w:tc>
        <w:tc>
          <w:tcPr>
            <w:tcW w:type="dxa" w:w="3312"/>
            <w:shd w:fill="DCE6F1"/>
          </w:tcPr>
          <w:p>
            <w:r>
              <w:rPr>
                <w:b/>
              </w:rPr>
              <w:t>Setting in the notebook</w:t>
            </w:r>
          </w:p>
        </w:tc>
        <w:tc>
          <w:tcPr>
            <w:tcW w:type="dxa" w:w="3312"/>
            <w:shd w:fill="DCE6F1"/>
          </w:tcPr>
          <w:p>
            <w:r>
              <w:rPr>
                <w:b/>
              </w:rPr>
              <w:t>Explanation</w:t>
            </w:r>
          </w:p>
        </w:tc>
      </w:tr>
      <w:tr>
        <w:tc>
          <w:tcPr>
            <w:tcW w:type="dxa" w:w="3312"/>
            <w:vAlign w:val="center"/>
          </w:tcPr>
          <w:p>
            <w:r>
              <w:t>Loss</w:t>
            </w:r>
          </w:p>
        </w:tc>
        <w:tc>
          <w:tcPr>
            <w:tcW w:type="dxa" w:w="3312"/>
            <w:vAlign w:val="center"/>
          </w:tcPr>
          <w:p>
            <w:r>
              <w:t>Cross-entropy; optional label smoothing</w:t>
            </w:r>
          </w:p>
        </w:tc>
        <w:tc>
          <w:tcPr>
            <w:tcW w:type="dxa" w:w="3312"/>
            <w:vAlign w:val="center"/>
          </w:tcPr>
          <w:p>
            <w:r>
              <w:t>Measures disagreement between predicted class scores and the target labels.</w:t>
            </w:r>
          </w:p>
        </w:tc>
      </w:tr>
      <w:tr>
        <w:tc>
          <w:tcPr>
            <w:tcW w:type="dxa" w:w="3312"/>
            <w:vAlign w:val="center"/>
          </w:tcPr>
          <w:p>
            <w:r>
              <w:t>Optimizer</w:t>
            </w:r>
          </w:p>
        </w:tc>
        <w:tc>
          <w:tcPr>
            <w:tcW w:type="dxa" w:w="3312"/>
            <w:vAlign w:val="center"/>
          </w:tcPr>
          <w:p>
            <w:r>
              <w:t>AdamW by default</w:t>
            </w:r>
          </w:p>
        </w:tc>
        <w:tc>
          <w:tcPr>
            <w:tcW w:type="dxa" w:w="3312"/>
            <w:vAlign w:val="center"/>
          </w:tcPr>
          <w:p>
            <w:r>
              <w:t>Adaptive optimization with decoupled weight decay.</w:t>
            </w:r>
          </w:p>
        </w:tc>
      </w:tr>
      <w:tr>
        <w:tc>
          <w:tcPr>
            <w:tcW w:type="dxa" w:w="3312"/>
            <w:vAlign w:val="center"/>
          </w:tcPr>
          <w:p>
            <w:r>
              <w:t>Peak learning rate</w:t>
            </w:r>
          </w:p>
        </w:tc>
        <w:tc>
          <w:tcPr>
            <w:tcW w:type="dxa" w:w="3312"/>
            <w:vAlign w:val="center"/>
          </w:tcPr>
          <w:p>
            <w:r>
              <w:t>Selected by validation sweep; final configuration uses OneCycle</w:t>
            </w:r>
          </w:p>
        </w:tc>
        <w:tc>
          <w:tcPr>
            <w:tcW w:type="dxa" w:w="3312"/>
            <w:vAlign w:val="center"/>
          </w:tcPr>
          <w:p>
            <w:r>
              <w:t>Controls the scale of parameter updates.</w:t>
            </w:r>
          </w:p>
        </w:tc>
      </w:tr>
      <w:tr>
        <w:tc>
          <w:tcPr>
            <w:tcW w:type="dxa" w:w="3312"/>
            <w:vAlign w:val="center"/>
          </w:tcPr>
          <w:p>
            <w:r>
              <w:t>Scheduler</w:t>
            </w:r>
          </w:p>
        </w:tc>
        <w:tc>
          <w:tcPr>
            <w:tcW w:type="dxa" w:w="3312"/>
            <w:vAlign w:val="center"/>
          </w:tcPr>
          <w:p>
            <w:r>
              <w:t>OneCycleLR, stepped per batch</w:t>
            </w:r>
          </w:p>
        </w:tc>
        <w:tc>
          <w:tcPr>
            <w:tcW w:type="dxa" w:w="3312"/>
            <w:vAlign w:val="center"/>
          </w:tcPr>
          <w:p>
            <w:r>
              <w:t>Warms the learning rate up, then anneals it during training.</w:t>
            </w:r>
          </w:p>
        </w:tc>
      </w:tr>
      <w:tr>
        <w:tc>
          <w:tcPr>
            <w:tcW w:type="dxa" w:w="3312"/>
            <w:vAlign w:val="center"/>
          </w:tcPr>
          <w:p>
            <w:r>
              <w:t>Batch size</w:t>
            </w:r>
          </w:p>
        </w:tc>
        <w:tc>
          <w:tcPr>
            <w:tcW w:type="dxa" w:w="3312"/>
            <w:vAlign w:val="center"/>
          </w:tcPr>
          <w:p>
            <w:r>
              <w:t>128</w:t>
            </w:r>
          </w:p>
        </w:tc>
        <w:tc>
          <w:tcPr>
            <w:tcW w:type="dxa" w:w="3312"/>
            <w:vAlign w:val="center"/>
          </w:tcPr>
          <w:p>
            <w:r>
              <w:t>Number of images processed per batch.</w:t>
            </w:r>
          </w:p>
        </w:tc>
      </w:tr>
      <w:tr>
        <w:tc>
          <w:tcPr>
            <w:tcW w:type="dxa" w:w="3312"/>
            <w:vAlign w:val="center"/>
          </w:tcPr>
          <w:p>
            <w:r>
              <w:t>Weight decay</w:t>
            </w:r>
          </w:p>
        </w:tc>
        <w:tc>
          <w:tcPr>
            <w:tcW w:type="dxa" w:w="3312"/>
            <w:vAlign w:val="center"/>
          </w:tcPr>
          <w:p>
            <w:r>
              <w:t>Tuned during Stage B; default 5e-4</w:t>
            </w:r>
          </w:p>
        </w:tc>
        <w:tc>
          <w:tcPr>
            <w:tcW w:type="dxa" w:w="3312"/>
            <w:vAlign w:val="center"/>
          </w:tcPr>
          <w:p>
            <w:r>
              <w:t>Regularization on model weights.</w:t>
            </w:r>
          </w:p>
        </w:tc>
      </w:tr>
      <w:tr>
        <w:tc>
          <w:tcPr>
            <w:tcW w:type="dxa" w:w="3312"/>
            <w:vAlign w:val="center"/>
          </w:tcPr>
          <w:p>
            <w:r>
              <w:t>Epochs</w:t>
            </w:r>
          </w:p>
        </w:tc>
        <w:tc>
          <w:tcPr>
            <w:tcW w:type="dxa" w:w="3312"/>
            <w:vAlign w:val="center"/>
          </w:tcPr>
          <w:p>
            <w:r>
              <w:t>20 for ablation; 10 for sweep; 40 for final/optional experiments</w:t>
            </w:r>
          </w:p>
        </w:tc>
        <w:tc>
          <w:tcPr>
            <w:tcW w:type="dxa" w:w="3312"/>
            <w:vAlign w:val="center"/>
          </w:tcPr>
          <w:p>
            <w:r>
              <w:t>An epoch is one pass through the training loader.</w:t>
            </w:r>
          </w:p>
        </w:tc>
      </w:tr>
      <w:tr>
        <w:tc>
          <w:tcPr>
            <w:tcW w:type="dxa" w:w="3312"/>
            <w:vAlign w:val="center"/>
          </w:tcPr>
          <w:p>
            <w:r>
              <w:t>Dropout</w:t>
            </w:r>
          </w:p>
        </w:tc>
        <w:tc>
          <w:tcPr>
            <w:tcW w:type="dxa" w:w="3312"/>
            <w:vAlign w:val="center"/>
          </w:tcPr>
          <w:p>
            <w:r>
              <w:t>0.3</w:t>
            </w:r>
          </w:p>
        </w:tc>
        <w:tc>
          <w:tcPr>
            <w:tcW w:type="dxa" w:w="3312"/>
            <w:vAlign w:val="center"/>
          </w:tcPr>
          <w:p>
            <w:r>
              <w:t>Randomly suppresses activations during training.</w:t>
            </w:r>
          </w:p>
        </w:tc>
      </w:tr>
      <w:tr>
        <w:tc>
          <w:tcPr>
            <w:tcW w:type="dxa" w:w="3312"/>
            <w:vAlign w:val="center"/>
          </w:tcPr>
          <w:p>
            <w:r>
              <w:t>Label smoothing</w:t>
            </w:r>
          </w:p>
        </w:tc>
        <w:tc>
          <w:tcPr>
            <w:tcW w:type="dxa" w:w="3312"/>
            <w:vAlign w:val="center"/>
          </w:tcPr>
          <w:p>
            <w:r>
              <w:t>0.0 in main final model; 0.1 in optional D1</w:t>
            </w:r>
          </w:p>
        </w:tc>
        <w:tc>
          <w:tcPr>
            <w:tcW w:type="dxa" w:w="3312"/>
            <w:vAlign w:val="center"/>
          </w:tcPr>
          <w:p>
            <w:r>
              <w:t>Softens target labels to discourage excessive confidence.</w:t>
            </w:r>
          </w:p>
        </w:tc>
      </w:tr>
      <w:tr>
        <w:tc>
          <w:tcPr>
            <w:tcW w:type="dxa" w:w="3312"/>
            <w:vAlign w:val="center"/>
          </w:tcPr>
          <w:p>
            <w:r>
              <w:t>Mixed precision</w:t>
            </w:r>
          </w:p>
        </w:tc>
        <w:tc>
          <w:tcPr>
            <w:tcW w:type="dxa" w:w="3312"/>
            <w:vAlign w:val="center"/>
          </w:tcPr>
          <w:p>
            <w:r>
              <w:t>Enabled on CUDA GPU</w:t>
            </w:r>
          </w:p>
        </w:tc>
        <w:tc>
          <w:tcPr>
            <w:tcW w:type="dxa" w:w="3312"/>
            <w:vAlign w:val="center"/>
          </w:tcPr>
          <w:p>
            <w:r>
              <w:t>Uses lower precision where supported to reduce memory use and speed up training.</w:t>
            </w:r>
          </w:p>
        </w:tc>
      </w:tr>
      <w:tr>
        <w:tc>
          <w:tcPr>
            <w:tcW w:type="dxa" w:w="3312"/>
            <w:vAlign w:val="center"/>
          </w:tcPr>
          <w:p>
            <w:r>
              <w:t>Seed</w:t>
            </w:r>
          </w:p>
        </w:tc>
        <w:tc>
          <w:tcPr>
            <w:tcW w:type="dxa" w:w="3312"/>
            <w:vAlign w:val="center"/>
          </w:tcPr>
          <w:p>
            <w:r>
              <w:t>42 for run configuration; fixed split seed 1234</w:t>
            </w:r>
          </w:p>
        </w:tc>
        <w:tc>
          <w:tcPr>
            <w:tcW w:type="dxa" w:w="3312"/>
            <w:vAlign w:val="center"/>
          </w:tcPr>
          <w:p>
            <w:r>
              <w:t>Supports repeatable data split and initialization.</w:t>
            </w:r>
          </w:p>
        </w:tc>
      </w:tr>
      <w:tr>
        <w:tc>
          <w:tcPr>
            <w:tcW w:type="dxa" w:w="3312"/>
            <w:vAlign w:val="center"/>
          </w:tcPr>
          <w:p>
            <w:r>
              <w:t>Checkpoint selection</w:t>
            </w:r>
          </w:p>
        </w:tc>
        <w:tc>
          <w:tcPr>
            <w:tcW w:type="dxa" w:w="3312"/>
            <w:vAlign w:val="center"/>
          </w:tcPr>
          <w:p>
            <w:r>
              <w:t>Best validation-accuracy checkpoint</w:t>
            </w:r>
          </w:p>
        </w:tc>
        <w:tc>
          <w:tcPr>
            <w:tcW w:type="dxa" w:w="3312"/>
            <w:vAlign w:val="center"/>
          </w:tcPr>
          <w:p>
            <w:r>
              <w:t>Avoids automatically choosing the final epoch if validation performance has already peaked.</w:t>
            </w:r>
          </w:p>
        </w:tc>
      </w:tr>
    </w:tbl>
    <w:p/>
    <w:p>
      <w:r>
        <w:t>The notebook writes a per-epoch history CSV, a training log, a best checkpoint and a JSON summary for each run. The official test set is intended for final reporting rather than hyperparameter selection.</w:t>
      </w:r>
    </w:p>
    <w:p>
      <w:pPr>
        <w:pStyle w:val="Heading1"/>
      </w:pPr>
      <w:r>
        <w:t>5. Experiment design</w:t>
      </w:r>
    </w:p>
    <w:p>
      <w:pPr>
        <w:pStyle w:val="ListBullet"/>
      </w:pPr>
      <w:r>
        <w:t>Stage A — Ablation: compare no augmentation + constant learning rate, augmentation + constant learning rate, and augmentation + OneCycle scheduling.</w:t>
      </w:r>
    </w:p>
    <w:p>
      <w:pPr>
        <w:pStyle w:val="ListBullet"/>
      </w:pPr>
      <w:r>
        <w:t>Stage B — Hyperparameter sweep: test peak learning rates 0.001, 0.003 and 0.01 against weight-decay values 0.0001 and 0.05; each combination runs for 10 epochs and is ranked using validation accuracy.</w:t>
      </w:r>
    </w:p>
    <w:p>
      <w:pPr>
        <w:pStyle w:val="ListBullet"/>
      </w:pPr>
      <w:r>
        <w:t>Stage C — Final model: train the selected configuration for 40 epochs.</w:t>
      </w:r>
    </w:p>
    <w:p>
      <w:pPr>
        <w:pStyle w:val="ListBullet"/>
      </w:pPr>
      <w:r>
        <w:t>Stage D — Optional improvements: compare label smoothing (0.1) and a wider network (width 96) against the main final model.</w:t>
      </w:r>
    </w:p>
    <w:p>
      <w:r>
        <w:t>The QUICK switch is intended only as a short smoke test. The results below are from the recorded full-run outputs, not a QUICK run.</w:t>
      </w:r>
    </w:p>
    <w:p>
      <w:pPr>
        <w:pStyle w:val="Heading1"/>
      </w:pPr>
      <w:r>
        <w:t>6. Performance results</w:t>
      </w:r>
    </w:p>
    <w:p>
      <w:r>
        <w:t>Accuracy is the fraction of correctly classified images. Cross-entropy loss reflects both classification errors and the confidence assigned to predictions; lower values are generally preferable when evaluated on the same dataset and loss definition.</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shd w:fill="DCE6F1"/>
          </w:tcPr>
          <w:p>
            <w:r>
              <w:rPr>
                <w:b/>
              </w:rPr>
              <w:t>Experiment</w:t>
            </w:r>
          </w:p>
        </w:tc>
        <w:tc>
          <w:tcPr>
            <w:tcW w:type="dxa" w:w="1987"/>
            <w:shd w:fill="DCE6F1"/>
          </w:tcPr>
          <w:p>
            <w:r>
              <w:rPr>
                <w:b/>
              </w:rPr>
              <w:t>Best validation accuracy</w:t>
            </w:r>
          </w:p>
        </w:tc>
        <w:tc>
          <w:tcPr>
            <w:tcW w:type="dxa" w:w="1987"/>
            <w:shd w:fill="DCE6F1"/>
          </w:tcPr>
          <w:p>
            <w:r>
              <w:rPr>
                <w:b/>
              </w:rPr>
              <w:t>Test accuracy</w:t>
            </w:r>
          </w:p>
        </w:tc>
        <w:tc>
          <w:tcPr>
            <w:tcW w:type="dxa" w:w="1987"/>
            <w:shd w:fill="DCE6F1"/>
          </w:tcPr>
          <w:p>
            <w:r>
              <w:rPr>
                <w:b/>
              </w:rPr>
              <w:t>Test loss</w:t>
            </w:r>
          </w:p>
        </w:tc>
        <w:tc>
          <w:tcPr>
            <w:tcW w:type="dxa" w:w="1987"/>
            <w:shd w:fill="DCE6F1"/>
          </w:tcPr>
          <w:p>
            <w:r>
              <w:rPr>
                <w:b/>
              </w:rPr>
              <w:t>Interpretation</w:t>
            </w:r>
          </w:p>
        </w:tc>
      </w:tr>
      <w:tr>
        <w:tc>
          <w:tcPr>
            <w:tcW w:type="dxa" w:w="1987"/>
            <w:vAlign w:val="center"/>
          </w:tcPr>
          <w:p>
            <w:r>
              <w:t>A1: no augmentation, constant LR</w:t>
            </w:r>
          </w:p>
        </w:tc>
        <w:tc>
          <w:tcPr>
            <w:tcW w:type="dxa" w:w="1987"/>
            <w:vAlign w:val="center"/>
          </w:tcPr>
          <w:p>
            <w:r>
              <w:t>85.24%</w:t>
            </w:r>
          </w:p>
        </w:tc>
        <w:tc>
          <w:tcPr>
            <w:tcW w:type="dxa" w:w="1987"/>
            <w:vAlign w:val="center"/>
          </w:tcPr>
          <w:p>
            <w:r>
              <w:t>84.35%</w:t>
            </w:r>
          </w:p>
        </w:tc>
        <w:tc>
          <w:tcPr>
            <w:tcW w:type="dxa" w:w="1987"/>
            <w:vAlign w:val="center"/>
          </w:tcPr>
          <w:p>
            <w:r>
              <w:t>Not clearly recoverable from the extracted output</w:t>
            </w:r>
          </w:p>
        </w:tc>
        <w:tc>
          <w:tcPr>
            <w:tcW w:type="dxa" w:w="1987"/>
            <w:vAlign w:val="center"/>
          </w:tcPr>
          <w:p>
            <w:r>
              <w:t>Large train/validation gap; strong overfitting.</w:t>
            </w:r>
          </w:p>
        </w:tc>
      </w:tr>
      <w:tr>
        <w:tc>
          <w:tcPr>
            <w:tcW w:type="dxa" w:w="1987"/>
            <w:vAlign w:val="center"/>
          </w:tcPr>
          <w:p>
            <w:r>
              <w:t>A2: augmentation, constant LR</w:t>
            </w:r>
          </w:p>
        </w:tc>
        <w:tc>
          <w:tcPr>
            <w:tcW w:type="dxa" w:w="1987"/>
            <w:vAlign w:val="center"/>
          </w:tcPr>
          <w:p>
            <w:r>
              <w:t>88.64%</w:t>
            </w:r>
          </w:p>
        </w:tc>
        <w:tc>
          <w:tcPr>
            <w:tcW w:type="dxa" w:w="1987"/>
            <w:vAlign w:val="center"/>
          </w:tcPr>
          <w:p>
            <w:r>
              <w:t>87.90%</w:t>
            </w:r>
          </w:p>
        </w:tc>
        <w:tc>
          <w:tcPr>
            <w:tcW w:type="dxa" w:w="1987"/>
            <w:vAlign w:val="center"/>
          </w:tcPr>
          <w:p>
            <w:r>
              <w:t>0.388 (reported output)</w:t>
            </w:r>
          </w:p>
        </w:tc>
        <w:tc>
          <w:tcPr>
            <w:tcW w:type="dxa" w:w="1987"/>
            <w:vAlign w:val="center"/>
          </w:tcPr>
          <w:p>
            <w:r>
              <w:t>Augmentation improves generalization over A1.</w:t>
            </w:r>
          </w:p>
        </w:tc>
      </w:tr>
      <w:tr>
        <w:tc>
          <w:tcPr>
            <w:tcW w:type="dxa" w:w="1987"/>
            <w:vAlign w:val="center"/>
          </w:tcPr>
          <w:p>
            <w:r>
              <w:t>A3: augmentation + OneCycle</w:t>
            </w:r>
          </w:p>
        </w:tc>
        <w:tc>
          <w:tcPr>
            <w:tcW w:type="dxa" w:w="1987"/>
            <w:vAlign w:val="center"/>
          </w:tcPr>
          <w:p>
            <w:r>
              <w:t>90.70%</w:t>
            </w:r>
          </w:p>
        </w:tc>
        <w:tc>
          <w:tcPr>
            <w:tcW w:type="dxa" w:w="1987"/>
            <w:vAlign w:val="center"/>
          </w:tcPr>
          <w:p>
            <w:r>
              <w:t>90.61%</w:t>
            </w:r>
          </w:p>
        </w:tc>
        <w:tc>
          <w:tcPr>
            <w:tcW w:type="dxa" w:w="1987"/>
            <w:vAlign w:val="center"/>
          </w:tcPr>
          <w:p>
            <w:r>
              <w:t>0.313</w:t>
            </w:r>
          </w:p>
        </w:tc>
        <w:tc>
          <w:tcPr>
            <w:tcW w:type="dxa" w:w="1987"/>
            <w:vAlign w:val="center"/>
          </w:tcPr>
          <w:p>
            <w:r>
              <w:t>Scheduling gives a further improvement over A2.</w:t>
            </w:r>
          </w:p>
        </w:tc>
      </w:tr>
      <w:tr>
        <w:tc>
          <w:tcPr>
            <w:tcW w:type="dxa" w:w="1987"/>
            <w:vAlign w:val="center"/>
          </w:tcPr>
          <w:p>
            <w:r>
              <w:t>C final: selected configuration, 40 epochs</w:t>
            </w:r>
          </w:p>
        </w:tc>
        <w:tc>
          <w:tcPr>
            <w:tcW w:type="dxa" w:w="1987"/>
            <w:vAlign w:val="center"/>
          </w:tcPr>
          <w:p>
            <w:r>
              <w:t>92.12%</w:t>
            </w:r>
          </w:p>
        </w:tc>
        <w:tc>
          <w:tcPr>
            <w:tcW w:type="dxa" w:w="1987"/>
            <w:vAlign w:val="center"/>
          </w:tcPr>
          <w:p>
            <w:r>
              <w:t>91.71–91.72%</w:t>
            </w:r>
          </w:p>
        </w:tc>
        <w:tc>
          <w:tcPr>
            <w:tcW w:type="dxa" w:w="1987"/>
            <w:vAlign w:val="center"/>
          </w:tcPr>
          <w:p>
            <w:r>
              <w:t>0.3959</w:t>
            </w:r>
          </w:p>
        </w:tc>
        <w:tc>
          <w:tcPr>
            <w:tcW w:type="dxa" w:w="1987"/>
            <w:vAlign w:val="center"/>
          </w:tcPr>
          <w:p>
            <w:r>
              <w:t>Main final model; small discrepancy in notebook output rounding/log text.</w:t>
            </w:r>
          </w:p>
        </w:tc>
      </w:tr>
      <w:tr>
        <w:tc>
          <w:tcPr>
            <w:tcW w:type="dxa" w:w="1987"/>
            <w:vAlign w:val="center"/>
          </w:tcPr>
          <w:p>
            <w:r>
              <w:t>D1: final configuration + label smoothing 0.1</w:t>
            </w:r>
          </w:p>
        </w:tc>
        <w:tc>
          <w:tcPr>
            <w:tcW w:type="dxa" w:w="1987"/>
            <w:vAlign w:val="center"/>
          </w:tcPr>
          <w:p>
            <w:r>
              <w:t>92.50%</w:t>
            </w:r>
          </w:p>
        </w:tc>
        <w:tc>
          <w:tcPr>
            <w:tcW w:type="dxa" w:w="1987"/>
            <w:vAlign w:val="center"/>
          </w:tcPr>
          <w:p>
            <w:r>
              <w:t>92.24%</w:t>
            </w:r>
          </w:p>
        </w:tc>
        <w:tc>
          <w:tcPr>
            <w:tcW w:type="dxa" w:w="1987"/>
            <w:vAlign w:val="center"/>
          </w:tcPr>
          <w:p>
            <w:r>
              <w:t>Output is truncated</w:t>
            </w:r>
          </w:p>
        </w:tc>
        <w:tc>
          <w:tcPr>
            <w:tcW w:type="dxa" w:w="1987"/>
            <w:vAlign w:val="center"/>
          </w:tcPr>
          <w:p>
            <w:r>
              <w:t>Improves test accuracy by about 0.5 percentage points over C final.</w:t>
            </w:r>
          </w:p>
        </w:tc>
      </w:tr>
      <w:tr>
        <w:tc>
          <w:tcPr>
            <w:tcW w:type="dxa" w:w="1987"/>
            <w:vAlign w:val="center"/>
          </w:tcPr>
          <w:p>
            <w:r>
              <w:t>D2: wider model, width 96</w:t>
            </w:r>
          </w:p>
        </w:tc>
        <w:tc>
          <w:tcPr>
            <w:tcW w:type="dxa" w:w="1987"/>
            <w:vAlign w:val="center"/>
          </w:tcPr>
          <w:p>
            <w:r>
              <w:t>92.72%</w:t>
            </w:r>
          </w:p>
        </w:tc>
        <w:tc>
          <w:tcPr>
            <w:tcW w:type="dxa" w:w="1987"/>
            <w:vAlign w:val="center"/>
          </w:tcPr>
          <w:p>
            <w:r>
              <w:t>92.45%</w:t>
            </w:r>
          </w:p>
        </w:tc>
        <w:tc>
          <w:tcPr>
            <w:tcW w:type="dxa" w:w="1987"/>
            <w:vAlign w:val="center"/>
          </w:tcPr>
          <w:p>
            <w:r>
              <w:t>0.4168</w:t>
            </w:r>
          </w:p>
        </w:tc>
        <w:tc>
          <w:tcPr>
            <w:tcW w:type="dxa" w:w="1987"/>
            <w:vAlign w:val="center"/>
          </w:tcPr>
          <w:p>
            <w:r>
              <w:t>Highest reported test accuracy; uses 2,580,394 parameters.</w:t>
            </w:r>
          </w:p>
        </w:tc>
      </w:tr>
    </w:tbl>
    <w:p/>
    <w:p>
      <w:r>
        <w:t>The source output reports the main final model test accuracy as 0.9172 in its training log and 0.9171 in the classification-report section. This report preserves that small discrepancy rather than choosing an unsupported exact value.</w:t>
      </w:r>
    </w:p>
    <w:p>
      <w:pPr>
        <w:pStyle w:val="Heading1"/>
      </w:pPr>
      <w:r>
        <w:t>7. Analysis of accuracy and loss</w:t>
      </w:r>
    </w:p>
    <w:p>
      <w:pPr>
        <w:pStyle w:val="Heading2"/>
      </w:pPr>
      <w:r>
        <w:t>7.1 Effect of augmentation and scheduling</w:t>
      </w:r>
    </w:p>
    <w:p>
      <w:r>
        <w:t>The ablation results show a clear progression. Adding random crops and horizontal flips raises test accuracy from 84.35% to 87.90% (+3.55 percentage points). Adding OneCycle scheduling raises it again to 90.61% (+2.71 points relative to A2). This supports using both augmentation and a changing learning rate for this dataset and model.</w:t>
      </w:r>
    </w:p>
    <w:p>
      <w:pPr>
        <w:pStyle w:val="Heading2"/>
      </w:pPr>
      <w:r>
        <w:t>7.2 Main final model</w:t>
      </w:r>
    </w:p>
    <w:p>
      <w:r>
        <w:t>The 40-epoch C final run reaches a best validation accuracy of 92.12% at epoch 39 and a reported test accuracy of approximately 91.72%. The notebook’s narrative indicates that training accuracy continues to rise while validation performance levels off, which is consistent with some overfitting late in training. Selecting the checkpoint by validation accuracy helps avoid blindly using the last epoch.</w:t>
      </w:r>
    </w:p>
    <w:p>
      <w:r>
        <w:t>The test loss of 0.3959 is higher than the A3 loss of 0.313 even though C final has higher accuracy. Accuracy and loss measure different things: a model can classify more examples correctly while assigning less well-calibrated or more hesitant probabilities to some examples. Comparisons should therefore consider both metrics and ensure the same evaluation setup is used.</w:t>
      </w:r>
    </w:p>
    <w:p>
      <w:pPr>
        <w:pStyle w:val="Heading2"/>
      </w:pPr>
      <w:r>
        <w:t>7.3 Optional improvements</w:t>
      </w:r>
    </w:p>
    <w:p>
      <w:r>
        <w:t>Label smoothing reaches 92.24% test accuracy, while widening the model reaches 92.45%. The wider model has 2,580,394 trainable parameters, compared with 1,148,874 for width 64—more than twice as many. Its higher accuracy comes with greater model size and a reported test loss of 0.4168, so it is not uniformly better on every metric. If efficiency matters, the smaller model may remain attractive.</w:t>
      </w:r>
    </w:p>
    <w:p>
      <w:pPr>
        <w:pStyle w:val="Heading2"/>
      </w:pPr>
      <w:r>
        <w:t>7.4 Class-level performance and common mistakes</w:t>
      </w:r>
    </w:p>
    <w:p>
      <w:r>
        <w:t>In the main final model’s classification report, automobile has the strongest F1-score (0.9596), followed by ship (0.9503) and truck (0.9501). Cat is the weakest class by F1-score (0.8302), with recall 0.8190; dog has F1-score 0.8738. The most frequent confusions are cat → dog (85 cases) and dog → cat (65 cases), suggesting that these visually similar animal categories are harder to separate. Ship/airplane and truck/automobile confusions also appear, but at lower counts.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shd w:fill="DCE6F1"/>
          </w:tcPr>
          <w:p>
            <w:r>
              <w:rPr>
                <w:b/>
              </w:rPr>
              <w:t>Class</w:t>
            </w:r>
          </w:p>
        </w:tc>
        <w:tc>
          <w:tcPr>
            <w:tcW w:type="dxa" w:w="2484"/>
            <w:shd w:fill="DCE6F1"/>
          </w:tcPr>
          <w:p>
            <w:r>
              <w:rPr>
                <w:b/>
              </w:rPr>
              <w:t>Precision</w:t>
            </w:r>
          </w:p>
        </w:tc>
        <w:tc>
          <w:tcPr>
            <w:tcW w:type="dxa" w:w="2484"/>
            <w:shd w:fill="DCE6F1"/>
          </w:tcPr>
          <w:p>
            <w:r>
              <w:rPr>
                <w:b/>
              </w:rPr>
              <w:t>Recall</w:t>
            </w:r>
          </w:p>
        </w:tc>
        <w:tc>
          <w:tcPr>
            <w:tcW w:type="dxa" w:w="2484"/>
            <w:shd w:fill="DCE6F1"/>
          </w:tcPr>
          <w:p>
            <w:r>
              <w:rPr>
                <w:b/>
              </w:rPr>
              <w:t>F1-score</w:t>
            </w:r>
          </w:p>
        </w:tc>
      </w:tr>
      <w:tr>
        <w:tc>
          <w:tcPr>
            <w:tcW w:type="dxa" w:w="2484"/>
            <w:vAlign w:val="center"/>
          </w:tcPr>
          <w:p>
            <w:r>
              <w:t>Airplane</w:t>
            </w:r>
          </w:p>
        </w:tc>
        <w:tc>
          <w:tcPr>
            <w:tcW w:type="dxa" w:w="2484"/>
            <w:vAlign w:val="center"/>
          </w:tcPr>
          <w:p>
            <w:r>
              <w:t>0.9235</w:t>
            </w:r>
          </w:p>
        </w:tc>
        <w:tc>
          <w:tcPr>
            <w:tcW w:type="dxa" w:w="2484"/>
            <w:vAlign w:val="center"/>
          </w:tcPr>
          <w:p>
            <w:r>
              <w:t>0.9170</w:t>
            </w:r>
          </w:p>
        </w:tc>
        <w:tc>
          <w:tcPr>
            <w:tcW w:type="dxa" w:w="2484"/>
            <w:vAlign w:val="center"/>
          </w:tcPr>
          <w:p>
            <w:r>
              <w:t>0.9202</w:t>
            </w:r>
          </w:p>
        </w:tc>
      </w:tr>
      <w:tr>
        <w:tc>
          <w:tcPr>
            <w:tcW w:type="dxa" w:w="2484"/>
            <w:vAlign w:val="center"/>
          </w:tcPr>
          <w:p>
            <w:r>
              <w:t>Automobile</w:t>
            </w:r>
          </w:p>
        </w:tc>
        <w:tc>
          <w:tcPr>
            <w:tcW w:type="dxa" w:w="2484"/>
            <w:vAlign w:val="center"/>
          </w:tcPr>
          <w:p>
            <w:r>
              <w:t>0.9572</w:t>
            </w:r>
          </w:p>
        </w:tc>
        <w:tc>
          <w:tcPr>
            <w:tcW w:type="dxa" w:w="2484"/>
            <w:vAlign w:val="center"/>
          </w:tcPr>
          <w:p>
            <w:r>
              <w:t>0.9620</w:t>
            </w:r>
          </w:p>
        </w:tc>
        <w:tc>
          <w:tcPr>
            <w:tcW w:type="dxa" w:w="2484"/>
            <w:vAlign w:val="center"/>
          </w:tcPr>
          <w:p>
            <w:r>
              <w:t>0.9596</w:t>
            </w:r>
          </w:p>
        </w:tc>
      </w:tr>
      <w:tr>
        <w:tc>
          <w:tcPr>
            <w:tcW w:type="dxa" w:w="2484"/>
            <w:vAlign w:val="center"/>
          </w:tcPr>
          <w:p>
            <w:r>
              <w:t>Bird</w:t>
            </w:r>
          </w:p>
        </w:tc>
        <w:tc>
          <w:tcPr>
            <w:tcW w:type="dxa" w:w="2484"/>
            <w:vAlign w:val="center"/>
          </w:tcPr>
          <w:p>
            <w:r>
              <w:t>0.8952</w:t>
            </w:r>
          </w:p>
        </w:tc>
        <w:tc>
          <w:tcPr>
            <w:tcW w:type="dxa" w:w="2484"/>
            <w:vAlign w:val="center"/>
          </w:tcPr>
          <w:p>
            <w:r>
              <w:t>0.8970</w:t>
            </w:r>
          </w:p>
        </w:tc>
        <w:tc>
          <w:tcPr>
            <w:tcW w:type="dxa" w:w="2484"/>
            <w:vAlign w:val="center"/>
          </w:tcPr>
          <w:p>
            <w:r>
              <w:t>0.8961</w:t>
            </w:r>
          </w:p>
        </w:tc>
      </w:tr>
      <w:tr>
        <w:tc>
          <w:tcPr>
            <w:tcW w:type="dxa" w:w="2484"/>
            <w:vAlign w:val="center"/>
          </w:tcPr>
          <w:p>
            <w:r>
              <w:t>Cat</w:t>
            </w:r>
          </w:p>
        </w:tc>
        <w:tc>
          <w:tcPr>
            <w:tcW w:type="dxa" w:w="2484"/>
            <w:vAlign w:val="center"/>
          </w:tcPr>
          <w:p>
            <w:r>
              <w:t>0.8417</w:t>
            </w:r>
          </w:p>
        </w:tc>
        <w:tc>
          <w:tcPr>
            <w:tcW w:type="dxa" w:w="2484"/>
            <w:vAlign w:val="center"/>
          </w:tcPr>
          <w:p>
            <w:r>
              <w:t>0.8190</w:t>
            </w:r>
          </w:p>
        </w:tc>
        <w:tc>
          <w:tcPr>
            <w:tcW w:type="dxa" w:w="2484"/>
            <w:vAlign w:val="center"/>
          </w:tcPr>
          <w:p>
            <w:r>
              <w:t>0.8302</w:t>
            </w:r>
          </w:p>
        </w:tc>
      </w:tr>
      <w:tr>
        <w:tc>
          <w:tcPr>
            <w:tcW w:type="dxa" w:w="2484"/>
            <w:vAlign w:val="center"/>
          </w:tcPr>
          <w:p>
            <w:r>
              <w:t>Deer</w:t>
            </w:r>
          </w:p>
        </w:tc>
        <w:tc>
          <w:tcPr>
            <w:tcW w:type="dxa" w:w="2484"/>
            <w:vAlign w:val="center"/>
          </w:tcPr>
          <w:p>
            <w:r>
              <w:t>0.9116</w:t>
            </w:r>
          </w:p>
        </w:tc>
        <w:tc>
          <w:tcPr>
            <w:tcW w:type="dxa" w:w="2484"/>
            <w:vAlign w:val="center"/>
          </w:tcPr>
          <w:p>
            <w:r>
              <w:t>0.9280</w:t>
            </w:r>
          </w:p>
        </w:tc>
        <w:tc>
          <w:tcPr>
            <w:tcW w:type="dxa" w:w="2484"/>
            <w:vAlign w:val="center"/>
          </w:tcPr>
          <w:p>
            <w:r>
              <w:t>0.9197</w:t>
            </w:r>
          </w:p>
        </w:tc>
      </w:tr>
      <w:tr>
        <w:tc>
          <w:tcPr>
            <w:tcW w:type="dxa" w:w="2484"/>
            <w:vAlign w:val="center"/>
          </w:tcPr>
          <w:p>
            <w:r>
              <w:t>Dog</w:t>
            </w:r>
          </w:p>
        </w:tc>
        <w:tc>
          <w:tcPr>
            <w:tcW w:type="dxa" w:w="2484"/>
            <w:vAlign w:val="center"/>
          </w:tcPr>
          <w:p>
            <w:r>
              <w:t>0.8648</w:t>
            </w:r>
          </w:p>
        </w:tc>
        <w:tc>
          <w:tcPr>
            <w:tcW w:type="dxa" w:w="2484"/>
            <w:vAlign w:val="center"/>
          </w:tcPr>
          <w:p>
            <w:r>
              <w:t>0.8830</w:t>
            </w:r>
          </w:p>
        </w:tc>
        <w:tc>
          <w:tcPr>
            <w:tcW w:type="dxa" w:w="2484"/>
            <w:vAlign w:val="center"/>
          </w:tcPr>
          <w:p>
            <w:r>
              <w:t>0.8738</w:t>
            </w:r>
          </w:p>
        </w:tc>
      </w:tr>
      <w:tr>
        <w:tc>
          <w:tcPr>
            <w:tcW w:type="dxa" w:w="2484"/>
            <w:vAlign w:val="center"/>
          </w:tcPr>
          <w:p>
            <w:r>
              <w:t>Frog</w:t>
            </w:r>
          </w:p>
        </w:tc>
        <w:tc>
          <w:tcPr>
            <w:tcW w:type="dxa" w:w="2484"/>
            <w:vAlign w:val="center"/>
          </w:tcPr>
          <w:p>
            <w:r>
              <w:t>0.9360</w:t>
            </w:r>
          </w:p>
        </w:tc>
        <w:tc>
          <w:tcPr>
            <w:tcW w:type="dxa" w:w="2484"/>
            <w:vAlign w:val="center"/>
          </w:tcPr>
          <w:p>
            <w:r>
              <w:t>0.9360</w:t>
            </w:r>
          </w:p>
        </w:tc>
        <w:tc>
          <w:tcPr>
            <w:tcW w:type="dxa" w:w="2484"/>
            <w:vAlign w:val="center"/>
          </w:tcPr>
          <w:p>
            <w:r>
              <w:t>0.9360</w:t>
            </w:r>
          </w:p>
        </w:tc>
      </w:tr>
      <w:tr>
        <w:tc>
          <w:tcPr>
            <w:tcW w:type="dxa" w:w="2484"/>
            <w:vAlign w:val="center"/>
          </w:tcPr>
          <w:p>
            <w:r>
              <w:t>Horse</w:t>
            </w:r>
          </w:p>
        </w:tc>
        <w:tc>
          <w:tcPr>
            <w:tcW w:type="dxa" w:w="2484"/>
            <w:vAlign w:val="center"/>
          </w:tcPr>
          <w:p>
            <w:r>
              <w:t>0.9393</w:t>
            </w:r>
          </w:p>
        </w:tc>
        <w:tc>
          <w:tcPr>
            <w:tcW w:type="dxa" w:w="2484"/>
            <w:vAlign w:val="center"/>
          </w:tcPr>
          <w:p>
            <w:r>
              <w:t>0.9290</w:t>
            </w:r>
          </w:p>
        </w:tc>
        <w:tc>
          <w:tcPr>
            <w:tcW w:type="dxa" w:w="2484"/>
            <w:vAlign w:val="center"/>
          </w:tcPr>
          <w:p>
            <w:r>
              <w:t>0.9341</w:t>
            </w:r>
          </w:p>
        </w:tc>
      </w:tr>
      <w:tr>
        <w:tc>
          <w:tcPr>
            <w:tcW w:type="dxa" w:w="2484"/>
            <w:vAlign w:val="center"/>
          </w:tcPr>
          <w:p>
            <w:r>
              <w:t>Ship</w:t>
            </w:r>
          </w:p>
        </w:tc>
        <w:tc>
          <w:tcPr>
            <w:tcW w:type="dxa" w:w="2484"/>
            <w:vAlign w:val="center"/>
          </w:tcPr>
          <w:p>
            <w:r>
              <w:t>0.9537</w:t>
            </w:r>
          </w:p>
        </w:tc>
        <w:tc>
          <w:tcPr>
            <w:tcW w:type="dxa" w:w="2484"/>
            <w:vAlign w:val="center"/>
          </w:tcPr>
          <w:p>
            <w:r>
              <w:t>0.9470</w:t>
            </w:r>
          </w:p>
        </w:tc>
        <w:tc>
          <w:tcPr>
            <w:tcW w:type="dxa" w:w="2484"/>
            <w:vAlign w:val="center"/>
          </w:tcPr>
          <w:p>
            <w:r>
              <w:t>0.9503</w:t>
            </w:r>
          </w:p>
        </w:tc>
      </w:tr>
      <w:tr>
        <w:tc>
          <w:tcPr>
            <w:tcW w:type="dxa" w:w="2484"/>
            <w:vAlign w:val="center"/>
          </w:tcPr>
          <w:p>
            <w:r>
              <w:t>Truck</w:t>
            </w:r>
          </w:p>
        </w:tc>
        <w:tc>
          <w:tcPr>
            <w:tcW w:type="dxa" w:w="2484"/>
            <w:vAlign w:val="center"/>
          </w:tcPr>
          <w:p>
            <w:r>
              <w:t>0.9473</w:t>
            </w:r>
          </w:p>
        </w:tc>
        <w:tc>
          <w:tcPr>
            <w:tcW w:type="dxa" w:w="2484"/>
            <w:vAlign w:val="center"/>
          </w:tcPr>
          <w:p>
            <w:r>
              <w:t>0.9530</w:t>
            </w:r>
          </w:p>
        </w:tc>
        <w:tc>
          <w:tcPr>
            <w:tcW w:type="dxa" w:w="2484"/>
            <w:vAlign w:val="center"/>
          </w:tcPr>
          <w:p>
            <w:r>
              <w:t>0.9501</w:t>
            </w:r>
          </w:p>
        </w:tc>
      </w:tr>
    </w:tbl>
    <w:p/>
    <w:p>
      <w:pPr>
        <w:pStyle w:val="Heading1"/>
      </w:pPr>
      <w:r>
        <w:t>8. Limitations and next steps</w:t>
      </w:r>
    </w:p>
    <w:p>
      <w:pPr>
        <w:pStyle w:val="ListBullet"/>
      </w:pPr>
      <w:r>
        <w:t>Report both accuracy and loss; also inspect per-class precision, recall, F1-score and the confusion matrix.</w:t>
      </w:r>
    </w:p>
    <w:p>
      <w:pPr>
        <w:pStyle w:val="ListBullet"/>
      </w:pPr>
      <w:r>
        <w:t>Use multiple random seeds if the goal is a robust comparison, since a single run can be affected by initialization and GPU nondeterminism.</w:t>
      </w:r>
    </w:p>
    <w:p>
      <w:pPr>
        <w:pStyle w:val="ListBullet"/>
      </w:pPr>
      <w:r>
        <w:t>For a fair architecture comparison, report the added parameter count and computational cost alongside accuracy.</w:t>
      </w:r>
    </w:p>
    <w:p>
      <w:pPr>
        <w:pStyle w:val="ListBullet"/>
      </w:pPr>
      <w:r>
        <w:t>Inspect learning curves and use the best validation checkpoint to monitor overfitting.</w:t>
      </w:r>
    </w:p>
    <w:p>
      <w:pPr>
        <w:pStyle w:val="ListBullet"/>
      </w:pPr>
      <w:r>
        <w:t>Keep the test set reserved for final evaluation; repeated test-guided changes can turn it into an informal validation set.</w:t>
      </w:r>
    </w:p>
    <w:p>
      <w:r>
        <w:t>The document is based on the supplied notebook export and its recorded outputs. Some printed notebook content is truncated or garbled in the source document, so values that cannot be recovered reliably are explicitly left unspecified.</w:t>
      </w:r>
    </w:p>
    <w:p>
      <w:pPr>
        <w:pStyle w:val="Heading1"/>
      </w:pPr>
      <w:r>
        <w:t>9. Conclusion</w:t>
      </w:r>
    </w:p>
    <w:p>
      <w:r>
        <w:t>A compact SmallVGG CNN classifies CIFAR-10 with approximately 91.7% test accuracy in the main final run. The ablation experiments indicate that data augmentation and OneCycle learning-rate scheduling both materially improve generalization. Optional experiments increase reported test accuracy to 92.24% with label smoothing and 92.45% with a wider network, with the wider model requiring more than twice the trainable parameters. The principal remaining weakness is confusion between cat and dog images, while the main model performs particularly well on automobile, ship and truck classes.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CIFAR-10 CNN Model Report  •  Prepared from supplied notebook outputs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C45B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449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637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