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기존 출원특허 보정 필요성 전수 대조 보고서</w:t>
      </w:r>
    </w:p>
    <w:p>
      <w:pPr>
        <w:jc w:val="center"/>
      </w:pPr>
      <w:r>
        <w:rPr>
          <w:rFonts w:ascii="Noto Sans CJK KR" w:hAnsi="Noto Sans CJK KR"/>
          <w:color w:val="464646"/>
          <w:sz w:val="20"/>
        </w:rPr>
        <w:t>9번 제외 14건 접수본 기준</w:t>
      </w:r>
    </w:p>
    <w:p>
      <w:r>
        <w:t>결론부터 말하면, 사용자 원칙과 직접 충돌하여 우선 보정할 대상은 01번, 02번의 청구항 12, 07번의 청구항 2이다. 06번은 02번과의 중복 및 국내우선권·분할 관계를 확인하기 전에는 보정서를 제출하지 않는 것이 안전하다. 나머지 10건은 이번 두 원칙만을 기준으로 한 청구항 선별에서는 즉시 보정대상으로 확인되지 않았다.</w:t>
      </w:r>
    </w:p>
    <w:p>
      <w:pPr>
        <w:pStyle w:val="Heading1"/>
      </w:pPr>
      <w:r>
        <w:t>적용한 두 원칙</w:t>
      </w:r>
    </w:p>
    <w:p>
      <w:pPr>
        <w:pStyle w:val="ListNumber"/>
      </w:pPr>
      <w:r>
        <w:t>평가문항의 정답 및 오답 선택지는 실제 학생의 선택응답, 선택률 또는 개인별 오개념 로그를 입력으로 사용하여 구성하지 않는다.</w:t>
      </w:r>
    </w:p>
    <w:p>
      <w:pPr>
        <w:pStyle w:val="ListNumber"/>
      </w:pPr>
      <w:r>
        <w:t>산파식은 학습목표에 도달하기 위한 질문연쇄형 진단·교수 방식이며, 진단 과정에서 객관식 오답을 생성하거나 오답매력도를 높이는 기술과 구별한다.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18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출원번호</w:t>
            </w:r>
          </w:p>
        </w:tc>
        <w:tc>
          <w:tcPr>
            <w:tcW w:type="dxa" w:w="136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판정</w:t>
            </w:r>
          </w:p>
        </w:tc>
        <w:tc>
          <w:tcPr>
            <w:tcW w:type="dxa" w:w="36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핵심 이유</w:t>
            </w:r>
          </w:p>
        </w:tc>
        <w:tc>
          <w:tcPr>
            <w:tcW w:type="dxa" w:w="266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4"/>
              </w:rPr>
              <w:t>조치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01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10-2026-0159430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즉시 보정 검토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독립항 1 및 청구항 10이 기능적 오답·선택매력도·누출률을 진단축에 결합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1 전면 한정, 3~5·9~18 삭제, 19·20 정합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02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10-2026-0165032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부분 보정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12가 진단용 오답의 매력도·누출률 산식을 사용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12 삭제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03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10-2026-0168145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실제 노출 교육구성요소 및 AI교사 교수행동 관련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신규성·진보성 검토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04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10-2026-0169239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플랫폼 검증 특허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선행기술 검토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05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10-2026-0169240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의료정보 검토상태 제어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선행기술 검토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06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10-2026-0169969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조건부 보류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1~10항이 02와 중복 가능, 11~19항은 산파식 축과 인접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우선권·분할·출원관계 확인 후 결정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07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10-2026-0171408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부분 보정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2의 LEARNER EVIDENCE가 선택지 생성분기 후보로 유입 가능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2 삭제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08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10-2026-0171409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AI 백신·방역 계열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선행기술 검토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10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10-2026-0172430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청구항 17의 산파적 상호작용 지수는 대화형 진단을 뒷받침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현 상태 유지 후 진보성 검토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11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10-2026-0174328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스마트농업 학습자격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검토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12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10-2026-0174330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교육 AI튜터 목적별 학습자격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검토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13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10-2026-0174331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의료 AI 목적별 학습자격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검토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14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10-2026-0174405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활동원장 중복저장 억제·일정관리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검토</w:t>
            </w:r>
          </w:p>
        </w:tc>
      </w:tr>
      <w:tr>
        <w:tc>
          <w:tcPr>
            <w:tcW w:type="dxa" w:w="64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/>
                <w:sz w:val="14"/>
              </w:rPr>
              <w:t>15</w:t>
            </w:r>
          </w:p>
        </w:tc>
        <w:tc>
          <w:tcPr>
            <w:tcW w:type="dxa" w:w="18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10-2026-0174417</w:t>
            </w:r>
          </w:p>
        </w:tc>
        <w:tc>
          <w:tcPr>
            <w:tcW w:type="dxa" w:w="136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이번 원칙상 없음</w:t>
            </w:r>
          </w:p>
        </w:tc>
        <w:tc>
          <w:tcPr>
            <w:tcW w:type="dxa" w:w="367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AI 목표이탈·재위반·방역종결</w:t>
            </w:r>
          </w:p>
        </w:tc>
        <w:tc>
          <w:tcPr>
            <w:tcW w:type="dxa" w:w="2664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sz w:val="14"/>
              </w:rPr>
              <w:t>별도 검토</w:t>
            </w:r>
          </w:p>
        </w:tc>
      </w:tr>
    </w:tbl>
    <w:p>
      <w:pPr>
        <w:spacing w:after="20"/>
      </w:pPr>
    </w:p>
    <w:p>
      <w:pPr>
        <w:pStyle w:val="Heading1"/>
      </w:pPr>
      <w:r>
        <w:t>보정 우선순위</w:t>
      </w:r>
    </w:p>
    <w:p>
      <w:pPr>
        <w:pStyle w:val="ListNumber"/>
      </w:pPr>
      <w:r>
        <w:t>01번: 독립항의 기술사상이 사용자 원칙과 정면 충돌하므로 가장 먼저 신규사항 가능성과 최초 기재근거를 대조한다.</w:t>
      </w:r>
    </w:p>
    <w:p>
      <w:pPr>
        <w:pStyle w:val="ListNumber"/>
      </w:pPr>
      <w:r>
        <w:t>07번: 청구항 2 삭제만으로 학습자 응답증거의 생성분기 유입경로를 좁힐 수 있어 비교적 단순하다.</w:t>
      </w:r>
    </w:p>
    <w:p>
      <w:pPr>
        <w:pStyle w:val="ListNumber"/>
      </w:pPr>
      <w:r>
        <w:t>02번: 청구항 12를 삭제하되 06번과의 관계를 확인한다.</w:t>
      </w:r>
    </w:p>
    <w:p>
      <w:pPr>
        <w:pStyle w:val="ListNumber"/>
      </w:pPr>
      <w:r>
        <w:t>06번: 출원관계와 우선권 주장을 확인하기 전에는 중복 청구항을 임의 삭제하지 않는다.</w:t>
      </w:r>
    </w:p>
    <w:p>
      <w:pPr>
        <w:pStyle w:val="Heading1"/>
      </w:pPr>
      <w:r>
        <w:t>문항합성 후속출원과의 경계</w:t>
      </w:r>
    </w:p>
    <w:p>
      <w:r>
        <w:t>이번 전면 재작성한 문항합성 발명은 허용 원자료, 출제규범 및 목표 계량 프로파일로 평가문항을 합성하고 실제 학습자 반응을 선택지 생성에 사용하지 않는 축이다. 산파식 진단발명은 학습자의 이유응답을 이용하여 질문연쇄와 교수경로를 정하는 축이다. 두 발명은 입력, 목적, 출력 및 저장영역을 분리하여 청구해야 한다.</w:t>
      </w:r>
    </w:p>
    <w:p>
      <w:pPr>
        <w:pStyle w:val="Heading1"/>
      </w:pPr>
      <w:r>
        <w:t>제출 전 필수 확인</w:t>
      </w:r>
    </w:p>
    <w:p>
      <w:pPr>
        <w:pStyle w:val="ListBullet"/>
      </w:pPr>
      <w:r>
        <w:t>각 출원의 현재 심사상태와 보정 가능 기간을 특허로에서 확인한다.</w:t>
      </w:r>
    </w:p>
    <w:p>
      <w:pPr>
        <w:pStyle w:val="ListBullet"/>
      </w:pPr>
      <w:r>
        <w:t>최초 접수본과 보정안의 문언대조표 및 문단별 근거표를 작성한다.</w:t>
      </w:r>
    </w:p>
    <w:p>
      <w:pPr>
        <w:pStyle w:val="ListBullet"/>
      </w:pPr>
      <w:r>
        <w:t>삭제 또는 한정 보정이 신규사항 금지와 발명의 특별한 기술적 특징 변경 제한에 저촉되지 않는지 검토한다.</w:t>
      </w:r>
    </w:p>
    <w:p>
      <w:pPr>
        <w:pStyle w:val="ListBullet"/>
      </w:pPr>
      <w:r>
        <w:t>국내우선권·분할·병합 관계 및 선후 출원 간 자기충돌 가능성을 확인한다.</w:t>
      </w:r>
    </w:p>
    <w:p>
      <w:pPr>
        <w:pStyle w:val="ListBullet"/>
      </w:pPr>
      <w:r>
        <w:t>본 보고서의 이번 원칙상 없음은 특허성·유효성 또는 비침해를 보증하는 결론이 아니다.</w:t>
      </w:r>
    </w:p>
    <w:p>
      <w:pPr>
        <w:pStyle w:val="Heading1"/>
      </w:pPr>
      <w:r>
        <w:t>공식 확인 기준</w:t>
      </w:r>
    </w:p>
    <w:p>
      <w:r>
        <w:t>보정은 특허법 제47조와 해당 절차단계의 제한을 따른다. 제출 직전 국가법령정보센터의 현행 조문과 특허로의 사건상태를 다시 확인해야 한다. 문항합성 발명은 별도의 최신 선행기술 검색과 청구항별 신규성·진보성 대조를 계속 수행한다.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color w:val="646464"/>
        <w:sz w:val="16"/>
      </w:rPr>
      <w:t>기존 출원특허 보정 필요성 전수 대조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